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7EDCC"/>
  <w:body>
    <w:p w14:paraId="71C98CCF">
      <w:pPr>
        <w:adjustRightInd w:val="0"/>
        <w:snapToGrid w:val="0"/>
        <w:jc w:val="center"/>
        <w:rPr>
          <w:rFonts w:hint="eastAsia" w:ascii="宋体" w:hAnsi="宋体" w:cs="宋体"/>
          <w:bCs/>
          <w:color w:val="000000"/>
          <w:sz w:val="72"/>
          <w:szCs w:val="72"/>
        </w:rPr>
      </w:pPr>
      <w:bookmarkStart w:id="0" w:name="_Toc30183"/>
      <w:bookmarkStart w:id="1" w:name="_Toc23039"/>
      <w:r>
        <w:rPr>
          <w:rFonts w:hint="eastAsia" w:ascii="宋体" w:hAnsi="宋体" w:cs="宋体"/>
          <w:bCs/>
          <w:color w:val="000000"/>
          <w:sz w:val="72"/>
          <w:szCs w:val="72"/>
        </w:rPr>
        <w:t>建设项目环境影响报告表</w:t>
      </w:r>
      <w:bookmarkEnd w:id="0"/>
      <w:bookmarkEnd w:id="1"/>
    </w:p>
    <w:p w14:paraId="5C2BE85C">
      <w:pPr>
        <w:adjustRightInd w:val="0"/>
        <w:snapToGrid w:val="0"/>
        <w:jc w:val="center"/>
        <w:rPr>
          <w:rFonts w:ascii="楷体_GB2312"/>
          <w:bCs/>
          <w:color w:val="000000"/>
          <w:sz w:val="48"/>
          <w:szCs w:val="48"/>
        </w:rPr>
      </w:pPr>
      <w:bookmarkStart w:id="2" w:name="_Toc25727"/>
      <w:r>
        <w:rPr>
          <w:rFonts w:hint="eastAsia" w:ascii="宋体" w:hAnsi="宋体" w:cs="宋体"/>
          <w:bCs/>
          <w:color w:val="000000"/>
          <w:sz w:val="52"/>
          <w:szCs w:val="52"/>
        </w:rPr>
        <w:t>（污染影响类）</w:t>
      </w:r>
      <w:bookmarkEnd w:id="2"/>
    </w:p>
    <w:p w14:paraId="1B7DF634">
      <w:pPr>
        <w:adjustRightInd w:val="0"/>
        <w:snapToGrid w:val="0"/>
        <w:spacing w:line="288" w:lineRule="auto"/>
        <w:jc w:val="center"/>
        <w:rPr>
          <w:rFonts w:hint="eastAsia" w:ascii="华文仿宋" w:hAnsi="华文仿宋" w:eastAsia="华文仿宋" w:cs="华文仿宋"/>
          <w:color w:val="000000"/>
          <w:kern w:val="44"/>
          <w:sz w:val="44"/>
          <w:szCs w:val="44"/>
        </w:rPr>
      </w:pPr>
    </w:p>
    <w:p w14:paraId="4A5AE821">
      <w:pPr>
        <w:jc w:val="center"/>
        <w:rPr>
          <w:rFonts w:eastAsia="仿宋"/>
          <w:color w:val="000000"/>
          <w:sz w:val="52"/>
          <w:szCs w:val="52"/>
        </w:rPr>
      </w:pPr>
    </w:p>
    <w:p w14:paraId="1C881F85">
      <w:pPr>
        <w:ind w:firstLine="1040"/>
        <w:rPr>
          <w:rFonts w:eastAsia="仿宋"/>
          <w:color w:val="000000"/>
          <w:sz w:val="44"/>
          <w:szCs w:val="44"/>
        </w:rPr>
      </w:pPr>
    </w:p>
    <w:p w14:paraId="2D2DE984">
      <w:pPr>
        <w:ind w:firstLine="1040"/>
        <w:rPr>
          <w:rFonts w:eastAsia="仿宋"/>
          <w:color w:val="000000"/>
          <w:sz w:val="44"/>
          <w:szCs w:val="44"/>
        </w:rPr>
      </w:pPr>
    </w:p>
    <w:p w14:paraId="55642945">
      <w:pPr>
        <w:ind w:firstLine="1040"/>
        <w:rPr>
          <w:rFonts w:eastAsia="仿宋"/>
          <w:color w:val="000000"/>
          <w:sz w:val="44"/>
          <w:szCs w:val="44"/>
        </w:rPr>
      </w:pPr>
    </w:p>
    <w:p w14:paraId="7E901E5E">
      <w:pPr>
        <w:ind w:firstLine="1040"/>
        <w:rPr>
          <w:rFonts w:eastAsia="仿宋"/>
          <w:color w:val="000000"/>
          <w:sz w:val="44"/>
          <w:szCs w:val="44"/>
        </w:rPr>
      </w:pPr>
    </w:p>
    <w:p w14:paraId="79EA0856">
      <w:pPr>
        <w:adjustRightInd w:val="0"/>
        <w:snapToGrid w:val="0"/>
        <w:spacing w:line="288" w:lineRule="auto"/>
        <w:rPr>
          <w:rFonts w:hint="eastAsia" w:ascii="宋体" w:hAnsi="宋体" w:cs="宋体"/>
          <w:color w:val="000000"/>
          <w:sz w:val="32"/>
          <w:szCs w:val="32"/>
          <w:u w:val="single"/>
        </w:rPr>
      </w:pPr>
      <w:r>
        <w:rPr>
          <w:rFonts w:hint="eastAsia" w:ascii="宋体" w:hAnsi="宋体" w:cs="宋体"/>
          <w:color w:val="000000"/>
          <w:sz w:val="32"/>
          <w:szCs w:val="32"/>
          <w:u w:val="single"/>
        </w:rPr>
        <w:t xml:space="preserve">项目名称： </w:t>
      </w:r>
      <w:bookmarkStart w:id="3" w:name="_Hlk217997687"/>
      <w:r>
        <w:rPr>
          <w:rFonts w:hint="eastAsia" w:ascii="宋体" w:hAnsi="宋体" w:cs="宋体"/>
          <w:color w:val="000000"/>
          <w:sz w:val="32"/>
          <w:szCs w:val="32"/>
          <w:u w:val="single"/>
        </w:rPr>
        <w:t>年</w:t>
      </w:r>
      <w:r>
        <w:rPr>
          <w:color w:val="000000"/>
          <w:sz w:val="32"/>
          <w:szCs w:val="32"/>
          <w:u w:val="single"/>
        </w:rPr>
        <w:t>产5000吨</w:t>
      </w:r>
      <w:r>
        <w:rPr>
          <w:rFonts w:hint="eastAsia" w:ascii="宋体" w:hAnsi="宋体" w:cs="宋体"/>
          <w:color w:val="000000"/>
          <w:sz w:val="32"/>
          <w:szCs w:val="32"/>
          <w:u w:val="single"/>
        </w:rPr>
        <w:t>钢结构生产线迁建项目</w:t>
      </w:r>
      <w:bookmarkEnd w:id="3"/>
      <w:r>
        <w:rPr>
          <w:rFonts w:hint="eastAsia" w:ascii="宋体" w:hAnsi="宋体" w:cs="宋体"/>
          <w:color w:val="000000"/>
          <w:sz w:val="32"/>
          <w:szCs w:val="32"/>
          <w:u w:val="single"/>
        </w:rPr>
        <w:t xml:space="preserve">             </w:t>
      </w:r>
    </w:p>
    <w:p w14:paraId="224EC5C1">
      <w:pPr>
        <w:adjustRightInd w:val="0"/>
        <w:snapToGrid w:val="0"/>
        <w:spacing w:line="288" w:lineRule="auto"/>
        <w:rPr>
          <w:rFonts w:hint="eastAsia" w:ascii="宋体" w:hAnsi="宋体" w:cs="宋体"/>
          <w:color w:val="000000"/>
          <w:sz w:val="32"/>
          <w:szCs w:val="32"/>
          <w:u w:val="single"/>
        </w:rPr>
      </w:pPr>
      <w:r>
        <w:rPr>
          <w:rFonts w:hint="eastAsia" w:ascii="宋体" w:hAnsi="宋体" w:cs="宋体"/>
          <w:color w:val="000000"/>
          <w:sz w:val="32"/>
          <w:szCs w:val="32"/>
          <w:u w:val="single"/>
        </w:rPr>
        <w:t>建设单位（盖章）：</w:t>
      </w:r>
      <w:bookmarkStart w:id="4" w:name="_Hlk217997637"/>
      <w:r>
        <w:rPr>
          <w:rFonts w:ascii="宋体" w:hAnsi="宋体" w:cs="宋体"/>
          <w:color w:val="000000"/>
          <w:sz w:val="32"/>
          <w:szCs w:val="32"/>
          <w:u w:val="single"/>
        </w:rPr>
        <w:t>湖南凯祥</w:t>
      </w:r>
      <w:r>
        <w:rPr>
          <w:rFonts w:hint="eastAsia" w:ascii="宋体" w:hAnsi="宋体" w:cs="宋体"/>
          <w:color w:val="000000"/>
          <w:sz w:val="32"/>
          <w:szCs w:val="32"/>
          <w:u w:val="single"/>
        </w:rPr>
        <w:t>金属结构</w:t>
      </w:r>
      <w:r>
        <w:rPr>
          <w:rFonts w:ascii="宋体" w:hAnsi="宋体" w:cs="宋体"/>
          <w:color w:val="000000"/>
          <w:sz w:val="32"/>
          <w:szCs w:val="32"/>
          <w:u w:val="single"/>
        </w:rPr>
        <w:t>有限公司</w:t>
      </w:r>
      <w:bookmarkEnd w:id="4"/>
      <w:r>
        <w:rPr>
          <w:rFonts w:hint="eastAsia" w:ascii="宋体" w:hAnsi="宋体" w:cs="宋体"/>
          <w:color w:val="000000"/>
          <w:sz w:val="32"/>
          <w:szCs w:val="32"/>
          <w:u w:val="single"/>
        </w:rPr>
        <w:t xml:space="preserve">              </w:t>
      </w:r>
    </w:p>
    <w:p w14:paraId="43052FFD">
      <w:pPr>
        <w:adjustRightInd w:val="0"/>
        <w:snapToGrid w:val="0"/>
        <w:spacing w:line="288" w:lineRule="auto"/>
        <w:rPr>
          <w:rFonts w:ascii="仿宋_GB2312"/>
          <w:color w:val="000000"/>
          <w:sz w:val="36"/>
          <w:szCs w:val="36"/>
          <w:u w:val="single"/>
        </w:rPr>
      </w:pPr>
      <w:r>
        <w:rPr>
          <w:rFonts w:hint="eastAsia" w:ascii="宋体" w:hAnsi="宋体" w:cs="宋体"/>
          <w:color w:val="000000"/>
          <w:sz w:val="32"/>
          <w:szCs w:val="32"/>
          <w:u w:val="single"/>
        </w:rPr>
        <w:t xml:space="preserve">编制日期：            </w:t>
      </w:r>
      <w:r>
        <w:rPr>
          <w:color w:val="000000"/>
          <w:sz w:val="32"/>
          <w:szCs w:val="32"/>
          <w:u w:val="single"/>
        </w:rPr>
        <w:t xml:space="preserve"> 202</w:t>
      </w:r>
      <w:r>
        <w:rPr>
          <w:rFonts w:hint="eastAsia"/>
          <w:color w:val="000000"/>
          <w:sz w:val="32"/>
          <w:szCs w:val="32"/>
          <w:u w:val="single"/>
        </w:rPr>
        <w:t>6</w:t>
      </w:r>
      <w:r>
        <w:rPr>
          <w:color w:val="000000"/>
          <w:sz w:val="32"/>
          <w:szCs w:val="32"/>
          <w:u w:val="single"/>
        </w:rPr>
        <w:t>年1</w:t>
      </w:r>
      <w:r>
        <w:rPr>
          <w:rFonts w:hint="eastAsia" w:ascii="宋体" w:hAnsi="宋体" w:cs="宋体"/>
          <w:color w:val="000000"/>
          <w:sz w:val="32"/>
          <w:szCs w:val="32"/>
          <w:u w:val="single"/>
        </w:rPr>
        <w:t xml:space="preserve">月                      </w:t>
      </w:r>
    </w:p>
    <w:p w14:paraId="390EE390">
      <w:pPr>
        <w:adjustRightInd w:val="0"/>
        <w:snapToGrid w:val="0"/>
        <w:spacing w:line="288" w:lineRule="auto"/>
        <w:ind w:firstLine="1040"/>
        <w:rPr>
          <w:rFonts w:ascii="仿宋_GB2312" w:eastAsia="仿宋_GB2312"/>
          <w:color w:val="000000"/>
          <w:sz w:val="36"/>
          <w:szCs w:val="36"/>
          <w:u w:val="single"/>
        </w:rPr>
      </w:pPr>
      <w:bookmarkStart w:id="5" w:name="_Hlk57884087"/>
    </w:p>
    <w:p w14:paraId="0B3CDF50">
      <w:pPr>
        <w:adjustRightInd w:val="0"/>
        <w:snapToGrid w:val="0"/>
        <w:spacing w:line="288" w:lineRule="auto"/>
        <w:ind w:firstLine="1040"/>
        <w:rPr>
          <w:rFonts w:ascii="仿宋_GB2312" w:eastAsia="仿宋_GB2312"/>
          <w:color w:val="000000"/>
          <w:sz w:val="36"/>
          <w:szCs w:val="36"/>
        </w:rPr>
      </w:pPr>
    </w:p>
    <w:p w14:paraId="394FA4EE">
      <w:pPr>
        <w:adjustRightInd w:val="0"/>
        <w:snapToGrid w:val="0"/>
        <w:spacing w:line="288" w:lineRule="auto"/>
        <w:ind w:firstLine="1040"/>
        <w:rPr>
          <w:rFonts w:ascii="仿宋_GB2312" w:eastAsia="仿宋_GB2312"/>
          <w:color w:val="000000"/>
          <w:sz w:val="36"/>
          <w:szCs w:val="36"/>
        </w:rPr>
      </w:pPr>
    </w:p>
    <w:p w14:paraId="3F770006">
      <w:pPr>
        <w:adjustRightInd w:val="0"/>
        <w:snapToGrid w:val="0"/>
        <w:spacing w:line="288" w:lineRule="auto"/>
        <w:ind w:firstLine="1040"/>
        <w:rPr>
          <w:rFonts w:ascii="仿宋_GB2312" w:eastAsia="仿宋_GB2312"/>
          <w:color w:val="000000"/>
          <w:sz w:val="36"/>
          <w:szCs w:val="36"/>
        </w:rPr>
      </w:pPr>
    </w:p>
    <w:p w14:paraId="5348BD8C">
      <w:pPr>
        <w:adjustRightInd w:val="0"/>
        <w:snapToGrid w:val="0"/>
        <w:spacing w:line="288" w:lineRule="auto"/>
        <w:rPr>
          <w:rFonts w:ascii="仿宋_GB2312" w:eastAsia="仿宋_GB2312"/>
          <w:color w:val="000000"/>
          <w:sz w:val="36"/>
          <w:szCs w:val="36"/>
        </w:rPr>
      </w:pPr>
    </w:p>
    <w:bookmarkEnd w:id="5"/>
    <w:p w14:paraId="289C75C2">
      <w:pPr>
        <w:adjustRightInd w:val="0"/>
        <w:snapToGrid w:val="0"/>
        <w:spacing w:line="288" w:lineRule="auto"/>
        <w:jc w:val="center"/>
        <w:rPr>
          <w:rFonts w:hint="eastAsia" w:ascii="宋体" w:hAnsi="宋体" w:cs="宋体"/>
          <w:color w:val="000000"/>
          <w:sz w:val="36"/>
          <w:szCs w:val="36"/>
        </w:rPr>
        <w:sectPr>
          <w:footerReference r:id="rId3" w:type="default"/>
          <w:footerReference r:id="rId4" w:type="even"/>
          <w:pgSz w:w="11906" w:h="16838"/>
          <w:pgMar w:top="1701" w:right="1531" w:bottom="1701" w:left="1531" w:header="340" w:footer="1077" w:gutter="0"/>
          <w:pgNumType w:start="3"/>
          <w:cols w:space="720" w:num="1"/>
          <w:docGrid w:linePitch="326" w:charSpace="0"/>
        </w:sectPr>
      </w:pPr>
      <w:r>
        <w:rPr>
          <w:rFonts w:hint="eastAsia" w:ascii="宋体" w:hAnsi="宋体" w:cs="宋体"/>
          <w:color w:val="000000"/>
          <w:sz w:val="36"/>
          <w:szCs w:val="36"/>
        </w:rPr>
        <w:t>中华人民共和国生态环境部制</w:t>
      </w:r>
    </w:p>
    <w:p w14:paraId="65021632">
      <w:pPr>
        <w:adjustRightInd w:val="0"/>
        <w:snapToGrid w:val="0"/>
        <w:spacing w:line="288" w:lineRule="auto"/>
        <w:jc w:val="center"/>
        <w:rPr>
          <w:rFonts w:hint="eastAsia" w:ascii="宋体" w:hAnsi="宋体" w:eastAsia="宋体" w:cs="宋体"/>
          <w:color w:val="000000"/>
          <w:sz w:val="36"/>
          <w:szCs w:val="36"/>
          <w:lang w:eastAsia="zh-CN"/>
        </w:rPr>
        <w:sectPr>
          <w:pgSz w:w="11906" w:h="16838"/>
          <w:pgMar w:top="1701" w:right="1531" w:bottom="1701" w:left="1531" w:header="340" w:footer="1077" w:gutter="0"/>
          <w:pgNumType w:start="3"/>
          <w:cols w:space="720" w:num="1"/>
          <w:docGrid w:linePitch="326" w:charSpace="0"/>
        </w:sectPr>
      </w:pPr>
      <w:r>
        <w:rPr>
          <w:rFonts w:hint="eastAsia" w:ascii="宋体" w:hAnsi="宋体" w:eastAsia="宋体" w:cs="宋体"/>
          <w:color w:val="000000"/>
          <w:sz w:val="36"/>
          <w:szCs w:val="36"/>
          <w:lang w:eastAsia="zh-CN"/>
        </w:rPr>
        <w:drawing>
          <wp:inline distT="0" distB="0" distL="114300" distR="114300">
            <wp:extent cx="5608955" cy="8129270"/>
            <wp:effectExtent l="0" t="0" r="10795" b="5080"/>
            <wp:docPr id="1" name="图片 1" descr="71e008c83a4aa3eb29f6c408531ee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e008c83a4aa3eb29f6c408531ee251"/>
                    <pic:cNvPicPr>
                      <a:picLocks noChangeAspect="1"/>
                    </pic:cNvPicPr>
                  </pic:nvPicPr>
                  <pic:blipFill>
                    <a:blip r:embed="rId11"/>
                    <a:stretch>
                      <a:fillRect/>
                    </a:stretch>
                  </pic:blipFill>
                  <pic:spPr>
                    <a:xfrm>
                      <a:off x="0" y="0"/>
                      <a:ext cx="5608955" cy="8129270"/>
                    </a:xfrm>
                    <a:prstGeom prst="rect">
                      <a:avLst/>
                    </a:prstGeom>
                  </pic:spPr>
                </pic:pic>
              </a:graphicData>
            </a:graphic>
          </wp:inline>
        </w:drawing>
      </w:r>
    </w:p>
    <w:p w14:paraId="155E5B69">
      <w:pPr>
        <w:adjustRightInd w:val="0"/>
        <w:snapToGrid w:val="0"/>
        <w:spacing w:line="288" w:lineRule="auto"/>
        <w:jc w:val="center"/>
        <w:rPr>
          <w:rFonts w:hint="eastAsia" w:ascii="宋体" w:hAnsi="宋体" w:cs="宋体"/>
          <w:color w:val="000000"/>
          <w:sz w:val="36"/>
          <w:szCs w:val="36"/>
        </w:rPr>
        <w:sectPr>
          <w:pgSz w:w="11906" w:h="16838"/>
          <w:pgMar w:top="1701" w:right="1531" w:bottom="1701" w:left="1531" w:header="851" w:footer="1077" w:gutter="0"/>
          <w:pgNumType w:start="3"/>
          <w:cols w:space="720" w:num="1"/>
          <w:docGrid w:linePitch="312" w:charSpace="0"/>
        </w:sectPr>
      </w:pPr>
      <w:r>
        <w:drawing>
          <wp:inline distT="0" distB="0" distL="0" distR="0">
            <wp:extent cx="5615940" cy="7170420"/>
            <wp:effectExtent l="0" t="0" r="3810" b="0"/>
            <wp:docPr id="91243156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1567" name="图片 1" descr="表格&#10;&#10;AI 生成的内容可能不正确。"/>
                    <pic:cNvPicPr>
                      <a:picLocks noChangeAspect="1"/>
                    </pic:cNvPicPr>
                  </pic:nvPicPr>
                  <pic:blipFill>
                    <a:blip r:embed="rId12"/>
                    <a:stretch>
                      <a:fillRect/>
                    </a:stretch>
                  </pic:blipFill>
                  <pic:spPr>
                    <a:xfrm>
                      <a:off x="0" y="0"/>
                      <a:ext cx="5615940" cy="7170420"/>
                    </a:xfrm>
                    <a:prstGeom prst="rect">
                      <a:avLst/>
                    </a:prstGeom>
                  </pic:spPr>
                </pic:pic>
              </a:graphicData>
            </a:graphic>
          </wp:inline>
        </w:drawing>
      </w:r>
    </w:p>
    <w:p w14:paraId="5FE58D01">
      <w:pPr>
        <w:adjustRightInd w:val="0"/>
        <w:snapToGrid w:val="0"/>
        <w:spacing w:line="288" w:lineRule="auto"/>
        <w:jc w:val="center"/>
        <w:rPr>
          <w:rFonts w:hint="eastAsia" w:ascii="宋体" w:hAnsi="宋体" w:cs="宋体"/>
          <w:color w:val="000000"/>
          <w:sz w:val="36"/>
          <w:szCs w:val="36"/>
        </w:rPr>
        <w:sectPr>
          <w:pgSz w:w="11906" w:h="16838"/>
          <w:pgMar w:top="1701" w:right="1531" w:bottom="1701" w:left="1531" w:header="851" w:footer="1077" w:gutter="0"/>
          <w:pgNumType w:start="3"/>
          <w:cols w:space="720" w:num="1"/>
          <w:docGrid w:linePitch="312" w:charSpace="0"/>
        </w:sectPr>
      </w:pPr>
      <w:r>
        <w:drawing>
          <wp:inline distT="0" distB="0" distL="0" distR="0">
            <wp:extent cx="5615940" cy="7402195"/>
            <wp:effectExtent l="0" t="0" r="3810" b="8255"/>
            <wp:docPr id="449331733"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31733" name="图片 1" descr="文本&#10;&#10;AI 生成的内容可能不正确。"/>
                    <pic:cNvPicPr>
                      <a:picLocks noChangeAspect="1"/>
                    </pic:cNvPicPr>
                  </pic:nvPicPr>
                  <pic:blipFill>
                    <a:blip r:embed="rId13"/>
                    <a:stretch>
                      <a:fillRect/>
                    </a:stretch>
                  </pic:blipFill>
                  <pic:spPr>
                    <a:xfrm>
                      <a:off x="0" y="0"/>
                      <a:ext cx="5615940" cy="7402195"/>
                    </a:xfrm>
                    <a:prstGeom prst="rect">
                      <a:avLst/>
                    </a:prstGeom>
                  </pic:spPr>
                </pic:pic>
              </a:graphicData>
            </a:graphic>
          </wp:inline>
        </w:drawing>
      </w:r>
    </w:p>
    <w:p w14:paraId="045F529B">
      <w:pPr>
        <w:adjustRightInd w:val="0"/>
        <w:snapToGrid w:val="0"/>
        <w:spacing w:line="288" w:lineRule="auto"/>
        <w:jc w:val="center"/>
        <w:rPr>
          <w:rFonts w:hint="eastAsia" w:ascii="宋体" w:hAnsi="宋体" w:cs="宋体"/>
          <w:color w:val="000000"/>
          <w:sz w:val="36"/>
          <w:szCs w:val="36"/>
        </w:rPr>
        <w:sectPr>
          <w:pgSz w:w="11906" w:h="16838"/>
          <w:pgMar w:top="1701" w:right="1531" w:bottom="1701" w:left="1531" w:header="851" w:footer="1077" w:gutter="0"/>
          <w:pgNumType w:start="3"/>
          <w:cols w:space="720" w:num="1"/>
          <w:docGrid w:linePitch="312" w:charSpace="0"/>
        </w:sectPr>
      </w:pPr>
      <w:r>
        <w:drawing>
          <wp:inline distT="0" distB="0" distL="0" distR="0">
            <wp:extent cx="5508625" cy="7790180"/>
            <wp:effectExtent l="0" t="0" r="0" b="1270"/>
            <wp:docPr id="1856922949" name="图片 14" descr="文字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22949" name="图片 14" descr="文字图案&#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08625" cy="7790180"/>
                    </a:xfrm>
                    <a:prstGeom prst="rect">
                      <a:avLst/>
                    </a:prstGeom>
                    <a:noFill/>
                    <a:ln>
                      <a:noFill/>
                    </a:ln>
                  </pic:spPr>
                </pic:pic>
              </a:graphicData>
            </a:graphic>
          </wp:inline>
        </w:drawing>
      </w:r>
    </w:p>
    <w:p w14:paraId="57F0C5B8">
      <w:pPr>
        <w:adjustRightInd w:val="0"/>
        <w:snapToGrid w:val="0"/>
        <w:spacing w:line="288" w:lineRule="auto"/>
        <w:jc w:val="center"/>
        <w:rPr>
          <w:rFonts w:hint="eastAsia" w:ascii="宋体" w:hAnsi="宋体" w:cs="宋体"/>
          <w:color w:val="000000"/>
          <w:sz w:val="36"/>
          <w:szCs w:val="36"/>
        </w:rPr>
        <w:sectPr>
          <w:pgSz w:w="11906" w:h="16838"/>
          <w:pgMar w:top="1701" w:right="1531" w:bottom="1701" w:left="1531" w:header="851" w:footer="1077" w:gutter="0"/>
          <w:pgNumType w:start="3"/>
          <w:cols w:space="720" w:num="1"/>
          <w:docGrid w:linePitch="312" w:charSpace="0"/>
        </w:sectPr>
      </w:pPr>
      <w:r>
        <w:drawing>
          <wp:inline distT="0" distB="0" distL="0" distR="0">
            <wp:extent cx="8209280" cy="4048125"/>
            <wp:effectExtent l="4127" t="0" r="5398" b="5397"/>
            <wp:docPr id="791835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35799" name="图片 1"/>
                    <pic:cNvPicPr>
                      <a:picLocks noChangeAspect="1"/>
                    </pic:cNvPicPr>
                  </pic:nvPicPr>
                  <pic:blipFill>
                    <a:blip r:embed="rId15"/>
                    <a:stretch>
                      <a:fillRect/>
                    </a:stretch>
                  </pic:blipFill>
                  <pic:spPr>
                    <a:xfrm rot="16200000">
                      <a:off x="0" y="0"/>
                      <a:ext cx="8229339" cy="4057909"/>
                    </a:xfrm>
                    <a:prstGeom prst="rect">
                      <a:avLst/>
                    </a:prstGeom>
                  </pic:spPr>
                </pic:pic>
              </a:graphicData>
            </a:graphic>
          </wp:inline>
        </w:drawing>
      </w:r>
    </w:p>
    <w:p w14:paraId="4ADE13A3">
      <w:pPr>
        <w:adjustRightInd w:val="0"/>
        <w:snapToGrid w:val="0"/>
        <w:spacing w:line="288" w:lineRule="auto"/>
        <w:jc w:val="center"/>
        <w:rPr>
          <w:rFonts w:hint="eastAsia" w:ascii="宋体" w:hAnsi="宋体" w:cs="宋体"/>
          <w:color w:val="000000"/>
          <w:sz w:val="36"/>
          <w:szCs w:val="36"/>
        </w:rPr>
        <w:sectPr>
          <w:pgSz w:w="11906" w:h="16838"/>
          <w:pgMar w:top="1701" w:right="1531" w:bottom="1701" w:left="1531" w:header="851" w:footer="1077" w:gutter="0"/>
          <w:pgNumType w:start="3"/>
          <w:cols w:space="720" w:num="1"/>
          <w:docGrid w:linePitch="312" w:charSpace="0"/>
        </w:sectPr>
      </w:pPr>
      <w:r>
        <w:rPr>
          <w:rFonts w:hint="eastAsia" w:ascii="宋体" w:hAnsi="宋体" w:cs="宋体"/>
          <w:color w:val="000000"/>
          <w:sz w:val="36"/>
          <w:szCs w:val="36"/>
        </w:rPr>
        <w:drawing>
          <wp:inline distT="0" distB="0" distL="0" distR="0">
            <wp:extent cx="5610860" cy="7483475"/>
            <wp:effectExtent l="0" t="0" r="8890" b="3175"/>
            <wp:docPr id="1936460857" name="图片 7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60857" name="图片 74" descr="图示&#10;&#10;AI 生成的内容可能不正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10860" cy="7483475"/>
                    </a:xfrm>
                    <a:prstGeom prst="rect">
                      <a:avLst/>
                    </a:prstGeom>
                    <a:noFill/>
                    <a:ln>
                      <a:noFill/>
                    </a:ln>
                  </pic:spPr>
                </pic:pic>
              </a:graphicData>
            </a:graphic>
          </wp:inline>
        </w:drawing>
      </w:r>
    </w:p>
    <w:p w14:paraId="44A42E5B">
      <w:pPr>
        <w:adjustRightInd w:val="0"/>
        <w:snapToGrid w:val="0"/>
        <w:spacing w:line="288" w:lineRule="auto"/>
        <w:jc w:val="center"/>
        <w:rPr>
          <w:rFonts w:hint="eastAsia" w:ascii="宋体" w:hAnsi="宋体" w:cs="宋体"/>
          <w:color w:val="000000"/>
          <w:sz w:val="36"/>
          <w:szCs w:val="36"/>
        </w:rPr>
      </w:pPr>
      <w:r>
        <w:drawing>
          <wp:inline distT="0" distB="0" distL="0" distR="0">
            <wp:extent cx="5668010" cy="8006080"/>
            <wp:effectExtent l="0" t="0" r="8890" b="0"/>
            <wp:docPr id="417880843"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80843" name="图片 1" descr="表格&#10;&#10;AI 生成的内容可能不正确。"/>
                    <pic:cNvPicPr>
                      <a:picLocks noChangeAspect="1"/>
                    </pic:cNvPicPr>
                  </pic:nvPicPr>
                  <pic:blipFill>
                    <a:blip r:embed="rId17"/>
                    <a:stretch>
                      <a:fillRect/>
                    </a:stretch>
                  </pic:blipFill>
                  <pic:spPr>
                    <a:xfrm>
                      <a:off x="0" y="0"/>
                      <a:ext cx="5675343" cy="8015903"/>
                    </a:xfrm>
                    <a:prstGeom prst="rect">
                      <a:avLst/>
                    </a:prstGeom>
                  </pic:spPr>
                </pic:pic>
              </a:graphicData>
            </a:graphic>
          </wp:inline>
        </w:drawing>
      </w:r>
    </w:p>
    <w:p w14:paraId="6993203D">
      <w:pPr>
        <w:adjustRightInd w:val="0"/>
        <w:snapToGrid w:val="0"/>
        <w:spacing w:line="288" w:lineRule="auto"/>
        <w:ind w:firstLine="1040"/>
        <w:rPr>
          <w:rFonts w:ascii="仿宋_GB2312" w:eastAsia="仿宋_GB2312"/>
          <w:color w:val="000000"/>
          <w:sz w:val="36"/>
          <w:szCs w:val="36"/>
        </w:rPr>
        <w:sectPr>
          <w:pgSz w:w="11906" w:h="16838"/>
          <w:pgMar w:top="1701" w:right="1531" w:bottom="1701" w:left="1531" w:header="851" w:footer="1077" w:gutter="0"/>
          <w:pgNumType w:start="3"/>
          <w:cols w:space="720" w:num="1"/>
          <w:docGrid w:linePitch="312" w:charSpace="0"/>
        </w:sectPr>
      </w:pPr>
    </w:p>
    <w:sdt>
      <w:sdtPr>
        <w:rPr>
          <w:rFonts w:ascii="宋体" w:hAnsi="宋体"/>
          <w:sz w:val="21"/>
        </w:rPr>
        <w:id w:val="147479601"/>
        <w15:color w:val="DBDBDB"/>
        <w:docPartObj>
          <w:docPartGallery w:val="Table of Contents"/>
          <w:docPartUnique/>
        </w:docPartObj>
      </w:sdtPr>
      <w:sdtEndPr>
        <w:rPr>
          <w:rFonts w:ascii="Times New Roman" w:hAnsi="Times New Roman"/>
          <w:sz w:val="24"/>
        </w:rPr>
      </w:sdtEndPr>
      <w:sdtContent>
        <w:p w14:paraId="4C48B36E">
          <w:pPr>
            <w:jc w:val="center"/>
            <w:rPr>
              <w:rFonts w:hint="eastAsia" w:ascii="黑体" w:hAnsi="黑体" w:eastAsia="黑体" w:cs="黑体"/>
              <w:sz w:val="30"/>
              <w:szCs w:val="30"/>
            </w:rPr>
          </w:pPr>
          <w:r>
            <w:rPr>
              <w:rFonts w:hint="eastAsia" w:ascii="黑体" w:hAnsi="黑体" w:eastAsia="黑体" w:cs="黑体"/>
              <w:sz w:val="30"/>
              <w:szCs w:val="30"/>
            </w:rPr>
            <w:t>目  录</w:t>
          </w:r>
        </w:p>
        <w:p w14:paraId="403EE88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TOC \o "1-1" \h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_Toc226 </w:instrText>
          </w:r>
          <w:r>
            <w:rPr>
              <w:rFonts w:hint="default" w:ascii="Times New Roman" w:hAnsi="Times New Roman" w:eastAsia="宋体" w:cs="Times New Roman"/>
            </w:rPr>
            <w:fldChar w:fldCharType="separate"/>
          </w:r>
          <w:r>
            <w:rPr>
              <w:rFonts w:hint="default" w:ascii="Times New Roman" w:hAnsi="Times New Roman" w:eastAsia="宋体" w:cs="Times New Roman"/>
              <w:snapToGrid w:val="0"/>
              <w:szCs w:val="30"/>
            </w:rPr>
            <w:t>一、建设项目基本情况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7E5649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_Toc8759 </w:instrText>
          </w:r>
          <w:r>
            <w:rPr>
              <w:rFonts w:hint="default" w:ascii="Times New Roman" w:hAnsi="Times New Roman" w:eastAsia="宋体" w:cs="Times New Roman"/>
            </w:rPr>
            <w:fldChar w:fldCharType="separate"/>
          </w:r>
          <w:r>
            <w:rPr>
              <w:rFonts w:hint="default" w:ascii="Times New Roman" w:hAnsi="Times New Roman" w:eastAsia="宋体" w:cs="Times New Roman"/>
              <w:snapToGrid w:val="0"/>
              <w:szCs w:val="30"/>
            </w:rPr>
            <w:t>二、建设项目工程分析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_Toc8759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C379F9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_Toc17389 </w:instrText>
          </w:r>
          <w:r>
            <w:rPr>
              <w:rFonts w:hint="default" w:ascii="Times New Roman" w:hAnsi="Times New Roman" w:eastAsia="宋体" w:cs="Times New Roman"/>
            </w:rPr>
            <w:fldChar w:fldCharType="separate"/>
          </w:r>
          <w:r>
            <w:rPr>
              <w:rFonts w:hint="default" w:ascii="Times New Roman" w:hAnsi="Times New Roman" w:eastAsia="宋体" w:cs="Times New Roman"/>
              <w:snapToGrid w:val="0"/>
              <w:szCs w:val="30"/>
            </w:rPr>
            <w:t>三、区域环境质量现状、环境保护目标及评价标准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_Toc17389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35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F408E4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_Toc20315 </w:instrText>
          </w:r>
          <w:r>
            <w:rPr>
              <w:rFonts w:hint="default" w:ascii="Times New Roman" w:hAnsi="Times New Roman" w:eastAsia="宋体" w:cs="Times New Roman"/>
            </w:rPr>
            <w:fldChar w:fldCharType="separate"/>
          </w:r>
          <w:r>
            <w:rPr>
              <w:rFonts w:hint="default" w:ascii="Times New Roman" w:hAnsi="Times New Roman" w:eastAsia="宋体" w:cs="Times New Roman"/>
              <w:snapToGrid w:val="0"/>
              <w:szCs w:val="30"/>
            </w:rPr>
            <w:t>四、主要环境影响和保护措施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_Toc20315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58AF11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_Toc5707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30"/>
            </w:rPr>
            <w:t>五、环境保护措施监督检查清单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_Toc5707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DC84A8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_Toc5373 </w:instrText>
          </w:r>
          <w:r>
            <w:rPr>
              <w:rFonts w:hint="default" w:ascii="Times New Roman" w:hAnsi="Times New Roman" w:eastAsia="宋体" w:cs="Times New Roman"/>
            </w:rPr>
            <w:fldChar w:fldCharType="separate"/>
          </w:r>
          <w:r>
            <w:rPr>
              <w:rFonts w:hint="default" w:ascii="Times New Roman" w:hAnsi="Times New Roman" w:eastAsia="宋体" w:cs="Times New Roman"/>
              <w:bCs/>
              <w:kern w:val="44"/>
              <w:szCs w:val="30"/>
              <w:lang w:bidi="ar"/>
            </w:rPr>
            <w:t>六、</w:t>
          </w:r>
          <w:r>
            <w:rPr>
              <w:rFonts w:hint="default" w:ascii="Times New Roman" w:hAnsi="Times New Roman" w:eastAsia="宋体" w:cs="Times New Roman"/>
              <w:bCs/>
              <w:szCs w:val="30"/>
            </w:rPr>
            <w:t>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_Toc5373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9029D1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_Toc12497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附表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_Toc12497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372011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_Toc7751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附件1：环评委托书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_Toc7751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73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1B470C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_Toc14596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附件2：营业执照</w:t>
          </w:r>
          <w:r>
            <w:rPr>
              <w:rFonts w:hint="default" w:ascii="Times New Roman" w:hAnsi="Times New Roman" w:eastAsia="宋体" w:cs="Times New Roman"/>
              <w:bCs/>
              <w:lang w:val="en-US" w:eastAsia="zh-CN"/>
            </w:rPr>
            <w:t>及法人身份证复印件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_Toc14596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74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D4EE60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_Toc3492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附件3：租赁合同</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_Toc3492 \h </w:instrText>
          </w:r>
          <w:r>
            <w:rPr>
              <w:rFonts w:hint="default" w:ascii="Times New Roman" w:hAnsi="Times New Roman" w:eastAsia="宋体" w:cs="Times New Roman"/>
            </w:rPr>
            <w:fldChar w:fldCharType="separate"/>
          </w:r>
          <w:r>
            <w:rPr>
              <w:rFonts w:hint="default" w:ascii="Times New Roman" w:hAnsi="Times New Roman" w:eastAsia="宋体" w:cs="Times New Roman"/>
            </w:rPr>
            <w:t>76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DCE127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_Toc30383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附件4：现有项目环评批复</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_Toc30383 \h </w:instrText>
          </w:r>
          <w:r>
            <w:rPr>
              <w:rFonts w:hint="default" w:ascii="Times New Roman" w:hAnsi="Times New Roman" w:eastAsia="宋体" w:cs="Times New Roman"/>
            </w:rPr>
            <w:fldChar w:fldCharType="separate"/>
          </w:r>
          <w:r>
            <w:rPr>
              <w:rFonts w:hint="default" w:ascii="Times New Roman" w:hAnsi="Times New Roman" w:eastAsia="宋体" w:cs="Times New Roman"/>
            </w:rPr>
            <w:t>80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4D8B48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_Toc18043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附件5：验收专家意见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_Toc18043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84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082B5B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_Toc14148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附件6：现有项目验收监测报告</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_Toc14148 \h </w:instrText>
          </w:r>
          <w:r>
            <w:rPr>
              <w:rFonts w:hint="default" w:ascii="Times New Roman" w:hAnsi="Times New Roman" w:eastAsia="宋体" w:cs="Times New Roman"/>
            </w:rPr>
            <w:fldChar w:fldCharType="separate"/>
          </w:r>
          <w:r>
            <w:rPr>
              <w:rFonts w:hint="default" w:ascii="Times New Roman" w:hAnsi="Times New Roman" w:eastAsia="宋体" w:cs="Times New Roman"/>
            </w:rPr>
            <w:t>90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BEA0FB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_Toc400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附件7：现有项目固定污染源排污登记回执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97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0C5BB7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_Toc21796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附件8：现有项目突发环境事件应急预案备案表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_Toc21796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98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601746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_Toc27050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附件9：水性漆MSDS报告</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_Toc27050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B3C192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_Toc19010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附件10：水性漆检测报告</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_Toc19010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AE17EF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_Toc10800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附件11：关于《龙岭产业开发区调区扩区规划环境影响报告书》审查意见的函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_Toc10800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091BDFB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_Toc12473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附件12：大气质量现状监测报告</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_Toc12473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E0657F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_Toc26579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附件13：专家评审意见及其签到表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_Toc26579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9A268F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_Toc26965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附件14：入园申请书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_Toc26965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6F1C55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_Toc7053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附件15：VOCs倍量替代情况说明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_Toc7053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4E9D2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_Toc7965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附图1：地理位置图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_Toc7965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233CD7D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_Toc19057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附图2：搬迁前后位置图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_Toc19057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F68329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_Toc22617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附图3：三条控制线压覆查询图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_Toc22617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D24D84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_Toc10531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附图4：厂区平面布置图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_Toc10531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DD274E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_Toc2226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附图5：污水排放路径图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49718D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_Toc28659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附图6：周边敏感目标分布图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_Toc28659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656B7F6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_Toc30038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附图7：土地利用规划图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_Toc30038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4026E6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_Toc3311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附图8：雨水排放规划图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_Toc3311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70269C8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_Toc843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附图9：产业布局规划图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46B9287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_Toc2923 </w:instrText>
          </w:r>
          <w:r>
            <w:rPr>
              <w:rFonts w:hint="default" w:ascii="Times New Roman" w:hAnsi="Times New Roman" w:eastAsia="宋体" w:cs="Times New Roman"/>
            </w:rPr>
            <w:fldChar w:fldCharType="separate"/>
          </w:r>
          <w:r>
            <w:rPr>
              <w:rFonts w:hint="default" w:ascii="Times New Roman" w:hAnsi="Times New Roman" w:eastAsia="宋体" w:cs="Times New Roman"/>
              <w:bCs/>
            </w:rPr>
            <w:t>附图10：项目现状照片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5E5EBB82">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rPr>
            <w:fldChar w:fldCharType="end"/>
          </w:r>
        </w:p>
      </w:sdtContent>
    </w:sdt>
    <w:p w14:paraId="734C657B">
      <w:pPr>
        <w:sectPr>
          <w:pgSz w:w="11906" w:h="16838"/>
          <w:pgMar w:top="1440" w:right="1800" w:bottom="1440" w:left="1800" w:header="851" w:footer="992" w:gutter="0"/>
          <w:cols w:space="425" w:num="1"/>
          <w:docGrid w:type="lines" w:linePitch="312" w:charSpace="0"/>
        </w:sectPr>
      </w:pPr>
    </w:p>
    <w:p w14:paraId="54DE182B">
      <w:pPr>
        <w:pStyle w:val="20"/>
        <w:spacing w:before="0" w:beforeAutospacing="0" w:after="0" w:afterAutospacing="0"/>
        <w:jc w:val="center"/>
        <w:outlineLvl w:val="0"/>
        <w:rPr>
          <w:rFonts w:hint="eastAsia" w:ascii="黑体" w:hAnsi="黑体" w:eastAsia="黑体"/>
          <w:snapToGrid w:val="0"/>
          <w:color w:val="000000"/>
          <w:sz w:val="30"/>
          <w:szCs w:val="30"/>
        </w:rPr>
      </w:pPr>
      <w:bookmarkStart w:id="6" w:name="_Toc189746362"/>
      <w:bookmarkStart w:id="7" w:name="_Toc8786"/>
      <w:bookmarkStart w:id="8" w:name="_Toc14451"/>
      <w:bookmarkStart w:id="9" w:name="_Toc8977"/>
      <w:bookmarkStart w:id="10" w:name="_Toc226"/>
      <w:r>
        <w:rPr>
          <w:rFonts w:hint="eastAsia" w:ascii="黑体" w:hAnsi="黑体" w:eastAsia="黑体"/>
          <w:snapToGrid w:val="0"/>
          <w:color w:val="000000"/>
          <w:sz w:val="30"/>
          <w:szCs w:val="30"/>
        </w:rPr>
        <w:t>一、建设项目基本情况</w:t>
      </w:r>
      <w:bookmarkEnd w:id="6"/>
      <w:bookmarkEnd w:id="7"/>
      <w:bookmarkEnd w:id="8"/>
      <w:bookmarkEnd w:id="9"/>
      <w:bookmarkEnd w:id="1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12"/>
        <w:gridCol w:w="2462"/>
        <w:gridCol w:w="1915"/>
        <w:gridCol w:w="3243"/>
      </w:tblGrid>
      <w:tr w14:paraId="1FD1E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67520675">
            <w:pPr>
              <w:adjustRightInd w:val="0"/>
              <w:snapToGrid w:val="0"/>
              <w:jc w:val="center"/>
              <w:rPr>
                <w:color w:val="000000"/>
              </w:rPr>
            </w:pPr>
            <w:r>
              <w:rPr>
                <w:color w:val="000000"/>
              </w:rPr>
              <w:t>建设项目名称</w:t>
            </w:r>
          </w:p>
        </w:tc>
        <w:tc>
          <w:tcPr>
            <w:tcW w:w="7620" w:type="dxa"/>
            <w:gridSpan w:val="3"/>
            <w:vAlign w:val="center"/>
          </w:tcPr>
          <w:p w14:paraId="50CE925E">
            <w:pPr>
              <w:jc w:val="center"/>
              <w:rPr>
                <w:kern w:val="21"/>
              </w:rPr>
            </w:pPr>
            <w:bookmarkStart w:id="11" w:name="_Hlk217997627"/>
            <w:r>
              <w:rPr>
                <w:rFonts w:hAnsi="宋体"/>
              </w:rPr>
              <w:t>年产</w:t>
            </w:r>
            <w:r>
              <w:t>5000</w:t>
            </w:r>
            <w:r>
              <w:rPr>
                <w:rFonts w:hAnsi="宋体"/>
              </w:rPr>
              <w:t>吨钢结构生产线</w:t>
            </w:r>
            <w:r>
              <w:rPr>
                <w:rFonts w:hint="eastAsia" w:hAnsi="宋体"/>
              </w:rPr>
              <w:t>迁建</w:t>
            </w:r>
            <w:r>
              <w:rPr>
                <w:rFonts w:hAnsi="宋体"/>
              </w:rPr>
              <w:t>项目</w:t>
            </w:r>
            <w:bookmarkEnd w:id="11"/>
          </w:p>
        </w:tc>
      </w:tr>
      <w:tr w14:paraId="5F024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53AA0504">
            <w:pPr>
              <w:adjustRightInd w:val="0"/>
              <w:snapToGrid w:val="0"/>
              <w:jc w:val="center"/>
              <w:rPr>
                <w:color w:val="000000"/>
              </w:rPr>
            </w:pPr>
            <w:r>
              <w:rPr>
                <w:color w:val="000000"/>
              </w:rPr>
              <w:t>项目代码</w:t>
            </w:r>
          </w:p>
        </w:tc>
        <w:tc>
          <w:tcPr>
            <w:tcW w:w="7620" w:type="dxa"/>
            <w:gridSpan w:val="3"/>
            <w:vAlign w:val="center"/>
          </w:tcPr>
          <w:p w14:paraId="3C8F42CB">
            <w:pPr>
              <w:adjustRightInd w:val="0"/>
              <w:snapToGrid w:val="0"/>
              <w:jc w:val="center"/>
              <w:rPr>
                <w:kern w:val="21"/>
              </w:rPr>
            </w:pPr>
            <w:r>
              <w:rPr>
                <w:rFonts w:hint="eastAsia"/>
                <w:kern w:val="21"/>
              </w:rPr>
              <w:t>无</w:t>
            </w:r>
          </w:p>
        </w:tc>
      </w:tr>
      <w:tr w14:paraId="1EA88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753144F2">
            <w:pPr>
              <w:adjustRightInd w:val="0"/>
              <w:snapToGrid w:val="0"/>
              <w:jc w:val="center"/>
              <w:rPr>
                <w:color w:val="000000"/>
              </w:rPr>
            </w:pPr>
            <w:r>
              <w:rPr>
                <w:color w:val="000000"/>
              </w:rPr>
              <w:t>建设单位联系人</w:t>
            </w:r>
          </w:p>
        </w:tc>
        <w:tc>
          <w:tcPr>
            <w:tcW w:w="2462" w:type="dxa"/>
            <w:vAlign w:val="center"/>
          </w:tcPr>
          <w:p w14:paraId="7E2EE502">
            <w:pPr>
              <w:adjustRightInd w:val="0"/>
              <w:snapToGrid w:val="0"/>
              <w:jc w:val="center"/>
              <w:rPr>
                <w:kern w:val="21"/>
              </w:rPr>
            </w:pPr>
            <w:bookmarkStart w:id="12" w:name="OLE_LINK13"/>
            <w:r>
              <w:rPr>
                <w:rFonts w:hint="eastAsia"/>
                <w:kern w:val="21"/>
              </w:rPr>
              <w:t>许明凯</w:t>
            </w:r>
            <w:bookmarkEnd w:id="12"/>
          </w:p>
        </w:tc>
        <w:tc>
          <w:tcPr>
            <w:tcW w:w="1915" w:type="dxa"/>
            <w:vAlign w:val="center"/>
          </w:tcPr>
          <w:p w14:paraId="6814698C">
            <w:pPr>
              <w:adjustRightInd w:val="0"/>
              <w:snapToGrid w:val="0"/>
              <w:jc w:val="center"/>
              <w:rPr>
                <w:kern w:val="21"/>
              </w:rPr>
            </w:pPr>
            <w:r>
              <w:rPr>
                <w:kern w:val="21"/>
              </w:rPr>
              <w:t>联系方式</w:t>
            </w:r>
          </w:p>
        </w:tc>
        <w:tc>
          <w:tcPr>
            <w:tcW w:w="3243" w:type="dxa"/>
            <w:vAlign w:val="center"/>
          </w:tcPr>
          <w:p w14:paraId="72220862">
            <w:pPr>
              <w:adjustRightInd w:val="0"/>
              <w:snapToGrid w:val="0"/>
              <w:jc w:val="center"/>
              <w:rPr>
                <w:kern w:val="21"/>
              </w:rPr>
            </w:pPr>
            <w:r>
              <w:rPr>
                <w:rFonts w:hint="eastAsia"/>
                <w:kern w:val="21"/>
              </w:rPr>
              <w:t>15243703100</w:t>
            </w:r>
          </w:p>
        </w:tc>
      </w:tr>
      <w:tr w14:paraId="4119E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4150D423">
            <w:pPr>
              <w:adjustRightInd w:val="0"/>
              <w:snapToGrid w:val="0"/>
              <w:jc w:val="center"/>
              <w:rPr>
                <w:color w:val="000000"/>
              </w:rPr>
            </w:pPr>
            <w:r>
              <w:rPr>
                <w:color w:val="000000"/>
              </w:rPr>
              <w:t>建设地点</w:t>
            </w:r>
          </w:p>
        </w:tc>
        <w:tc>
          <w:tcPr>
            <w:tcW w:w="7620" w:type="dxa"/>
            <w:gridSpan w:val="3"/>
            <w:vAlign w:val="center"/>
          </w:tcPr>
          <w:p w14:paraId="54E71B94">
            <w:pPr>
              <w:adjustRightInd w:val="0"/>
              <w:snapToGrid w:val="0"/>
              <w:jc w:val="center"/>
              <w:rPr>
                <w:kern w:val="21"/>
              </w:rPr>
            </w:pPr>
            <w:bookmarkStart w:id="13" w:name="_Hlk217997706"/>
            <w:bookmarkStart w:id="14" w:name="_Hlk215504730"/>
            <w:r>
              <w:rPr>
                <w:kern w:val="21"/>
              </w:rPr>
              <w:t>湖南省益阳市赫山区龙岭产业开发区新材料产业园朝阳路粤浙城科技示范基地</w:t>
            </w:r>
            <w:r>
              <w:rPr>
                <w:rFonts w:hint="eastAsia"/>
                <w:kern w:val="21"/>
              </w:rPr>
              <w:t>8栋</w:t>
            </w:r>
            <w:bookmarkEnd w:id="13"/>
            <w:bookmarkEnd w:id="14"/>
          </w:p>
        </w:tc>
      </w:tr>
      <w:tr w14:paraId="4014D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19BD6DCA">
            <w:pPr>
              <w:adjustRightInd w:val="0"/>
              <w:snapToGrid w:val="0"/>
              <w:jc w:val="center"/>
              <w:rPr>
                <w:color w:val="000000"/>
              </w:rPr>
            </w:pPr>
            <w:r>
              <w:rPr>
                <w:color w:val="000000"/>
              </w:rPr>
              <w:t>地理坐标</w:t>
            </w:r>
          </w:p>
        </w:tc>
        <w:tc>
          <w:tcPr>
            <w:tcW w:w="7620" w:type="dxa"/>
            <w:gridSpan w:val="3"/>
            <w:vAlign w:val="center"/>
          </w:tcPr>
          <w:p w14:paraId="1329A7BE">
            <w:pPr>
              <w:jc w:val="center"/>
              <w:rPr>
                <w:color w:val="000000"/>
              </w:rPr>
            </w:pPr>
            <w:r>
              <w:rPr>
                <w:color w:val="000000"/>
              </w:rPr>
              <w:t>（经度11</w:t>
            </w:r>
            <w:r>
              <w:rPr>
                <w:rFonts w:hint="eastAsia"/>
                <w:color w:val="000000"/>
              </w:rPr>
              <w:t>2</w:t>
            </w:r>
            <w:r>
              <w:rPr>
                <w:color w:val="000000"/>
              </w:rPr>
              <w:t>度</w:t>
            </w:r>
            <w:r>
              <w:rPr>
                <w:rFonts w:hint="eastAsia"/>
                <w:color w:val="000000"/>
              </w:rPr>
              <w:t>30</w:t>
            </w:r>
            <w:r>
              <w:rPr>
                <w:color w:val="000000"/>
              </w:rPr>
              <w:t>分</w:t>
            </w:r>
            <w:r>
              <w:rPr>
                <w:rFonts w:hint="eastAsia"/>
                <w:color w:val="000000"/>
              </w:rPr>
              <w:t>18.219</w:t>
            </w:r>
            <w:r>
              <w:rPr>
                <w:color w:val="000000"/>
              </w:rPr>
              <w:t>秒，纬度2</w:t>
            </w:r>
            <w:r>
              <w:rPr>
                <w:rFonts w:hint="eastAsia"/>
                <w:color w:val="000000"/>
              </w:rPr>
              <w:t>8</w:t>
            </w:r>
            <w:r>
              <w:rPr>
                <w:color w:val="000000"/>
              </w:rPr>
              <w:t>度</w:t>
            </w:r>
            <w:r>
              <w:rPr>
                <w:rFonts w:hint="eastAsia"/>
                <w:color w:val="000000"/>
              </w:rPr>
              <w:t>21</w:t>
            </w:r>
            <w:r>
              <w:rPr>
                <w:color w:val="000000"/>
              </w:rPr>
              <w:t>分</w:t>
            </w:r>
            <w:r>
              <w:rPr>
                <w:rFonts w:hint="eastAsia"/>
                <w:color w:val="000000"/>
              </w:rPr>
              <w:t>41.126</w:t>
            </w:r>
            <w:r>
              <w:rPr>
                <w:color w:val="000000"/>
              </w:rPr>
              <w:t>秒）</w:t>
            </w:r>
          </w:p>
        </w:tc>
      </w:tr>
      <w:tr w14:paraId="34FF8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12" w:type="dxa"/>
            <w:tcMar>
              <w:top w:w="16" w:type="dxa"/>
              <w:left w:w="16" w:type="dxa"/>
              <w:right w:w="16" w:type="dxa"/>
            </w:tcMar>
            <w:vAlign w:val="center"/>
          </w:tcPr>
          <w:p w14:paraId="799C46AE">
            <w:pPr>
              <w:adjustRightInd w:val="0"/>
              <w:snapToGrid w:val="0"/>
              <w:jc w:val="center"/>
              <w:rPr>
                <w:color w:val="000000"/>
              </w:rPr>
            </w:pPr>
            <w:r>
              <w:rPr>
                <w:color w:val="000000"/>
              </w:rPr>
              <w:t>国民经济</w:t>
            </w:r>
          </w:p>
          <w:p w14:paraId="7B50701A">
            <w:pPr>
              <w:adjustRightInd w:val="0"/>
              <w:snapToGrid w:val="0"/>
              <w:jc w:val="center"/>
              <w:rPr>
                <w:color w:val="000000"/>
              </w:rPr>
            </w:pPr>
            <w:r>
              <w:rPr>
                <w:color w:val="000000"/>
              </w:rPr>
              <w:t>行业类别</w:t>
            </w:r>
          </w:p>
        </w:tc>
        <w:tc>
          <w:tcPr>
            <w:tcW w:w="2462" w:type="dxa"/>
            <w:vAlign w:val="center"/>
          </w:tcPr>
          <w:p w14:paraId="57E98F0E">
            <w:pPr>
              <w:adjustRightInd w:val="0"/>
              <w:snapToGrid w:val="0"/>
              <w:jc w:val="center"/>
              <w:rPr>
                <w:color w:val="000000"/>
              </w:rPr>
            </w:pPr>
            <w:r>
              <w:rPr>
                <w:kern w:val="21"/>
              </w:rPr>
              <w:t>C</w:t>
            </w:r>
            <w:r>
              <w:rPr>
                <w:rFonts w:hint="eastAsia"/>
                <w:kern w:val="21"/>
              </w:rPr>
              <w:t>3311金属结构制造</w:t>
            </w:r>
          </w:p>
        </w:tc>
        <w:tc>
          <w:tcPr>
            <w:tcW w:w="1915" w:type="dxa"/>
            <w:vAlign w:val="center"/>
          </w:tcPr>
          <w:p w14:paraId="3621DE6F">
            <w:pPr>
              <w:adjustRightInd w:val="0"/>
              <w:snapToGrid w:val="0"/>
              <w:jc w:val="center"/>
              <w:rPr>
                <w:color w:val="000000"/>
              </w:rPr>
            </w:pPr>
            <w:bookmarkStart w:id="15" w:name="_Hlk49843745"/>
            <w:r>
              <w:rPr>
                <w:color w:val="000000"/>
              </w:rPr>
              <w:t>建设项目</w:t>
            </w:r>
          </w:p>
          <w:p w14:paraId="4C5F13B4">
            <w:pPr>
              <w:adjustRightInd w:val="0"/>
              <w:snapToGrid w:val="0"/>
              <w:jc w:val="center"/>
              <w:rPr>
                <w:color w:val="000000"/>
              </w:rPr>
            </w:pPr>
            <w:r>
              <w:rPr>
                <w:color w:val="000000"/>
              </w:rPr>
              <w:t>行业类别</w:t>
            </w:r>
            <w:bookmarkEnd w:id="15"/>
          </w:p>
        </w:tc>
        <w:tc>
          <w:tcPr>
            <w:tcW w:w="3243" w:type="dxa"/>
            <w:vAlign w:val="center"/>
          </w:tcPr>
          <w:p w14:paraId="7683AFE3">
            <w:pPr>
              <w:adjustRightInd w:val="0"/>
              <w:snapToGrid w:val="0"/>
              <w:rPr>
                <w:color w:val="000000"/>
              </w:rPr>
            </w:pPr>
            <w:r>
              <w:rPr>
                <w:rFonts w:hint="eastAsia"/>
                <w:kern w:val="21"/>
              </w:rPr>
              <w:t>三十、金属制品业 33 结构性金属制品制造331</w:t>
            </w:r>
          </w:p>
        </w:tc>
      </w:tr>
      <w:tr w14:paraId="6DB2F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12" w:type="dxa"/>
            <w:tcMar>
              <w:top w:w="16" w:type="dxa"/>
              <w:left w:w="16" w:type="dxa"/>
              <w:right w:w="16" w:type="dxa"/>
            </w:tcMar>
            <w:vAlign w:val="center"/>
          </w:tcPr>
          <w:p w14:paraId="4ACF3F49">
            <w:pPr>
              <w:adjustRightInd w:val="0"/>
              <w:snapToGrid w:val="0"/>
              <w:jc w:val="center"/>
              <w:rPr>
                <w:color w:val="000000"/>
              </w:rPr>
            </w:pPr>
            <w:r>
              <w:rPr>
                <w:color w:val="000000"/>
              </w:rPr>
              <w:t>建设性质</w:t>
            </w:r>
          </w:p>
        </w:tc>
        <w:tc>
          <w:tcPr>
            <w:tcW w:w="2462" w:type="dxa"/>
            <w:vAlign w:val="center"/>
          </w:tcPr>
          <w:p w14:paraId="0BBBBAC6">
            <w:pPr>
              <w:jc w:val="left"/>
              <w:rPr>
                <w:color w:val="000000"/>
              </w:rPr>
            </w:pPr>
            <w:r>
              <w:rPr>
                <w:rFonts w:hint="eastAsia"/>
                <w:color w:val="000000"/>
              </w:rPr>
              <w:t>☑</w:t>
            </w:r>
            <w:r>
              <w:rPr>
                <w:color w:val="000000"/>
              </w:rPr>
              <w:t>新建（迁建）</w:t>
            </w:r>
          </w:p>
          <w:p w14:paraId="3BF8FCF2">
            <w:pPr>
              <w:jc w:val="left"/>
              <w:rPr>
                <w:color w:val="000000"/>
              </w:rPr>
            </w:pPr>
            <w:r>
              <w:rPr>
                <w:rFonts w:hint="eastAsia"/>
                <w:color w:val="000000"/>
              </w:rPr>
              <w:t>□</w:t>
            </w:r>
            <w:r>
              <w:rPr>
                <w:color w:val="000000"/>
              </w:rPr>
              <w:t>改建</w:t>
            </w:r>
          </w:p>
          <w:p w14:paraId="5A0CA089">
            <w:pPr>
              <w:jc w:val="left"/>
              <w:rPr>
                <w:color w:val="000000"/>
              </w:rPr>
            </w:pPr>
            <w:r>
              <w:rPr>
                <w:rFonts w:hint="eastAsia"/>
                <w:color w:val="000000"/>
              </w:rPr>
              <w:t>□</w:t>
            </w:r>
            <w:r>
              <w:rPr>
                <w:color w:val="000000"/>
              </w:rPr>
              <w:t>扩建</w:t>
            </w:r>
          </w:p>
          <w:p w14:paraId="317792B2">
            <w:pPr>
              <w:jc w:val="left"/>
              <w:rPr>
                <w:color w:val="000000"/>
              </w:rPr>
            </w:pPr>
            <w:r>
              <w:rPr>
                <w:rFonts w:hint="eastAsia"/>
                <w:color w:val="000000"/>
              </w:rPr>
              <w:t>□</w:t>
            </w:r>
            <w:r>
              <w:rPr>
                <w:color w:val="000000"/>
              </w:rPr>
              <w:t>技术改造</w:t>
            </w:r>
          </w:p>
        </w:tc>
        <w:tc>
          <w:tcPr>
            <w:tcW w:w="1915" w:type="dxa"/>
            <w:vAlign w:val="center"/>
          </w:tcPr>
          <w:p w14:paraId="534371DB">
            <w:pPr>
              <w:adjustRightInd w:val="0"/>
              <w:snapToGrid w:val="0"/>
              <w:jc w:val="center"/>
              <w:rPr>
                <w:color w:val="000000"/>
              </w:rPr>
            </w:pPr>
            <w:r>
              <w:rPr>
                <w:color w:val="000000"/>
              </w:rPr>
              <w:t>建设项目</w:t>
            </w:r>
          </w:p>
          <w:p w14:paraId="5D73CB6E">
            <w:pPr>
              <w:adjustRightInd w:val="0"/>
              <w:snapToGrid w:val="0"/>
              <w:jc w:val="center"/>
              <w:rPr>
                <w:color w:val="000000"/>
              </w:rPr>
            </w:pPr>
            <w:r>
              <w:rPr>
                <w:color w:val="000000"/>
              </w:rPr>
              <w:t>申报情形</w:t>
            </w:r>
          </w:p>
        </w:tc>
        <w:tc>
          <w:tcPr>
            <w:tcW w:w="3243" w:type="dxa"/>
            <w:vAlign w:val="center"/>
          </w:tcPr>
          <w:p w14:paraId="3E5011E1">
            <w:pPr>
              <w:jc w:val="left"/>
              <w:rPr>
                <w:color w:val="000000"/>
              </w:rPr>
            </w:pPr>
            <w:r>
              <w:rPr>
                <w:color w:val="000000"/>
              </w:rPr>
              <w:sym w:font="Wingdings 2" w:char="0052"/>
            </w:r>
            <w:r>
              <w:rPr>
                <w:color w:val="000000"/>
              </w:rPr>
              <w:t xml:space="preserve">首次申报项目             </w:t>
            </w:r>
          </w:p>
          <w:p w14:paraId="20CAB331">
            <w:pPr>
              <w:jc w:val="left"/>
              <w:rPr>
                <w:color w:val="000000"/>
              </w:rPr>
            </w:pPr>
            <w:r>
              <w:rPr>
                <w:color w:val="000000"/>
              </w:rPr>
              <w:sym w:font="Wingdings 2" w:char="00A3"/>
            </w:r>
            <w:r>
              <w:rPr>
                <w:color w:val="000000"/>
              </w:rPr>
              <w:t>不予批准后再次申报项目</w:t>
            </w:r>
          </w:p>
          <w:p w14:paraId="1B491919">
            <w:pPr>
              <w:jc w:val="left"/>
              <w:rPr>
                <w:color w:val="000000"/>
              </w:rPr>
            </w:pPr>
            <w:r>
              <w:rPr>
                <w:color w:val="000000"/>
              </w:rPr>
              <w:sym w:font="Wingdings 2" w:char="00A3"/>
            </w:r>
            <w:r>
              <w:rPr>
                <w:color w:val="000000"/>
              </w:rPr>
              <w:t xml:space="preserve">超五年重新审核项目     </w:t>
            </w:r>
          </w:p>
          <w:p w14:paraId="5E5493B2">
            <w:pPr>
              <w:jc w:val="left"/>
              <w:rPr>
                <w:color w:val="000000"/>
              </w:rPr>
            </w:pPr>
            <w:r>
              <w:rPr>
                <w:color w:val="000000"/>
              </w:rPr>
              <w:sym w:font="Wingdings 2" w:char="00A3"/>
            </w:r>
            <w:r>
              <w:rPr>
                <w:color w:val="000000"/>
              </w:rPr>
              <w:t>重大变动重新报批项目</w:t>
            </w:r>
          </w:p>
        </w:tc>
      </w:tr>
      <w:tr w14:paraId="26C4A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12" w:type="dxa"/>
            <w:tcMar>
              <w:top w:w="16" w:type="dxa"/>
              <w:left w:w="16" w:type="dxa"/>
              <w:right w:w="16" w:type="dxa"/>
            </w:tcMar>
            <w:vAlign w:val="center"/>
          </w:tcPr>
          <w:p w14:paraId="05879171">
            <w:pPr>
              <w:adjustRightInd w:val="0"/>
              <w:snapToGrid w:val="0"/>
              <w:jc w:val="center"/>
              <w:rPr>
                <w:color w:val="000000"/>
              </w:rPr>
            </w:pPr>
            <w:r>
              <w:rPr>
                <w:color w:val="000000"/>
              </w:rPr>
              <w:t>项目审批（核准/</w:t>
            </w:r>
          </w:p>
          <w:p w14:paraId="3CE35A51">
            <w:pPr>
              <w:adjustRightInd w:val="0"/>
              <w:snapToGrid w:val="0"/>
              <w:jc w:val="center"/>
              <w:rPr>
                <w:color w:val="000000"/>
              </w:rPr>
            </w:pPr>
            <w:r>
              <w:rPr>
                <w:color w:val="000000"/>
              </w:rPr>
              <w:t>备案）部门（选填）</w:t>
            </w:r>
          </w:p>
        </w:tc>
        <w:tc>
          <w:tcPr>
            <w:tcW w:w="2462" w:type="dxa"/>
            <w:vAlign w:val="center"/>
          </w:tcPr>
          <w:p w14:paraId="790CAD17">
            <w:pPr>
              <w:adjustRightInd w:val="0"/>
              <w:snapToGrid w:val="0"/>
              <w:jc w:val="center"/>
              <w:rPr>
                <w:color w:val="000000"/>
              </w:rPr>
            </w:pPr>
            <w:r>
              <w:rPr>
                <w:color w:val="000000"/>
              </w:rPr>
              <w:t>无</w:t>
            </w:r>
          </w:p>
        </w:tc>
        <w:tc>
          <w:tcPr>
            <w:tcW w:w="1915" w:type="dxa"/>
            <w:vAlign w:val="center"/>
          </w:tcPr>
          <w:p w14:paraId="7659391F">
            <w:pPr>
              <w:adjustRightInd w:val="0"/>
              <w:snapToGrid w:val="0"/>
              <w:jc w:val="center"/>
              <w:rPr>
                <w:color w:val="000000"/>
              </w:rPr>
            </w:pPr>
            <w:r>
              <w:rPr>
                <w:color w:val="000000"/>
              </w:rPr>
              <w:t>项目审批（核准/</w:t>
            </w:r>
          </w:p>
          <w:p w14:paraId="57F15E82">
            <w:pPr>
              <w:adjustRightInd w:val="0"/>
              <w:snapToGrid w:val="0"/>
              <w:jc w:val="center"/>
              <w:rPr>
                <w:color w:val="000000"/>
              </w:rPr>
            </w:pPr>
            <w:r>
              <w:rPr>
                <w:color w:val="000000"/>
              </w:rPr>
              <w:t>备案）文号（选填）</w:t>
            </w:r>
          </w:p>
        </w:tc>
        <w:tc>
          <w:tcPr>
            <w:tcW w:w="3243" w:type="dxa"/>
            <w:vAlign w:val="center"/>
          </w:tcPr>
          <w:p w14:paraId="61C391FE">
            <w:pPr>
              <w:adjustRightInd w:val="0"/>
              <w:snapToGrid w:val="0"/>
              <w:jc w:val="center"/>
              <w:rPr>
                <w:color w:val="000000"/>
              </w:rPr>
            </w:pPr>
            <w:r>
              <w:rPr>
                <w:color w:val="000000"/>
              </w:rPr>
              <w:t>无</w:t>
            </w:r>
          </w:p>
        </w:tc>
      </w:tr>
      <w:tr w14:paraId="268A8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2" w:type="dxa"/>
            <w:tcMar>
              <w:top w:w="16" w:type="dxa"/>
              <w:left w:w="16" w:type="dxa"/>
              <w:right w:w="16" w:type="dxa"/>
            </w:tcMar>
            <w:vAlign w:val="center"/>
          </w:tcPr>
          <w:p w14:paraId="61054CC3">
            <w:pPr>
              <w:adjustRightInd w:val="0"/>
              <w:snapToGrid w:val="0"/>
              <w:jc w:val="center"/>
              <w:rPr>
                <w:color w:val="000000"/>
              </w:rPr>
            </w:pPr>
            <w:r>
              <w:rPr>
                <w:color w:val="000000"/>
              </w:rPr>
              <w:t>总投资（万元）</w:t>
            </w:r>
          </w:p>
        </w:tc>
        <w:tc>
          <w:tcPr>
            <w:tcW w:w="2462" w:type="dxa"/>
            <w:vAlign w:val="center"/>
          </w:tcPr>
          <w:p w14:paraId="235EC8FB">
            <w:pPr>
              <w:adjustRightInd w:val="0"/>
              <w:snapToGrid w:val="0"/>
              <w:jc w:val="center"/>
              <w:rPr>
                <w:color w:val="000000"/>
              </w:rPr>
            </w:pPr>
            <w:r>
              <w:rPr>
                <w:rFonts w:hint="eastAsia"/>
                <w:color w:val="000000"/>
              </w:rPr>
              <w:t>1000</w:t>
            </w:r>
          </w:p>
        </w:tc>
        <w:tc>
          <w:tcPr>
            <w:tcW w:w="1915" w:type="dxa"/>
            <w:tcMar>
              <w:top w:w="16" w:type="dxa"/>
              <w:left w:w="16" w:type="dxa"/>
              <w:right w:w="16" w:type="dxa"/>
            </w:tcMar>
            <w:vAlign w:val="center"/>
          </w:tcPr>
          <w:p w14:paraId="06510D7E">
            <w:pPr>
              <w:adjustRightInd w:val="0"/>
              <w:snapToGrid w:val="0"/>
              <w:jc w:val="center"/>
              <w:rPr>
                <w:color w:val="000000"/>
              </w:rPr>
            </w:pPr>
            <w:r>
              <w:rPr>
                <w:color w:val="000000"/>
              </w:rPr>
              <w:t>环保投资（万元）</w:t>
            </w:r>
          </w:p>
        </w:tc>
        <w:tc>
          <w:tcPr>
            <w:tcW w:w="3243" w:type="dxa"/>
            <w:vAlign w:val="center"/>
          </w:tcPr>
          <w:p w14:paraId="6E7F591C">
            <w:pPr>
              <w:adjustRightInd w:val="0"/>
              <w:snapToGrid w:val="0"/>
              <w:jc w:val="center"/>
              <w:rPr>
                <w:color w:val="000000"/>
              </w:rPr>
            </w:pPr>
            <w:r>
              <w:rPr>
                <w:rFonts w:hint="eastAsia"/>
                <w:color w:val="000000"/>
              </w:rPr>
              <w:t>28</w:t>
            </w:r>
          </w:p>
        </w:tc>
      </w:tr>
      <w:tr w14:paraId="4A775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2C303759">
            <w:pPr>
              <w:adjustRightInd w:val="0"/>
              <w:snapToGrid w:val="0"/>
              <w:jc w:val="center"/>
              <w:rPr>
                <w:color w:val="000000"/>
              </w:rPr>
            </w:pPr>
            <w:r>
              <w:rPr>
                <w:color w:val="000000"/>
              </w:rPr>
              <w:t>环保投资占比（%）</w:t>
            </w:r>
          </w:p>
        </w:tc>
        <w:tc>
          <w:tcPr>
            <w:tcW w:w="2462" w:type="dxa"/>
            <w:vAlign w:val="center"/>
          </w:tcPr>
          <w:p w14:paraId="50C8101F">
            <w:pPr>
              <w:adjustRightInd w:val="0"/>
              <w:snapToGrid w:val="0"/>
              <w:jc w:val="center"/>
              <w:rPr>
                <w:color w:val="000000"/>
              </w:rPr>
            </w:pPr>
            <w:r>
              <w:rPr>
                <w:rFonts w:hint="eastAsia"/>
                <w:color w:val="000000"/>
              </w:rPr>
              <w:t>2.8</w:t>
            </w:r>
          </w:p>
        </w:tc>
        <w:tc>
          <w:tcPr>
            <w:tcW w:w="1915" w:type="dxa"/>
            <w:tcMar>
              <w:top w:w="16" w:type="dxa"/>
              <w:left w:w="16" w:type="dxa"/>
              <w:right w:w="16" w:type="dxa"/>
            </w:tcMar>
            <w:vAlign w:val="center"/>
          </w:tcPr>
          <w:p w14:paraId="261F5758">
            <w:pPr>
              <w:adjustRightInd w:val="0"/>
              <w:snapToGrid w:val="0"/>
              <w:jc w:val="center"/>
              <w:rPr>
                <w:color w:val="000000"/>
              </w:rPr>
            </w:pPr>
            <w:r>
              <w:rPr>
                <w:color w:val="000000"/>
              </w:rPr>
              <w:t>施工工期</w:t>
            </w:r>
          </w:p>
        </w:tc>
        <w:tc>
          <w:tcPr>
            <w:tcW w:w="3243" w:type="dxa"/>
            <w:vAlign w:val="center"/>
          </w:tcPr>
          <w:p w14:paraId="1B669BE5">
            <w:pPr>
              <w:adjustRightInd w:val="0"/>
              <w:snapToGrid w:val="0"/>
              <w:jc w:val="center"/>
              <w:rPr>
                <w:color w:val="000000"/>
              </w:rPr>
            </w:pPr>
            <w:r>
              <w:rPr>
                <w:rFonts w:hint="eastAsia"/>
                <w:color w:val="000000"/>
              </w:rPr>
              <w:t>3</w:t>
            </w:r>
            <w:r>
              <w:rPr>
                <w:color w:val="000000"/>
              </w:rPr>
              <w:t>个月</w:t>
            </w:r>
          </w:p>
        </w:tc>
      </w:tr>
      <w:tr w14:paraId="4E6F4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5FCE8D69">
            <w:pPr>
              <w:adjustRightInd w:val="0"/>
              <w:snapToGrid w:val="0"/>
              <w:jc w:val="center"/>
              <w:rPr>
                <w:color w:val="000000"/>
              </w:rPr>
            </w:pPr>
            <w:r>
              <w:rPr>
                <w:color w:val="000000"/>
              </w:rPr>
              <w:t>是否开工建设</w:t>
            </w:r>
          </w:p>
        </w:tc>
        <w:tc>
          <w:tcPr>
            <w:tcW w:w="2462" w:type="dxa"/>
            <w:vAlign w:val="center"/>
          </w:tcPr>
          <w:p w14:paraId="1213E384">
            <w:pPr>
              <w:adjustRightInd w:val="0"/>
              <w:snapToGrid w:val="0"/>
              <w:rPr>
                <w:color w:val="000000"/>
              </w:rPr>
            </w:pPr>
            <w:r>
              <w:rPr>
                <w:color w:val="000000"/>
              </w:rPr>
              <w:sym w:font="Wingdings 2" w:char="0052"/>
            </w:r>
            <w:r>
              <w:rPr>
                <w:color w:val="000000"/>
              </w:rPr>
              <w:t>否</w:t>
            </w:r>
          </w:p>
          <w:p w14:paraId="200C07C9">
            <w:pPr>
              <w:adjustRightInd w:val="0"/>
              <w:snapToGrid w:val="0"/>
              <w:rPr>
                <w:color w:val="000000"/>
              </w:rPr>
            </w:pPr>
            <w:r>
              <w:rPr>
                <w:color w:val="000000"/>
              </w:rPr>
              <w:sym w:font="Wingdings 2" w:char="00A3"/>
            </w:r>
            <w:r>
              <w:rPr>
                <w:color w:val="000000"/>
              </w:rPr>
              <w:t>是：</w:t>
            </w:r>
            <w:r>
              <w:rPr>
                <w:color w:val="000000"/>
                <w:u w:val="single"/>
              </w:rPr>
              <w:t xml:space="preserve">             </w:t>
            </w:r>
          </w:p>
        </w:tc>
        <w:tc>
          <w:tcPr>
            <w:tcW w:w="1915" w:type="dxa"/>
            <w:tcMar>
              <w:top w:w="16" w:type="dxa"/>
              <w:left w:w="16" w:type="dxa"/>
              <w:right w:w="16" w:type="dxa"/>
            </w:tcMar>
            <w:vAlign w:val="center"/>
          </w:tcPr>
          <w:p w14:paraId="089372C7">
            <w:pPr>
              <w:adjustRightInd w:val="0"/>
              <w:snapToGrid w:val="0"/>
              <w:jc w:val="center"/>
              <w:rPr>
                <w:color w:val="000000"/>
                <w:spacing w:val="-6"/>
              </w:rPr>
            </w:pPr>
            <w:r>
              <w:rPr>
                <w:color w:val="000000"/>
                <w:spacing w:val="-6"/>
              </w:rPr>
              <w:t>用地</w:t>
            </w:r>
          </w:p>
          <w:p w14:paraId="1BA6FE15">
            <w:pPr>
              <w:adjustRightInd w:val="0"/>
              <w:snapToGrid w:val="0"/>
              <w:jc w:val="center"/>
              <w:rPr>
                <w:color w:val="000000"/>
              </w:rPr>
            </w:pPr>
            <w:r>
              <w:rPr>
                <w:color w:val="000000"/>
                <w:spacing w:val="-6"/>
              </w:rPr>
              <w:t>面积（m</w:t>
            </w:r>
            <w:r>
              <w:rPr>
                <w:color w:val="000000"/>
                <w:spacing w:val="-6"/>
                <w:vertAlign w:val="superscript"/>
              </w:rPr>
              <w:t>2</w:t>
            </w:r>
            <w:r>
              <w:rPr>
                <w:color w:val="000000"/>
                <w:spacing w:val="-6"/>
              </w:rPr>
              <w:t>）</w:t>
            </w:r>
          </w:p>
        </w:tc>
        <w:tc>
          <w:tcPr>
            <w:tcW w:w="3243" w:type="dxa"/>
            <w:vAlign w:val="center"/>
          </w:tcPr>
          <w:p w14:paraId="706E3189">
            <w:pPr>
              <w:adjustRightInd w:val="0"/>
              <w:snapToGrid w:val="0"/>
              <w:jc w:val="center"/>
              <w:rPr>
                <w:rFonts w:eastAsia="仿宋_GB2312"/>
                <w:color w:val="000000"/>
              </w:rPr>
            </w:pPr>
            <w:r>
              <w:rPr>
                <w:rFonts w:hint="eastAsia"/>
                <w:color w:val="000000"/>
              </w:rPr>
              <w:t>10368.36</w:t>
            </w:r>
          </w:p>
        </w:tc>
      </w:tr>
      <w:tr w14:paraId="1BDA2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1D10A92E">
            <w:pPr>
              <w:adjustRightInd w:val="0"/>
              <w:snapToGrid w:val="0"/>
              <w:jc w:val="center"/>
              <w:rPr>
                <w:color w:val="000000"/>
              </w:rPr>
            </w:pPr>
            <w:r>
              <w:rPr>
                <w:color w:val="000000"/>
                <w:kern w:val="0"/>
              </w:rPr>
              <w:t>专项评价设置情况</w:t>
            </w:r>
          </w:p>
        </w:tc>
        <w:tc>
          <w:tcPr>
            <w:tcW w:w="7620" w:type="dxa"/>
            <w:gridSpan w:val="3"/>
            <w:vAlign w:val="center"/>
          </w:tcPr>
          <w:p w14:paraId="23370103">
            <w:pPr>
              <w:kinsoku w:val="0"/>
              <w:wordWrap w:val="0"/>
              <w:autoSpaceDE w:val="0"/>
              <w:autoSpaceDN w:val="0"/>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根据《建设项目环境影响报告表编制技术指南（环境影响类）（试行）》表1专项评价设置原则表中要求，本项目无需开展专项评价。</w:t>
            </w:r>
          </w:p>
          <w:p w14:paraId="102E8584">
            <w:pPr>
              <w:pStyle w:val="5"/>
              <w:kinsoku w:val="0"/>
              <w:wordWrap w:val="0"/>
              <w:autoSpaceDE w:val="0"/>
              <w:autoSpaceDN w:val="0"/>
              <w:adjustRightInd w:val="0"/>
              <w:snapToGrid w:val="0"/>
              <w:jc w:val="center"/>
              <w:rPr>
                <w:rFonts w:hint="eastAsia" w:ascii="宋体" w:hAnsi="宋体" w:eastAsia="宋体" w:cs="宋体"/>
                <w:sz w:val="24"/>
                <w:szCs w:val="24"/>
              </w:rPr>
            </w:pPr>
            <w:r>
              <w:rPr>
                <w:rFonts w:hint="eastAsia" w:ascii="宋体" w:hAnsi="宋体" w:eastAsia="宋体" w:cs="宋体"/>
                <w:b/>
                <w:bCs/>
                <w:sz w:val="24"/>
                <w:szCs w:val="24"/>
              </w:rPr>
              <w:t>表</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表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t>-1  专项评价设置原则表</w:t>
            </w:r>
          </w:p>
          <w:tbl>
            <w:tblPr>
              <w:tblStyle w:val="24"/>
              <w:tblW w:w="48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4137"/>
              <w:gridCol w:w="2032"/>
            </w:tblGrid>
            <w:tr w14:paraId="0C32E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96" w:type="pct"/>
                  <w:tcBorders>
                    <w:tl2br w:val="nil"/>
                    <w:tr2bl w:val="nil"/>
                  </w:tcBorders>
                  <w:vAlign w:val="center"/>
                </w:tcPr>
                <w:p w14:paraId="63C4DFFC">
                  <w:pPr>
                    <w:autoSpaceDE w:val="0"/>
                    <w:autoSpaceDN w:val="0"/>
                    <w:adjustRightInd w:val="0"/>
                    <w:snapToGrid w:val="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专项评价类别</w:t>
                  </w:r>
                </w:p>
              </w:tc>
              <w:tc>
                <w:tcPr>
                  <w:tcW w:w="2819" w:type="pct"/>
                  <w:tcBorders>
                    <w:tl2br w:val="nil"/>
                    <w:tr2bl w:val="nil"/>
                  </w:tcBorders>
                  <w:vAlign w:val="center"/>
                </w:tcPr>
                <w:p w14:paraId="12D1A7E2">
                  <w:pPr>
                    <w:autoSpaceDE w:val="0"/>
                    <w:autoSpaceDN w:val="0"/>
                    <w:adjustRightInd w:val="0"/>
                    <w:snapToGrid w:val="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设置原则</w:t>
                  </w:r>
                </w:p>
              </w:tc>
              <w:tc>
                <w:tcPr>
                  <w:tcW w:w="1384" w:type="pct"/>
                  <w:tcBorders>
                    <w:tl2br w:val="nil"/>
                    <w:tr2bl w:val="nil"/>
                  </w:tcBorders>
                  <w:vAlign w:val="center"/>
                </w:tcPr>
                <w:p w14:paraId="10223AB5">
                  <w:pPr>
                    <w:autoSpaceDE w:val="0"/>
                    <w:autoSpaceDN w:val="0"/>
                    <w:adjustRightInd w:val="0"/>
                    <w:snapToGrid w:val="0"/>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本项目情况</w:t>
                  </w:r>
                </w:p>
              </w:tc>
            </w:tr>
            <w:tr w14:paraId="20263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96" w:type="pct"/>
                  <w:tcBorders>
                    <w:tl2br w:val="nil"/>
                    <w:tr2bl w:val="nil"/>
                  </w:tcBorders>
                  <w:vAlign w:val="center"/>
                </w:tcPr>
                <w:p w14:paraId="18FB09D0">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大气</w:t>
                  </w:r>
                </w:p>
              </w:tc>
              <w:tc>
                <w:tcPr>
                  <w:tcW w:w="2819" w:type="pct"/>
                  <w:tcBorders>
                    <w:tl2br w:val="nil"/>
                    <w:tr2bl w:val="nil"/>
                  </w:tcBorders>
                  <w:vAlign w:val="center"/>
                </w:tcPr>
                <w:p w14:paraId="71B4356B">
                  <w:pPr>
                    <w:autoSpaceDE w:val="0"/>
                    <w:autoSpaceDN w:val="0"/>
                    <w:adjustRightInd w:val="0"/>
                    <w:snapToGrid w:val="0"/>
                    <w:jc w:val="center"/>
                    <w:rPr>
                      <w:rFonts w:hint="eastAsia" w:ascii="宋体" w:hAnsi="宋体" w:cs="宋体"/>
                      <w:color w:val="000000"/>
                      <w:kern w:val="0"/>
                      <w:sz w:val="21"/>
                      <w:szCs w:val="21"/>
                    </w:rPr>
                  </w:pPr>
                  <w:r>
                    <w:rPr>
                      <w:rFonts w:ascii="宋体" w:hAnsi="宋体" w:cs="宋体"/>
                      <w:color w:val="000000"/>
                      <w:sz w:val="21"/>
                      <w:szCs w:val="21"/>
                    </w:rPr>
                    <w:t>排放废气含有毒有害污染物、二噁英、苯并[a]芘、氰化物、氯气且厂界外500米范围内有环境空气保护目标的建设项目</w:t>
                  </w:r>
                  <w:r>
                    <w:rPr>
                      <w:rFonts w:hint="eastAsia" w:ascii="宋体" w:hAnsi="宋体" w:cs="宋体"/>
                      <w:color w:val="000000"/>
                      <w:sz w:val="21"/>
                      <w:szCs w:val="21"/>
                    </w:rPr>
                    <w:t>。</w:t>
                  </w:r>
                </w:p>
              </w:tc>
              <w:tc>
                <w:tcPr>
                  <w:tcW w:w="1384" w:type="pct"/>
                  <w:tcBorders>
                    <w:tl2br w:val="nil"/>
                    <w:tr2bl w:val="nil"/>
                  </w:tcBorders>
                  <w:vAlign w:val="center"/>
                </w:tcPr>
                <w:p w14:paraId="2972474E">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不涉及</w:t>
                  </w:r>
                  <w:r>
                    <w:rPr>
                      <w:rFonts w:ascii="宋体" w:hAnsi="宋体" w:cs="宋体"/>
                      <w:color w:val="000000"/>
                      <w:sz w:val="21"/>
                      <w:szCs w:val="21"/>
                    </w:rPr>
                    <w:t>有毒有害污染物、二噁英、苯并[a]芘、氰化物、氯气</w:t>
                  </w:r>
                  <w:r>
                    <w:rPr>
                      <w:rFonts w:hint="eastAsia" w:ascii="宋体" w:hAnsi="宋体" w:cs="宋体"/>
                      <w:color w:val="000000"/>
                      <w:sz w:val="21"/>
                      <w:szCs w:val="21"/>
                    </w:rPr>
                    <w:t>的排放</w:t>
                  </w:r>
                </w:p>
              </w:tc>
            </w:tr>
            <w:tr w14:paraId="6CF75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96" w:type="pct"/>
                  <w:tcBorders>
                    <w:tl2br w:val="nil"/>
                    <w:tr2bl w:val="nil"/>
                  </w:tcBorders>
                  <w:vAlign w:val="center"/>
                </w:tcPr>
                <w:p w14:paraId="74462E93">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地表水</w:t>
                  </w:r>
                </w:p>
              </w:tc>
              <w:tc>
                <w:tcPr>
                  <w:tcW w:w="2819" w:type="pct"/>
                  <w:tcBorders>
                    <w:tl2br w:val="nil"/>
                    <w:tr2bl w:val="nil"/>
                  </w:tcBorders>
                  <w:vAlign w:val="center"/>
                </w:tcPr>
                <w:p w14:paraId="4375C240">
                  <w:pPr>
                    <w:autoSpaceDE w:val="0"/>
                    <w:autoSpaceDN w:val="0"/>
                    <w:adjustRightInd w:val="0"/>
                    <w:snapToGrid w:val="0"/>
                    <w:jc w:val="center"/>
                    <w:rPr>
                      <w:rFonts w:hint="eastAsia" w:ascii="宋体" w:hAnsi="宋体" w:cs="宋体"/>
                      <w:color w:val="000000"/>
                      <w:kern w:val="0"/>
                      <w:sz w:val="21"/>
                      <w:szCs w:val="21"/>
                    </w:rPr>
                  </w:pPr>
                  <w:r>
                    <w:rPr>
                      <w:rFonts w:ascii="宋体" w:hAnsi="宋体" w:cs="宋体"/>
                      <w:color w:val="000000"/>
                      <w:sz w:val="21"/>
                      <w:szCs w:val="21"/>
                    </w:rPr>
                    <w:t>新增工业废水直排建设项目（槽罐车外送污水处理厂的除外）； 新增废水直排的污水集中处理厂</w:t>
                  </w:r>
                  <w:r>
                    <w:rPr>
                      <w:rFonts w:hint="eastAsia" w:ascii="宋体" w:hAnsi="宋体" w:cs="宋体"/>
                      <w:color w:val="000000"/>
                      <w:sz w:val="21"/>
                      <w:szCs w:val="21"/>
                    </w:rPr>
                    <w:t>。</w:t>
                  </w:r>
                </w:p>
              </w:tc>
              <w:tc>
                <w:tcPr>
                  <w:tcW w:w="1384" w:type="pct"/>
                  <w:tcBorders>
                    <w:tl2br w:val="nil"/>
                    <w:tr2bl w:val="nil"/>
                  </w:tcBorders>
                  <w:vAlign w:val="center"/>
                </w:tcPr>
                <w:p w14:paraId="17A9ED0A">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不涉及</w:t>
                  </w:r>
                  <w:r>
                    <w:rPr>
                      <w:rFonts w:ascii="宋体" w:hAnsi="宋体" w:cs="宋体"/>
                      <w:color w:val="000000"/>
                      <w:sz w:val="21"/>
                      <w:szCs w:val="21"/>
                    </w:rPr>
                    <w:t>新增工业废水直排</w:t>
                  </w:r>
                  <w:r>
                    <w:rPr>
                      <w:rFonts w:hint="eastAsia" w:ascii="宋体" w:hAnsi="宋体" w:cs="宋体"/>
                      <w:color w:val="000000"/>
                      <w:sz w:val="21"/>
                      <w:szCs w:val="21"/>
                    </w:rPr>
                    <w:t>，不涉及</w:t>
                  </w:r>
                  <w:r>
                    <w:rPr>
                      <w:rFonts w:ascii="宋体" w:hAnsi="宋体" w:cs="宋体"/>
                      <w:color w:val="000000"/>
                      <w:sz w:val="21"/>
                      <w:szCs w:val="21"/>
                    </w:rPr>
                    <w:t xml:space="preserve"> 新增废水直排的污水集中处理厂</w:t>
                  </w:r>
                </w:p>
              </w:tc>
            </w:tr>
            <w:tr w14:paraId="779AB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96" w:type="pct"/>
                  <w:tcBorders>
                    <w:tl2br w:val="nil"/>
                    <w:tr2bl w:val="nil"/>
                  </w:tcBorders>
                  <w:vAlign w:val="center"/>
                </w:tcPr>
                <w:p w14:paraId="691DDE16">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环境风险</w:t>
                  </w:r>
                </w:p>
              </w:tc>
              <w:tc>
                <w:tcPr>
                  <w:tcW w:w="2819" w:type="pct"/>
                  <w:tcBorders>
                    <w:tl2br w:val="nil"/>
                    <w:tr2bl w:val="nil"/>
                  </w:tcBorders>
                  <w:vAlign w:val="center"/>
                </w:tcPr>
                <w:p w14:paraId="39DDF066">
                  <w:pPr>
                    <w:autoSpaceDE w:val="0"/>
                    <w:autoSpaceDN w:val="0"/>
                    <w:adjustRightInd w:val="0"/>
                    <w:snapToGrid w:val="0"/>
                    <w:jc w:val="center"/>
                    <w:rPr>
                      <w:rFonts w:hint="eastAsia" w:ascii="宋体" w:hAnsi="宋体" w:cs="宋体"/>
                      <w:color w:val="000000"/>
                      <w:kern w:val="0"/>
                      <w:sz w:val="21"/>
                      <w:szCs w:val="21"/>
                    </w:rPr>
                  </w:pPr>
                  <w:r>
                    <w:rPr>
                      <w:rFonts w:ascii="宋体" w:hAnsi="宋体" w:cs="宋体"/>
                      <w:color w:val="000000"/>
                      <w:sz w:val="21"/>
                      <w:szCs w:val="21"/>
                    </w:rPr>
                    <w:t>有毒有害和易燃易爆危险物质存储量超过临界量的建设项目</w:t>
                  </w:r>
                  <w:r>
                    <w:rPr>
                      <w:rFonts w:hint="eastAsia" w:ascii="宋体" w:hAnsi="宋体" w:cs="宋体"/>
                      <w:color w:val="000000"/>
                      <w:sz w:val="21"/>
                      <w:szCs w:val="21"/>
                    </w:rPr>
                    <w:t>。</w:t>
                  </w:r>
                </w:p>
              </w:tc>
              <w:tc>
                <w:tcPr>
                  <w:tcW w:w="1384" w:type="pct"/>
                  <w:tcBorders>
                    <w:tl2br w:val="nil"/>
                    <w:tr2bl w:val="nil"/>
                  </w:tcBorders>
                  <w:vAlign w:val="center"/>
                </w:tcPr>
                <w:p w14:paraId="125C3CF1">
                  <w:pPr>
                    <w:autoSpaceDE w:val="0"/>
                    <w:autoSpaceDN w:val="0"/>
                    <w:adjustRightInd w:val="0"/>
                    <w:snapToGrid w:val="0"/>
                    <w:jc w:val="center"/>
                    <w:rPr>
                      <w:rFonts w:hint="eastAsia" w:ascii="宋体" w:hAnsi="宋体" w:cs="宋体"/>
                      <w:color w:val="000000"/>
                      <w:kern w:val="0"/>
                      <w:sz w:val="21"/>
                      <w:szCs w:val="21"/>
                    </w:rPr>
                  </w:pPr>
                  <w:r>
                    <w:rPr>
                      <w:rFonts w:ascii="宋体" w:hAnsi="宋体" w:cs="宋体"/>
                      <w:color w:val="000000"/>
                      <w:sz w:val="21"/>
                      <w:szCs w:val="21"/>
                    </w:rPr>
                    <w:t>有毒有害和易燃易爆危险物质存储量</w:t>
                  </w:r>
                  <w:r>
                    <w:rPr>
                      <w:rFonts w:hint="eastAsia" w:ascii="宋体" w:hAnsi="宋体" w:cs="宋体"/>
                      <w:color w:val="000000"/>
                      <w:sz w:val="21"/>
                      <w:szCs w:val="21"/>
                    </w:rPr>
                    <w:t>未</w:t>
                  </w:r>
                  <w:r>
                    <w:rPr>
                      <w:rFonts w:ascii="宋体" w:hAnsi="宋体" w:cs="宋体"/>
                      <w:color w:val="000000"/>
                      <w:sz w:val="21"/>
                      <w:szCs w:val="21"/>
                    </w:rPr>
                    <w:t>超过临界量</w:t>
                  </w:r>
                </w:p>
              </w:tc>
            </w:tr>
            <w:tr w14:paraId="49504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96" w:type="pct"/>
                  <w:tcBorders>
                    <w:tl2br w:val="nil"/>
                    <w:tr2bl w:val="nil"/>
                  </w:tcBorders>
                  <w:vAlign w:val="center"/>
                </w:tcPr>
                <w:p w14:paraId="04C881B7">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生态</w:t>
                  </w:r>
                </w:p>
              </w:tc>
              <w:tc>
                <w:tcPr>
                  <w:tcW w:w="2819" w:type="pct"/>
                  <w:tcBorders>
                    <w:tl2br w:val="nil"/>
                    <w:tr2bl w:val="nil"/>
                  </w:tcBorders>
                  <w:vAlign w:val="center"/>
                </w:tcPr>
                <w:p w14:paraId="1B24F6AA">
                  <w:pPr>
                    <w:autoSpaceDE w:val="0"/>
                    <w:autoSpaceDN w:val="0"/>
                    <w:adjustRightInd w:val="0"/>
                    <w:snapToGrid w:val="0"/>
                    <w:jc w:val="center"/>
                    <w:rPr>
                      <w:rFonts w:hint="eastAsia" w:ascii="宋体" w:hAnsi="宋体" w:cs="宋体"/>
                      <w:color w:val="000000"/>
                      <w:kern w:val="0"/>
                      <w:sz w:val="21"/>
                      <w:szCs w:val="21"/>
                    </w:rPr>
                  </w:pPr>
                  <w:r>
                    <w:rPr>
                      <w:rFonts w:ascii="宋体" w:hAnsi="宋体" w:cs="宋体"/>
                      <w:color w:val="000000"/>
                      <w:sz w:val="21"/>
                      <w:szCs w:val="21"/>
                    </w:rPr>
                    <w:t>取水口下游 500 米范围内有重要水生生物的自然产卵场、索饵场、越冬场和 洄游通道的新增河道取水的污染类建设项目</w:t>
                  </w:r>
                  <w:r>
                    <w:rPr>
                      <w:rFonts w:hint="eastAsia" w:ascii="宋体" w:hAnsi="宋体" w:cs="宋体"/>
                      <w:color w:val="000000"/>
                      <w:sz w:val="21"/>
                      <w:szCs w:val="21"/>
                    </w:rPr>
                    <w:t>。</w:t>
                  </w:r>
                </w:p>
              </w:tc>
              <w:tc>
                <w:tcPr>
                  <w:tcW w:w="1384" w:type="pct"/>
                  <w:tcBorders>
                    <w:tl2br w:val="nil"/>
                    <w:tr2bl w:val="nil"/>
                  </w:tcBorders>
                  <w:vAlign w:val="center"/>
                </w:tcPr>
                <w:p w14:paraId="74179F89">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不涉及新增河道取水</w:t>
                  </w:r>
                </w:p>
              </w:tc>
            </w:tr>
            <w:tr w14:paraId="27BD0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96" w:type="pct"/>
                  <w:tcBorders>
                    <w:tl2br w:val="nil"/>
                    <w:tr2bl w:val="nil"/>
                  </w:tcBorders>
                  <w:vAlign w:val="center"/>
                </w:tcPr>
                <w:p w14:paraId="286A436E">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海洋</w:t>
                  </w:r>
                </w:p>
              </w:tc>
              <w:tc>
                <w:tcPr>
                  <w:tcW w:w="2819" w:type="pct"/>
                  <w:tcBorders>
                    <w:tl2br w:val="nil"/>
                    <w:tr2bl w:val="nil"/>
                  </w:tcBorders>
                  <w:vAlign w:val="center"/>
                </w:tcPr>
                <w:p w14:paraId="0FA99A98">
                  <w:pPr>
                    <w:autoSpaceDE w:val="0"/>
                    <w:autoSpaceDN w:val="0"/>
                    <w:adjustRightInd w:val="0"/>
                    <w:snapToGrid w:val="0"/>
                    <w:jc w:val="center"/>
                    <w:rPr>
                      <w:rFonts w:hint="eastAsia" w:ascii="宋体" w:hAnsi="宋体" w:cs="宋体"/>
                      <w:color w:val="000000"/>
                      <w:kern w:val="0"/>
                      <w:sz w:val="21"/>
                      <w:szCs w:val="21"/>
                    </w:rPr>
                  </w:pPr>
                  <w:r>
                    <w:rPr>
                      <w:rFonts w:ascii="宋体" w:hAnsi="宋体" w:cs="宋体"/>
                      <w:color w:val="000000"/>
                      <w:sz w:val="21"/>
                      <w:szCs w:val="21"/>
                    </w:rPr>
                    <w:t>直接向海排放污染物的海洋工程建设项目</w:t>
                  </w:r>
                  <w:r>
                    <w:rPr>
                      <w:rFonts w:hint="eastAsia" w:ascii="宋体" w:hAnsi="宋体" w:cs="宋体"/>
                      <w:color w:val="000000"/>
                      <w:sz w:val="21"/>
                      <w:szCs w:val="21"/>
                    </w:rPr>
                    <w:t>。</w:t>
                  </w:r>
                </w:p>
              </w:tc>
              <w:tc>
                <w:tcPr>
                  <w:tcW w:w="1384" w:type="pct"/>
                  <w:tcBorders>
                    <w:tl2br w:val="nil"/>
                    <w:tr2bl w:val="nil"/>
                  </w:tcBorders>
                  <w:vAlign w:val="center"/>
                </w:tcPr>
                <w:p w14:paraId="789C8591">
                  <w:pPr>
                    <w:autoSpaceDE w:val="0"/>
                    <w:autoSpaceDN w:val="0"/>
                    <w:adjustRightInd w:val="0"/>
                    <w:snapToGrid w:val="0"/>
                    <w:jc w:val="center"/>
                    <w:rPr>
                      <w:rFonts w:hint="eastAsia" w:ascii="宋体" w:hAnsi="宋体" w:cs="宋体"/>
                      <w:color w:val="000000"/>
                      <w:kern w:val="0"/>
                      <w:sz w:val="21"/>
                      <w:szCs w:val="21"/>
                    </w:rPr>
                  </w:pPr>
                  <w:r>
                    <w:rPr>
                      <w:rFonts w:hint="eastAsia" w:ascii="宋体" w:hAnsi="宋体" w:cs="宋体"/>
                      <w:color w:val="000000"/>
                      <w:kern w:val="0"/>
                      <w:sz w:val="21"/>
                      <w:szCs w:val="21"/>
                    </w:rPr>
                    <w:t>不涉及</w:t>
                  </w:r>
                  <w:r>
                    <w:rPr>
                      <w:rFonts w:ascii="宋体" w:hAnsi="宋体" w:cs="宋体"/>
                      <w:color w:val="000000"/>
                      <w:sz w:val="21"/>
                      <w:szCs w:val="21"/>
                    </w:rPr>
                    <w:t>向海排放污染物</w:t>
                  </w:r>
                </w:p>
              </w:tc>
            </w:tr>
          </w:tbl>
          <w:p w14:paraId="1B04A27C">
            <w:pPr>
              <w:adjustRightInd w:val="0"/>
              <w:snapToGrid w:val="0"/>
              <w:jc w:val="center"/>
              <w:rPr>
                <w:color w:val="000000"/>
              </w:rPr>
            </w:pPr>
          </w:p>
        </w:tc>
      </w:tr>
      <w:tr w14:paraId="2AA6D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12" w:type="dxa"/>
            <w:tcMar>
              <w:top w:w="16" w:type="dxa"/>
              <w:left w:w="16" w:type="dxa"/>
              <w:right w:w="16" w:type="dxa"/>
            </w:tcMar>
            <w:vAlign w:val="center"/>
          </w:tcPr>
          <w:p w14:paraId="1C28CC4F">
            <w:pPr>
              <w:adjustRightInd w:val="0"/>
              <w:snapToGrid w:val="0"/>
              <w:jc w:val="center"/>
              <w:rPr>
                <w:color w:val="000000"/>
                <w:kern w:val="0"/>
              </w:rPr>
            </w:pPr>
            <w:r>
              <w:rPr>
                <w:rFonts w:hint="eastAsia"/>
                <w:color w:val="000000"/>
                <w:kern w:val="0"/>
              </w:rPr>
              <w:t>规划情况</w:t>
            </w:r>
          </w:p>
        </w:tc>
        <w:tc>
          <w:tcPr>
            <w:tcW w:w="7620" w:type="dxa"/>
            <w:gridSpan w:val="3"/>
            <w:vAlign w:val="center"/>
          </w:tcPr>
          <w:p w14:paraId="672CF927">
            <w:pPr>
              <w:adjustRightInd w:val="0"/>
              <w:snapToGrid w:val="0"/>
              <w:spacing w:line="360" w:lineRule="auto"/>
              <w:rPr>
                <w:color w:val="000000"/>
                <w:u w:val="single"/>
              </w:rPr>
            </w:pPr>
            <w:r>
              <w:rPr>
                <w:color w:val="000000"/>
                <w:u w:val="single"/>
              </w:rPr>
              <w:t>审批机关</w:t>
            </w:r>
            <w:r>
              <w:rPr>
                <w:rFonts w:hint="eastAsia"/>
                <w:color w:val="000000"/>
                <w:u w:val="single"/>
              </w:rPr>
              <w:t>：湖南省发展和改革委员会；</w:t>
            </w:r>
          </w:p>
          <w:p w14:paraId="613502C3">
            <w:pPr>
              <w:adjustRightInd w:val="0"/>
              <w:snapToGrid w:val="0"/>
              <w:spacing w:line="360" w:lineRule="auto"/>
              <w:rPr>
                <w:rFonts w:hint="eastAsia" w:ascii="宋体" w:hAnsi="宋体" w:cs="宋体"/>
                <w:color w:val="000000"/>
                <w:u w:val="single"/>
              </w:rPr>
            </w:pPr>
            <w:r>
              <w:rPr>
                <w:color w:val="000000"/>
                <w:u w:val="single"/>
              </w:rPr>
              <w:t>审批文件</w:t>
            </w:r>
            <w:r>
              <w:rPr>
                <w:rFonts w:hint="eastAsia"/>
                <w:color w:val="000000"/>
                <w:u w:val="single"/>
              </w:rPr>
              <w:t>及文号</w:t>
            </w:r>
            <w:r>
              <w:rPr>
                <w:rFonts w:hint="eastAsia" w:ascii="宋体" w:hAnsi="宋体" w:cs="宋体"/>
                <w:color w:val="000000"/>
                <w:u w:val="single"/>
              </w:rPr>
              <w:t>：</w:t>
            </w:r>
            <w:r>
              <w:rPr>
                <w:color w:val="000000"/>
                <w:u w:val="single"/>
              </w:rPr>
              <w:t>《</w:t>
            </w:r>
            <w:r>
              <w:rPr>
                <w:rFonts w:hint="eastAsia"/>
                <w:color w:val="000000"/>
                <w:u w:val="single"/>
              </w:rPr>
              <w:t>湖南省发展和改革委员会关于耒阳经济开发区等7家园区调区的复函</w:t>
            </w:r>
            <w:r>
              <w:rPr>
                <w:color w:val="000000"/>
                <w:u w:val="single"/>
              </w:rPr>
              <w:t>》</w:t>
            </w:r>
            <w:r>
              <w:rPr>
                <w:rFonts w:hint="eastAsia" w:ascii="宋体" w:hAnsi="宋体" w:cs="宋体"/>
                <w:color w:val="000000"/>
                <w:u w:val="single"/>
              </w:rPr>
              <w:t>(</w:t>
            </w:r>
            <w:r>
              <w:rPr>
                <w:rFonts w:hint="eastAsia"/>
                <w:color w:val="000000"/>
                <w:u w:val="single"/>
              </w:rPr>
              <w:t>湘发改</w:t>
            </w:r>
            <w:r>
              <w:rPr>
                <w:color w:val="000000"/>
                <w:u w:val="single"/>
              </w:rPr>
              <w:t>函</w:t>
            </w:r>
            <w:r>
              <w:rPr>
                <w:rFonts w:hint="eastAsia" w:ascii="宋体" w:hAnsi="宋体"/>
                <w:u w:val="single"/>
              </w:rPr>
              <w:t>〔</w:t>
            </w:r>
            <w:r>
              <w:rPr>
                <w:color w:val="000000"/>
                <w:u w:val="single"/>
              </w:rPr>
              <w:t>20</w:t>
            </w:r>
            <w:r>
              <w:rPr>
                <w:rFonts w:hint="eastAsia"/>
                <w:color w:val="000000"/>
                <w:u w:val="single"/>
              </w:rPr>
              <w:t>24</w:t>
            </w:r>
            <w:r>
              <w:rPr>
                <w:rFonts w:hint="eastAsia" w:ascii="宋体" w:hAnsi="宋体"/>
                <w:u w:val="single"/>
              </w:rPr>
              <w:t>〕</w:t>
            </w:r>
            <w:r>
              <w:rPr>
                <w:rFonts w:hint="eastAsia"/>
                <w:color w:val="000000"/>
                <w:u w:val="single"/>
              </w:rPr>
              <w:t>9</w:t>
            </w:r>
            <w:r>
              <w:rPr>
                <w:color w:val="000000"/>
                <w:u w:val="single"/>
              </w:rPr>
              <w:t>号</w:t>
            </w:r>
            <w:r>
              <w:rPr>
                <w:rFonts w:hint="eastAsia" w:ascii="宋体" w:hAnsi="宋体" w:cs="宋体"/>
                <w:color w:val="000000"/>
                <w:u w:val="single"/>
              </w:rPr>
              <w:t>)；</w:t>
            </w:r>
          </w:p>
          <w:p w14:paraId="7D19CFE9">
            <w:pPr>
              <w:adjustRightInd w:val="0"/>
              <w:snapToGrid w:val="0"/>
              <w:spacing w:line="360" w:lineRule="auto"/>
              <w:rPr>
                <w:color w:val="000000"/>
                <w:u w:val="single"/>
              </w:rPr>
            </w:pPr>
            <w:r>
              <w:rPr>
                <w:color w:val="000000"/>
                <w:u w:val="single"/>
              </w:rPr>
              <w:t>审批机关</w:t>
            </w:r>
            <w:r>
              <w:rPr>
                <w:rFonts w:hint="eastAsia"/>
                <w:color w:val="000000"/>
                <w:u w:val="single"/>
              </w:rPr>
              <w:t>：湖南省发展和改革委员会；</w:t>
            </w:r>
          </w:p>
          <w:p w14:paraId="4870CE4A">
            <w:pPr>
              <w:adjustRightInd w:val="0"/>
              <w:snapToGrid w:val="0"/>
              <w:spacing w:line="360" w:lineRule="auto"/>
              <w:rPr>
                <w:rFonts w:hint="eastAsia" w:ascii="宋体" w:hAnsi="宋体" w:cs="宋体"/>
                <w:color w:val="000000"/>
              </w:rPr>
            </w:pPr>
            <w:r>
              <w:rPr>
                <w:color w:val="000000"/>
                <w:u w:val="single"/>
              </w:rPr>
              <w:t>审批文件</w:t>
            </w:r>
            <w:r>
              <w:rPr>
                <w:rFonts w:hint="eastAsia"/>
                <w:color w:val="000000"/>
                <w:u w:val="single"/>
              </w:rPr>
              <w:t>及文号</w:t>
            </w:r>
            <w:r>
              <w:rPr>
                <w:rFonts w:hint="eastAsia" w:ascii="宋体" w:hAnsi="宋体" w:cs="宋体"/>
                <w:color w:val="000000"/>
                <w:u w:val="single"/>
              </w:rPr>
              <w:t>：</w:t>
            </w:r>
            <w:r>
              <w:rPr>
                <w:color w:val="000000"/>
                <w:u w:val="single"/>
              </w:rPr>
              <w:t>《</w:t>
            </w:r>
            <w:r>
              <w:rPr>
                <w:rFonts w:hint="eastAsia"/>
                <w:color w:val="000000"/>
                <w:u w:val="single"/>
              </w:rPr>
              <w:t>湖南省发展和改革委员会关于同意龙岭产业开发区开展扩区前期工作的函</w:t>
            </w:r>
            <w:r>
              <w:rPr>
                <w:color w:val="000000"/>
                <w:u w:val="single"/>
              </w:rPr>
              <w:t>》</w:t>
            </w:r>
            <w:r>
              <w:rPr>
                <w:rFonts w:hint="eastAsia" w:ascii="宋体" w:hAnsi="宋体" w:cs="宋体"/>
                <w:color w:val="000000"/>
                <w:u w:val="single"/>
              </w:rPr>
              <w:t>(</w:t>
            </w:r>
            <w:r>
              <w:rPr>
                <w:rFonts w:hint="eastAsia"/>
                <w:color w:val="000000"/>
                <w:u w:val="single"/>
              </w:rPr>
              <w:t>湘发改</w:t>
            </w:r>
            <w:r>
              <w:rPr>
                <w:color w:val="000000"/>
                <w:u w:val="single"/>
              </w:rPr>
              <w:t>函</w:t>
            </w:r>
            <w:r>
              <w:rPr>
                <w:rFonts w:hint="eastAsia" w:ascii="宋体" w:hAnsi="宋体"/>
                <w:u w:val="single"/>
              </w:rPr>
              <w:t>〔</w:t>
            </w:r>
            <w:r>
              <w:rPr>
                <w:color w:val="000000"/>
                <w:u w:val="single"/>
              </w:rPr>
              <w:t>20</w:t>
            </w:r>
            <w:r>
              <w:rPr>
                <w:rFonts w:hint="eastAsia"/>
                <w:color w:val="000000"/>
                <w:u w:val="single"/>
              </w:rPr>
              <w:t>24</w:t>
            </w:r>
            <w:r>
              <w:rPr>
                <w:rFonts w:hint="eastAsia" w:ascii="宋体" w:hAnsi="宋体"/>
                <w:u w:val="single"/>
              </w:rPr>
              <w:t>〕</w:t>
            </w:r>
            <w:r>
              <w:rPr>
                <w:rFonts w:hint="eastAsia"/>
                <w:color w:val="000000"/>
                <w:u w:val="single"/>
              </w:rPr>
              <w:t>31</w:t>
            </w:r>
            <w:r>
              <w:rPr>
                <w:color w:val="000000"/>
                <w:u w:val="single"/>
              </w:rPr>
              <w:t>号</w:t>
            </w:r>
            <w:r>
              <w:rPr>
                <w:rFonts w:hint="eastAsia" w:ascii="宋体" w:hAnsi="宋体" w:cs="宋体"/>
                <w:color w:val="000000"/>
                <w:u w:val="single"/>
              </w:rPr>
              <w:t>)；</w:t>
            </w:r>
          </w:p>
        </w:tc>
      </w:tr>
      <w:tr w14:paraId="33BF3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2" w:type="dxa"/>
            <w:tcMar>
              <w:top w:w="16" w:type="dxa"/>
              <w:left w:w="16" w:type="dxa"/>
              <w:right w:w="16" w:type="dxa"/>
            </w:tcMar>
            <w:vAlign w:val="center"/>
          </w:tcPr>
          <w:p w14:paraId="5D5B9F45">
            <w:pPr>
              <w:adjustRightInd w:val="0"/>
              <w:snapToGrid w:val="0"/>
              <w:jc w:val="center"/>
              <w:rPr>
                <w:color w:val="000000"/>
              </w:rPr>
            </w:pPr>
            <w:r>
              <w:rPr>
                <w:color w:val="000000"/>
              </w:rPr>
              <w:t>规划环境影响</w:t>
            </w:r>
          </w:p>
          <w:p w14:paraId="1EFA0F7B">
            <w:pPr>
              <w:adjustRightInd w:val="0"/>
              <w:snapToGrid w:val="0"/>
              <w:jc w:val="center"/>
              <w:rPr>
                <w:color w:val="000000"/>
                <w:kern w:val="0"/>
              </w:rPr>
            </w:pPr>
            <w:r>
              <w:rPr>
                <w:color w:val="000000"/>
              </w:rPr>
              <w:t>评价情况</w:t>
            </w:r>
          </w:p>
        </w:tc>
        <w:tc>
          <w:tcPr>
            <w:tcW w:w="7620" w:type="dxa"/>
            <w:gridSpan w:val="3"/>
            <w:vAlign w:val="center"/>
          </w:tcPr>
          <w:p w14:paraId="7A30AD5C">
            <w:pPr>
              <w:adjustRightInd w:val="0"/>
              <w:snapToGrid w:val="0"/>
              <w:spacing w:line="360" w:lineRule="auto"/>
              <w:rPr>
                <w:color w:val="000000"/>
                <w:u w:val="single"/>
              </w:rPr>
            </w:pPr>
            <w:r>
              <w:rPr>
                <w:color w:val="000000"/>
                <w:u w:val="single"/>
              </w:rPr>
              <w:t>文件名称</w:t>
            </w:r>
            <w:r>
              <w:rPr>
                <w:rFonts w:hint="eastAsia"/>
                <w:color w:val="000000"/>
                <w:u w:val="single"/>
              </w:rPr>
              <w:t>：《</w:t>
            </w:r>
            <w:bookmarkStart w:id="16" w:name="OLE_LINK7"/>
            <w:r>
              <w:rPr>
                <w:rFonts w:hint="eastAsia"/>
                <w:color w:val="000000"/>
                <w:u w:val="single"/>
              </w:rPr>
              <w:t>龙岭产业开发区调区扩区规划</w:t>
            </w:r>
            <w:bookmarkEnd w:id="16"/>
            <w:r>
              <w:rPr>
                <w:rFonts w:hint="eastAsia"/>
                <w:color w:val="000000"/>
                <w:u w:val="single"/>
              </w:rPr>
              <w:t>环境影响报告书》</w:t>
            </w:r>
          </w:p>
          <w:p w14:paraId="38778DCB">
            <w:pPr>
              <w:adjustRightInd w:val="0"/>
              <w:snapToGrid w:val="0"/>
              <w:spacing w:line="360" w:lineRule="auto"/>
              <w:rPr>
                <w:color w:val="000000"/>
                <w:u w:val="single"/>
              </w:rPr>
            </w:pPr>
            <w:r>
              <w:rPr>
                <w:color w:val="000000"/>
                <w:u w:val="single"/>
              </w:rPr>
              <w:t>召集审查机关</w:t>
            </w:r>
            <w:r>
              <w:rPr>
                <w:rFonts w:hint="eastAsia"/>
                <w:color w:val="000000"/>
                <w:u w:val="single"/>
              </w:rPr>
              <w:t>：</w:t>
            </w:r>
            <w:r>
              <w:rPr>
                <w:color w:val="000000"/>
                <w:u w:val="single"/>
              </w:rPr>
              <w:t>湖南省生态环境厅</w:t>
            </w:r>
          </w:p>
          <w:p w14:paraId="5D8789D3">
            <w:pPr>
              <w:adjustRightInd w:val="0"/>
              <w:snapToGrid w:val="0"/>
              <w:spacing w:line="360" w:lineRule="auto"/>
              <w:rPr>
                <w:color w:val="000000"/>
                <w:u w:val="single"/>
              </w:rPr>
            </w:pPr>
            <w:r>
              <w:rPr>
                <w:color w:val="000000"/>
                <w:u w:val="single"/>
              </w:rPr>
              <w:t>审查文件名称及文号</w:t>
            </w:r>
            <w:r>
              <w:rPr>
                <w:rFonts w:hint="eastAsia"/>
                <w:color w:val="000000"/>
                <w:u w:val="single"/>
              </w:rPr>
              <w:t>：</w:t>
            </w:r>
            <w:r>
              <w:rPr>
                <w:color w:val="000000"/>
                <w:u w:val="single"/>
              </w:rPr>
              <w:t>《关于</w:t>
            </w:r>
            <w:r>
              <w:rPr>
                <w:rFonts w:hint="eastAsia"/>
                <w:color w:val="000000"/>
                <w:u w:val="single"/>
              </w:rPr>
              <w:t>龙岭产业开发区调区扩区规划环境影响报告书审查意见的函</w:t>
            </w:r>
            <w:r>
              <w:rPr>
                <w:color w:val="000000"/>
                <w:u w:val="single"/>
              </w:rPr>
              <w:t>》</w:t>
            </w:r>
            <w:r>
              <w:rPr>
                <w:rFonts w:hint="eastAsia"/>
                <w:color w:val="000000"/>
                <w:u w:val="single"/>
              </w:rPr>
              <w:t>（</w:t>
            </w:r>
            <w:r>
              <w:rPr>
                <w:color w:val="000000"/>
                <w:u w:val="single"/>
              </w:rPr>
              <w:t>湘环评函</w:t>
            </w:r>
            <w:r>
              <w:rPr>
                <w:rFonts w:hint="eastAsia" w:ascii="宋体" w:hAnsi="宋体"/>
                <w:u w:val="single"/>
              </w:rPr>
              <w:t>〔</w:t>
            </w:r>
            <w:r>
              <w:rPr>
                <w:color w:val="000000"/>
                <w:u w:val="single"/>
              </w:rPr>
              <w:t>20</w:t>
            </w:r>
            <w:r>
              <w:rPr>
                <w:rFonts w:hint="eastAsia"/>
                <w:color w:val="000000"/>
                <w:u w:val="single"/>
              </w:rPr>
              <w:t>25</w:t>
            </w:r>
            <w:r>
              <w:rPr>
                <w:rFonts w:hint="eastAsia" w:ascii="宋体" w:hAnsi="宋体"/>
                <w:u w:val="single"/>
              </w:rPr>
              <w:t>〕</w:t>
            </w:r>
            <w:r>
              <w:rPr>
                <w:color w:val="000000"/>
                <w:u w:val="single"/>
              </w:rPr>
              <w:t>1</w:t>
            </w:r>
            <w:r>
              <w:rPr>
                <w:rFonts w:hint="eastAsia"/>
                <w:color w:val="000000"/>
                <w:u w:val="single"/>
              </w:rPr>
              <w:t>0</w:t>
            </w:r>
            <w:r>
              <w:rPr>
                <w:color w:val="000000"/>
                <w:u w:val="single"/>
              </w:rPr>
              <w:t>号</w:t>
            </w:r>
            <w:r>
              <w:rPr>
                <w:rFonts w:hint="eastAsia"/>
                <w:color w:val="000000"/>
                <w:u w:val="single"/>
              </w:rPr>
              <w:t>）</w:t>
            </w:r>
          </w:p>
        </w:tc>
      </w:tr>
      <w:tr w14:paraId="28CF3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12" w:type="dxa"/>
            <w:tcMar>
              <w:top w:w="16" w:type="dxa"/>
              <w:left w:w="16" w:type="dxa"/>
              <w:right w:w="16" w:type="dxa"/>
            </w:tcMar>
            <w:vAlign w:val="center"/>
          </w:tcPr>
          <w:p w14:paraId="4AD7BA3F">
            <w:pPr>
              <w:autoSpaceDE w:val="0"/>
              <w:autoSpaceDN w:val="0"/>
              <w:adjustRightInd w:val="0"/>
              <w:snapToGrid w:val="0"/>
              <w:jc w:val="center"/>
              <w:rPr>
                <w:color w:val="000000"/>
                <w:kern w:val="0"/>
              </w:rPr>
            </w:pPr>
            <w:r>
              <w:rPr>
                <w:color w:val="000000"/>
                <w:kern w:val="0"/>
              </w:rPr>
              <w:t>规划及规划环境</w:t>
            </w:r>
          </w:p>
          <w:p w14:paraId="5110E2F2">
            <w:pPr>
              <w:adjustRightInd w:val="0"/>
              <w:snapToGrid w:val="0"/>
              <w:jc w:val="center"/>
              <w:rPr>
                <w:color w:val="000000"/>
                <w:kern w:val="0"/>
              </w:rPr>
            </w:pPr>
            <w:r>
              <w:rPr>
                <w:color w:val="000000"/>
                <w:kern w:val="0"/>
              </w:rPr>
              <w:t>影响评价符合性分析</w:t>
            </w:r>
          </w:p>
        </w:tc>
        <w:tc>
          <w:tcPr>
            <w:tcW w:w="7620" w:type="dxa"/>
            <w:gridSpan w:val="3"/>
          </w:tcPr>
          <w:p w14:paraId="0FDF3283">
            <w:pPr>
              <w:kinsoku w:val="0"/>
              <w:wordWrap w:val="0"/>
              <w:adjustRightInd w:val="0"/>
              <w:snapToGrid w:val="0"/>
              <w:spacing w:line="360" w:lineRule="auto"/>
              <w:rPr>
                <w:b/>
                <w:bCs/>
                <w:color w:val="000000"/>
                <w:u w:val="single"/>
              </w:rPr>
            </w:pPr>
            <w:r>
              <w:rPr>
                <w:rFonts w:hint="eastAsia"/>
                <w:b/>
                <w:bCs/>
                <w:color w:val="000000"/>
                <w:u w:val="single"/>
              </w:rPr>
              <w:t>一、与规划的符合性分析</w:t>
            </w:r>
          </w:p>
          <w:p w14:paraId="574A11AB">
            <w:pPr>
              <w:kinsoku w:val="0"/>
              <w:wordWrap w:val="0"/>
              <w:adjustRightInd w:val="0"/>
              <w:snapToGrid w:val="0"/>
              <w:spacing w:line="360" w:lineRule="auto"/>
              <w:rPr>
                <w:b/>
                <w:bCs/>
                <w:color w:val="000000"/>
                <w:u w:val="single"/>
              </w:rPr>
            </w:pPr>
            <w:r>
              <w:rPr>
                <w:rFonts w:hint="eastAsia"/>
                <w:b/>
                <w:bCs/>
                <w:color w:val="000000"/>
                <w:u w:val="single"/>
              </w:rPr>
              <w:t>1、规划范围分析</w:t>
            </w:r>
          </w:p>
          <w:p w14:paraId="2336BDED">
            <w:pPr>
              <w:kinsoku w:val="0"/>
              <w:wordWrap w:val="0"/>
              <w:autoSpaceDE w:val="0"/>
              <w:autoSpaceDN w:val="0"/>
              <w:adjustRightInd w:val="0"/>
              <w:snapToGrid w:val="0"/>
              <w:spacing w:line="360" w:lineRule="auto"/>
              <w:ind w:firstLine="480" w:firstLineChars="200"/>
              <w:rPr>
                <w:kern w:val="0"/>
                <w:u w:val="single"/>
              </w:rPr>
            </w:pPr>
            <w:r>
              <w:rPr>
                <w:kern w:val="0"/>
                <w:u w:val="single"/>
              </w:rPr>
              <w:t>根据</w:t>
            </w:r>
            <w:r>
              <w:rPr>
                <w:rFonts w:hint="eastAsia"/>
                <w:kern w:val="0"/>
                <w:u w:val="single"/>
              </w:rPr>
              <w:t>《</w:t>
            </w:r>
            <w:r>
              <w:rPr>
                <w:rFonts w:hint="eastAsia"/>
                <w:color w:val="000000"/>
                <w:u w:val="single"/>
              </w:rPr>
              <w:t>龙岭产业开发区调区扩区规划环境影响报告书</w:t>
            </w:r>
            <w:r>
              <w:rPr>
                <w:rFonts w:hint="eastAsia"/>
                <w:kern w:val="0"/>
                <w:u w:val="single"/>
              </w:rPr>
              <w:t>》</w:t>
            </w:r>
            <w:r>
              <w:rPr>
                <w:kern w:val="0"/>
                <w:u w:val="single"/>
              </w:rPr>
              <w:t>中内容，</w:t>
            </w:r>
            <w:r>
              <w:rPr>
                <w:rFonts w:hint="eastAsia"/>
                <w:kern w:val="0"/>
                <w:u w:val="single"/>
              </w:rPr>
              <w:t>龙岭产业开发区以湘发改函〔</w:t>
            </w:r>
            <w:r>
              <w:rPr>
                <w:kern w:val="0"/>
                <w:u w:val="single"/>
              </w:rPr>
              <w:t>2024</w:t>
            </w:r>
            <w:r>
              <w:rPr>
                <w:rFonts w:hint="eastAsia"/>
                <w:kern w:val="0"/>
                <w:u w:val="single"/>
              </w:rPr>
              <w:t>〕</w:t>
            </w:r>
            <w:r>
              <w:rPr>
                <w:kern w:val="0"/>
                <w:u w:val="single"/>
              </w:rPr>
              <w:t>9</w:t>
            </w:r>
            <w:r>
              <w:rPr>
                <w:rFonts w:hint="eastAsia"/>
                <w:kern w:val="0"/>
                <w:u w:val="single"/>
              </w:rPr>
              <w:t>号文核定面积</w:t>
            </w:r>
            <w:r>
              <w:rPr>
                <w:kern w:val="0"/>
                <w:u w:val="single"/>
              </w:rPr>
              <w:t>607.52</w:t>
            </w:r>
            <w:r>
              <w:rPr>
                <w:rFonts w:hint="eastAsia"/>
                <w:kern w:val="0"/>
                <w:u w:val="single"/>
              </w:rPr>
              <w:t>公顷为基础，拟扩区面积</w:t>
            </w:r>
            <w:r>
              <w:rPr>
                <w:kern w:val="0"/>
                <w:u w:val="single"/>
              </w:rPr>
              <w:t>342.11</w:t>
            </w:r>
            <w:r>
              <w:rPr>
                <w:rFonts w:hint="eastAsia"/>
                <w:kern w:val="0"/>
                <w:u w:val="single"/>
              </w:rPr>
              <w:t>公顷，扩区后开发区面积为</w:t>
            </w:r>
            <w:r>
              <w:rPr>
                <w:kern w:val="0"/>
                <w:u w:val="single"/>
              </w:rPr>
              <w:t>949.63</w:t>
            </w:r>
            <w:r>
              <w:rPr>
                <w:rFonts w:hint="eastAsia"/>
                <w:kern w:val="0"/>
                <w:u w:val="single"/>
              </w:rPr>
              <w:t>公顷。</w:t>
            </w:r>
          </w:p>
          <w:p w14:paraId="1243BC4F">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区块一：为湘发改函〔</w:t>
            </w:r>
            <w:r>
              <w:rPr>
                <w:kern w:val="0"/>
                <w:u w:val="single"/>
              </w:rPr>
              <w:t>2024</w:t>
            </w:r>
            <w:r>
              <w:rPr>
                <w:rFonts w:hint="eastAsia"/>
                <w:kern w:val="0"/>
                <w:u w:val="single"/>
              </w:rPr>
              <w:t>〕</w:t>
            </w:r>
            <w:r>
              <w:rPr>
                <w:kern w:val="0"/>
                <w:u w:val="single"/>
              </w:rPr>
              <w:t>9</w:t>
            </w:r>
            <w:r>
              <w:rPr>
                <w:rFonts w:hint="eastAsia"/>
                <w:kern w:val="0"/>
                <w:u w:val="single"/>
              </w:rPr>
              <w:t>号文中的区块一，原边界范围</w:t>
            </w:r>
            <w:r>
              <w:rPr>
                <w:kern w:val="0"/>
                <w:u w:val="single"/>
              </w:rPr>
              <w:t>25.59</w:t>
            </w:r>
            <w:r>
              <w:rPr>
                <w:rFonts w:hint="eastAsia"/>
                <w:kern w:val="0"/>
                <w:u w:val="single"/>
              </w:rPr>
              <w:t>公顷，本次不涉及扩区。四至范围为东至枫林大道（北）以西</w:t>
            </w:r>
            <w:r>
              <w:rPr>
                <w:kern w:val="0"/>
                <w:u w:val="single"/>
              </w:rPr>
              <w:t>230</w:t>
            </w:r>
            <w:r>
              <w:rPr>
                <w:rFonts w:hint="eastAsia"/>
                <w:kern w:val="0"/>
                <w:u w:val="single"/>
              </w:rPr>
              <w:t>米处，南至</w:t>
            </w:r>
            <w:r>
              <w:rPr>
                <w:kern w:val="0"/>
                <w:u w:val="single"/>
              </w:rPr>
              <w:t>G536</w:t>
            </w:r>
            <w:r>
              <w:rPr>
                <w:rFonts w:hint="eastAsia"/>
                <w:kern w:val="0"/>
                <w:u w:val="single"/>
              </w:rPr>
              <w:t>国道以北</w:t>
            </w:r>
            <w:r>
              <w:rPr>
                <w:kern w:val="0"/>
                <w:u w:val="single"/>
              </w:rPr>
              <w:t>200</w:t>
            </w:r>
            <w:r>
              <w:rPr>
                <w:rFonts w:hint="eastAsia"/>
                <w:kern w:val="0"/>
                <w:u w:val="single"/>
              </w:rPr>
              <w:t>米处，西至赖家椴东北</w:t>
            </w:r>
            <w:r>
              <w:rPr>
                <w:kern w:val="0"/>
                <w:u w:val="single"/>
              </w:rPr>
              <w:t>450</w:t>
            </w:r>
            <w:r>
              <w:rPr>
                <w:rFonts w:hint="eastAsia"/>
                <w:kern w:val="0"/>
                <w:u w:val="single"/>
              </w:rPr>
              <w:t>米处，北至</w:t>
            </w:r>
            <w:r>
              <w:rPr>
                <w:kern w:val="0"/>
                <w:u w:val="single"/>
              </w:rPr>
              <w:t>Y322</w:t>
            </w:r>
            <w:r>
              <w:rPr>
                <w:rFonts w:hint="eastAsia"/>
                <w:kern w:val="0"/>
                <w:u w:val="single"/>
              </w:rPr>
              <w:t>乡道；</w:t>
            </w:r>
          </w:p>
          <w:p w14:paraId="670B42E9">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区块二：为新增区块，拟扩区面积</w:t>
            </w:r>
            <w:r>
              <w:rPr>
                <w:kern w:val="0"/>
                <w:u w:val="single"/>
              </w:rPr>
              <w:t>10.01</w:t>
            </w:r>
            <w:r>
              <w:rPr>
                <w:rFonts w:hint="eastAsia"/>
                <w:kern w:val="0"/>
                <w:u w:val="single"/>
              </w:rPr>
              <w:t>公顷。四至范围为东至大塘村，南至大塘村，西至邓家冲，北至大塘冲。</w:t>
            </w:r>
          </w:p>
          <w:p w14:paraId="0C49FCDF">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区块三：为湘发改函〔</w:t>
            </w:r>
            <w:r>
              <w:rPr>
                <w:kern w:val="0"/>
                <w:u w:val="single"/>
              </w:rPr>
              <w:t>2024</w:t>
            </w:r>
            <w:r>
              <w:rPr>
                <w:rFonts w:hint="eastAsia"/>
                <w:kern w:val="0"/>
                <w:u w:val="single"/>
              </w:rPr>
              <w:t>〕</w:t>
            </w:r>
            <w:r>
              <w:rPr>
                <w:kern w:val="0"/>
                <w:u w:val="single"/>
              </w:rPr>
              <w:t>9</w:t>
            </w:r>
            <w:r>
              <w:rPr>
                <w:rFonts w:hint="eastAsia"/>
                <w:kern w:val="0"/>
                <w:u w:val="single"/>
              </w:rPr>
              <w:t>号文中的区块二，原边界范围</w:t>
            </w:r>
            <w:r>
              <w:rPr>
                <w:kern w:val="0"/>
                <w:u w:val="single"/>
              </w:rPr>
              <w:t>45.39</w:t>
            </w:r>
            <w:r>
              <w:rPr>
                <w:rFonts w:hint="eastAsia"/>
                <w:kern w:val="0"/>
                <w:u w:val="single"/>
              </w:rPr>
              <w:t>公顷，本次不涉及扩区。四至范围为东至桃花仑东路，南至梅林路、永福路，西至蓉园路、团山路，北至迎宾东路；</w:t>
            </w:r>
          </w:p>
          <w:p w14:paraId="26DD7417">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区块四：为湘发改函〔</w:t>
            </w:r>
            <w:r>
              <w:rPr>
                <w:kern w:val="0"/>
                <w:u w:val="single"/>
              </w:rPr>
              <w:t>2024</w:t>
            </w:r>
            <w:r>
              <w:rPr>
                <w:rFonts w:hint="eastAsia"/>
                <w:kern w:val="0"/>
                <w:u w:val="single"/>
              </w:rPr>
              <w:t>〕</w:t>
            </w:r>
            <w:r>
              <w:rPr>
                <w:kern w:val="0"/>
                <w:u w:val="single"/>
              </w:rPr>
              <w:t>9</w:t>
            </w:r>
            <w:r>
              <w:rPr>
                <w:rFonts w:hint="eastAsia"/>
                <w:kern w:val="0"/>
                <w:u w:val="single"/>
              </w:rPr>
              <w:t>号文中的区块三，原边界范围</w:t>
            </w:r>
            <w:r>
              <w:rPr>
                <w:kern w:val="0"/>
                <w:u w:val="single"/>
              </w:rPr>
              <w:t>104.96</w:t>
            </w:r>
            <w:r>
              <w:rPr>
                <w:rFonts w:hint="eastAsia"/>
                <w:kern w:val="0"/>
                <w:u w:val="single"/>
              </w:rPr>
              <w:t>公顷，拟扩区面积</w:t>
            </w:r>
            <w:r>
              <w:rPr>
                <w:kern w:val="0"/>
                <w:u w:val="single"/>
              </w:rPr>
              <w:t>115.10</w:t>
            </w:r>
            <w:r>
              <w:rPr>
                <w:rFonts w:hint="eastAsia"/>
                <w:kern w:val="0"/>
                <w:u w:val="single"/>
              </w:rPr>
              <w:t>公顷，扩区后总用地面积</w:t>
            </w:r>
            <w:r>
              <w:rPr>
                <w:kern w:val="0"/>
                <w:u w:val="single"/>
              </w:rPr>
              <w:t>220.06</w:t>
            </w:r>
            <w:r>
              <w:rPr>
                <w:rFonts w:hint="eastAsia"/>
                <w:kern w:val="0"/>
                <w:u w:val="single"/>
              </w:rPr>
              <w:t>公顷。四至范围为东至</w:t>
            </w:r>
            <w:r>
              <w:rPr>
                <w:kern w:val="0"/>
                <w:u w:val="single"/>
              </w:rPr>
              <w:t>G319</w:t>
            </w:r>
            <w:r>
              <w:rPr>
                <w:rFonts w:hint="eastAsia"/>
                <w:kern w:val="0"/>
                <w:u w:val="single"/>
              </w:rPr>
              <w:t>国道，南至关山路，西至益阳顺德城，北至檀香路；</w:t>
            </w:r>
          </w:p>
          <w:p w14:paraId="643D1FDA">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区块五：为湘发改函〔</w:t>
            </w:r>
            <w:r>
              <w:rPr>
                <w:kern w:val="0"/>
                <w:u w:val="single"/>
              </w:rPr>
              <w:t>2024</w:t>
            </w:r>
            <w:r>
              <w:rPr>
                <w:rFonts w:hint="eastAsia"/>
                <w:kern w:val="0"/>
                <w:u w:val="single"/>
              </w:rPr>
              <w:t>〕</w:t>
            </w:r>
            <w:r>
              <w:rPr>
                <w:kern w:val="0"/>
                <w:u w:val="single"/>
              </w:rPr>
              <w:t>9</w:t>
            </w:r>
            <w:r>
              <w:rPr>
                <w:rFonts w:hint="eastAsia"/>
                <w:kern w:val="0"/>
                <w:u w:val="single"/>
              </w:rPr>
              <w:t>号文中的区块四，原边界范围</w:t>
            </w:r>
            <w:r>
              <w:rPr>
                <w:kern w:val="0"/>
                <w:u w:val="single"/>
              </w:rPr>
              <w:t>188.03</w:t>
            </w:r>
            <w:r>
              <w:rPr>
                <w:rFonts w:hint="eastAsia"/>
                <w:kern w:val="0"/>
                <w:u w:val="single"/>
              </w:rPr>
              <w:t>公顷，拟扩区面积</w:t>
            </w:r>
            <w:r>
              <w:rPr>
                <w:kern w:val="0"/>
                <w:u w:val="single"/>
              </w:rPr>
              <w:t>50.25</w:t>
            </w:r>
            <w:r>
              <w:rPr>
                <w:rFonts w:hint="eastAsia"/>
                <w:kern w:val="0"/>
                <w:u w:val="single"/>
              </w:rPr>
              <w:t>公顷，扩区后总用地面积</w:t>
            </w:r>
            <w:r>
              <w:rPr>
                <w:kern w:val="0"/>
                <w:u w:val="single"/>
              </w:rPr>
              <w:t>238.28</w:t>
            </w:r>
            <w:r>
              <w:rPr>
                <w:rFonts w:hint="eastAsia"/>
                <w:kern w:val="0"/>
                <w:u w:val="single"/>
              </w:rPr>
              <w:t>公顷。四至范围为东至雪花湾路、蓉兴路，南至高新大道、沧泉大道，西至银城大道、绕高路，北至猫公塘；</w:t>
            </w:r>
          </w:p>
          <w:p w14:paraId="6472DD91">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区块六：为湘发改函〔</w:t>
            </w:r>
            <w:r>
              <w:rPr>
                <w:kern w:val="0"/>
                <w:u w:val="single"/>
              </w:rPr>
              <w:t>2024</w:t>
            </w:r>
            <w:r>
              <w:rPr>
                <w:rFonts w:hint="eastAsia"/>
                <w:kern w:val="0"/>
                <w:u w:val="single"/>
              </w:rPr>
              <w:t>〕</w:t>
            </w:r>
            <w:r>
              <w:rPr>
                <w:kern w:val="0"/>
                <w:u w:val="single"/>
              </w:rPr>
              <w:t>9</w:t>
            </w:r>
            <w:r>
              <w:rPr>
                <w:rFonts w:hint="eastAsia"/>
                <w:kern w:val="0"/>
                <w:u w:val="single"/>
              </w:rPr>
              <w:t>号文中的区块五，原边界范围</w:t>
            </w:r>
            <w:r>
              <w:rPr>
                <w:kern w:val="0"/>
                <w:u w:val="single"/>
              </w:rPr>
              <w:t>243.55</w:t>
            </w:r>
            <w:r>
              <w:rPr>
                <w:rFonts w:hint="eastAsia"/>
                <w:kern w:val="0"/>
                <w:u w:val="single"/>
              </w:rPr>
              <w:t>公顷，拟扩区面积</w:t>
            </w:r>
            <w:r>
              <w:rPr>
                <w:kern w:val="0"/>
                <w:u w:val="single"/>
              </w:rPr>
              <w:t>166.75</w:t>
            </w:r>
            <w:r>
              <w:rPr>
                <w:rFonts w:hint="eastAsia"/>
                <w:kern w:val="0"/>
                <w:u w:val="single"/>
              </w:rPr>
              <w:t>公顷，扩区后总用地面积</w:t>
            </w:r>
            <w:r>
              <w:rPr>
                <w:kern w:val="0"/>
                <w:u w:val="single"/>
              </w:rPr>
              <w:t>410.30</w:t>
            </w:r>
            <w:r>
              <w:rPr>
                <w:rFonts w:hint="eastAsia"/>
                <w:kern w:val="0"/>
                <w:u w:val="single"/>
              </w:rPr>
              <w:t>公顷。四至范围为东至黄家冲，南至高家村组以北</w:t>
            </w:r>
            <w:r>
              <w:rPr>
                <w:kern w:val="0"/>
                <w:u w:val="single"/>
              </w:rPr>
              <w:t>200</w:t>
            </w:r>
            <w:r>
              <w:rPr>
                <w:rFonts w:hint="eastAsia"/>
                <w:kern w:val="0"/>
                <w:u w:val="single"/>
              </w:rPr>
              <w:t xml:space="preserve">米处，西至付家冲，北至鲤鱼塘西南 </w:t>
            </w:r>
            <w:r>
              <w:rPr>
                <w:kern w:val="0"/>
                <w:u w:val="single"/>
              </w:rPr>
              <w:t xml:space="preserve">200 </w:t>
            </w:r>
            <w:r>
              <w:rPr>
                <w:rFonts w:hint="eastAsia"/>
                <w:kern w:val="0"/>
                <w:u w:val="single"/>
              </w:rPr>
              <w:t>米处；</w:t>
            </w:r>
          </w:p>
          <w:p w14:paraId="00A181D8">
            <w:pPr>
              <w:kinsoku w:val="0"/>
              <w:wordWrap w:val="0"/>
              <w:autoSpaceDE w:val="0"/>
              <w:autoSpaceDN w:val="0"/>
              <w:adjustRightInd w:val="0"/>
              <w:snapToGrid w:val="0"/>
              <w:spacing w:line="360" w:lineRule="auto"/>
              <w:ind w:firstLine="480" w:firstLineChars="200"/>
              <w:rPr>
                <w:kern w:val="0"/>
                <w:u w:val="single"/>
              </w:rPr>
            </w:pPr>
            <w:r>
              <w:rPr>
                <w:kern w:val="0"/>
                <w:u w:val="single"/>
              </w:rPr>
              <w:t>本项目位于</w:t>
            </w:r>
            <w:r>
              <w:rPr>
                <w:rFonts w:hint="eastAsia"/>
                <w:kern w:val="0"/>
                <w:u w:val="single"/>
              </w:rPr>
              <w:t>益</w:t>
            </w:r>
            <w:r>
              <w:rPr>
                <w:kern w:val="0"/>
                <w:u w:val="single"/>
              </w:rPr>
              <w:t>阳市赫山区龙岭产业开发区新材料产业园朝阳路粤浙城科技示范基地</w:t>
            </w:r>
            <w:r>
              <w:rPr>
                <w:rFonts w:hint="eastAsia"/>
                <w:kern w:val="0"/>
                <w:u w:val="single"/>
              </w:rPr>
              <w:t>8栋</w:t>
            </w:r>
            <w:r>
              <w:rPr>
                <w:kern w:val="0"/>
                <w:u w:val="single"/>
              </w:rPr>
              <w:t>，</w:t>
            </w:r>
            <w:r>
              <w:rPr>
                <w:rFonts w:hint="eastAsia"/>
                <w:kern w:val="0"/>
                <w:u w:val="single"/>
              </w:rPr>
              <w:t>属于区块六范围内。</w:t>
            </w:r>
          </w:p>
          <w:p w14:paraId="328B971A">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2、产业定位布局分析</w:t>
            </w:r>
          </w:p>
          <w:p w14:paraId="31E29D6A">
            <w:pPr>
              <w:kinsoku w:val="0"/>
              <w:wordWrap w:val="0"/>
              <w:autoSpaceDE w:val="0"/>
              <w:autoSpaceDN w:val="0"/>
              <w:adjustRightInd w:val="0"/>
              <w:snapToGrid w:val="0"/>
              <w:spacing w:line="360" w:lineRule="auto"/>
              <w:ind w:firstLine="480" w:firstLineChars="200"/>
              <w:rPr>
                <w:u w:val="single"/>
              </w:rPr>
            </w:pPr>
            <w:r>
              <w:rPr>
                <w:rFonts w:hint="eastAsia"/>
                <w:u w:val="single"/>
              </w:rPr>
              <w:t>衡龙新区主要发展新材料和装备制造产业，新材料以金属材料、靶材为重点。鼓励发展</w:t>
            </w:r>
            <w:r>
              <w:rPr>
                <w:u w:val="single"/>
              </w:rPr>
              <w:t>C398</w:t>
            </w:r>
            <w:r>
              <w:rPr>
                <w:rFonts w:hint="eastAsia"/>
                <w:u w:val="single"/>
              </w:rPr>
              <w:t>电子原件及电子专用材料制造；装备制造产业以动力部件为主，鼓励发展</w:t>
            </w:r>
            <w:r>
              <w:rPr>
                <w:u w:val="single"/>
              </w:rPr>
              <w:t>C344</w:t>
            </w:r>
            <w:r>
              <w:rPr>
                <w:rFonts w:hint="eastAsia"/>
                <w:u w:val="single"/>
              </w:rPr>
              <w:t>泵、阀门、压缩机及类似机械制造、</w:t>
            </w:r>
            <w:r>
              <w:rPr>
                <w:u w:val="single"/>
              </w:rPr>
              <w:t xml:space="preserve">C345 </w:t>
            </w:r>
            <w:r>
              <w:rPr>
                <w:rFonts w:hint="eastAsia"/>
                <w:u w:val="single"/>
              </w:rPr>
              <w:t>轴承、齿轮和传动部件制造。</w:t>
            </w:r>
          </w:p>
          <w:p w14:paraId="7B77628F">
            <w:pPr>
              <w:kinsoku w:val="0"/>
              <w:wordWrap w:val="0"/>
              <w:autoSpaceDE w:val="0"/>
              <w:autoSpaceDN w:val="0"/>
              <w:adjustRightInd w:val="0"/>
              <w:snapToGrid w:val="0"/>
              <w:spacing w:line="360" w:lineRule="auto"/>
              <w:ind w:firstLine="480" w:firstLineChars="200"/>
              <w:rPr>
                <w:kern w:val="0"/>
                <w:u w:val="single"/>
              </w:rPr>
            </w:pPr>
            <w:r>
              <w:rPr>
                <w:rFonts w:hint="eastAsia"/>
                <w:u w:val="single"/>
              </w:rPr>
              <w:t>本项目属于</w:t>
            </w:r>
            <w:r>
              <w:rPr>
                <w:u w:val="single"/>
              </w:rPr>
              <w:t>C</w:t>
            </w:r>
            <w:r>
              <w:rPr>
                <w:rFonts w:hint="eastAsia"/>
                <w:u w:val="single"/>
              </w:rPr>
              <w:t>3311金属结构制造，不属于园区主导产业，也不与其相冲突。</w:t>
            </w:r>
          </w:p>
          <w:p w14:paraId="55B67735">
            <w:pPr>
              <w:kinsoku w:val="0"/>
              <w:wordWrap w:val="0"/>
              <w:autoSpaceDE w:val="0"/>
              <w:autoSpaceDN w:val="0"/>
              <w:adjustRightInd w:val="0"/>
              <w:snapToGrid w:val="0"/>
              <w:spacing w:line="360" w:lineRule="auto"/>
              <w:ind w:firstLine="480" w:firstLineChars="200"/>
              <w:rPr>
                <w:kern w:val="0"/>
                <w:u w:val="single"/>
              </w:rPr>
            </w:pPr>
            <w:r>
              <w:rPr>
                <w:rFonts w:hint="eastAsia"/>
                <w:kern w:val="0"/>
                <w:u w:val="single"/>
              </w:rPr>
              <w:t>3、用地规划分析</w:t>
            </w:r>
          </w:p>
          <w:p w14:paraId="1A4FBDE6">
            <w:pPr>
              <w:pStyle w:val="33"/>
              <w:ind w:firstLine="480"/>
              <w:rPr>
                <w:rFonts w:hint="default"/>
                <w:u w:val="single"/>
              </w:rPr>
            </w:pPr>
            <w:r>
              <w:rPr>
                <w:u w:val="single"/>
              </w:rPr>
              <w:t>根据《</w:t>
            </w:r>
            <w:r>
              <w:rPr>
                <w:color w:val="000000"/>
                <w:u w:val="single"/>
              </w:rPr>
              <w:t>龙岭产业开发区调区扩区规划环境影响报告书</w:t>
            </w:r>
            <w:r>
              <w:rPr>
                <w:u w:val="single"/>
              </w:rPr>
              <w:t>》中衡龙新区组团用地布局规划图，本项目所处区域用地性质为工业用地，符合用地规划要求。</w:t>
            </w:r>
          </w:p>
          <w:p w14:paraId="7D824C28">
            <w:pPr>
              <w:pStyle w:val="29"/>
              <w:kinsoku w:val="0"/>
              <w:wordWrap w:val="0"/>
              <w:snapToGrid w:val="0"/>
              <w:ind w:firstLine="0" w:firstLineChars="0"/>
              <w:rPr>
                <w:rFonts w:hint="eastAsia" w:ascii="宋体" w:hAnsi="宋体" w:eastAsia="宋体" w:cs="宋体"/>
                <w:b/>
                <w:bCs/>
                <w:u w:val="single"/>
              </w:rPr>
            </w:pPr>
            <w:r>
              <w:rPr>
                <w:rFonts w:hint="eastAsia" w:cs="宋体" w:asciiTheme="minorEastAsia" w:hAnsiTheme="minorEastAsia" w:eastAsiaTheme="minorEastAsia"/>
                <w:b/>
                <w:bCs/>
                <w:u w:val="single"/>
              </w:rPr>
              <w:t>二、规划环评中准入清单的符合性分析</w:t>
            </w:r>
          </w:p>
          <w:p w14:paraId="0AB09724">
            <w:pPr>
              <w:kinsoku w:val="0"/>
              <w:wordWrap w:val="0"/>
              <w:adjustRightInd w:val="0"/>
              <w:snapToGrid w:val="0"/>
              <w:jc w:val="center"/>
              <w:rPr>
                <w:b/>
                <w:bCs/>
                <w:u w:val="single"/>
              </w:rPr>
            </w:pPr>
            <w:r>
              <w:rPr>
                <w:rFonts w:hint="eastAsia"/>
                <w:b/>
                <w:bCs/>
                <w:u w:val="single"/>
              </w:rPr>
              <w:t>表1-2  与规划环评中行业准入清单的符合性分析</w:t>
            </w:r>
          </w:p>
          <w:tbl>
            <w:tblPr>
              <w:tblStyle w:val="24"/>
              <w:tblW w:w="495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710"/>
              <w:gridCol w:w="5811"/>
            </w:tblGrid>
            <w:tr w14:paraId="4FB99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54" w:type="pct"/>
                  <w:vAlign w:val="center"/>
                </w:tcPr>
                <w:p w14:paraId="7181640F">
                  <w:pPr>
                    <w:adjustRightInd w:val="0"/>
                    <w:snapToGrid w:val="0"/>
                    <w:jc w:val="center"/>
                    <w:rPr>
                      <w:color w:val="000000"/>
                      <w:sz w:val="21"/>
                      <w:szCs w:val="21"/>
                      <w:u w:val="single"/>
                    </w:rPr>
                  </w:pPr>
                  <w:r>
                    <w:rPr>
                      <w:rFonts w:hint="eastAsia"/>
                      <w:color w:val="000000"/>
                      <w:sz w:val="21"/>
                      <w:szCs w:val="21"/>
                      <w:u w:val="single"/>
                    </w:rPr>
                    <w:t>片区</w:t>
                  </w:r>
                </w:p>
              </w:tc>
              <w:tc>
                <w:tcPr>
                  <w:tcW w:w="473" w:type="pct"/>
                  <w:tcBorders>
                    <w:tl2br w:val="nil"/>
                    <w:tr2bl w:val="nil"/>
                  </w:tcBorders>
                  <w:vAlign w:val="center"/>
                </w:tcPr>
                <w:p w14:paraId="33A2F641">
                  <w:pPr>
                    <w:adjustRightInd w:val="0"/>
                    <w:snapToGrid w:val="0"/>
                    <w:jc w:val="center"/>
                    <w:rPr>
                      <w:color w:val="000000"/>
                      <w:sz w:val="21"/>
                      <w:szCs w:val="21"/>
                      <w:u w:val="single"/>
                    </w:rPr>
                  </w:pPr>
                  <w:r>
                    <w:rPr>
                      <w:rFonts w:hint="eastAsia"/>
                      <w:color w:val="000000"/>
                      <w:sz w:val="21"/>
                      <w:szCs w:val="21"/>
                      <w:u w:val="single"/>
                    </w:rPr>
                    <w:t>类型</w:t>
                  </w:r>
                </w:p>
              </w:tc>
              <w:tc>
                <w:tcPr>
                  <w:tcW w:w="3874" w:type="pct"/>
                  <w:tcBorders>
                    <w:tl2br w:val="nil"/>
                    <w:tr2bl w:val="nil"/>
                  </w:tcBorders>
                  <w:vAlign w:val="center"/>
                </w:tcPr>
                <w:p w14:paraId="0DCDDB9B">
                  <w:pPr>
                    <w:adjustRightInd w:val="0"/>
                    <w:snapToGrid w:val="0"/>
                    <w:jc w:val="center"/>
                    <w:rPr>
                      <w:color w:val="000000"/>
                      <w:sz w:val="21"/>
                      <w:szCs w:val="21"/>
                      <w:u w:val="single"/>
                    </w:rPr>
                  </w:pPr>
                  <w:r>
                    <w:rPr>
                      <w:rFonts w:hint="eastAsia"/>
                      <w:color w:val="000000"/>
                      <w:sz w:val="21"/>
                      <w:szCs w:val="21"/>
                      <w:u w:val="single"/>
                    </w:rPr>
                    <w:t>准入清单</w:t>
                  </w:r>
                </w:p>
              </w:tc>
            </w:tr>
            <w:tr w14:paraId="6FCE5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54" w:type="pct"/>
                  <w:vMerge w:val="restart"/>
                  <w:vAlign w:val="center"/>
                </w:tcPr>
                <w:p w14:paraId="741663C1">
                  <w:pPr>
                    <w:adjustRightInd w:val="0"/>
                    <w:snapToGrid w:val="0"/>
                    <w:jc w:val="center"/>
                    <w:rPr>
                      <w:color w:val="000000"/>
                      <w:sz w:val="21"/>
                      <w:szCs w:val="21"/>
                      <w:u w:val="single"/>
                    </w:rPr>
                  </w:pPr>
                  <w:r>
                    <w:rPr>
                      <w:rFonts w:hint="eastAsia"/>
                      <w:color w:val="000000"/>
                      <w:sz w:val="21"/>
                      <w:szCs w:val="21"/>
                      <w:u w:val="single"/>
                    </w:rPr>
                    <w:t>衡龙新区</w:t>
                  </w:r>
                </w:p>
              </w:tc>
              <w:tc>
                <w:tcPr>
                  <w:tcW w:w="473" w:type="pct"/>
                  <w:tcBorders>
                    <w:tl2br w:val="nil"/>
                    <w:tr2bl w:val="nil"/>
                  </w:tcBorders>
                  <w:vAlign w:val="center"/>
                </w:tcPr>
                <w:p w14:paraId="1CF9201A">
                  <w:pPr>
                    <w:adjustRightInd w:val="0"/>
                    <w:snapToGrid w:val="0"/>
                    <w:jc w:val="center"/>
                    <w:rPr>
                      <w:color w:val="000000"/>
                      <w:sz w:val="21"/>
                      <w:szCs w:val="21"/>
                      <w:u w:val="single"/>
                    </w:rPr>
                  </w:pPr>
                  <w:r>
                    <w:rPr>
                      <w:rFonts w:hint="eastAsia"/>
                      <w:color w:val="000000"/>
                      <w:sz w:val="21"/>
                      <w:szCs w:val="21"/>
                      <w:u w:val="single"/>
                    </w:rPr>
                    <w:t>产业定位</w:t>
                  </w:r>
                </w:p>
              </w:tc>
              <w:tc>
                <w:tcPr>
                  <w:tcW w:w="3874" w:type="pct"/>
                  <w:tcBorders>
                    <w:tl2br w:val="nil"/>
                    <w:tr2bl w:val="nil"/>
                  </w:tcBorders>
                  <w:vAlign w:val="center"/>
                </w:tcPr>
                <w:p w14:paraId="1C5136AD">
                  <w:pPr>
                    <w:kinsoku w:val="0"/>
                    <w:wordWrap w:val="0"/>
                    <w:adjustRightInd w:val="0"/>
                    <w:snapToGrid w:val="0"/>
                    <w:jc w:val="center"/>
                    <w:rPr>
                      <w:color w:val="000000"/>
                      <w:sz w:val="21"/>
                      <w:szCs w:val="21"/>
                      <w:u w:val="single"/>
                    </w:rPr>
                  </w:pPr>
                  <w:r>
                    <w:rPr>
                      <w:rFonts w:hint="eastAsia"/>
                      <w:color w:val="000000"/>
                      <w:sz w:val="21"/>
                      <w:szCs w:val="21"/>
                      <w:u w:val="single"/>
                    </w:rPr>
                    <w:t>主要发展新材料和装备制造产业，新材料以金属材料、靶材为重点。鼓励发展</w:t>
                  </w:r>
                  <w:r>
                    <w:rPr>
                      <w:color w:val="000000"/>
                      <w:sz w:val="21"/>
                      <w:szCs w:val="21"/>
                      <w:u w:val="single"/>
                    </w:rPr>
                    <w:t>C398</w:t>
                  </w:r>
                  <w:r>
                    <w:rPr>
                      <w:rFonts w:hint="eastAsia"/>
                      <w:color w:val="000000"/>
                      <w:sz w:val="21"/>
                      <w:szCs w:val="21"/>
                      <w:u w:val="single"/>
                    </w:rPr>
                    <w:t>电子原件及电子专用材料制造；装备制造产业以动力部件为主，鼓励发展</w:t>
                  </w:r>
                  <w:r>
                    <w:rPr>
                      <w:color w:val="000000"/>
                      <w:sz w:val="21"/>
                      <w:szCs w:val="21"/>
                      <w:u w:val="single"/>
                    </w:rPr>
                    <w:t>C344</w:t>
                  </w:r>
                  <w:r>
                    <w:rPr>
                      <w:rFonts w:hint="eastAsia"/>
                      <w:color w:val="000000"/>
                      <w:sz w:val="21"/>
                      <w:szCs w:val="21"/>
                      <w:u w:val="single"/>
                    </w:rPr>
                    <w:t>泵、阀门、压缩机及类似机械制造、</w:t>
                  </w:r>
                  <w:r>
                    <w:rPr>
                      <w:color w:val="000000"/>
                      <w:sz w:val="21"/>
                      <w:szCs w:val="21"/>
                      <w:u w:val="single"/>
                    </w:rPr>
                    <w:t xml:space="preserve">C345 </w:t>
                  </w:r>
                  <w:r>
                    <w:rPr>
                      <w:rFonts w:hint="eastAsia"/>
                      <w:color w:val="000000"/>
                      <w:sz w:val="21"/>
                      <w:szCs w:val="21"/>
                      <w:u w:val="single"/>
                    </w:rPr>
                    <w:t>轴承、齿轮和传动部件制造。</w:t>
                  </w:r>
                </w:p>
              </w:tc>
            </w:tr>
            <w:tr w14:paraId="2A2CF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54" w:type="pct"/>
                  <w:vMerge w:val="continue"/>
                  <w:vAlign w:val="center"/>
                </w:tcPr>
                <w:p w14:paraId="3B6E131A">
                  <w:pPr>
                    <w:adjustRightInd w:val="0"/>
                    <w:snapToGrid w:val="0"/>
                    <w:jc w:val="center"/>
                    <w:rPr>
                      <w:color w:val="000000"/>
                      <w:sz w:val="21"/>
                      <w:szCs w:val="21"/>
                      <w:u w:val="single"/>
                    </w:rPr>
                  </w:pPr>
                </w:p>
              </w:tc>
              <w:tc>
                <w:tcPr>
                  <w:tcW w:w="473" w:type="pct"/>
                  <w:tcBorders>
                    <w:tl2br w:val="nil"/>
                    <w:tr2bl w:val="nil"/>
                  </w:tcBorders>
                  <w:vAlign w:val="center"/>
                </w:tcPr>
                <w:p w14:paraId="25259EA7">
                  <w:pPr>
                    <w:adjustRightInd w:val="0"/>
                    <w:snapToGrid w:val="0"/>
                    <w:jc w:val="center"/>
                    <w:rPr>
                      <w:color w:val="000000"/>
                      <w:sz w:val="21"/>
                      <w:szCs w:val="21"/>
                      <w:u w:val="single"/>
                    </w:rPr>
                  </w:pPr>
                  <w:r>
                    <w:rPr>
                      <w:rFonts w:hint="eastAsia"/>
                      <w:color w:val="000000"/>
                      <w:sz w:val="21"/>
                      <w:szCs w:val="21"/>
                      <w:u w:val="single"/>
                    </w:rPr>
                    <w:t>限制类</w:t>
                  </w:r>
                </w:p>
              </w:tc>
              <w:tc>
                <w:tcPr>
                  <w:tcW w:w="3874" w:type="pct"/>
                  <w:tcBorders>
                    <w:tl2br w:val="nil"/>
                    <w:tr2bl w:val="nil"/>
                  </w:tcBorders>
                  <w:vAlign w:val="center"/>
                </w:tcPr>
                <w:p w14:paraId="2F4425B1">
                  <w:pPr>
                    <w:kinsoku w:val="0"/>
                    <w:wordWrap w:val="0"/>
                    <w:adjustRightInd w:val="0"/>
                    <w:snapToGrid w:val="0"/>
                    <w:jc w:val="center"/>
                    <w:rPr>
                      <w:color w:val="000000"/>
                      <w:sz w:val="21"/>
                      <w:szCs w:val="21"/>
                      <w:u w:val="single"/>
                    </w:rPr>
                  </w:pPr>
                  <w:r>
                    <w:rPr>
                      <w:rFonts w:hint="eastAsia"/>
                      <w:color w:val="000000"/>
                      <w:sz w:val="21"/>
                      <w:szCs w:val="21"/>
                      <w:u w:val="single"/>
                    </w:rPr>
                    <w:t>《产业结构调整指导目录》限制类项目</w:t>
                  </w:r>
                </w:p>
              </w:tc>
            </w:tr>
            <w:tr w14:paraId="333F9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54" w:type="pct"/>
                  <w:vMerge w:val="continue"/>
                  <w:vAlign w:val="center"/>
                </w:tcPr>
                <w:p w14:paraId="073D2D38">
                  <w:pPr>
                    <w:adjustRightInd w:val="0"/>
                    <w:snapToGrid w:val="0"/>
                    <w:jc w:val="center"/>
                    <w:rPr>
                      <w:color w:val="000000"/>
                      <w:sz w:val="21"/>
                      <w:szCs w:val="21"/>
                      <w:u w:val="single"/>
                    </w:rPr>
                  </w:pPr>
                </w:p>
              </w:tc>
              <w:tc>
                <w:tcPr>
                  <w:tcW w:w="473" w:type="pct"/>
                  <w:tcBorders>
                    <w:tl2br w:val="nil"/>
                    <w:tr2bl w:val="nil"/>
                  </w:tcBorders>
                  <w:vAlign w:val="center"/>
                </w:tcPr>
                <w:p w14:paraId="55B9A0BB">
                  <w:pPr>
                    <w:adjustRightInd w:val="0"/>
                    <w:snapToGrid w:val="0"/>
                    <w:jc w:val="center"/>
                    <w:rPr>
                      <w:color w:val="000000"/>
                      <w:sz w:val="21"/>
                      <w:szCs w:val="21"/>
                      <w:u w:val="single"/>
                    </w:rPr>
                  </w:pPr>
                  <w:r>
                    <w:rPr>
                      <w:rFonts w:hint="eastAsia"/>
                      <w:color w:val="000000"/>
                      <w:sz w:val="21"/>
                      <w:szCs w:val="21"/>
                      <w:u w:val="single"/>
                    </w:rPr>
                    <w:t>禁止类</w:t>
                  </w:r>
                </w:p>
              </w:tc>
              <w:tc>
                <w:tcPr>
                  <w:tcW w:w="3874" w:type="pct"/>
                  <w:tcBorders>
                    <w:tl2br w:val="nil"/>
                    <w:tr2bl w:val="nil"/>
                  </w:tcBorders>
                  <w:vAlign w:val="center"/>
                </w:tcPr>
                <w:p w14:paraId="4D5819FF">
                  <w:pPr>
                    <w:kinsoku w:val="0"/>
                    <w:wordWrap w:val="0"/>
                    <w:adjustRightInd w:val="0"/>
                    <w:snapToGrid w:val="0"/>
                    <w:jc w:val="center"/>
                    <w:rPr>
                      <w:color w:val="000000"/>
                      <w:sz w:val="21"/>
                      <w:szCs w:val="21"/>
                      <w:u w:val="single"/>
                    </w:rPr>
                  </w:pPr>
                  <w:r>
                    <w:rPr>
                      <w:rFonts w:hint="eastAsia"/>
                      <w:color w:val="000000"/>
                      <w:sz w:val="21"/>
                      <w:szCs w:val="21"/>
                      <w:u w:val="single"/>
                    </w:rPr>
                    <w:t>禁止引入“两高”项目；禁止建设采用落后生产工艺或生产设备，不符合国家、省及地方相关产业政策，使用低效的环保治理措施的项目。禁止在现有及规划居住用地的周边地块上布局噪声影响大或气型污染严重的项目。</w:t>
                  </w:r>
                </w:p>
              </w:tc>
            </w:tr>
          </w:tbl>
          <w:p w14:paraId="0727971F">
            <w:pPr>
              <w:kinsoku w:val="0"/>
              <w:wordWrap w:val="0"/>
              <w:autoSpaceDE w:val="0"/>
              <w:autoSpaceDN w:val="0"/>
              <w:adjustRightInd w:val="0"/>
              <w:snapToGrid w:val="0"/>
              <w:spacing w:line="360" w:lineRule="auto"/>
              <w:ind w:firstLine="480" w:firstLineChars="200"/>
              <w:rPr>
                <w:u w:val="single"/>
              </w:rPr>
            </w:pPr>
            <w:r>
              <w:rPr>
                <w:rFonts w:hint="eastAsia"/>
                <w:u w:val="single"/>
              </w:rPr>
              <w:t>根据上表可知，</w:t>
            </w:r>
            <w:r>
              <w:rPr>
                <w:u w:val="single"/>
              </w:rPr>
              <w:t>本项目属于C</w:t>
            </w:r>
            <w:r>
              <w:rPr>
                <w:rFonts w:hint="eastAsia"/>
                <w:u w:val="single"/>
              </w:rPr>
              <w:t>3311金属结构制造</w:t>
            </w:r>
            <w:r>
              <w:rPr>
                <w:u w:val="single"/>
              </w:rPr>
              <w:t>，虽不属于园区主导产业，但与主导产业不存在冲突，且不属于限制或禁止类产业，故符合园区产业准入要求。</w:t>
            </w:r>
          </w:p>
          <w:p w14:paraId="762D6F1E">
            <w:pPr>
              <w:pStyle w:val="29"/>
              <w:kinsoku w:val="0"/>
              <w:wordWrap w:val="0"/>
              <w:snapToGrid w:val="0"/>
              <w:ind w:firstLine="0" w:firstLineChars="0"/>
              <w:rPr>
                <w:rFonts w:hint="eastAsia" w:ascii="宋体" w:hAnsi="宋体" w:cs="宋体"/>
                <w:b/>
                <w:bCs/>
                <w:u w:val="single"/>
              </w:rPr>
            </w:pPr>
            <w:r>
              <w:rPr>
                <w:rFonts w:hint="eastAsia" w:ascii="宋体" w:hAnsi="宋体" w:eastAsia="宋体" w:cs="宋体"/>
                <w:b/>
                <w:bCs/>
                <w:u w:val="single"/>
              </w:rPr>
              <w:t>三、规划环评及审查意见的符合性分析</w:t>
            </w:r>
          </w:p>
          <w:p w14:paraId="480CD0FA">
            <w:pPr>
              <w:kinsoku w:val="0"/>
              <w:wordWrap w:val="0"/>
              <w:adjustRightInd w:val="0"/>
              <w:snapToGrid w:val="0"/>
              <w:jc w:val="center"/>
              <w:rPr>
                <w:b/>
                <w:bCs/>
                <w:u w:val="single"/>
              </w:rPr>
            </w:pPr>
            <w:r>
              <w:rPr>
                <w:rFonts w:hint="eastAsia"/>
                <w:b/>
                <w:bCs/>
                <w:u w:val="single"/>
              </w:rPr>
              <w:t>表1-3  与规划环评审查意见的符合性分析</w:t>
            </w:r>
          </w:p>
          <w:tbl>
            <w:tblPr>
              <w:tblStyle w:val="24"/>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3580"/>
              <w:gridCol w:w="2468"/>
              <w:gridCol w:w="775"/>
            </w:tblGrid>
            <w:tr w14:paraId="2533A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2EB9E30F">
                  <w:pPr>
                    <w:adjustRightInd w:val="0"/>
                    <w:snapToGrid w:val="0"/>
                    <w:jc w:val="center"/>
                    <w:rPr>
                      <w:b/>
                      <w:bCs/>
                      <w:color w:val="000000"/>
                      <w:sz w:val="21"/>
                      <w:szCs w:val="21"/>
                      <w:u w:val="single"/>
                    </w:rPr>
                  </w:pPr>
                  <w:r>
                    <w:rPr>
                      <w:rFonts w:hint="eastAsia"/>
                      <w:b/>
                      <w:bCs/>
                      <w:color w:val="000000"/>
                      <w:sz w:val="21"/>
                      <w:szCs w:val="21"/>
                      <w:u w:val="single"/>
                    </w:rPr>
                    <w:t>序号</w:t>
                  </w:r>
                </w:p>
              </w:tc>
              <w:tc>
                <w:tcPr>
                  <w:tcW w:w="2413" w:type="pct"/>
                  <w:tcBorders>
                    <w:tl2br w:val="nil"/>
                    <w:tr2bl w:val="nil"/>
                  </w:tcBorders>
                  <w:vAlign w:val="center"/>
                </w:tcPr>
                <w:p w14:paraId="2C4880EE">
                  <w:pPr>
                    <w:adjustRightInd w:val="0"/>
                    <w:snapToGrid w:val="0"/>
                    <w:jc w:val="center"/>
                    <w:rPr>
                      <w:b/>
                      <w:bCs/>
                      <w:color w:val="000000"/>
                      <w:sz w:val="21"/>
                      <w:szCs w:val="21"/>
                      <w:u w:val="single"/>
                    </w:rPr>
                  </w:pPr>
                  <w:r>
                    <w:rPr>
                      <w:rFonts w:hint="eastAsia"/>
                      <w:b/>
                      <w:bCs/>
                      <w:color w:val="000000"/>
                      <w:sz w:val="21"/>
                      <w:szCs w:val="21"/>
                      <w:u w:val="single"/>
                    </w:rPr>
                    <w:t>相关要求</w:t>
                  </w:r>
                </w:p>
              </w:tc>
              <w:tc>
                <w:tcPr>
                  <w:tcW w:w="1663" w:type="pct"/>
                  <w:tcBorders>
                    <w:tl2br w:val="nil"/>
                    <w:tr2bl w:val="nil"/>
                  </w:tcBorders>
                  <w:vAlign w:val="center"/>
                </w:tcPr>
                <w:p w14:paraId="7486F310">
                  <w:pPr>
                    <w:adjustRightInd w:val="0"/>
                    <w:snapToGrid w:val="0"/>
                    <w:jc w:val="center"/>
                    <w:rPr>
                      <w:b/>
                      <w:bCs/>
                      <w:color w:val="000000"/>
                      <w:sz w:val="21"/>
                      <w:szCs w:val="21"/>
                      <w:u w:val="single"/>
                    </w:rPr>
                  </w:pPr>
                  <w:r>
                    <w:rPr>
                      <w:rFonts w:hint="eastAsia"/>
                      <w:b/>
                      <w:bCs/>
                      <w:color w:val="000000"/>
                      <w:sz w:val="21"/>
                      <w:szCs w:val="21"/>
                      <w:u w:val="single"/>
                    </w:rPr>
                    <w:t>本项目情况</w:t>
                  </w:r>
                </w:p>
              </w:tc>
              <w:tc>
                <w:tcPr>
                  <w:tcW w:w="522" w:type="pct"/>
                  <w:tcBorders>
                    <w:tl2br w:val="nil"/>
                    <w:tr2bl w:val="nil"/>
                  </w:tcBorders>
                  <w:vAlign w:val="center"/>
                </w:tcPr>
                <w:p w14:paraId="7827AD63">
                  <w:pPr>
                    <w:adjustRightInd w:val="0"/>
                    <w:snapToGrid w:val="0"/>
                    <w:jc w:val="center"/>
                    <w:rPr>
                      <w:b/>
                      <w:bCs/>
                      <w:color w:val="000000"/>
                      <w:sz w:val="21"/>
                      <w:szCs w:val="21"/>
                      <w:u w:val="single"/>
                    </w:rPr>
                  </w:pPr>
                  <w:r>
                    <w:rPr>
                      <w:rFonts w:hint="eastAsia"/>
                      <w:b/>
                      <w:bCs/>
                      <w:color w:val="000000"/>
                      <w:sz w:val="21"/>
                      <w:szCs w:val="21"/>
                      <w:u w:val="single"/>
                    </w:rPr>
                    <w:t>符合性</w:t>
                  </w:r>
                </w:p>
              </w:tc>
            </w:tr>
            <w:tr w14:paraId="2562C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49136A8B">
                  <w:pPr>
                    <w:adjustRightInd w:val="0"/>
                    <w:snapToGrid w:val="0"/>
                    <w:jc w:val="center"/>
                    <w:rPr>
                      <w:color w:val="000000"/>
                      <w:sz w:val="21"/>
                      <w:szCs w:val="21"/>
                      <w:u w:val="single"/>
                    </w:rPr>
                  </w:pPr>
                  <w:r>
                    <w:rPr>
                      <w:rFonts w:hint="eastAsia"/>
                      <w:color w:val="000000"/>
                      <w:sz w:val="21"/>
                      <w:szCs w:val="21"/>
                      <w:u w:val="single"/>
                    </w:rPr>
                    <w:t>1</w:t>
                  </w:r>
                </w:p>
              </w:tc>
              <w:tc>
                <w:tcPr>
                  <w:tcW w:w="2413" w:type="pct"/>
                  <w:tcBorders>
                    <w:tl2br w:val="nil"/>
                    <w:tr2bl w:val="nil"/>
                  </w:tcBorders>
                  <w:vAlign w:val="center"/>
                </w:tcPr>
                <w:p w14:paraId="08EB2D91">
                  <w:pPr>
                    <w:adjustRightInd w:val="0"/>
                    <w:snapToGrid w:val="0"/>
                    <w:jc w:val="center"/>
                    <w:rPr>
                      <w:color w:val="000000"/>
                      <w:sz w:val="21"/>
                      <w:szCs w:val="21"/>
                      <w:u w:val="single"/>
                    </w:rPr>
                  </w:pPr>
                  <w:r>
                    <w:rPr>
                      <w:rFonts w:hint="eastAsia"/>
                      <w:color w:val="000000"/>
                      <w:sz w:val="21"/>
                      <w:szCs w:val="21"/>
                      <w:u w:val="single"/>
                    </w:rPr>
                    <w:t>做好功能布局，严格执行准入要求。园区在进行国土空间规划和开发建设过程中应从规划层面提升环境相容性，以减小工业开发对城市居住及社会服务功能的影响。经过多年产城融合发展，园区周边存在连片居住用地，在紧邻集中居住区、学校的工业地块应限制新引入噪声大、异味大、气型污染为主的工业项目，并加强对已有气型污染企业的污染控制。园区规划非工业用地上不得新增企业。产业引进应落实园区生态环境分区管控要求，执行《报告书》提出的产业定位和产业生态环境准入清单，对于《长江经济带发展负面清单指南》《湖南省湘江保护条例》（最新修正版）《益阳市资江保护条例》提出的相关禁止性、限制性要求应予以落实。</w:t>
                  </w:r>
                </w:p>
              </w:tc>
              <w:tc>
                <w:tcPr>
                  <w:tcW w:w="1663" w:type="pct"/>
                  <w:tcBorders>
                    <w:tl2br w:val="nil"/>
                    <w:tr2bl w:val="nil"/>
                  </w:tcBorders>
                  <w:vAlign w:val="center"/>
                </w:tcPr>
                <w:p w14:paraId="0C6EDA80">
                  <w:pPr>
                    <w:adjustRightInd w:val="0"/>
                    <w:snapToGrid w:val="0"/>
                    <w:jc w:val="center"/>
                    <w:rPr>
                      <w:color w:val="000000"/>
                      <w:sz w:val="21"/>
                      <w:szCs w:val="21"/>
                      <w:u w:val="single"/>
                    </w:rPr>
                  </w:pPr>
                  <w:r>
                    <w:rPr>
                      <w:rFonts w:hint="eastAsia"/>
                      <w:color w:val="000000"/>
                      <w:sz w:val="21"/>
                      <w:szCs w:val="21"/>
                      <w:u w:val="single"/>
                    </w:rPr>
                    <w:t>1、本项目不属于噪声大、异味大、气型污染为主的工业项目，</w:t>
                  </w:r>
                  <w:bookmarkStart w:id="17" w:name="OLE_LINK9"/>
                  <w:r>
                    <w:rPr>
                      <w:rFonts w:hint="eastAsia"/>
                      <w:color w:val="000000"/>
                      <w:sz w:val="21"/>
                      <w:szCs w:val="21"/>
                      <w:u w:val="single"/>
                    </w:rPr>
                    <w:t>本项目喷漆晾干废气经喷漆房密闭负压收集至干式过滤棉+三级活性炭吸附处理后经15m排气筒（DA001）排放</w:t>
                  </w:r>
                  <w:bookmarkEnd w:id="17"/>
                  <w:r>
                    <w:rPr>
                      <w:rFonts w:hint="eastAsia"/>
                      <w:color w:val="000000"/>
                      <w:sz w:val="21"/>
                      <w:szCs w:val="21"/>
                      <w:u w:val="single"/>
                    </w:rPr>
                    <w:t>；抛丸废气经设备自带除尘设施处理后无组织排放；下料、焊接废气经移动式袋式除尘器收集处理后无组织排放；噪声经预测能满足相关标准要求。</w:t>
                  </w:r>
                </w:p>
                <w:p w14:paraId="413FC9B3">
                  <w:pPr>
                    <w:adjustRightInd w:val="0"/>
                    <w:snapToGrid w:val="0"/>
                    <w:jc w:val="center"/>
                    <w:rPr>
                      <w:color w:val="000000"/>
                      <w:sz w:val="21"/>
                      <w:szCs w:val="21"/>
                      <w:u w:val="single"/>
                    </w:rPr>
                  </w:pPr>
                  <w:r>
                    <w:rPr>
                      <w:rFonts w:hint="eastAsia"/>
                      <w:color w:val="000000"/>
                      <w:sz w:val="21"/>
                      <w:szCs w:val="21"/>
                      <w:u w:val="single"/>
                    </w:rPr>
                    <w:t>2、本项目属于</w:t>
                  </w:r>
                  <w:r>
                    <w:rPr>
                      <w:color w:val="000000"/>
                      <w:sz w:val="21"/>
                      <w:szCs w:val="21"/>
                      <w:u w:val="single"/>
                    </w:rPr>
                    <w:t>C</w:t>
                  </w:r>
                  <w:r>
                    <w:rPr>
                      <w:rFonts w:hint="eastAsia"/>
                      <w:color w:val="000000"/>
                      <w:sz w:val="21"/>
                      <w:szCs w:val="21"/>
                      <w:u w:val="single"/>
                    </w:rPr>
                    <w:t>3311金属结构制造，不属于《报告书》《长江经济带发展负面清单指南》《湖南省湘江保护条例》（最新修正版）《益阳市资江保护条例》等文件中提出的限制类和禁止类。</w:t>
                  </w:r>
                </w:p>
              </w:tc>
              <w:tc>
                <w:tcPr>
                  <w:tcW w:w="522" w:type="pct"/>
                  <w:tcBorders>
                    <w:tl2br w:val="nil"/>
                    <w:tr2bl w:val="nil"/>
                  </w:tcBorders>
                  <w:vAlign w:val="center"/>
                </w:tcPr>
                <w:p w14:paraId="4729B071">
                  <w:pPr>
                    <w:adjustRightInd w:val="0"/>
                    <w:snapToGrid w:val="0"/>
                    <w:jc w:val="center"/>
                    <w:rPr>
                      <w:color w:val="000000"/>
                      <w:sz w:val="21"/>
                      <w:szCs w:val="21"/>
                      <w:u w:val="single"/>
                    </w:rPr>
                  </w:pPr>
                  <w:r>
                    <w:rPr>
                      <w:rFonts w:hint="eastAsia"/>
                      <w:color w:val="000000"/>
                      <w:sz w:val="21"/>
                      <w:szCs w:val="21"/>
                      <w:u w:val="single"/>
                    </w:rPr>
                    <w:t>符合</w:t>
                  </w:r>
                </w:p>
              </w:tc>
            </w:tr>
            <w:tr w14:paraId="2D358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594A3E41">
                  <w:pPr>
                    <w:adjustRightInd w:val="0"/>
                    <w:snapToGrid w:val="0"/>
                    <w:jc w:val="center"/>
                    <w:rPr>
                      <w:color w:val="000000"/>
                      <w:sz w:val="21"/>
                      <w:szCs w:val="21"/>
                      <w:u w:val="single"/>
                    </w:rPr>
                  </w:pPr>
                  <w:r>
                    <w:rPr>
                      <w:rFonts w:hint="eastAsia"/>
                      <w:color w:val="000000"/>
                      <w:sz w:val="21"/>
                      <w:szCs w:val="21"/>
                      <w:u w:val="single"/>
                    </w:rPr>
                    <w:t>2</w:t>
                  </w:r>
                </w:p>
              </w:tc>
              <w:tc>
                <w:tcPr>
                  <w:tcW w:w="2413" w:type="pct"/>
                  <w:tcBorders>
                    <w:tl2br w:val="nil"/>
                    <w:tr2bl w:val="nil"/>
                  </w:tcBorders>
                  <w:vAlign w:val="center"/>
                </w:tcPr>
                <w:p w14:paraId="2996A249">
                  <w:pPr>
                    <w:adjustRightInd w:val="0"/>
                    <w:snapToGrid w:val="0"/>
                    <w:ind w:firstLine="420" w:firstLineChars="200"/>
                    <w:jc w:val="center"/>
                    <w:rPr>
                      <w:color w:val="000000"/>
                      <w:sz w:val="21"/>
                      <w:szCs w:val="21"/>
                      <w:u w:val="single"/>
                    </w:rPr>
                  </w:pPr>
                  <w:r>
                    <w:rPr>
                      <w:rFonts w:hint="eastAsia"/>
                      <w:color w:val="000000"/>
                      <w:sz w:val="21"/>
                      <w:szCs w:val="21"/>
                      <w:u w:val="single"/>
                    </w:rPr>
                    <w:t>落实管控措施，加强园区污染治理。园区应切实抓好污水处理设施及配套管网的建设和运维，做好雨污分流，确保园区各片区生产生活废水应收尽收，全部送至污水处理厂集中处理。园区引进项目要符合污水处理厂处理能力和排污口审批所规定的废水排放量等要求，确保尾水浓度达到污水处理厂环评及排污口批复的相关标准。区块六废水现状进入衡龙新区污水处理厂处理，后续规划宁韶高速以北排入衡龙新区处理厂处理，宁韶高速以南区域排入拟建的侍郎河污水处理厂处理。园区后续应落实关于水污染防治、排水方案优化、环保基础设施建设运行等方面的政策要求。</w:t>
                  </w:r>
                </w:p>
                <w:p w14:paraId="12DCA051">
                  <w:pPr>
                    <w:adjustRightInd w:val="0"/>
                    <w:snapToGrid w:val="0"/>
                    <w:ind w:firstLine="420" w:firstLineChars="200"/>
                    <w:jc w:val="center"/>
                    <w:rPr>
                      <w:color w:val="000000"/>
                      <w:sz w:val="21"/>
                      <w:szCs w:val="21"/>
                      <w:u w:val="single"/>
                    </w:rPr>
                  </w:pPr>
                  <w:r>
                    <w:rPr>
                      <w:rFonts w:hint="eastAsia"/>
                      <w:color w:val="000000"/>
                      <w:sz w:val="21"/>
                      <w:szCs w:val="21"/>
                      <w:u w:val="single"/>
                    </w:rPr>
                    <w:t>园区应加强大气污染防治，控制相关特征污染物的无组织排放，督促园区企业重点做好</w:t>
                  </w:r>
                  <w:r>
                    <w:rPr>
                      <w:color w:val="000000"/>
                      <w:sz w:val="21"/>
                      <w:szCs w:val="21"/>
                      <w:u w:val="single"/>
                    </w:rPr>
                    <w:t>V0Cs、</w:t>
                  </w:r>
                  <w:r>
                    <w:rPr>
                      <w:rFonts w:hint="eastAsia"/>
                      <w:color w:val="000000"/>
                      <w:sz w:val="21"/>
                      <w:szCs w:val="21"/>
                      <w:u w:val="single"/>
                    </w:rPr>
                    <w:t>恶臭治理，限期淘汰2t/h及以下生物质锅炉，鼓励采用高效、稳定、成熟的环保设施，对重点排放的生产设施予以严格监管，确保其处理设施稳妥、持续有效运行，严格落实大气污染防治特护期及重污染天气应急响应的相关减排要求。园区涉及高污染燃料禁燃区范围应严格执行《益阳市人民政府关于划定高污染燃料禁燃区范围的通告》（益政通〔</w:t>
                  </w:r>
                  <w:r>
                    <w:rPr>
                      <w:color w:val="000000"/>
                      <w:sz w:val="21"/>
                      <w:szCs w:val="21"/>
                      <w:u w:val="single"/>
                    </w:rPr>
                    <w:t>20</w:t>
                  </w:r>
                  <w:r>
                    <w:rPr>
                      <w:rFonts w:hint="eastAsia"/>
                      <w:color w:val="000000"/>
                      <w:sz w:val="21"/>
                      <w:szCs w:val="21"/>
                      <w:u w:val="single"/>
                    </w:rPr>
                    <w:t>22〕4号）中相关要求。</w:t>
                  </w:r>
                </w:p>
                <w:p w14:paraId="34FEF614">
                  <w:pPr>
                    <w:adjustRightInd w:val="0"/>
                    <w:snapToGrid w:val="0"/>
                    <w:ind w:firstLine="420" w:firstLineChars="200"/>
                    <w:jc w:val="center"/>
                    <w:rPr>
                      <w:color w:val="000000"/>
                      <w:sz w:val="21"/>
                      <w:szCs w:val="21"/>
                      <w:u w:val="single"/>
                    </w:rPr>
                  </w:pPr>
                  <w:r>
                    <w:rPr>
                      <w:rFonts w:hint="eastAsia"/>
                      <w:color w:val="000000"/>
                      <w:sz w:val="21"/>
                      <w:szCs w:val="21"/>
                      <w:u w:val="single"/>
                    </w:rPr>
                    <w:t>园区须定期组织园区内重点监管企业开展土壤、地下水污染隐患排查，发现问题及时采取措施整改。园区须建立完善的固体废物产生、收集、贮存、运输、利用和处置管理体系。对危险废物应严格按照国家有关规定安全贮存或妥善处理，对危险废物的产生、收集、处置单位，应强化日常环境监管。一般工业固体废物按照《一般工业固体废物贮存和填埋污染控制标准》(GB18599-2020)要求管理，委托他人运输、利用、处置的，应当对受委托方的主体资格和技术能力进行核实，依法签订书面合同在合同中约定污染防治要求。</w:t>
                  </w:r>
                </w:p>
                <w:p w14:paraId="10433116">
                  <w:pPr>
                    <w:adjustRightInd w:val="0"/>
                    <w:snapToGrid w:val="0"/>
                    <w:ind w:firstLine="420" w:firstLineChars="200"/>
                    <w:jc w:val="center"/>
                    <w:rPr>
                      <w:color w:val="000000"/>
                      <w:sz w:val="21"/>
                      <w:szCs w:val="21"/>
                      <w:u w:val="single"/>
                    </w:rPr>
                  </w:pPr>
                  <w:r>
                    <w:rPr>
                      <w:rFonts w:hint="eastAsia"/>
                      <w:color w:val="000000"/>
                      <w:sz w:val="21"/>
                      <w:szCs w:val="21"/>
                      <w:u w:val="single"/>
                    </w:rPr>
                    <w:t>园区须严格落实排污许可制度和污染物排放总量控制，推动入园企业按规定要求开展清洁生产审核，持续提升企业清洁生产水平。</w:t>
                  </w:r>
                </w:p>
              </w:tc>
              <w:tc>
                <w:tcPr>
                  <w:tcW w:w="1663" w:type="pct"/>
                  <w:tcBorders>
                    <w:tl2br w:val="nil"/>
                    <w:tr2bl w:val="nil"/>
                  </w:tcBorders>
                  <w:vAlign w:val="center"/>
                </w:tcPr>
                <w:p w14:paraId="73D12B37">
                  <w:pPr>
                    <w:adjustRightInd w:val="0"/>
                    <w:snapToGrid w:val="0"/>
                    <w:jc w:val="center"/>
                    <w:rPr>
                      <w:color w:val="000000"/>
                      <w:sz w:val="21"/>
                      <w:szCs w:val="21"/>
                      <w:u w:val="single"/>
                    </w:rPr>
                  </w:pPr>
                  <w:r>
                    <w:rPr>
                      <w:rFonts w:hint="eastAsia"/>
                      <w:color w:val="000000"/>
                      <w:sz w:val="21"/>
                      <w:szCs w:val="21"/>
                      <w:u w:val="single"/>
                    </w:rPr>
                    <w:t>1、本项目为区块六范围内，生活污水经化粪池处理后排入污水管网进入衡龙新区污水处理厂处理后排放；</w:t>
                  </w:r>
                </w:p>
                <w:p w14:paraId="3A73D5EA">
                  <w:pPr>
                    <w:adjustRightInd w:val="0"/>
                    <w:snapToGrid w:val="0"/>
                    <w:jc w:val="center"/>
                    <w:rPr>
                      <w:color w:val="000000"/>
                      <w:sz w:val="21"/>
                      <w:szCs w:val="21"/>
                      <w:u w:val="single"/>
                    </w:rPr>
                  </w:pPr>
                  <w:r>
                    <w:rPr>
                      <w:rFonts w:hint="eastAsia"/>
                      <w:color w:val="000000"/>
                      <w:sz w:val="21"/>
                      <w:szCs w:val="21"/>
                      <w:u w:val="single"/>
                    </w:rPr>
                    <w:t>2、本项目喷漆晾干废气经喷漆房密闭负压收集至干式过滤棉+三级活性炭吸附处理后经15m排气筒（DA001）排放；抛丸废气经设备自带除尘设施处理后无组织排放；下料、焊接废气经移动式袋式除尘器收集处理后无组织排放；且不涉及燃料的使用。</w:t>
                  </w:r>
                </w:p>
                <w:p w14:paraId="6BBAF6EB">
                  <w:pPr>
                    <w:adjustRightInd w:val="0"/>
                    <w:snapToGrid w:val="0"/>
                    <w:jc w:val="center"/>
                    <w:rPr>
                      <w:color w:val="000000"/>
                      <w:sz w:val="21"/>
                      <w:szCs w:val="21"/>
                      <w:u w:val="single"/>
                    </w:rPr>
                  </w:pPr>
                  <w:r>
                    <w:rPr>
                      <w:rFonts w:hint="eastAsia"/>
                      <w:color w:val="000000"/>
                      <w:sz w:val="21"/>
                      <w:szCs w:val="21"/>
                      <w:u w:val="single"/>
                    </w:rPr>
                    <w:t>3、本项目不属于重点监管企业，且产生的一般固废均分类暂存于一般固废暂存间，定期外售综合利用；危险废物均分类暂存于危废间，定期交由有资质单位处置；</w:t>
                  </w:r>
                </w:p>
                <w:p w14:paraId="7CBEDAED">
                  <w:pPr>
                    <w:adjustRightInd w:val="0"/>
                    <w:snapToGrid w:val="0"/>
                    <w:jc w:val="center"/>
                    <w:rPr>
                      <w:color w:val="000000"/>
                      <w:sz w:val="21"/>
                      <w:szCs w:val="21"/>
                      <w:u w:val="single"/>
                    </w:rPr>
                  </w:pPr>
                  <w:r>
                    <w:rPr>
                      <w:rFonts w:hint="eastAsia"/>
                      <w:color w:val="000000"/>
                      <w:sz w:val="21"/>
                      <w:szCs w:val="21"/>
                      <w:u w:val="single"/>
                    </w:rPr>
                    <w:t>4、项目建成后尽快申请排污许可登记，对污染源进行管理，实现持证排污。</w:t>
                  </w:r>
                </w:p>
              </w:tc>
              <w:tc>
                <w:tcPr>
                  <w:tcW w:w="522" w:type="pct"/>
                  <w:tcBorders>
                    <w:tl2br w:val="nil"/>
                    <w:tr2bl w:val="nil"/>
                  </w:tcBorders>
                  <w:vAlign w:val="center"/>
                </w:tcPr>
                <w:p w14:paraId="40E1B04E">
                  <w:pPr>
                    <w:adjustRightInd w:val="0"/>
                    <w:snapToGrid w:val="0"/>
                    <w:jc w:val="center"/>
                    <w:rPr>
                      <w:color w:val="000000"/>
                      <w:sz w:val="21"/>
                      <w:szCs w:val="21"/>
                      <w:u w:val="single"/>
                    </w:rPr>
                  </w:pPr>
                  <w:r>
                    <w:rPr>
                      <w:rFonts w:hint="eastAsia"/>
                      <w:color w:val="000000"/>
                      <w:sz w:val="21"/>
                      <w:szCs w:val="21"/>
                      <w:u w:val="single"/>
                    </w:rPr>
                    <w:t>符合</w:t>
                  </w:r>
                </w:p>
              </w:tc>
            </w:tr>
            <w:tr w14:paraId="382E0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791850F2">
                  <w:pPr>
                    <w:adjustRightInd w:val="0"/>
                    <w:snapToGrid w:val="0"/>
                    <w:jc w:val="center"/>
                    <w:rPr>
                      <w:color w:val="000000"/>
                      <w:sz w:val="21"/>
                      <w:szCs w:val="21"/>
                      <w:u w:val="single"/>
                    </w:rPr>
                  </w:pPr>
                  <w:r>
                    <w:rPr>
                      <w:rFonts w:hint="eastAsia"/>
                      <w:color w:val="000000"/>
                      <w:sz w:val="21"/>
                      <w:szCs w:val="21"/>
                      <w:u w:val="single"/>
                    </w:rPr>
                    <w:t>3</w:t>
                  </w:r>
                </w:p>
              </w:tc>
              <w:tc>
                <w:tcPr>
                  <w:tcW w:w="2413" w:type="pct"/>
                  <w:tcBorders>
                    <w:tl2br w:val="nil"/>
                    <w:tr2bl w:val="nil"/>
                  </w:tcBorders>
                  <w:vAlign w:val="center"/>
                </w:tcPr>
                <w:p w14:paraId="34E64CC6">
                  <w:pPr>
                    <w:kinsoku w:val="0"/>
                    <w:wordWrap w:val="0"/>
                    <w:adjustRightInd w:val="0"/>
                    <w:snapToGrid w:val="0"/>
                    <w:jc w:val="center"/>
                    <w:rPr>
                      <w:color w:val="000000"/>
                      <w:sz w:val="21"/>
                      <w:szCs w:val="21"/>
                      <w:u w:val="single"/>
                    </w:rPr>
                  </w:pPr>
                  <w:r>
                    <w:rPr>
                      <w:rFonts w:hint="eastAsia"/>
                      <w:sz w:val="21"/>
                      <w:szCs w:val="21"/>
                      <w:u w:val="single"/>
                    </w:rPr>
                    <w:t>完善监测体系，监控环境质量变化状况。园区应按照《报告书》提出的跟踪监测方案落实相关工作，建立健全各环境要素的监控体系，督促相关企业严格按要求安装在线监测并联网。园区应加强对重点气型污染排放企业、污水处理厂的监督，配合生态环境部门开展执法监测，严防企业废水废气偷排漏排或污染治理措施不正常运行。重点加强对周边集中居住区大气环境质量的监测，并涵盖相关特征排放因子。园区须督促现有4家和新增的环境监管重点单位，按照《环境监管重点单位名录管理办法》的要求履行自行监测、信息公开等法律义务，并做好日常监督抽查。</w:t>
                  </w:r>
                </w:p>
              </w:tc>
              <w:tc>
                <w:tcPr>
                  <w:tcW w:w="1663" w:type="pct"/>
                  <w:tcBorders>
                    <w:tl2br w:val="nil"/>
                    <w:tr2bl w:val="nil"/>
                  </w:tcBorders>
                  <w:vAlign w:val="center"/>
                </w:tcPr>
                <w:p w14:paraId="021C2153">
                  <w:pPr>
                    <w:adjustRightInd w:val="0"/>
                    <w:snapToGrid w:val="0"/>
                    <w:jc w:val="center"/>
                    <w:rPr>
                      <w:color w:val="000000"/>
                      <w:sz w:val="21"/>
                      <w:szCs w:val="21"/>
                      <w:u w:val="single"/>
                    </w:rPr>
                  </w:pPr>
                  <w:r>
                    <w:rPr>
                      <w:rFonts w:hint="eastAsia"/>
                      <w:color w:val="000000"/>
                      <w:sz w:val="21"/>
                      <w:szCs w:val="21"/>
                      <w:u w:val="single"/>
                    </w:rPr>
                    <w:t>本项目不属于</w:t>
                  </w:r>
                  <w:r>
                    <w:rPr>
                      <w:rFonts w:hint="eastAsia"/>
                      <w:sz w:val="21"/>
                      <w:szCs w:val="21"/>
                      <w:u w:val="single"/>
                    </w:rPr>
                    <w:t>环境监管重点单位，环评要求建设单位在本项目建设完成后，按照相关要求办理排污许可证，并按照排污许可的相关要求定期进行监测。</w:t>
                  </w:r>
                </w:p>
              </w:tc>
              <w:tc>
                <w:tcPr>
                  <w:tcW w:w="522" w:type="pct"/>
                  <w:tcBorders>
                    <w:tl2br w:val="nil"/>
                    <w:tr2bl w:val="nil"/>
                  </w:tcBorders>
                  <w:vAlign w:val="center"/>
                </w:tcPr>
                <w:p w14:paraId="0C371505">
                  <w:pPr>
                    <w:adjustRightInd w:val="0"/>
                    <w:snapToGrid w:val="0"/>
                    <w:jc w:val="center"/>
                    <w:rPr>
                      <w:color w:val="000000"/>
                      <w:sz w:val="21"/>
                      <w:szCs w:val="21"/>
                      <w:u w:val="single"/>
                    </w:rPr>
                  </w:pPr>
                  <w:r>
                    <w:rPr>
                      <w:rFonts w:hint="eastAsia"/>
                      <w:color w:val="000000"/>
                      <w:sz w:val="21"/>
                      <w:szCs w:val="21"/>
                      <w:u w:val="single"/>
                    </w:rPr>
                    <w:t>符合</w:t>
                  </w:r>
                </w:p>
              </w:tc>
            </w:tr>
            <w:tr w14:paraId="029E3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58B10239">
                  <w:pPr>
                    <w:adjustRightInd w:val="0"/>
                    <w:snapToGrid w:val="0"/>
                    <w:jc w:val="center"/>
                    <w:rPr>
                      <w:color w:val="000000"/>
                      <w:sz w:val="21"/>
                      <w:szCs w:val="21"/>
                      <w:u w:val="single"/>
                    </w:rPr>
                  </w:pPr>
                  <w:r>
                    <w:rPr>
                      <w:rFonts w:hint="eastAsia"/>
                      <w:color w:val="000000"/>
                      <w:sz w:val="21"/>
                      <w:szCs w:val="21"/>
                      <w:u w:val="single"/>
                    </w:rPr>
                    <w:t>4</w:t>
                  </w:r>
                </w:p>
              </w:tc>
              <w:tc>
                <w:tcPr>
                  <w:tcW w:w="2413" w:type="pct"/>
                  <w:tcBorders>
                    <w:tl2br w:val="nil"/>
                    <w:tr2bl w:val="nil"/>
                  </w:tcBorders>
                  <w:vAlign w:val="center"/>
                </w:tcPr>
                <w:p w14:paraId="19AF339B">
                  <w:pPr>
                    <w:kinsoku w:val="0"/>
                    <w:wordWrap w:val="0"/>
                    <w:adjustRightInd w:val="0"/>
                    <w:snapToGrid w:val="0"/>
                    <w:jc w:val="center"/>
                    <w:rPr>
                      <w:sz w:val="21"/>
                      <w:szCs w:val="21"/>
                      <w:u w:val="single"/>
                    </w:rPr>
                  </w:pPr>
                  <w:r>
                    <w:rPr>
                      <w:rFonts w:hint="eastAsia"/>
                      <w:sz w:val="21"/>
                      <w:szCs w:val="21"/>
                      <w:u w:val="single"/>
                    </w:rPr>
                    <w:t>强化风险管控，严防园区环境事故。建立健全园区环境风险管理工作长效机制，加强园区环境风险防控、预警和应急体系建设，全面提升园区环境风险防控和环境事故应急处置能力，确保区域水环境安全。</w:t>
                  </w:r>
                </w:p>
              </w:tc>
              <w:tc>
                <w:tcPr>
                  <w:tcW w:w="1663" w:type="pct"/>
                  <w:tcBorders>
                    <w:tl2br w:val="nil"/>
                    <w:tr2bl w:val="nil"/>
                  </w:tcBorders>
                  <w:vAlign w:val="center"/>
                </w:tcPr>
                <w:p w14:paraId="715B6E30">
                  <w:pPr>
                    <w:adjustRightInd w:val="0"/>
                    <w:snapToGrid w:val="0"/>
                    <w:jc w:val="center"/>
                    <w:rPr>
                      <w:color w:val="000000"/>
                      <w:sz w:val="21"/>
                      <w:szCs w:val="21"/>
                      <w:u w:val="single"/>
                    </w:rPr>
                  </w:pPr>
                  <w:r>
                    <w:rPr>
                      <w:rFonts w:hint="eastAsia"/>
                      <w:kern w:val="21"/>
                      <w:sz w:val="21"/>
                      <w:szCs w:val="21"/>
                      <w:u w:val="single"/>
                    </w:rPr>
                    <w:t>本环评要求建设单位在项目建成投产后按照相关要求及时编制环境事件应急预案或办理应急预案豁免手续，并进行备案。</w:t>
                  </w:r>
                </w:p>
              </w:tc>
              <w:tc>
                <w:tcPr>
                  <w:tcW w:w="522" w:type="pct"/>
                  <w:tcBorders>
                    <w:tl2br w:val="nil"/>
                    <w:tr2bl w:val="nil"/>
                  </w:tcBorders>
                  <w:vAlign w:val="center"/>
                </w:tcPr>
                <w:p w14:paraId="5B9F2012">
                  <w:pPr>
                    <w:adjustRightInd w:val="0"/>
                    <w:snapToGrid w:val="0"/>
                    <w:jc w:val="center"/>
                    <w:rPr>
                      <w:color w:val="000000"/>
                      <w:sz w:val="21"/>
                      <w:szCs w:val="21"/>
                      <w:u w:val="single"/>
                    </w:rPr>
                  </w:pPr>
                  <w:r>
                    <w:rPr>
                      <w:rFonts w:hint="eastAsia"/>
                      <w:color w:val="000000"/>
                      <w:sz w:val="21"/>
                      <w:szCs w:val="21"/>
                      <w:u w:val="single"/>
                    </w:rPr>
                    <w:t>符合</w:t>
                  </w:r>
                </w:p>
              </w:tc>
            </w:tr>
            <w:tr w14:paraId="690AF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0BA8B96D">
                  <w:pPr>
                    <w:adjustRightInd w:val="0"/>
                    <w:snapToGrid w:val="0"/>
                    <w:jc w:val="center"/>
                    <w:rPr>
                      <w:color w:val="000000"/>
                      <w:sz w:val="21"/>
                      <w:szCs w:val="21"/>
                      <w:u w:val="single"/>
                    </w:rPr>
                  </w:pPr>
                  <w:r>
                    <w:rPr>
                      <w:rFonts w:hint="eastAsia"/>
                      <w:color w:val="000000"/>
                      <w:sz w:val="21"/>
                      <w:szCs w:val="21"/>
                      <w:u w:val="single"/>
                    </w:rPr>
                    <w:t>5</w:t>
                  </w:r>
                </w:p>
              </w:tc>
              <w:tc>
                <w:tcPr>
                  <w:tcW w:w="2413" w:type="pct"/>
                  <w:tcBorders>
                    <w:tl2br w:val="nil"/>
                    <w:tr2bl w:val="nil"/>
                  </w:tcBorders>
                  <w:vAlign w:val="center"/>
                </w:tcPr>
                <w:p w14:paraId="62DE511B">
                  <w:pPr>
                    <w:kinsoku w:val="0"/>
                    <w:wordWrap w:val="0"/>
                    <w:adjustRightInd w:val="0"/>
                    <w:snapToGrid w:val="0"/>
                    <w:jc w:val="center"/>
                    <w:rPr>
                      <w:sz w:val="21"/>
                      <w:szCs w:val="21"/>
                      <w:u w:val="single"/>
                    </w:rPr>
                  </w:pPr>
                  <w:r>
                    <w:rPr>
                      <w:rFonts w:hint="eastAsia"/>
                      <w:sz w:val="21"/>
                      <w:szCs w:val="21"/>
                      <w:u w:val="single"/>
                    </w:rPr>
                    <w:t>做好周边控规，落实搬迁安置计划。园区管委会与地方政府应共同做好控规，确保园区开发过程中的居民搬迁安置到位，防止发生居民再次安置和次生环境问题。</w:t>
                  </w:r>
                </w:p>
              </w:tc>
              <w:tc>
                <w:tcPr>
                  <w:tcW w:w="1663" w:type="pct"/>
                  <w:tcBorders>
                    <w:tl2br w:val="nil"/>
                    <w:tr2bl w:val="nil"/>
                  </w:tcBorders>
                  <w:vAlign w:val="center"/>
                </w:tcPr>
                <w:p w14:paraId="05DA66B9">
                  <w:pPr>
                    <w:adjustRightInd w:val="0"/>
                    <w:snapToGrid w:val="0"/>
                    <w:jc w:val="center"/>
                    <w:rPr>
                      <w:color w:val="000000"/>
                      <w:sz w:val="21"/>
                      <w:szCs w:val="21"/>
                      <w:u w:val="single"/>
                    </w:rPr>
                  </w:pPr>
                  <w:r>
                    <w:rPr>
                      <w:rFonts w:hint="eastAsia"/>
                      <w:color w:val="000000"/>
                      <w:sz w:val="21"/>
                      <w:szCs w:val="21"/>
                      <w:u w:val="single"/>
                    </w:rPr>
                    <w:t>本项目不涉及。</w:t>
                  </w:r>
                </w:p>
              </w:tc>
              <w:tc>
                <w:tcPr>
                  <w:tcW w:w="522" w:type="pct"/>
                  <w:tcBorders>
                    <w:tl2br w:val="nil"/>
                    <w:tr2bl w:val="nil"/>
                  </w:tcBorders>
                  <w:vAlign w:val="center"/>
                </w:tcPr>
                <w:p w14:paraId="26A37D4F">
                  <w:pPr>
                    <w:adjustRightInd w:val="0"/>
                    <w:snapToGrid w:val="0"/>
                    <w:jc w:val="center"/>
                    <w:rPr>
                      <w:color w:val="000000"/>
                      <w:sz w:val="21"/>
                      <w:szCs w:val="21"/>
                      <w:u w:val="single"/>
                    </w:rPr>
                  </w:pPr>
                  <w:r>
                    <w:rPr>
                      <w:rFonts w:hint="eastAsia"/>
                      <w:color w:val="000000"/>
                      <w:sz w:val="21"/>
                      <w:szCs w:val="21"/>
                      <w:u w:val="single"/>
                    </w:rPr>
                    <w:t>符合</w:t>
                  </w:r>
                </w:p>
              </w:tc>
            </w:tr>
            <w:tr w14:paraId="4A397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2" w:type="pct"/>
                  <w:tcBorders>
                    <w:tl2br w:val="nil"/>
                    <w:tr2bl w:val="nil"/>
                  </w:tcBorders>
                  <w:vAlign w:val="center"/>
                </w:tcPr>
                <w:p w14:paraId="64F48D73">
                  <w:pPr>
                    <w:adjustRightInd w:val="0"/>
                    <w:snapToGrid w:val="0"/>
                    <w:jc w:val="center"/>
                    <w:rPr>
                      <w:color w:val="000000"/>
                      <w:sz w:val="21"/>
                      <w:szCs w:val="21"/>
                      <w:u w:val="single"/>
                    </w:rPr>
                  </w:pPr>
                  <w:r>
                    <w:rPr>
                      <w:rFonts w:hint="eastAsia"/>
                      <w:color w:val="000000"/>
                      <w:sz w:val="21"/>
                      <w:szCs w:val="21"/>
                      <w:u w:val="single"/>
                    </w:rPr>
                    <w:t>6</w:t>
                  </w:r>
                </w:p>
              </w:tc>
              <w:tc>
                <w:tcPr>
                  <w:tcW w:w="2413" w:type="pct"/>
                  <w:tcBorders>
                    <w:tl2br w:val="nil"/>
                    <w:tr2bl w:val="nil"/>
                  </w:tcBorders>
                  <w:vAlign w:val="center"/>
                </w:tcPr>
                <w:p w14:paraId="14E3501E">
                  <w:pPr>
                    <w:kinsoku w:val="0"/>
                    <w:wordWrap w:val="0"/>
                    <w:adjustRightInd w:val="0"/>
                    <w:snapToGrid w:val="0"/>
                    <w:jc w:val="center"/>
                    <w:rPr>
                      <w:sz w:val="21"/>
                      <w:szCs w:val="21"/>
                      <w:u w:val="single"/>
                    </w:rPr>
                  </w:pPr>
                  <w:r>
                    <w:rPr>
                      <w:rFonts w:hint="eastAsia"/>
                      <w:sz w:val="21"/>
                      <w:szCs w:val="21"/>
                      <w:u w:val="single"/>
                    </w:rPr>
                    <w:t>做好园区建设期生态保护。尽可能保留自然水体，施工期对土石方开挖、堆存及回填要实施围挡、护坡等措施，裸露地及时恢复植被，杜绝施工建设对地表水体的污染。</w:t>
                  </w:r>
                </w:p>
              </w:tc>
              <w:tc>
                <w:tcPr>
                  <w:tcW w:w="1663" w:type="pct"/>
                  <w:tcBorders>
                    <w:tl2br w:val="nil"/>
                    <w:tr2bl w:val="nil"/>
                  </w:tcBorders>
                  <w:vAlign w:val="center"/>
                </w:tcPr>
                <w:p w14:paraId="6F85527B">
                  <w:pPr>
                    <w:adjustRightInd w:val="0"/>
                    <w:snapToGrid w:val="0"/>
                    <w:jc w:val="center"/>
                    <w:rPr>
                      <w:color w:val="000000"/>
                      <w:sz w:val="21"/>
                      <w:szCs w:val="21"/>
                      <w:u w:val="single"/>
                    </w:rPr>
                  </w:pPr>
                  <w:r>
                    <w:rPr>
                      <w:rFonts w:hint="eastAsia"/>
                      <w:color w:val="000000"/>
                      <w:sz w:val="21"/>
                      <w:szCs w:val="21"/>
                      <w:u w:val="single"/>
                    </w:rPr>
                    <w:t>本项目租赁</w:t>
                  </w:r>
                  <w:r>
                    <w:rPr>
                      <w:color w:val="000000"/>
                      <w:sz w:val="21"/>
                      <w:szCs w:val="21"/>
                      <w:u w:val="single"/>
                    </w:rPr>
                    <w:t>益阳市赫山区龙岭产业开发区新材料产业园朝阳路粤浙城科技示范基地</w:t>
                  </w:r>
                  <w:r>
                    <w:rPr>
                      <w:rFonts w:hint="eastAsia"/>
                      <w:color w:val="000000"/>
                      <w:sz w:val="21"/>
                      <w:szCs w:val="21"/>
                      <w:u w:val="single"/>
                    </w:rPr>
                    <w:t>8栋建设项目，</w:t>
                  </w:r>
                  <w:r>
                    <w:rPr>
                      <w:color w:val="000000"/>
                      <w:sz w:val="21"/>
                      <w:szCs w:val="21"/>
                      <w:u w:val="single"/>
                    </w:rPr>
                    <w:t>施工期无土建工程</w:t>
                  </w:r>
                  <w:r>
                    <w:rPr>
                      <w:rFonts w:hint="eastAsia"/>
                      <w:color w:val="000000"/>
                      <w:sz w:val="21"/>
                      <w:szCs w:val="21"/>
                      <w:u w:val="single"/>
                    </w:rPr>
                    <w:t>，</w:t>
                  </w:r>
                  <w:r>
                    <w:rPr>
                      <w:color w:val="000000"/>
                      <w:sz w:val="21"/>
                      <w:szCs w:val="21"/>
                      <w:u w:val="single"/>
                    </w:rPr>
                    <w:t>只进行室内装修改造、设备安装和调试</w:t>
                  </w:r>
                  <w:r>
                    <w:rPr>
                      <w:rFonts w:hint="eastAsia"/>
                      <w:color w:val="000000"/>
                      <w:sz w:val="21"/>
                      <w:szCs w:val="21"/>
                      <w:u w:val="single"/>
                    </w:rPr>
                    <w:t>。</w:t>
                  </w:r>
                </w:p>
              </w:tc>
              <w:tc>
                <w:tcPr>
                  <w:tcW w:w="522" w:type="pct"/>
                  <w:tcBorders>
                    <w:tl2br w:val="nil"/>
                    <w:tr2bl w:val="nil"/>
                  </w:tcBorders>
                  <w:vAlign w:val="center"/>
                </w:tcPr>
                <w:p w14:paraId="68BA32BD">
                  <w:pPr>
                    <w:adjustRightInd w:val="0"/>
                    <w:snapToGrid w:val="0"/>
                    <w:jc w:val="center"/>
                    <w:rPr>
                      <w:color w:val="000000"/>
                      <w:sz w:val="21"/>
                      <w:szCs w:val="21"/>
                      <w:u w:val="single"/>
                    </w:rPr>
                  </w:pPr>
                  <w:r>
                    <w:rPr>
                      <w:rFonts w:hint="eastAsia"/>
                      <w:color w:val="000000"/>
                      <w:sz w:val="21"/>
                      <w:szCs w:val="21"/>
                      <w:u w:val="single"/>
                    </w:rPr>
                    <w:t>符合</w:t>
                  </w:r>
                </w:p>
              </w:tc>
            </w:tr>
          </w:tbl>
          <w:p w14:paraId="529E9537">
            <w:pPr>
              <w:pStyle w:val="29"/>
              <w:kinsoku w:val="0"/>
              <w:wordWrap w:val="0"/>
              <w:snapToGrid w:val="0"/>
              <w:ind w:firstLine="480"/>
              <w:rPr>
                <w:u w:val="single"/>
              </w:rPr>
            </w:pPr>
            <w:r>
              <w:rPr>
                <w:rFonts w:ascii="Times New Roman" w:eastAsia="宋体" w:cs="Times New Roman"/>
                <w:u w:val="single"/>
              </w:rPr>
              <w:t>综上所述，本项目符合《关于</w:t>
            </w:r>
            <w:r>
              <w:rPr>
                <w:rFonts w:hint="eastAsia" w:ascii="Times New Roman" w:eastAsia="宋体" w:cs="Times New Roman"/>
                <w:u w:val="single"/>
              </w:rPr>
              <w:t>龙岭产业开发区调区扩区规划环境影响报告书审查意见的函</w:t>
            </w:r>
            <w:r>
              <w:rPr>
                <w:rFonts w:ascii="Times New Roman" w:eastAsia="宋体" w:cs="Times New Roman"/>
                <w:u w:val="single"/>
              </w:rPr>
              <w:t>》</w:t>
            </w:r>
            <w:r>
              <w:rPr>
                <w:rFonts w:hint="eastAsia" w:ascii="Times New Roman" w:eastAsia="宋体" w:cs="Times New Roman"/>
                <w:u w:val="single"/>
              </w:rPr>
              <w:t>（</w:t>
            </w:r>
            <w:r>
              <w:rPr>
                <w:rFonts w:ascii="Times New Roman" w:eastAsia="宋体" w:cs="Times New Roman"/>
                <w:u w:val="single"/>
              </w:rPr>
              <w:t>湘环评函</w:t>
            </w:r>
            <w:r>
              <w:rPr>
                <w:rFonts w:hint="eastAsia" w:ascii="Times New Roman" w:eastAsia="宋体" w:cs="Times New Roman"/>
                <w:u w:val="single"/>
              </w:rPr>
              <w:t>〔</w:t>
            </w:r>
            <w:r>
              <w:rPr>
                <w:rFonts w:ascii="Times New Roman" w:eastAsia="宋体" w:cs="Times New Roman"/>
                <w:u w:val="single"/>
              </w:rPr>
              <w:t>20</w:t>
            </w:r>
            <w:r>
              <w:rPr>
                <w:rFonts w:hint="eastAsia" w:ascii="Times New Roman" w:eastAsia="宋体" w:cs="Times New Roman"/>
                <w:u w:val="single"/>
              </w:rPr>
              <w:t>25〕</w:t>
            </w:r>
            <w:r>
              <w:rPr>
                <w:rFonts w:ascii="Times New Roman" w:eastAsia="宋体" w:cs="Times New Roman"/>
                <w:u w:val="single"/>
              </w:rPr>
              <w:t>1</w:t>
            </w:r>
            <w:r>
              <w:rPr>
                <w:rFonts w:hint="eastAsia" w:ascii="Times New Roman" w:eastAsia="宋体" w:cs="Times New Roman"/>
                <w:u w:val="single"/>
              </w:rPr>
              <w:t>0</w:t>
            </w:r>
            <w:r>
              <w:rPr>
                <w:rFonts w:ascii="Times New Roman" w:eastAsia="宋体" w:cs="Times New Roman"/>
                <w:u w:val="single"/>
              </w:rPr>
              <w:t>号</w:t>
            </w:r>
            <w:r>
              <w:rPr>
                <w:rFonts w:hint="eastAsia" w:ascii="Times New Roman" w:eastAsia="宋体" w:cs="Times New Roman"/>
                <w:u w:val="single"/>
              </w:rPr>
              <w:t>）</w:t>
            </w:r>
            <w:r>
              <w:rPr>
                <w:rFonts w:ascii="Times New Roman" w:eastAsia="宋体" w:cs="Times New Roman"/>
                <w:u w:val="single"/>
              </w:rPr>
              <w:t>中的相关要求</w:t>
            </w:r>
            <w:r>
              <w:rPr>
                <w:rFonts w:hint="eastAsia" w:ascii="Times New Roman" w:eastAsia="宋体" w:cs="Times New Roman"/>
                <w:u w:val="single"/>
              </w:rPr>
              <w:t>。</w:t>
            </w:r>
          </w:p>
        </w:tc>
      </w:tr>
      <w:tr w14:paraId="7BED0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28" w:hRule="atLeast"/>
          <w:jc w:val="center"/>
        </w:trPr>
        <w:tc>
          <w:tcPr>
            <w:tcW w:w="712" w:type="dxa"/>
            <w:tcMar>
              <w:top w:w="16" w:type="dxa"/>
              <w:left w:w="16" w:type="dxa"/>
              <w:right w:w="16" w:type="dxa"/>
            </w:tcMar>
            <w:vAlign w:val="center"/>
          </w:tcPr>
          <w:p w14:paraId="31141E57">
            <w:pPr>
              <w:adjustRightInd w:val="0"/>
              <w:snapToGrid w:val="0"/>
              <w:jc w:val="center"/>
              <w:rPr>
                <w:color w:val="000000"/>
                <w:kern w:val="0"/>
              </w:rPr>
            </w:pPr>
            <w:r>
              <w:rPr>
                <w:color w:val="000000"/>
                <w:kern w:val="0"/>
              </w:rPr>
              <w:t>其他符合性分析</w:t>
            </w:r>
          </w:p>
        </w:tc>
        <w:tc>
          <w:tcPr>
            <w:tcW w:w="7620" w:type="dxa"/>
            <w:gridSpan w:val="3"/>
          </w:tcPr>
          <w:p w14:paraId="6BDCC8B1">
            <w:pPr>
              <w:kinsoku w:val="0"/>
              <w:wordWrap w:val="0"/>
              <w:adjustRightInd w:val="0"/>
              <w:snapToGrid w:val="0"/>
              <w:spacing w:line="360" w:lineRule="auto"/>
              <w:rPr>
                <w:b/>
                <w:bCs/>
                <w:color w:val="000000"/>
              </w:rPr>
            </w:pPr>
            <w:r>
              <w:rPr>
                <w:rFonts w:hint="eastAsia"/>
                <w:b/>
                <w:bCs/>
                <w:color w:val="000000"/>
              </w:rPr>
              <w:t>一、产业政策符合性分析</w:t>
            </w:r>
          </w:p>
          <w:p w14:paraId="100C2D62">
            <w:pPr>
              <w:pStyle w:val="33"/>
              <w:adjustRightInd w:val="0"/>
              <w:snapToGrid w:val="0"/>
              <w:ind w:firstLine="480"/>
              <w:rPr>
                <w:rFonts w:hint="default"/>
                <w:b/>
                <w:bCs/>
                <w:color w:val="000000"/>
                <w:kern w:val="2"/>
              </w:rPr>
            </w:pPr>
            <w:r>
              <w:rPr>
                <w:rFonts w:hint="default"/>
              </w:rPr>
              <w:t>对照《产业结构调整指导目录</w:t>
            </w:r>
            <w:r>
              <w:t>（</w:t>
            </w:r>
            <w:r>
              <w:rPr>
                <w:rFonts w:hint="default"/>
              </w:rPr>
              <w:t>2024年本</w:t>
            </w:r>
            <w:r>
              <w:rPr>
                <w:rFonts w:ascii="宋体" w:hAnsi="宋体" w:cs="宋体"/>
              </w:rPr>
              <w:t>)</w:t>
            </w:r>
            <w:r>
              <w:rPr>
                <w:rFonts w:hint="default"/>
              </w:rPr>
              <w:t>》，本项目</w:t>
            </w:r>
            <w:r>
              <w:t>不属于其中的鼓励类、限制类、禁止类，因此属于允许类建设项目。综上所述，项目符合国家产业政策要求。</w:t>
            </w:r>
          </w:p>
          <w:p w14:paraId="3E35BE7A">
            <w:pPr>
              <w:adjustRightInd w:val="0"/>
              <w:snapToGrid w:val="0"/>
              <w:spacing w:line="360" w:lineRule="auto"/>
              <w:jc w:val="left"/>
              <w:rPr>
                <w:b/>
                <w:bCs/>
                <w:color w:val="000000"/>
              </w:rPr>
            </w:pPr>
            <w:r>
              <w:rPr>
                <w:rFonts w:hint="eastAsia"/>
                <w:b/>
                <w:bCs/>
                <w:color w:val="000000"/>
              </w:rPr>
              <w:t>二、项目与生态环境分区管控的符合性分析</w:t>
            </w:r>
          </w:p>
          <w:p w14:paraId="2ED918CD">
            <w:pPr>
              <w:adjustRightInd w:val="0"/>
              <w:snapToGrid w:val="0"/>
              <w:spacing w:line="360" w:lineRule="auto"/>
              <w:jc w:val="left"/>
              <w:rPr>
                <w:b/>
                <w:bCs/>
                <w:color w:val="000000"/>
              </w:rPr>
            </w:pPr>
            <w:r>
              <w:rPr>
                <w:rFonts w:hint="eastAsia"/>
                <w:b/>
                <w:bCs/>
                <w:color w:val="000000"/>
              </w:rPr>
              <w:t>1、生态红线</w:t>
            </w:r>
          </w:p>
          <w:p w14:paraId="59993914">
            <w:pPr>
              <w:autoSpaceDE w:val="0"/>
              <w:autoSpaceDN w:val="0"/>
              <w:adjustRightInd w:val="0"/>
              <w:snapToGrid w:val="0"/>
              <w:spacing w:line="360" w:lineRule="auto"/>
              <w:ind w:firstLine="480" w:firstLineChars="200"/>
              <w:rPr>
                <w:kern w:val="21"/>
                <w:u w:val="single"/>
              </w:rPr>
            </w:pPr>
            <w:r>
              <w:rPr>
                <w:rFonts w:hint="eastAsia"/>
                <w:kern w:val="21"/>
                <w:u w:val="single"/>
              </w:rPr>
              <w:t>本项目位于</w:t>
            </w:r>
            <w:r>
              <w:rPr>
                <w:kern w:val="21"/>
                <w:u w:val="single"/>
              </w:rPr>
              <w:t>益阳市赫山区龙岭</w:t>
            </w:r>
            <w:bookmarkStart w:id="18" w:name="OLE_LINK4"/>
            <w:r>
              <w:rPr>
                <w:kern w:val="21"/>
                <w:u w:val="single"/>
              </w:rPr>
              <w:t>产业开发区</w:t>
            </w:r>
            <w:bookmarkEnd w:id="18"/>
            <w:r>
              <w:rPr>
                <w:kern w:val="21"/>
                <w:u w:val="single"/>
              </w:rPr>
              <w:t>新材料产业园朝阳路粤浙城科技示范基地</w:t>
            </w:r>
            <w:r>
              <w:rPr>
                <w:rFonts w:hint="eastAsia"/>
                <w:kern w:val="21"/>
                <w:u w:val="single"/>
              </w:rPr>
              <w:t>8栋。根据</w:t>
            </w:r>
            <w:r>
              <w:rPr>
                <w:rFonts w:hint="eastAsia"/>
                <w:kern w:val="0"/>
                <w:u w:val="single"/>
              </w:rPr>
              <w:t>《</w:t>
            </w:r>
            <w:r>
              <w:rPr>
                <w:rFonts w:hint="eastAsia"/>
                <w:color w:val="000000"/>
                <w:u w:val="single"/>
              </w:rPr>
              <w:t>龙岭产业开发区调区扩区规划环境影响报告书</w:t>
            </w:r>
            <w:r>
              <w:rPr>
                <w:rFonts w:hint="eastAsia"/>
                <w:kern w:val="0"/>
                <w:u w:val="single"/>
              </w:rPr>
              <w:t>》</w:t>
            </w:r>
            <w:r>
              <w:rPr>
                <w:kern w:val="0"/>
                <w:u w:val="single"/>
              </w:rPr>
              <w:t>中内容</w:t>
            </w:r>
            <w:r>
              <w:rPr>
                <w:rFonts w:hint="eastAsia"/>
                <w:kern w:val="0"/>
                <w:u w:val="single"/>
              </w:rPr>
              <w:t>，本项目位于益阳龙岭产业开发区的区块六范围内，用地性质为工业用地。并根据附图3，本项目未压覆生态保护红线和永久基本农田。综上所述，本项目</w:t>
            </w:r>
            <w:r>
              <w:rPr>
                <w:rFonts w:hint="eastAsia"/>
                <w:kern w:val="21"/>
                <w:u w:val="single"/>
              </w:rPr>
              <w:t>不在生态红线划定范围内，符合生态保护红线保护范围要求。</w:t>
            </w:r>
          </w:p>
          <w:p w14:paraId="662F8E7A">
            <w:pPr>
              <w:adjustRightInd w:val="0"/>
              <w:snapToGrid w:val="0"/>
              <w:spacing w:line="360" w:lineRule="auto"/>
              <w:jc w:val="left"/>
              <w:rPr>
                <w:b/>
                <w:bCs/>
                <w:kern w:val="21"/>
              </w:rPr>
            </w:pPr>
            <w:r>
              <w:rPr>
                <w:rFonts w:hint="eastAsia"/>
                <w:b/>
                <w:bCs/>
                <w:kern w:val="21"/>
              </w:rPr>
              <w:t>2、环境质量底线</w:t>
            </w:r>
          </w:p>
          <w:p w14:paraId="4979D2D5">
            <w:pPr>
              <w:autoSpaceDE w:val="0"/>
              <w:autoSpaceDN w:val="0"/>
              <w:adjustRightInd w:val="0"/>
              <w:snapToGrid w:val="0"/>
              <w:spacing w:line="360" w:lineRule="auto"/>
              <w:ind w:firstLine="480" w:firstLineChars="200"/>
              <w:rPr>
                <w:kern w:val="21"/>
              </w:rPr>
            </w:pPr>
            <w:r>
              <w:rPr>
                <w:rFonts w:hint="eastAsia"/>
                <w:kern w:val="21"/>
              </w:rPr>
              <w:t>根据环境质量现状调查，项目所在区域大气环境中PM</w:t>
            </w:r>
            <w:r>
              <w:rPr>
                <w:rFonts w:hint="eastAsia"/>
                <w:kern w:val="21"/>
                <w:vertAlign w:val="subscript"/>
              </w:rPr>
              <w:t>2.5</w:t>
            </w:r>
            <w:r>
              <w:rPr>
                <w:rFonts w:hint="eastAsia"/>
                <w:kern w:val="21"/>
              </w:rPr>
              <w:t>出现超标现象，根据导则判定方法判定项目所在区域为不达标区，但在益阳市落实调整产业结构推动产业绿色发展、优化能源结构，构建清洁高效能源体系、推动运输结构调整发展绿色交通、深化扬尘污染整治、深化工业企业废气综合治理等大气污染防治措施的情况下，区域环境空气质量可以得到改善。</w:t>
            </w:r>
          </w:p>
          <w:p w14:paraId="619A2086">
            <w:pPr>
              <w:autoSpaceDE w:val="0"/>
              <w:autoSpaceDN w:val="0"/>
              <w:adjustRightInd w:val="0"/>
              <w:snapToGrid w:val="0"/>
              <w:spacing w:line="360" w:lineRule="auto"/>
              <w:ind w:firstLine="480" w:firstLineChars="200"/>
              <w:rPr>
                <w:kern w:val="21"/>
              </w:rPr>
            </w:pPr>
            <w:r>
              <w:rPr>
                <w:rFonts w:hint="eastAsia"/>
                <w:kern w:val="21"/>
              </w:rPr>
              <w:t>区域地表水环境中泉交河水质水体指标均能满足《地表水环境质量标准》（GB3838-2002）</w:t>
            </w:r>
            <w:r>
              <w:rPr>
                <w:kern w:val="21"/>
              </w:rPr>
              <w:t>Ⅲ</w:t>
            </w:r>
            <w:r>
              <w:rPr>
                <w:rFonts w:hint="eastAsia"/>
                <w:kern w:val="21"/>
              </w:rPr>
              <w:t>类。</w:t>
            </w:r>
          </w:p>
          <w:p w14:paraId="70DEAB23">
            <w:pPr>
              <w:kinsoku w:val="0"/>
              <w:wordWrap w:val="0"/>
              <w:autoSpaceDE w:val="0"/>
              <w:autoSpaceDN w:val="0"/>
              <w:adjustRightInd w:val="0"/>
              <w:snapToGrid w:val="0"/>
              <w:spacing w:line="360" w:lineRule="auto"/>
              <w:ind w:firstLine="480" w:firstLineChars="200"/>
              <w:rPr>
                <w:kern w:val="21"/>
              </w:rPr>
            </w:pPr>
            <w:r>
              <w:rPr>
                <w:rFonts w:hint="eastAsia"/>
                <w:kern w:val="21"/>
              </w:rPr>
              <w:t>本项目位于工业园区，声环境质量满足《声环境质量标准》（GB3096-2008）3类区标准。</w:t>
            </w:r>
          </w:p>
          <w:p w14:paraId="29586496">
            <w:pPr>
              <w:adjustRightInd w:val="0"/>
              <w:snapToGrid w:val="0"/>
              <w:spacing w:line="360" w:lineRule="auto"/>
              <w:jc w:val="left"/>
              <w:rPr>
                <w:b/>
                <w:bCs/>
                <w:kern w:val="21"/>
              </w:rPr>
            </w:pPr>
            <w:r>
              <w:rPr>
                <w:rFonts w:hint="eastAsia"/>
                <w:b/>
                <w:bCs/>
                <w:kern w:val="21"/>
              </w:rPr>
              <w:t>3、资源利用上线</w:t>
            </w:r>
          </w:p>
          <w:p w14:paraId="3F17A689">
            <w:pPr>
              <w:pStyle w:val="33"/>
              <w:adjustRightInd w:val="0"/>
              <w:snapToGrid w:val="0"/>
              <w:ind w:firstLine="480"/>
              <w:rPr>
                <w:rFonts w:hint="default"/>
                <w:b/>
                <w:bCs/>
                <w:kern w:val="21"/>
              </w:rPr>
            </w:pPr>
            <w:r>
              <w:rPr>
                <w:kern w:val="21"/>
              </w:rPr>
              <w:t>本项目位于湖</w:t>
            </w:r>
            <w:r>
              <w:rPr>
                <w:rFonts w:hint="default"/>
                <w:kern w:val="21"/>
              </w:rPr>
              <w:t>南省益阳市赫山区龙岭产业开发区新材料产业园朝阳路粤浙城科技示范基地</w:t>
            </w:r>
            <w:r>
              <w:rPr>
                <w:kern w:val="21"/>
              </w:rPr>
              <w:t>8栋，用地性质属于工业用地，符合园区土地利用总体规划，符合土地资源利用上线管控要求。项目用水依托于园区市政管网供水系统，用电由市政供电系统统一供电。项目通过内部管理、设备选择、原辅材料的选用和管理、废物回收利用，污染治理等多方面采取合理可行的防治措施，以“节能、降耗、减污”为目标，有效的控制污染。项目的水、气等资源利用不会突破区域的资源利用上线。</w:t>
            </w:r>
          </w:p>
          <w:p w14:paraId="095C99A9">
            <w:pPr>
              <w:adjustRightInd w:val="0"/>
              <w:snapToGrid w:val="0"/>
              <w:spacing w:line="360" w:lineRule="auto"/>
              <w:jc w:val="left"/>
              <w:rPr>
                <w:b/>
                <w:bCs/>
                <w:kern w:val="21"/>
              </w:rPr>
            </w:pPr>
            <w:r>
              <w:rPr>
                <w:rFonts w:hint="eastAsia"/>
                <w:b/>
                <w:bCs/>
                <w:kern w:val="21"/>
              </w:rPr>
              <w:t>4、生态环境准入清单</w:t>
            </w:r>
          </w:p>
          <w:p w14:paraId="407F8B3D">
            <w:pPr>
              <w:autoSpaceDE w:val="0"/>
              <w:autoSpaceDN w:val="0"/>
              <w:adjustRightInd w:val="0"/>
              <w:snapToGrid w:val="0"/>
              <w:spacing w:line="360" w:lineRule="auto"/>
              <w:ind w:firstLine="480" w:firstLineChars="200"/>
              <w:rPr>
                <w:kern w:val="21"/>
              </w:rPr>
            </w:pPr>
            <w:r>
              <w:rPr>
                <w:rFonts w:hint="eastAsia"/>
                <w:kern w:val="21"/>
              </w:rPr>
              <w:t>本项目位于</w:t>
            </w:r>
            <w:r>
              <w:rPr>
                <w:kern w:val="21"/>
              </w:rPr>
              <w:t>益阳市赫山区龙岭产业开发区新材料产业园朝阳路粤浙城科技示范基地</w:t>
            </w:r>
            <w:r>
              <w:rPr>
                <w:rFonts w:hint="eastAsia"/>
                <w:kern w:val="21"/>
              </w:rPr>
              <w:t>8栋，根据《湖南省生态环境分区管控总体管控要求暨省级以上产业园区生态环境准入清单》（湘环函〔2024〕26号），本项目属于其中的重点管控单元，环境管控单元编码为ZH43090320003。根据下表对照分析，项目建设符合其环境准入及管控要求：</w:t>
            </w:r>
          </w:p>
          <w:p w14:paraId="780D6864">
            <w:pPr>
              <w:adjustRightInd w:val="0"/>
              <w:snapToGrid w:val="0"/>
              <w:jc w:val="center"/>
              <w:rPr>
                <w:b/>
                <w:bCs/>
                <w:kern w:val="21"/>
              </w:rPr>
            </w:pPr>
            <w:r>
              <w:rPr>
                <w:rFonts w:hint="eastAsia"/>
                <w:b/>
                <w:bCs/>
                <w:kern w:val="21"/>
              </w:rPr>
              <w:t>表1-4  与</w:t>
            </w:r>
            <w:r>
              <w:rPr>
                <w:b/>
                <w:bCs/>
                <w:color w:val="000000" w:themeColor="text1"/>
                <w14:textFill>
                  <w14:solidFill>
                    <w14:schemeClr w14:val="tx1"/>
                  </w14:solidFill>
                </w14:textFill>
              </w:rPr>
              <w:t>《湖南省生态环境</w:t>
            </w:r>
            <w:r>
              <w:rPr>
                <w:rFonts w:hint="eastAsia"/>
                <w:b/>
                <w:bCs/>
                <w:color w:val="000000" w:themeColor="text1"/>
                <w14:textFill>
                  <w14:solidFill>
                    <w14:schemeClr w14:val="tx1"/>
                  </w14:solidFill>
                </w14:textFill>
              </w:rPr>
              <w:t>分区</w:t>
            </w:r>
            <w:r>
              <w:rPr>
                <w:b/>
                <w:bCs/>
                <w:color w:val="000000" w:themeColor="text1"/>
                <w14:textFill>
                  <w14:solidFill>
                    <w14:schemeClr w14:val="tx1"/>
                  </w14:solidFill>
                </w14:textFill>
              </w:rPr>
              <w:t>管控</w:t>
            </w:r>
            <w:r>
              <w:rPr>
                <w:rFonts w:hint="eastAsia"/>
                <w:b/>
                <w:bCs/>
                <w:color w:val="000000" w:themeColor="text1"/>
                <w14:textFill>
                  <w14:solidFill>
                    <w14:schemeClr w14:val="tx1"/>
                  </w14:solidFill>
                </w14:textFill>
              </w:rPr>
              <w:t>总体管控</w:t>
            </w:r>
            <w:r>
              <w:rPr>
                <w:b/>
                <w:bCs/>
                <w:color w:val="000000" w:themeColor="text1"/>
                <w14:textFill>
                  <w14:solidFill>
                    <w14:schemeClr w14:val="tx1"/>
                  </w14:solidFill>
                </w14:textFill>
              </w:rPr>
              <w:t>要求暨省级以上产业园区生态环境准入清单》</w:t>
            </w:r>
            <w:r>
              <w:rPr>
                <w:rFonts w:hint="eastAsia"/>
                <w:b/>
                <w:bCs/>
                <w:color w:val="000000" w:themeColor="text1"/>
                <w14:textFill>
                  <w14:solidFill>
                    <w14:schemeClr w14:val="tx1"/>
                  </w14:solidFill>
                </w14:textFill>
              </w:rPr>
              <w:t>中龙岭产业开发区的</w:t>
            </w:r>
            <w:r>
              <w:rPr>
                <w:rFonts w:hint="eastAsia"/>
                <w:b/>
                <w:bCs/>
                <w:kern w:val="21"/>
              </w:rPr>
              <w:t>符合性分析</w:t>
            </w:r>
          </w:p>
          <w:tbl>
            <w:tblPr>
              <w:tblStyle w:val="23"/>
              <w:tblW w:w="731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25"/>
              <w:gridCol w:w="1288"/>
              <w:gridCol w:w="2073"/>
              <w:gridCol w:w="2435"/>
              <w:gridCol w:w="798"/>
            </w:tblGrid>
            <w:tr w14:paraId="342164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9" w:hRule="atLeast"/>
                <w:jc w:val="center"/>
              </w:trPr>
              <w:tc>
                <w:tcPr>
                  <w:tcW w:w="2013" w:type="dxa"/>
                  <w:gridSpan w:val="2"/>
                  <w:tcBorders>
                    <w:tl2br w:val="nil"/>
                    <w:tr2bl w:val="nil"/>
                  </w:tcBorders>
                  <w:vAlign w:val="center"/>
                </w:tcPr>
                <w:p w14:paraId="356ABE3D">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ascii="Times New Roman" w:hAnsi="Times New Roman"/>
                      <w:b/>
                      <w:bCs/>
                      <w:color w:val="000000" w:themeColor="text1"/>
                      <w:sz w:val="21"/>
                      <w:szCs w:val="21"/>
                      <w:shd w:val="clear" w:color="auto" w:fill="FFFFFF"/>
                      <w14:textFill>
                        <w14:solidFill>
                          <w14:schemeClr w14:val="tx1"/>
                        </w14:solidFill>
                      </w14:textFill>
                    </w:rPr>
                    <w:t>环境管控单元编码</w:t>
                  </w:r>
                </w:p>
              </w:tc>
              <w:tc>
                <w:tcPr>
                  <w:tcW w:w="5306" w:type="dxa"/>
                  <w:gridSpan w:val="3"/>
                  <w:tcBorders>
                    <w:tl2br w:val="nil"/>
                    <w:tr2bl w:val="nil"/>
                  </w:tcBorders>
                  <w:vAlign w:val="center"/>
                </w:tcPr>
                <w:p w14:paraId="5B10F204">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ZH430</w:t>
                  </w:r>
                  <w:r>
                    <w:rPr>
                      <w:rFonts w:hint="eastAsia" w:ascii="Times New Roman" w:hAnsi="Times New Roman"/>
                      <w:color w:val="000000" w:themeColor="text1"/>
                      <w:sz w:val="21"/>
                      <w:szCs w:val="21"/>
                      <w14:textFill>
                        <w14:solidFill>
                          <w14:schemeClr w14:val="tx1"/>
                        </w14:solidFill>
                      </w14:textFill>
                    </w:rPr>
                    <w:t>90320003</w:t>
                  </w:r>
                </w:p>
              </w:tc>
            </w:tr>
            <w:tr w14:paraId="1B0AAA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13" w:type="dxa"/>
                  <w:gridSpan w:val="2"/>
                  <w:tcBorders>
                    <w:tl2br w:val="nil"/>
                    <w:tr2bl w:val="nil"/>
                  </w:tcBorders>
                  <w:vAlign w:val="center"/>
                </w:tcPr>
                <w:p w14:paraId="00216B1E">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单元名称</w:t>
                  </w:r>
                </w:p>
              </w:tc>
              <w:tc>
                <w:tcPr>
                  <w:tcW w:w="5306" w:type="dxa"/>
                  <w:gridSpan w:val="3"/>
                  <w:tcBorders>
                    <w:tl2br w:val="nil"/>
                    <w:tr2bl w:val="nil"/>
                  </w:tcBorders>
                  <w:vAlign w:val="center"/>
                </w:tcPr>
                <w:p w14:paraId="1D171EF0">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龙岭产业开发区</w:t>
                  </w:r>
                </w:p>
              </w:tc>
            </w:tr>
            <w:tr w14:paraId="68AECE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13" w:type="dxa"/>
                  <w:gridSpan w:val="2"/>
                  <w:tcBorders>
                    <w:tl2br w:val="nil"/>
                    <w:tr2bl w:val="nil"/>
                  </w:tcBorders>
                  <w:vAlign w:val="center"/>
                </w:tcPr>
                <w:p w14:paraId="032DFDD9">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行政区划</w:t>
                  </w:r>
                </w:p>
              </w:tc>
              <w:tc>
                <w:tcPr>
                  <w:tcW w:w="5306" w:type="dxa"/>
                  <w:gridSpan w:val="3"/>
                  <w:tcBorders>
                    <w:tl2br w:val="nil"/>
                    <w:tr2bl w:val="nil"/>
                  </w:tcBorders>
                  <w:vAlign w:val="center"/>
                </w:tcPr>
                <w:p w14:paraId="16702E59">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湖南省益阳市赫山区</w:t>
                  </w:r>
                </w:p>
              </w:tc>
            </w:tr>
            <w:tr w14:paraId="0869A7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13" w:type="dxa"/>
                  <w:gridSpan w:val="2"/>
                  <w:tcBorders>
                    <w:tl2br w:val="nil"/>
                    <w:tr2bl w:val="nil"/>
                  </w:tcBorders>
                  <w:vAlign w:val="center"/>
                </w:tcPr>
                <w:p w14:paraId="154316E2">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单元分类</w:t>
                  </w:r>
                </w:p>
              </w:tc>
              <w:tc>
                <w:tcPr>
                  <w:tcW w:w="5306" w:type="dxa"/>
                  <w:gridSpan w:val="3"/>
                  <w:tcBorders>
                    <w:tl2br w:val="nil"/>
                    <w:tr2bl w:val="nil"/>
                  </w:tcBorders>
                  <w:vAlign w:val="center"/>
                </w:tcPr>
                <w:p w14:paraId="49D195B9">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重点管控单元</w:t>
                  </w:r>
                </w:p>
              </w:tc>
            </w:tr>
            <w:tr w14:paraId="71340E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13" w:type="dxa"/>
                  <w:gridSpan w:val="2"/>
                  <w:tcBorders>
                    <w:tl2br w:val="nil"/>
                    <w:tr2bl w:val="nil"/>
                  </w:tcBorders>
                  <w:vAlign w:val="center"/>
                </w:tcPr>
                <w:p w14:paraId="5858771C">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单位面积（km</w:t>
                  </w:r>
                  <w:r>
                    <w:rPr>
                      <w:rFonts w:hint="eastAsia" w:ascii="Times New Roman" w:hAnsi="Times New Roman"/>
                      <w:b/>
                      <w:bCs/>
                      <w:color w:val="000000" w:themeColor="text1"/>
                      <w:sz w:val="21"/>
                      <w:szCs w:val="21"/>
                      <w:shd w:val="clear" w:color="auto" w:fill="FFFFFF"/>
                      <w:vertAlign w:val="superscript"/>
                      <w14:textFill>
                        <w14:solidFill>
                          <w14:schemeClr w14:val="tx1"/>
                        </w14:solidFill>
                      </w14:textFill>
                    </w:rPr>
                    <w:t>2</w:t>
                  </w:r>
                  <w:r>
                    <w:rPr>
                      <w:rFonts w:hint="eastAsia" w:ascii="Times New Roman" w:hAnsi="Times New Roman"/>
                      <w:b/>
                      <w:bCs/>
                      <w:color w:val="000000" w:themeColor="text1"/>
                      <w:sz w:val="21"/>
                      <w:szCs w:val="21"/>
                      <w:shd w:val="clear" w:color="auto" w:fill="FFFFFF"/>
                      <w14:textFill>
                        <w14:solidFill>
                          <w14:schemeClr w14:val="tx1"/>
                        </w14:solidFill>
                      </w14:textFill>
                    </w:rPr>
                    <w:t>）</w:t>
                  </w:r>
                </w:p>
              </w:tc>
              <w:tc>
                <w:tcPr>
                  <w:tcW w:w="5306" w:type="dxa"/>
                  <w:gridSpan w:val="3"/>
                  <w:tcBorders>
                    <w:tl2br w:val="nil"/>
                    <w:tr2bl w:val="nil"/>
                  </w:tcBorders>
                  <w:vAlign w:val="center"/>
                </w:tcPr>
                <w:p w14:paraId="54DE5A1E">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核准范围：8.0805</w:t>
                  </w:r>
                </w:p>
              </w:tc>
            </w:tr>
            <w:tr w14:paraId="1C7504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75" w:hRule="atLeast"/>
                <w:jc w:val="center"/>
              </w:trPr>
              <w:tc>
                <w:tcPr>
                  <w:tcW w:w="2013" w:type="dxa"/>
                  <w:gridSpan w:val="2"/>
                  <w:tcBorders>
                    <w:tl2br w:val="nil"/>
                    <w:tr2bl w:val="nil"/>
                  </w:tcBorders>
                  <w:vAlign w:val="center"/>
                </w:tcPr>
                <w:p w14:paraId="7527FF58">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涉及乡镇（街道）</w:t>
                  </w:r>
                </w:p>
              </w:tc>
              <w:tc>
                <w:tcPr>
                  <w:tcW w:w="5306" w:type="dxa"/>
                  <w:gridSpan w:val="3"/>
                  <w:tcBorders>
                    <w:tl2br w:val="nil"/>
                    <w:tr2bl w:val="nil"/>
                  </w:tcBorders>
                  <w:vAlign w:val="center"/>
                </w:tcPr>
                <w:p w14:paraId="1A7BDA5E">
                  <w:pPr>
                    <w:pStyle w:val="20"/>
                    <w:widowControl w:val="0"/>
                    <w:shd w:val="clear" w:color="auto" w:fill="FFFFFF"/>
                    <w:autoSpaceDE w:val="0"/>
                    <w:autoSpaceDN w:val="0"/>
                    <w:adjustRightInd w:val="0"/>
                    <w:snapToGrid w:val="0"/>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hint="eastAsia" w:cs="宋体"/>
                      <w:color w:val="231F20"/>
                      <w:sz w:val="21"/>
                      <w:szCs w:val="21"/>
                    </w:rPr>
                    <w:t>核准范围*：区块一、区块二（龙岭新区）涉及龙光桥街道、赫山城区；区块三、区块四（沧泉新区）涉及沧水铺镇、泉交河镇；区块五（衡龙新区）涉及衡龙桥镇；区块六：龙光桥街道、兰溪镇。</w:t>
                  </w:r>
                </w:p>
              </w:tc>
            </w:tr>
            <w:tr w14:paraId="2C7F7D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2013" w:type="dxa"/>
                  <w:gridSpan w:val="2"/>
                  <w:tcBorders>
                    <w:tl2br w:val="nil"/>
                    <w:tr2bl w:val="nil"/>
                  </w:tcBorders>
                  <w:vAlign w:val="center"/>
                </w:tcPr>
                <w:p w14:paraId="50336BCB">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区域主体功能定位</w:t>
                  </w:r>
                </w:p>
              </w:tc>
              <w:tc>
                <w:tcPr>
                  <w:tcW w:w="5306" w:type="dxa"/>
                  <w:gridSpan w:val="3"/>
                  <w:tcBorders>
                    <w:tl2br w:val="nil"/>
                    <w:tr2bl w:val="nil"/>
                  </w:tcBorders>
                  <w:vAlign w:val="center"/>
                </w:tcPr>
                <w:p w14:paraId="5FBB38D0">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hint="eastAsia" w:cs="宋体"/>
                      <w:color w:val="231F20"/>
                      <w:sz w:val="21"/>
                      <w:szCs w:val="21"/>
                    </w:rPr>
                    <w:t>龙光桥街道：城市化地区；沧水铺镇：城市化地区；泉交河镇：城市化地区；衡龙桥镇：城市化地区；兰溪镇：城市化地区。</w:t>
                  </w:r>
                </w:p>
              </w:tc>
            </w:tr>
            <w:tr w14:paraId="3C498C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75" w:hRule="atLeast"/>
                <w:jc w:val="center"/>
              </w:trPr>
              <w:tc>
                <w:tcPr>
                  <w:tcW w:w="2013" w:type="dxa"/>
                  <w:gridSpan w:val="2"/>
                  <w:tcBorders>
                    <w:tl2br w:val="nil"/>
                    <w:tr2bl w:val="nil"/>
                  </w:tcBorders>
                  <w:vAlign w:val="center"/>
                </w:tcPr>
                <w:p w14:paraId="31F4B321">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主导产业</w:t>
                  </w:r>
                </w:p>
              </w:tc>
              <w:tc>
                <w:tcPr>
                  <w:tcW w:w="5306" w:type="dxa"/>
                  <w:gridSpan w:val="3"/>
                  <w:tcBorders>
                    <w:tl2br w:val="nil"/>
                    <w:tr2bl w:val="nil"/>
                  </w:tcBorders>
                  <w:vAlign w:val="center"/>
                </w:tcPr>
                <w:p w14:paraId="1388B948">
                  <w:pPr>
                    <w:pStyle w:val="20"/>
                    <w:shd w:val="clear" w:color="auto" w:fill="FFFFFF"/>
                    <w:spacing w:before="0" w:beforeAutospacing="0" w:after="0" w:afterAutospacing="0"/>
                    <w:rPr>
                      <w:rFonts w:hint="eastAsia" w:cs="宋体"/>
                      <w:color w:val="231F20"/>
                      <w:sz w:val="21"/>
                      <w:szCs w:val="21"/>
                    </w:rPr>
                  </w:pPr>
                  <w:r>
                    <w:rPr>
                      <w:rFonts w:hint="eastAsia" w:cs="宋体"/>
                      <w:color w:val="231F20"/>
                      <w:sz w:val="21"/>
                      <w:szCs w:val="21"/>
                    </w:rPr>
                    <w:t>湘环评函〔</w:t>
                  </w:r>
                  <w:r>
                    <w:rPr>
                      <w:rFonts w:ascii="Times New Roman" w:hAnsi="Times New Roman"/>
                      <w:color w:val="231F20"/>
                      <w:sz w:val="21"/>
                      <w:szCs w:val="21"/>
                    </w:rPr>
                    <w:t>2019</w:t>
                  </w:r>
                  <w:r>
                    <w:rPr>
                      <w:rFonts w:hint="eastAsia" w:cs="宋体"/>
                      <w:color w:val="231F20"/>
                      <w:sz w:val="21"/>
                      <w:szCs w:val="21"/>
                    </w:rPr>
                    <w:t>〕</w:t>
                  </w:r>
                  <w:r>
                    <w:rPr>
                      <w:rFonts w:ascii="Times New Roman" w:hAnsi="Times New Roman"/>
                      <w:color w:val="231F20"/>
                      <w:sz w:val="21"/>
                      <w:szCs w:val="21"/>
                    </w:rPr>
                    <w:t>19</w:t>
                  </w:r>
                  <w:r>
                    <w:rPr>
                      <w:rFonts w:hint="eastAsia" w:cs="宋体"/>
                      <w:color w:val="231F20"/>
                      <w:sz w:val="21"/>
                      <w:szCs w:val="21"/>
                    </w:rPr>
                    <w:t>号：以电子信息产业、中医药产业、高端装备制造业为主导产业， 以食品加工、新材料和轻工纺织产业为辅助产业。</w:t>
                  </w:r>
                </w:p>
                <w:p w14:paraId="7F38ACC9">
                  <w:pPr>
                    <w:pStyle w:val="20"/>
                    <w:shd w:val="clear" w:color="auto" w:fill="FFFFFF"/>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cs="宋体"/>
                      <w:color w:val="231F20"/>
                      <w:sz w:val="21"/>
                      <w:szCs w:val="21"/>
                    </w:rPr>
                    <w:t>湘发改地区〔</w:t>
                  </w:r>
                  <w:r>
                    <w:rPr>
                      <w:rFonts w:ascii="Times New Roman" w:hAnsi="Times New Roman"/>
                      <w:color w:val="231F20"/>
                      <w:sz w:val="21"/>
                      <w:szCs w:val="21"/>
                    </w:rPr>
                    <w:t>2021</w:t>
                  </w:r>
                  <w:r>
                    <w:rPr>
                      <w:rFonts w:hint="eastAsia" w:cs="宋体"/>
                      <w:color w:val="231F20"/>
                      <w:sz w:val="21"/>
                      <w:szCs w:val="21"/>
                    </w:rPr>
                    <w:t>〕</w:t>
                  </w:r>
                  <w:r>
                    <w:rPr>
                      <w:rFonts w:ascii="Times New Roman" w:hAnsi="Times New Roman"/>
                      <w:color w:val="231F20"/>
                      <w:sz w:val="21"/>
                      <w:szCs w:val="21"/>
                    </w:rPr>
                    <w:t>394</w:t>
                  </w:r>
                  <w:r>
                    <w:rPr>
                      <w:rFonts w:hint="eastAsia" w:cs="宋体"/>
                      <w:color w:val="231F20"/>
                      <w:sz w:val="21"/>
                      <w:szCs w:val="21"/>
                    </w:rPr>
                    <w:t>号：主导产业：电子信息；特色产业：生物医药。</w:t>
                  </w:r>
                </w:p>
              </w:tc>
            </w:tr>
            <w:tr w14:paraId="59CBAD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013" w:type="dxa"/>
                  <w:gridSpan w:val="2"/>
                  <w:tcBorders>
                    <w:tl2br w:val="nil"/>
                    <w:tr2bl w:val="nil"/>
                  </w:tcBorders>
                  <w:vAlign w:val="center"/>
                </w:tcPr>
                <w:p w14:paraId="6CA42498">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hint="eastAsia" w:ascii="Times New Roman" w:hAnsi="Times New Roman"/>
                      <w:b/>
                      <w:bCs/>
                      <w:color w:val="000000" w:themeColor="text1"/>
                      <w:sz w:val="21"/>
                      <w:szCs w:val="21"/>
                      <w:shd w:val="clear" w:color="auto" w:fill="FFFFFF"/>
                      <w14:textFill>
                        <w14:solidFill>
                          <w14:schemeClr w14:val="tx1"/>
                        </w14:solidFill>
                      </w14:textFill>
                    </w:rPr>
                    <w:t>主要环境问题</w:t>
                  </w:r>
                </w:p>
              </w:tc>
              <w:tc>
                <w:tcPr>
                  <w:tcW w:w="5306" w:type="dxa"/>
                  <w:gridSpan w:val="3"/>
                  <w:tcBorders>
                    <w:tl2br w:val="nil"/>
                    <w:tr2bl w:val="nil"/>
                  </w:tcBorders>
                  <w:vAlign w:val="center"/>
                </w:tcPr>
                <w:p w14:paraId="701CD8F2">
                  <w:pPr>
                    <w:pStyle w:val="20"/>
                    <w:shd w:val="clear" w:color="auto" w:fill="FFFFFF"/>
                    <w:spacing w:before="0" w:beforeAutospacing="0" w:after="0" w:afterAutospacing="0"/>
                    <w:rPr>
                      <w:rFonts w:hint="eastAsia" w:cs="宋体"/>
                      <w:color w:val="231F20"/>
                      <w:sz w:val="21"/>
                      <w:szCs w:val="21"/>
                    </w:rPr>
                  </w:pPr>
                  <w:r>
                    <w:rPr>
                      <w:rFonts w:hint="eastAsia" w:cs="宋体"/>
                      <w:color w:val="231F20"/>
                      <w:sz w:val="21"/>
                      <w:szCs w:val="21"/>
                    </w:rPr>
                    <w:t>区块一、区块二（龙岭新区）</w:t>
                  </w:r>
                </w:p>
                <w:p w14:paraId="1DBBB454">
                  <w:pPr>
                    <w:pStyle w:val="20"/>
                    <w:shd w:val="clear" w:color="auto" w:fill="FFFFFF"/>
                    <w:spacing w:before="0" w:beforeAutospacing="0" w:after="0" w:afterAutospacing="0"/>
                    <w:rPr>
                      <w:rFonts w:hint="eastAsia" w:cs="宋体"/>
                      <w:color w:val="231F20"/>
                      <w:sz w:val="21"/>
                      <w:szCs w:val="21"/>
                    </w:rPr>
                  </w:pPr>
                  <w:r>
                    <w:rPr>
                      <w:rFonts w:ascii="Times New Roman" w:hAnsi="Times New Roman"/>
                      <w:color w:val="231F20"/>
                      <w:sz w:val="21"/>
                      <w:szCs w:val="21"/>
                    </w:rPr>
                    <w:t>1</w:t>
                  </w:r>
                  <w:r>
                    <w:rPr>
                      <w:rFonts w:hint="eastAsia" w:cs="宋体"/>
                      <w:color w:val="231F20"/>
                      <w:sz w:val="21"/>
                      <w:szCs w:val="21"/>
                    </w:rPr>
                    <w:t xml:space="preserve">.位于益阳市中心城区规划范围内，主导风向上风向。 区块一（龙岭新区） </w:t>
                  </w:r>
                </w:p>
                <w:p w14:paraId="4501AA18">
                  <w:pPr>
                    <w:pStyle w:val="20"/>
                    <w:shd w:val="clear" w:color="auto" w:fill="FFFFFF"/>
                    <w:spacing w:before="0" w:beforeAutospacing="0" w:after="0" w:afterAutospacing="0"/>
                    <w:rPr>
                      <w:rFonts w:hint="eastAsia" w:cs="宋体"/>
                      <w:color w:val="231F20"/>
                      <w:sz w:val="21"/>
                      <w:szCs w:val="21"/>
                    </w:rPr>
                  </w:pPr>
                  <w:r>
                    <w:rPr>
                      <w:rFonts w:ascii="Times New Roman" w:hAnsi="Times New Roman"/>
                      <w:color w:val="231F20"/>
                      <w:sz w:val="21"/>
                      <w:szCs w:val="21"/>
                    </w:rPr>
                    <w:t>2</w:t>
                  </w:r>
                  <w:r>
                    <w:rPr>
                      <w:rFonts w:cs="宋体"/>
                      <w:color w:val="231F20"/>
                      <w:sz w:val="21"/>
                      <w:szCs w:val="21"/>
                    </w:rPr>
                    <w:t>.</w:t>
                  </w:r>
                  <w:r>
                    <w:rPr>
                      <w:rFonts w:hint="eastAsia" w:cs="宋体"/>
                      <w:color w:val="231F20"/>
                      <w:sz w:val="21"/>
                      <w:szCs w:val="21"/>
                    </w:rPr>
                    <w:t xml:space="preserve">周边居民较多，易受噪声和气型污染物影响。区块三、区块四（沧泉新区） </w:t>
                  </w:r>
                </w:p>
                <w:p w14:paraId="6BE741AB">
                  <w:pPr>
                    <w:pStyle w:val="20"/>
                    <w:shd w:val="clear" w:color="auto" w:fill="FFFFFF"/>
                    <w:spacing w:before="0" w:beforeAutospacing="0" w:after="0" w:afterAutospacing="0"/>
                    <w:rPr>
                      <w:rFonts w:hint="eastAsia" w:cs="宋体"/>
                      <w:color w:val="231F20"/>
                      <w:sz w:val="21"/>
                      <w:szCs w:val="21"/>
                    </w:rPr>
                  </w:pPr>
                  <w:r>
                    <w:rPr>
                      <w:rFonts w:ascii="Times New Roman" w:hAnsi="Times New Roman"/>
                      <w:color w:val="231F20"/>
                      <w:sz w:val="21"/>
                      <w:szCs w:val="21"/>
                    </w:rPr>
                    <w:t>3</w:t>
                  </w:r>
                  <w:r>
                    <w:rPr>
                      <w:rFonts w:cs="宋体"/>
                      <w:color w:val="231F20"/>
                      <w:sz w:val="21"/>
                      <w:szCs w:val="21"/>
                    </w:rPr>
                    <w:t>.</w:t>
                  </w:r>
                  <w:r>
                    <w:rPr>
                      <w:rFonts w:hint="eastAsia" w:cs="宋体"/>
                      <w:color w:val="231F20"/>
                      <w:sz w:val="21"/>
                      <w:szCs w:val="21"/>
                    </w:rPr>
                    <w:t>西侧和西北侧临近（</w:t>
                  </w:r>
                  <w:r>
                    <w:rPr>
                      <w:rFonts w:ascii="Times New Roman" w:hAnsi="Times New Roman"/>
                      <w:color w:val="231F20"/>
                      <w:sz w:val="21"/>
                      <w:szCs w:val="21"/>
                    </w:rPr>
                    <w:t>10</w:t>
                  </w:r>
                  <w:r>
                    <w:rPr>
                      <w:rFonts w:hint="eastAsia" w:cs="宋体"/>
                      <w:color w:val="231F20"/>
                      <w:sz w:val="21"/>
                      <w:szCs w:val="21"/>
                    </w:rPr>
                    <w:t>米）沧水铺集镇规划区。区块四（沧泉新区）</w:t>
                  </w:r>
                </w:p>
                <w:p w14:paraId="21CF2CFE">
                  <w:pPr>
                    <w:pStyle w:val="20"/>
                    <w:shd w:val="clear" w:color="auto" w:fill="FFFFFF"/>
                    <w:spacing w:before="0" w:beforeAutospacing="0" w:after="0" w:afterAutospacing="0"/>
                    <w:rPr>
                      <w:rFonts w:hint="eastAsia" w:cs="宋体"/>
                      <w:color w:val="231F20"/>
                      <w:sz w:val="21"/>
                      <w:szCs w:val="21"/>
                    </w:rPr>
                  </w:pPr>
                  <w:r>
                    <w:rPr>
                      <w:rFonts w:ascii="Times New Roman" w:hAnsi="Times New Roman"/>
                      <w:color w:val="231F20"/>
                      <w:sz w:val="21"/>
                      <w:szCs w:val="21"/>
                    </w:rPr>
                    <w:t>4</w:t>
                  </w:r>
                  <w:r>
                    <w:rPr>
                      <w:rFonts w:cs="宋体"/>
                      <w:color w:val="231F20"/>
                      <w:sz w:val="21"/>
                      <w:szCs w:val="21"/>
                    </w:rPr>
                    <w:t>.</w:t>
                  </w:r>
                  <w:r>
                    <w:rPr>
                      <w:rFonts w:hint="eastAsia" w:cs="宋体"/>
                      <w:color w:val="231F20"/>
                      <w:sz w:val="21"/>
                      <w:szCs w:val="21"/>
                    </w:rPr>
                    <w:t>西侧紧邻（</w:t>
                  </w:r>
                  <w:r>
                    <w:rPr>
                      <w:rFonts w:ascii="Times New Roman" w:hAnsi="Times New Roman"/>
                      <w:color w:val="231F20"/>
                      <w:sz w:val="21"/>
                      <w:szCs w:val="21"/>
                    </w:rPr>
                    <w:t>48</w:t>
                  </w:r>
                  <w:r>
                    <w:rPr>
                      <w:rFonts w:hint="eastAsia" w:cs="宋体"/>
                      <w:color w:val="231F20"/>
                      <w:sz w:val="21"/>
                      <w:szCs w:val="21"/>
                    </w:rPr>
                    <w:t xml:space="preserve">米）益阳市中心城区规划区，垂直于主导风向。区块五（衡龙新区） </w:t>
                  </w:r>
                </w:p>
                <w:p w14:paraId="23FDC718">
                  <w:pPr>
                    <w:pStyle w:val="20"/>
                    <w:shd w:val="clear" w:color="auto" w:fill="FFFFFF"/>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ascii="Times New Roman" w:hAnsi="Times New Roman"/>
                      <w:color w:val="231F20"/>
                      <w:sz w:val="21"/>
                      <w:szCs w:val="21"/>
                    </w:rPr>
                    <w:t>5</w:t>
                  </w:r>
                  <w:r>
                    <w:rPr>
                      <w:rFonts w:cs="宋体"/>
                      <w:color w:val="231F20"/>
                      <w:sz w:val="21"/>
                      <w:szCs w:val="21"/>
                    </w:rPr>
                    <w:t>.</w:t>
                  </w:r>
                  <w:r>
                    <w:rPr>
                      <w:rFonts w:hint="eastAsia" w:cs="宋体"/>
                      <w:color w:val="231F20"/>
                      <w:sz w:val="21"/>
                      <w:szCs w:val="21"/>
                    </w:rPr>
                    <w:t>西侧距离衡龙桥镇城镇规划区</w:t>
                  </w:r>
                  <w:r>
                    <w:rPr>
                      <w:rFonts w:ascii="Times New Roman" w:hAnsi="Times New Roman"/>
                      <w:color w:val="231F20"/>
                      <w:sz w:val="21"/>
                      <w:szCs w:val="21"/>
                    </w:rPr>
                    <w:t>1.58</w:t>
                  </w:r>
                  <w:r>
                    <w:rPr>
                      <w:rFonts w:hint="eastAsia" w:cs="宋体"/>
                      <w:color w:val="231F20"/>
                      <w:sz w:val="21"/>
                      <w:szCs w:val="21"/>
                    </w:rPr>
                    <w:t>千米，位于主导风向上风向。</w:t>
                  </w:r>
                </w:p>
              </w:tc>
            </w:tr>
            <w:tr w14:paraId="74A525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725" w:type="dxa"/>
                  <w:tcBorders>
                    <w:tl2br w:val="nil"/>
                    <w:tr2bl w:val="nil"/>
                  </w:tcBorders>
                  <w:vAlign w:val="center"/>
                </w:tcPr>
                <w:p w14:paraId="75D563E8">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ascii="Times New Roman" w:hAnsi="Times New Roman"/>
                      <w:b/>
                      <w:bCs/>
                      <w:color w:val="000000" w:themeColor="text1"/>
                      <w:sz w:val="21"/>
                      <w:szCs w:val="21"/>
                      <w:shd w:val="clear" w:color="auto" w:fill="FFFFFF"/>
                      <w14:textFill>
                        <w14:solidFill>
                          <w14:schemeClr w14:val="tx1"/>
                        </w14:solidFill>
                      </w14:textFill>
                    </w:rPr>
                    <w:t>管控纬度</w:t>
                  </w:r>
                </w:p>
              </w:tc>
              <w:tc>
                <w:tcPr>
                  <w:tcW w:w="3361" w:type="dxa"/>
                  <w:gridSpan w:val="2"/>
                  <w:tcBorders>
                    <w:tl2br w:val="nil"/>
                    <w:tr2bl w:val="nil"/>
                  </w:tcBorders>
                  <w:vAlign w:val="center"/>
                </w:tcPr>
                <w:p w14:paraId="1666AE39">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ascii="Times New Roman" w:hAnsi="Times New Roman"/>
                      <w:b/>
                      <w:bCs/>
                      <w:color w:val="000000" w:themeColor="text1"/>
                      <w:sz w:val="21"/>
                      <w:szCs w:val="21"/>
                      <w:shd w:val="clear" w:color="auto" w:fill="FFFFFF"/>
                      <w14:textFill>
                        <w14:solidFill>
                          <w14:schemeClr w14:val="tx1"/>
                        </w14:solidFill>
                      </w14:textFill>
                    </w:rPr>
                    <w:t>管控要求</w:t>
                  </w:r>
                </w:p>
              </w:tc>
              <w:tc>
                <w:tcPr>
                  <w:tcW w:w="2435" w:type="dxa"/>
                  <w:tcBorders>
                    <w:tl2br w:val="nil"/>
                    <w:tr2bl w:val="nil"/>
                  </w:tcBorders>
                  <w:vAlign w:val="center"/>
                </w:tcPr>
                <w:p w14:paraId="7C368CC2">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ascii="Times New Roman" w:hAnsi="Times New Roman"/>
                      <w:b/>
                      <w:bCs/>
                      <w:color w:val="000000" w:themeColor="text1"/>
                      <w:sz w:val="21"/>
                      <w:szCs w:val="21"/>
                      <w:shd w:val="clear" w:color="auto" w:fill="FFFFFF"/>
                      <w14:textFill>
                        <w14:solidFill>
                          <w14:schemeClr w14:val="tx1"/>
                        </w14:solidFill>
                      </w14:textFill>
                    </w:rPr>
                    <w:t>本项目</w:t>
                  </w:r>
                  <w:r>
                    <w:rPr>
                      <w:rFonts w:hint="eastAsia" w:ascii="Times New Roman" w:hAnsi="Times New Roman"/>
                      <w:b/>
                      <w:bCs/>
                      <w:color w:val="000000" w:themeColor="text1"/>
                      <w:sz w:val="21"/>
                      <w:szCs w:val="21"/>
                      <w:shd w:val="clear" w:color="auto" w:fill="FFFFFF"/>
                      <w14:textFill>
                        <w14:solidFill>
                          <w14:schemeClr w14:val="tx1"/>
                        </w14:solidFill>
                      </w14:textFill>
                    </w:rPr>
                    <w:t>情况</w:t>
                  </w:r>
                </w:p>
              </w:tc>
              <w:tc>
                <w:tcPr>
                  <w:tcW w:w="798" w:type="dxa"/>
                  <w:tcBorders>
                    <w:tl2br w:val="nil"/>
                    <w:tr2bl w:val="nil"/>
                  </w:tcBorders>
                  <w:vAlign w:val="center"/>
                </w:tcPr>
                <w:p w14:paraId="53C2D654">
                  <w:pPr>
                    <w:pStyle w:val="20"/>
                    <w:shd w:val="clear" w:color="auto" w:fill="FFFFFF"/>
                    <w:spacing w:before="0" w:beforeAutospacing="0" w:after="0" w:afterAutospacing="0"/>
                    <w:jc w:val="center"/>
                    <w:rPr>
                      <w:rFonts w:ascii="Times New Roman" w:hAnsi="Times New Roman"/>
                      <w:b/>
                      <w:bCs/>
                      <w:color w:val="000000" w:themeColor="text1"/>
                      <w:sz w:val="21"/>
                      <w:szCs w:val="21"/>
                      <w:shd w:val="clear" w:color="auto" w:fill="FFFFFF"/>
                      <w14:textFill>
                        <w14:solidFill>
                          <w14:schemeClr w14:val="tx1"/>
                        </w14:solidFill>
                      </w14:textFill>
                    </w:rPr>
                  </w:pPr>
                  <w:r>
                    <w:rPr>
                      <w:rFonts w:ascii="Times New Roman" w:hAnsi="Times New Roman"/>
                      <w:b/>
                      <w:bCs/>
                      <w:color w:val="000000" w:themeColor="text1"/>
                      <w:sz w:val="21"/>
                      <w:szCs w:val="21"/>
                      <w:shd w:val="clear" w:color="auto" w:fill="FFFFFF"/>
                      <w14:textFill>
                        <w14:solidFill>
                          <w14:schemeClr w14:val="tx1"/>
                        </w14:solidFill>
                      </w14:textFill>
                    </w:rPr>
                    <w:t>相符性</w:t>
                  </w:r>
                </w:p>
              </w:tc>
            </w:tr>
            <w:tr w14:paraId="5D4B8F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1" w:hRule="atLeast"/>
                <w:jc w:val="center"/>
              </w:trPr>
              <w:tc>
                <w:tcPr>
                  <w:tcW w:w="725" w:type="dxa"/>
                  <w:tcBorders>
                    <w:tl2br w:val="nil"/>
                    <w:tr2bl w:val="nil"/>
                  </w:tcBorders>
                  <w:vAlign w:val="center"/>
                </w:tcPr>
                <w:p w14:paraId="7E8BBAC3">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ascii="Times New Roman" w:hAnsi="Times New Roman"/>
                      <w:color w:val="000000" w:themeColor="text1"/>
                      <w:sz w:val="21"/>
                      <w:szCs w:val="21"/>
                      <w:shd w:val="clear" w:color="auto" w:fill="FFFFFF"/>
                      <w14:textFill>
                        <w14:solidFill>
                          <w14:schemeClr w14:val="tx1"/>
                        </w14:solidFill>
                      </w14:textFill>
                    </w:rPr>
                    <w:t>空间布局约束</w:t>
                  </w:r>
                </w:p>
              </w:tc>
              <w:tc>
                <w:tcPr>
                  <w:tcW w:w="3361" w:type="dxa"/>
                  <w:gridSpan w:val="2"/>
                  <w:tcBorders>
                    <w:tl2br w:val="nil"/>
                    <w:tr2bl w:val="nil"/>
                  </w:tcBorders>
                  <w:vAlign w:val="center"/>
                </w:tcPr>
                <w:p w14:paraId="5188D708">
                  <w:pPr>
                    <w:pStyle w:val="20"/>
                    <w:widowControl w:val="0"/>
                    <w:numPr>
                      <w:ilvl w:val="1"/>
                      <w:numId w:val="0"/>
                    </w:numPr>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ascii="Times New Roman" w:hAnsi="Times New Roman"/>
                      <w:color w:val="000000" w:themeColor="text1"/>
                      <w:sz w:val="21"/>
                      <w:szCs w:val="21"/>
                      <w:shd w:val="clear" w:color="auto" w:fill="FFFFFF"/>
                      <w14:textFill>
                        <w14:solidFill>
                          <w14:schemeClr w14:val="tx1"/>
                        </w14:solidFill>
                      </w14:textFill>
                    </w:rPr>
                    <w:t>（1.1）</w:t>
                  </w:r>
                  <w:r>
                    <w:rPr>
                      <w:rFonts w:hint="eastAsia" w:ascii="Times New Roman" w:hAnsi="Times New Roman"/>
                      <w:color w:val="000000" w:themeColor="text1"/>
                      <w:sz w:val="21"/>
                      <w:szCs w:val="21"/>
                      <w:shd w:val="clear" w:color="auto" w:fill="FFFFFF"/>
                      <w14:textFill>
                        <w14:solidFill>
                          <w14:schemeClr w14:val="tx1"/>
                        </w14:solidFill>
                      </w14:textFill>
                    </w:rPr>
                    <w:t>禁燃区内不得新建、扩建高污染燃料燃用设施，不得将其他燃料燃用设施改造为高污染燃料燃用设施。区块一（龙岭新区）</w:t>
                  </w:r>
                </w:p>
                <w:p w14:paraId="09AE220E">
                  <w:pPr>
                    <w:pStyle w:val="20"/>
                    <w:widowControl w:val="0"/>
                    <w:numPr>
                      <w:ilvl w:val="1"/>
                      <w:numId w:val="0"/>
                    </w:numPr>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w:t>
                  </w:r>
                  <w:r>
                    <w:rPr>
                      <w:rFonts w:ascii="Times New Roman" w:hAnsi="Times New Roman"/>
                      <w:color w:val="000000" w:themeColor="text1"/>
                      <w:sz w:val="21"/>
                      <w:szCs w:val="21"/>
                      <w:shd w:val="clear" w:color="auto" w:fill="FFFFFF"/>
                      <w14:textFill>
                        <w14:solidFill>
                          <w14:schemeClr w14:val="tx1"/>
                        </w14:solidFill>
                      </w14:textFill>
                    </w:rPr>
                    <w:t>1.2</w:t>
                  </w:r>
                  <w:r>
                    <w:rPr>
                      <w:rFonts w:hint="eastAsia" w:ascii="Times New Roman" w:hAnsi="Times New Roman"/>
                      <w:color w:val="000000" w:themeColor="text1"/>
                      <w:sz w:val="21"/>
                      <w:szCs w:val="21"/>
                      <w:shd w:val="clear" w:color="auto" w:fill="FFFFFF"/>
                      <w14:textFill>
                        <w14:solidFill>
                          <w14:schemeClr w14:val="tx1"/>
                        </w14:solidFill>
                      </w14:textFill>
                    </w:rPr>
                    <w:t xml:space="preserve">）区块一内不再设置居住用地和规划集中安置区；在区块一北部和南部边界设置一定距离的绿化隔离带；禁止化工、产业新进入主区及春嘉路以东的区块一区域。 区块二（龙岭新区） </w:t>
                  </w:r>
                </w:p>
                <w:p w14:paraId="785D25E2">
                  <w:pPr>
                    <w:pStyle w:val="20"/>
                    <w:widowControl w:val="0"/>
                    <w:numPr>
                      <w:ilvl w:val="1"/>
                      <w:numId w:val="0"/>
                    </w:numPr>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w:t>
                  </w:r>
                  <w:r>
                    <w:rPr>
                      <w:rFonts w:ascii="Times New Roman" w:hAnsi="Times New Roman"/>
                      <w:color w:val="000000" w:themeColor="text1"/>
                      <w:sz w:val="21"/>
                      <w:szCs w:val="21"/>
                      <w:shd w:val="clear" w:color="auto" w:fill="FFFFFF"/>
                      <w14:textFill>
                        <w14:solidFill>
                          <w14:schemeClr w14:val="tx1"/>
                        </w14:solidFill>
                      </w14:textFill>
                    </w:rPr>
                    <w:t>1.3</w:t>
                  </w:r>
                  <w:r>
                    <w:rPr>
                      <w:rFonts w:hint="eastAsia" w:ascii="Times New Roman" w:hAnsi="Times New Roman"/>
                      <w:color w:val="000000" w:themeColor="text1"/>
                      <w:sz w:val="21"/>
                      <w:szCs w:val="21"/>
                      <w:shd w:val="clear" w:color="auto" w:fill="FFFFFF"/>
                      <w14:textFill>
                        <w14:solidFill>
                          <w14:schemeClr w14:val="tx1"/>
                        </w14:solidFill>
                      </w14:textFill>
                    </w:rPr>
                    <w:t xml:space="preserve">）禁止在区块二边界布局气型污染明显的企业及布局噪声影响大的企业，区块三、区块四（沧泉新区） </w:t>
                  </w:r>
                </w:p>
                <w:p w14:paraId="28835526">
                  <w:pPr>
                    <w:pStyle w:val="20"/>
                    <w:widowControl w:val="0"/>
                    <w:numPr>
                      <w:ilvl w:val="1"/>
                      <w:numId w:val="0"/>
                    </w:numPr>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w:t>
                  </w:r>
                  <w:r>
                    <w:rPr>
                      <w:rFonts w:ascii="Times New Roman" w:hAnsi="Times New Roman"/>
                      <w:color w:val="000000" w:themeColor="text1"/>
                      <w:sz w:val="21"/>
                      <w:szCs w:val="21"/>
                      <w:shd w:val="clear" w:color="auto" w:fill="FFFFFF"/>
                      <w14:textFill>
                        <w14:solidFill>
                          <w14:schemeClr w14:val="tx1"/>
                        </w14:solidFill>
                      </w14:textFill>
                    </w:rPr>
                    <w:t>1.4</w:t>
                  </w:r>
                  <w:r>
                    <w:rPr>
                      <w:rFonts w:hint="eastAsia" w:ascii="Times New Roman" w:hAnsi="Times New Roman"/>
                      <w:color w:val="000000" w:themeColor="text1"/>
                      <w:sz w:val="21"/>
                      <w:szCs w:val="21"/>
                      <w:shd w:val="clear" w:color="auto" w:fill="FFFFFF"/>
                      <w14:textFill>
                        <w14:solidFill>
                          <w14:schemeClr w14:val="tx1"/>
                        </w14:solidFill>
                      </w14:textFill>
                    </w:rPr>
                    <w:t xml:space="preserve">）按规划设置规划居住用地周边的绿化隔离带，禁止在规划居住用地边界布局噪声影响大的企业。区块五（衡龙新区） </w:t>
                  </w:r>
                </w:p>
                <w:p w14:paraId="51666AFF">
                  <w:pPr>
                    <w:pStyle w:val="20"/>
                    <w:widowControl w:val="0"/>
                    <w:numPr>
                      <w:ilvl w:val="1"/>
                      <w:numId w:val="0"/>
                    </w:numPr>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w:t>
                  </w:r>
                  <w:r>
                    <w:rPr>
                      <w:rFonts w:ascii="Times New Roman" w:hAnsi="Times New Roman"/>
                      <w:color w:val="000000" w:themeColor="text1"/>
                      <w:sz w:val="21"/>
                      <w:szCs w:val="21"/>
                      <w:shd w:val="clear" w:color="auto" w:fill="FFFFFF"/>
                      <w14:textFill>
                        <w14:solidFill>
                          <w14:schemeClr w14:val="tx1"/>
                        </w14:solidFill>
                      </w14:textFill>
                    </w:rPr>
                    <w:t>1.5</w:t>
                  </w:r>
                  <w:r>
                    <w:rPr>
                      <w:rFonts w:hint="eastAsia" w:ascii="Times New Roman" w:hAnsi="Times New Roman"/>
                      <w:color w:val="000000" w:themeColor="text1"/>
                      <w:sz w:val="21"/>
                      <w:szCs w:val="21"/>
                      <w:shd w:val="clear" w:color="auto" w:fill="FFFFFF"/>
                      <w14:textFill>
                        <w14:solidFill>
                          <w14:schemeClr w14:val="tx1"/>
                        </w14:solidFill>
                      </w14:textFill>
                    </w:rPr>
                    <w:t>）按规划设置规划用地北侧的绿化隔离带，在其高端装备制造产业组团北侧和南侧边界增设一定距离的绿化隔离带；禁止在衡龙新区规划中部居住用地边界布局噪声影响大的企业。</w:t>
                  </w:r>
                </w:p>
              </w:tc>
              <w:tc>
                <w:tcPr>
                  <w:tcW w:w="2435" w:type="dxa"/>
                  <w:tcBorders>
                    <w:tl2br w:val="nil"/>
                    <w:tr2bl w:val="nil"/>
                  </w:tcBorders>
                  <w:vAlign w:val="center"/>
                </w:tcPr>
                <w:p w14:paraId="61238A75">
                  <w:pPr>
                    <w:pStyle w:val="20"/>
                    <w:widowControl w:val="0"/>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（1.1）本项目不涉及高污染燃料设施。</w:t>
                  </w:r>
                </w:p>
                <w:p w14:paraId="2B8391D5">
                  <w:pPr>
                    <w:pStyle w:val="20"/>
                    <w:widowControl w:val="0"/>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（1.2）本项目不属于化工类项目，且位于区块五衡龙新区。</w:t>
                  </w:r>
                </w:p>
                <w:p w14:paraId="717E5E5C">
                  <w:pPr>
                    <w:pStyle w:val="20"/>
                    <w:widowControl w:val="0"/>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（1.3）本项目位于区块五衡龙新区。</w:t>
                  </w:r>
                </w:p>
                <w:p w14:paraId="17F6E24A">
                  <w:pPr>
                    <w:pStyle w:val="20"/>
                    <w:widowControl w:val="0"/>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（1.4）本项目未在规划居住用地边界上。</w:t>
                  </w:r>
                </w:p>
                <w:p w14:paraId="7553F5E4">
                  <w:pPr>
                    <w:pStyle w:val="20"/>
                    <w:widowControl w:val="0"/>
                    <w:shd w:val="clear" w:color="auto" w:fill="FFFFFF"/>
                    <w:kinsoku w:val="0"/>
                    <w:wordWrap w:val="0"/>
                    <w:autoSpaceDE w:val="0"/>
                    <w:autoSpaceDN w:val="0"/>
                    <w:adjustRightInd w:val="0"/>
                    <w:snapToGrid w:val="0"/>
                    <w:spacing w:before="0" w:beforeAutospacing="0" w:after="0" w:afterAutospacing="0"/>
                    <w:rPr>
                      <w:rFonts w:ascii="Times New Roman" w:hAnsi="Times New Roman"/>
                      <w:color w:val="000000" w:themeColor="text1"/>
                      <w:sz w:val="21"/>
                      <w:szCs w:val="21"/>
                      <w:shd w:val="clear" w:color="auto" w:fill="FFFFFF"/>
                      <w14:textFill>
                        <w14:solidFill>
                          <w14:schemeClr w14:val="tx1"/>
                        </w14:solidFill>
                      </w14:textFill>
                    </w:rPr>
                  </w:pPr>
                  <w:r>
                    <w:rPr>
                      <w:rFonts w:hint="eastAsia" w:ascii="Times New Roman" w:hAnsi="Times New Roman"/>
                      <w:color w:val="000000" w:themeColor="text1"/>
                      <w:sz w:val="21"/>
                      <w:szCs w:val="21"/>
                      <w:shd w:val="clear" w:color="auto" w:fill="FFFFFF"/>
                      <w14:textFill>
                        <w14:solidFill>
                          <w14:schemeClr w14:val="tx1"/>
                        </w14:solidFill>
                      </w14:textFill>
                    </w:rPr>
                    <w:t>（1.5）本项目未在衡龙新区规划中部居住用地边界上。</w:t>
                  </w:r>
                </w:p>
              </w:tc>
              <w:tc>
                <w:tcPr>
                  <w:tcW w:w="798" w:type="dxa"/>
                  <w:tcBorders>
                    <w:tl2br w:val="nil"/>
                    <w:tr2bl w:val="nil"/>
                  </w:tcBorders>
                  <w:vAlign w:val="center"/>
                </w:tcPr>
                <w:p w14:paraId="310D10D5">
                  <w:pPr>
                    <w:pStyle w:val="20"/>
                    <w:shd w:val="clear" w:color="auto" w:fill="FFFFFF"/>
                    <w:spacing w:before="0" w:beforeAutospacing="0" w:after="0" w:afterAutospacing="0"/>
                    <w:jc w:val="center"/>
                    <w:rPr>
                      <w:rFonts w:ascii="Times New Roman" w:hAnsi="Times New Roman"/>
                      <w:color w:val="000000" w:themeColor="text1"/>
                      <w:sz w:val="21"/>
                      <w:szCs w:val="21"/>
                      <w:shd w:val="clear" w:color="auto" w:fill="FFFFFF"/>
                      <w14:textFill>
                        <w14:solidFill>
                          <w14:schemeClr w14:val="tx1"/>
                        </w14:solidFill>
                      </w14:textFill>
                    </w:rPr>
                  </w:pPr>
                  <w:r>
                    <w:rPr>
                      <w:rFonts w:ascii="Times New Roman" w:hAnsi="Times New Roman"/>
                      <w:color w:val="000000" w:themeColor="text1"/>
                      <w:sz w:val="21"/>
                      <w:szCs w:val="21"/>
                      <w:shd w:val="clear" w:color="auto" w:fill="FFFFFF"/>
                      <w14:textFill>
                        <w14:solidFill>
                          <w14:schemeClr w14:val="tx1"/>
                        </w14:solidFill>
                      </w14:textFill>
                    </w:rPr>
                    <w:t>符合</w:t>
                  </w:r>
                </w:p>
              </w:tc>
            </w:tr>
            <w:tr w14:paraId="791945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25" w:type="dxa"/>
                  <w:tcBorders>
                    <w:tl2br w:val="nil"/>
                    <w:tr2bl w:val="nil"/>
                  </w:tcBorders>
                  <w:vAlign w:val="center"/>
                </w:tcPr>
                <w:p w14:paraId="36CDE0D8">
                  <w:pPr>
                    <w:pStyle w:val="32"/>
                    <w:kinsoku w:val="0"/>
                    <w:wordWrap w:val="0"/>
                    <w:autoSpaceDE w:val="0"/>
                    <w:autoSpaceDN w:val="0"/>
                    <w:adjustRightInd w:val="0"/>
                    <w:snapToGrid w:val="0"/>
                    <w:rPr>
                      <w:color w:val="000000" w:themeColor="text1"/>
                      <w:sz w:val="21"/>
                      <w:szCs w:val="21"/>
                      <w:shd w:val="clear" w:color="auto" w:fill="FFFFFF"/>
                      <w14:textFill>
                        <w14:solidFill>
                          <w14:schemeClr w14:val="tx1"/>
                        </w14:solidFill>
                      </w14:textFill>
                    </w:rPr>
                  </w:pPr>
                  <w:r>
                    <w:rPr>
                      <w:color w:val="000000"/>
                      <w:sz w:val="21"/>
                      <w:szCs w:val="21"/>
                    </w:rPr>
                    <w:t>污染物排放管控</w:t>
                  </w:r>
                </w:p>
              </w:tc>
              <w:tc>
                <w:tcPr>
                  <w:tcW w:w="3361" w:type="dxa"/>
                  <w:gridSpan w:val="2"/>
                  <w:tcBorders>
                    <w:tl2br w:val="nil"/>
                    <w:tr2bl w:val="nil"/>
                  </w:tcBorders>
                  <w:vAlign w:val="center"/>
                </w:tcPr>
                <w:p w14:paraId="13379E28">
                  <w:pPr>
                    <w:pStyle w:val="32"/>
                    <w:kinsoku w:val="0"/>
                    <w:wordWrap w:val="0"/>
                    <w:autoSpaceDE w:val="0"/>
                    <w:autoSpaceDN w:val="0"/>
                    <w:adjustRightInd w:val="0"/>
                    <w:snapToGrid w:val="0"/>
                    <w:jc w:val="both"/>
                    <w:rPr>
                      <w:color w:val="000000"/>
                      <w:sz w:val="21"/>
                      <w:szCs w:val="21"/>
                    </w:rPr>
                  </w:pPr>
                  <w:r>
                    <w:rPr>
                      <w:rFonts w:hint="eastAsia"/>
                      <w:color w:val="000000"/>
                      <w:sz w:val="21"/>
                      <w:szCs w:val="21"/>
                    </w:rPr>
                    <w:t>（2.1）废水：企业必须对废水进行分类收集、分质处理，并建设废水预处理系统，强化对特征污染物的处理效果，企业工业废 水经预处理达标后排入相应污水处理厂进行处理。园区排水实施雨污分流。 区块一、区块二（龙岭新区） （</w:t>
                  </w:r>
                  <w:r>
                    <w:rPr>
                      <w:color w:val="000000"/>
                      <w:sz w:val="21"/>
                      <w:szCs w:val="21"/>
                    </w:rPr>
                    <w:t>2.1.1</w:t>
                  </w:r>
                  <w:r>
                    <w:rPr>
                      <w:rFonts w:hint="eastAsia"/>
                      <w:color w:val="000000"/>
                      <w:sz w:val="21"/>
                      <w:szCs w:val="21"/>
                    </w:rPr>
                    <w:t xml:space="preserve">）废水经益阳市城东污水处理厂处理后引管排入撇洪新河再到湘江。 区块三、区块四（沧泉新区） </w:t>
                  </w:r>
                </w:p>
                <w:p w14:paraId="57BB1648">
                  <w:pPr>
                    <w:pStyle w:val="32"/>
                    <w:kinsoku w:val="0"/>
                    <w:wordWrap w:val="0"/>
                    <w:autoSpaceDE w:val="0"/>
                    <w:autoSpaceDN w:val="0"/>
                    <w:adjustRightInd w:val="0"/>
                    <w:snapToGrid w:val="0"/>
                    <w:jc w:val="both"/>
                    <w:rPr>
                      <w:color w:val="000000"/>
                      <w:sz w:val="21"/>
                      <w:szCs w:val="21"/>
                    </w:rPr>
                  </w:pPr>
                  <w:r>
                    <w:rPr>
                      <w:rFonts w:hint="eastAsia"/>
                      <w:color w:val="000000"/>
                      <w:sz w:val="21"/>
                      <w:szCs w:val="21"/>
                    </w:rPr>
                    <w:t>（</w:t>
                  </w:r>
                  <w:r>
                    <w:rPr>
                      <w:color w:val="000000"/>
                      <w:sz w:val="21"/>
                      <w:szCs w:val="21"/>
                    </w:rPr>
                    <w:t>2.1.2</w:t>
                  </w:r>
                  <w:r>
                    <w:rPr>
                      <w:rFonts w:hint="eastAsia"/>
                      <w:color w:val="000000"/>
                      <w:sz w:val="21"/>
                      <w:szCs w:val="21"/>
                    </w:rPr>
                    <w:t xml:space="preserve">）污、废水排入益阳东部新区污水处理厂处理达标后排入碾子河最终纳入撇洪新河再到湘江。 区块五（衡龙新区） </w:t>
                  </w:r>
                </w:p>
                <w:p w14:paraId="3F52B960">
                  <w:pPr>
                    <w:pStyle w:val="32"/>
                    <w:kinsoku w:val="0"/>
                    <w:wordWrap w:val="0"/>
                    <w:autoSpaceDE w:val="0"/>
                    <w:autoSpaceDN w:val="0"/>
                    <w:adjustRightInd w:val="0"/>
                    <w:snapToGrid w:val="0"/>
                    <w:jc w:val="both"/>
                    <w:rPr>
                      <w:color w:val="000000"/>
                      <w:sz w:val="21"/>
                      <w:szCs w:val="21"/>
                    </w:rPr>
                  </w:pPr>
                  <w:r>
                    <w:rPr>
                      <w:rFonts w:hint="eastAsia"/>
                      <w:color w:val="000000"/>
                      <w:sz w:val="21"/>
                      <w:szCs w:val="21"/>
                    </w:rPr>
                    <w:t>（</w:t>
                  </w:r>
                  <w:r>
                    <w:rPr>
                      <w:color w:val="000000"/>
                      <w:sz w:val="21"/>
                      <w:szCs w:val="21"/>
                    </w:rPr>
                    <w:t>2.1.3</w:t>
                  </w:r>
                  <w:r>
                    <w:rPr>
                      <w:rFonts w:hint="eastAsia"/>
                      <w:color w:val="000000"/>
                      <w:sz w:val="21"/>
                      <w:szCs w:val="21"/>
                    </w:rPr>
                    <w:t xml:space="preserve">）污水经益阳市衡龙新区污水处理厂处理达标后排入泉交河最终纳入撇洪新河再到湘江。 区块六 </w:t>
                  </w:r>
                </w:p>
                <w:p w14:paraId="639E5CF5">
                  <w:pPr>
                    <w:pStyle w:val="32"/>
                    <w:kinsoku w:val="0"/>
                    <w:wordWrap w:val="0"/>
                    <w:autoSpaceDE w:val="0"/>
                    <w:autoSpaceDN w:val="0"/>
                    <w:adjustRightInd w:val="0"/>
                    <w:snapToGrid w:val="0"/>
                    <w:jc w:val="both"/>
                    <w:rPr>
                      <w:color w:val="000000"/>
                      <w:sz w:val="21"/>
                      <w:szCs w:val="21"/>
                    </w:rPr>
                  </w:pPr>
                  <w:r>
                    <w:rPr>
                      <w:rFonts w:hint="eastAsia"/>
                      <w:color w:val="000000"/>
                      <w:sz w:val="21"/>
                      <w:szCs w:val="21"/>
                    </w:rPr>
                    <w:t>（</w:t>
                  </w:r>
                  <w:r>
                    <w:rPr>
                      <w:color w:val="000000"/>
                      <w:sz w:val="21"/>
                      <w:szCs w:val="21"/>
                    </w:rPr>
                    <w:t>2.1.4</w:t>
                  </w:r>
                  <w:r>
                    <w:rPr>
                      <w:rFonts w:hint="eastAsia"/>
                      <w:color w:val="000000"/>
                      <w:sz w:val="21"/>
                      <w:szCs w:val="21"/>
                    </w:rPr>
                    <w:t xml:space="preserve">）污水经兰溪镇乡镇污水处理厂处理达标后排入兰溪河再到资江。 </w:t>
                  </w:r>
                </w:p>
                <w:p w14:paraId="4D610EFA">
                  <w:pPr>
                    <w:pStyle w:val="32"/>
                    <w:kinsoku w:val="0"/>
                    <w:wordWrap w:val="0"/>
                    <w:autoSpaceDE w:val="0"/>
                    <w:autoSpaceDN w:val="0"/>
                    <w:adjustRightInd w:val="0"/>
                    <w:snapToGrid w:val="0"/>
                    <w:jc w:val="both"/>
                    <w:rPr>
                      <w:color w:val="000000"/>
                      <w:sz w:val="21"/>
                      <w:szCs w:val="21"/>
                    </w:rPr>
                  </w:pPr>
                  <w:r>
                    <w:rPr>
                      <w:rFonts w:hint="eastAsia"/>
                      <w:color w:val="000000"/>
                      <w:sz w:val="21"/>
                      <w:szCs w:val="21"/>
                    </w:rPr>
                    <w:t>（</w:t>
                  </w:r>
                  <w:r>
                    <w:rPr>
                      <w:color w:val="000000"/>
                      <w:sz w:val="21"/>
                      <w:szCs w:val="21"/>
                    </w:rPr>
                    <w:t>2.2</w:t>
                  </w:r>
                  <w:r>
                    <w:rPr>
                      <w:rFonts w:hint="eastAsia"/>
                      <w:color w:val="000000"/>
                      <w:sz w:val="21"/>
                      <w:szCs w:val="21"/>
                    </w:rPr>
                    <w:t>）废气：落实园区大气污染管控措施，加强对企业的监管力度，督促企业完善废气处理设施，确保达标排放。完成重点工 业企业清洁生产技术改造、工业企业堆场扬尘及其它无组织排放治理改造。 （</w:t>
                  </w:r>
                  <w:r>
                    <w:rPr>
                      <w:color w:val="000000"/>
                      <w:sz w:val="21"/>
                      <w:szCs w:val="21"/>
                    </w:rPr>
                    <w:t>2.2.1</w:t>
                  </w:r>
                  <w:r>
                    <w:rPr>
                      <w:rFonts w:hint="eastAsia"/>
                      <w:color w:val="000000"/>
                      <w:sz w:val="21"/>
                      <w:szCs w:val="21"/>
                    </w:rPr>
                    <w:t xml:space="preserve">）产生恶臭的企业应建设恶臭气体收集、处理设施和相应的应急处置设施，减少无组织废气排放。产生挥发性有机物的 企业，应配套建设集气及有机废气的处理设施，保证挥发性有机物达标排放。 </w:t>
                  </w:r>
                </w:p>
                <w:p w14:paraId="1F885CD9">
                  <w:pPr>
                    <w:pStyle w:val="32"/>
                    <w:kinsoku w:val="0"/>
                    <w:wordWrap w:val="0"/>
                    <w:autoSpaceDE w:val="0"/>
                    <w:autoSpaceDN w:val="0"/>
                    <w:adjustRightInd w:val="0"/>
                    <w:snapToGrid w:val="0"/>
                    <w:jc w:val="both"/>
                    <w:rPr>
                      <w:color w:val="000000"/>
                      <w:sz w:val="21"/>
                      <w:szCs w:val="21"/>
                    </w:rPr>
                  </w:pPr>
                  <w:r>
                    <w:rPr>
                      <w:rFonts w:hint="eastAsia"/>
                      <w:color w:val="000000"/>
                      <w:sz w:val="21"/>
                      <w:szCs w:val="21"/>
                    </w:rPr>
                    <w:t>（</w:t>
                  </w:r>
                  <w:r>
                    <w:rPr>
                      <w:color w:val="000000"/>
                      <w:sz w:val="21"/>
                      <w:szCs w:val="21"/>
                    </w:rPr>
                    <w:t>2.3</w:t>
                  </w:r>
                  <w:r>
                    <w:rPr>
                      <w:rFonts w:hint="eastAsia"/>
                      <w:color w:val="000000"/>
                      <w:sz w:val="21"/>
                      <w:szCs w:val="21"/>
                    </w:rPr>
                    <w:t xml:space="preserve">）固体废弃物：采用全流程管控措施，建立园区固废规范化管理体系、资源化进程，做好工业固体废物和生活垃圾的分类 收集、转运、综合利用和无害化处理，建立完善的固废管理体系。对各类工业企业产生的固体废物特别是危险固废应严格按照国家 有关规定综合利用或妥善处置，严防二次污染，对危险废物产生企业和经营单位，加大抽查力度和频次，强化日常环境监管。 </w:t>
                  </w:r>
                </w:p>
                <w:p w14:paraId="4D5EA402">
                  <w:pPr>
                    <w:pStyle w:val="32"/>
                    <w:kinsoku w:val="0"/>
                    <w:wordWrap w:val="0"/>
                    <w:autoSpaceDE w:val="0"/>
                    <w:autoSpaceDN w:val="0"/>
                    <w:adjustRightInd w:val="0"/>
                    <w:snapToGrid w:val="0"/>
                    <w:jc w:val="both"/>
                    <w:rPr>
                      <w:color w:val="000000" w:themeColor="text1"/>
                      <w:sz w:val="21"/>
                      <w:szCs w:val="21"/>
                      <w:shd w:val="clear" w:color="auto" w:fill="FFFFFF"/>
                      <w14:textFill>
                        <w14:solidFill>
                          <w14:schemeClr w14:val="tx1"/>
                        </w14:solidFill>
                      </w14:textFill>
                    </w:rPr>
                  </w:pPr>
                  <w:r>
                    <w:rPr>
                      <w:rFonts w:hint="eastAsia"/>
                      <w:color w:val="000000"/>
                      <w:sz w:val="21"/>
                      <w:szCs w:val="21"/>
                    </w:rPr>
                    <w:t>（</w:t>
                  </w:r>
                  <w:r>
                    <w:rPr>
                      <w:color w:val="000000"/>
                      <w:sz w:val="21"/>
                      <w:szCs w:val="21"/>
                    </w:rPr>
                    <w:t>2.4</w:t>
                  </w:r>
                  <w:r>
                    <w:rPr>
                      <w:rFonts w:hint="eastAsia"/>
                      <w:color w:val="000000"/>
                      <w:sz w:val="21"/>
                      <w:szCs w:val="21"/>
                    </w:rPr>
                    <w:t>）园区内涉锅炉大气污染物排放应满足《湖南省生态环境厅关于执行污染物特别排放限值（第一批）的公告》的要求。</w:t>
                  </w:r>
                </w:p>
              </w:tc>
              <w:tc>
                <w:tcPr>
                  <w:tcW w:w="2435" w:type="dxa"/>
                  <w:tcBorders>
                    <w:tl2br w:val="nil"/>
                    <w:tr2bl w:val="nil"/>
                  </w:tcBorders>
                  <w:vAlign w:val="center"/>
                </w:tcPr>
                <w:p w14:paraId="42C6BCE3">
                  <w:pPr>
                    <w:pStyle w:val="32"/>
                    <w:kinsoku w:val="0"/>
                    <w:wordWrap w:val="0"/>
                    <w:autoSpaceDE w:val="0"/>
                    <w:autoSpaceDN w:val="0"/>
                    <w:adjustRightInd w:val="0"/>
                    <w:snapToGrid w:val="0"/>
                    <w:jc w:val="both"/>
                    <w:rPr>
                      <w:color w:val="000000"/>
                      <w:sz w:val="21"/>
                      <w:szCs w:val="21"/>
                    </w:rPr>
                  </w:pPr>
                  <w:r>
                    <w:rPr>
                      <w:rFonts w:hint="eastAsia"/>
                      <w:color w:val="000000" w:themeColor="text1"/>
                      <w:sz w:val="21"/>
                      <w:szCs w:val="21"/>
                      <w14:textFill>
                        <w14:solidFill>
                          <w14:schemeClr w14:val="tx1"/>
                        </w14:solidFill>
                      </w14:textFill>
                    </w:rPr>
                    <w:t>（2.1）废水：</w:t>
                  </w:r>
                  <w:r>
                    <w:rPr>
                      <w:rFonts w:hint="eastAsia"/>
                      <w:color w:val="000000"/>
                      <w:sz w:val="21"/>
                      <w:szCs w:val="21"/>
                    </w:rPr>
                    <w:t>本项目实行雨污分流制，生活污水经厂房已建化粪池预处理后通过市政污水管网排入衡龙新区污水处理厂处理达标后排入泉交河。</w:t>
                  </w:r>
                </w:p>
                <w:p w14:paraId="5D493A56">
                  <w:pPr>
                    <w:pStyle w:val="32"/>
                    <w:kinsoku w:val="0"/>
                    <w:wordWrap w:val="0"/>
                    <w:autoSpaceDE w:val="0"/>
                    <w:autoSpaceDN w:val="0"/>
                    <w:adjustRightInd w:val="0"/>
                    <w:snapToGrid w:val="0"/>
                    <w:jc w:val="both"/>
                    <w:rPr>
                      <w:color w:val="000000"/>
                      <w:sz w:val="21"/>
                      <w:szCs w:val="21"/>
                    </w:rPr>
                  </w:pPr>
                  <w:r>
                    <w:rPr>
                      <w:rFonts w:hint="eastAsia"/>
                      <w:color w:val="000000"/>
                      <w:sz w:val="21"/>
                      <w:szCs w:val="21"/>
                    </w:rPr>
                    <w:t>（2.2）废气</w:t>
                  </w:r>
                </w:p>
                <w:p w14:paraId="5D4FE855">
                  <w:pPr>
                    <w:adjustRightInd w:val="0"/>
                    <w:snapToGrid w:val="0"/>
                    <w:jc w:val="center"/>
                    <w:rPr>
                      <w:sz w:val="21"/>
                      <w:szCs w:val="21"/>
                    </w:rPr>
                  </w:pPr>
                  <w:r>
                    <w:rPr>
                      <w:rFonts w:hint="eastAsia"/>
                      <w:b/>
                      <w:bCs/>
                      <w:sz w:val="21"/>
                      <w:szCs w:val="21"/>
                    </w:rPr>
                    <w:t>下料、焊接废气</w:t>
                  </w:r>
                  <w:r>
                    <w:rPr>
                      <w:rFonts w:hint="eastAsia"/>
                      <w:sz w:val="21"/>
                      <w:szCs w:val="21"/>
                    </w:rPr>
                    <w:t>：采用移动式袋式除尘器处理后，在厂房内经自然沉降后无组织排放。</w:t>
                  </w:r>
                </w:p>
                <w:p w14:paraId="5D90DEB7">
                  <w:pPr>
                    <w:adjustRightInd w:val="0"/>
                    <w:snapToGrid w:val="0"/>
                    <w:jc w:val="center"/>
                    <w:rPr>
                      <w:color w:val="000000" w:themeColor="text1"/>
                      <w:sz w:val="21"/>
                      <w:szCs w:val="21"/>
                      <w14:textFill>
                        <w14:solidFill>
                          <w14:schemeClr w14:val="tx1"/>
                        </w14:solidFill>
                      </w14:textFill>
                    </w:rPr>
                  </w:pPr>
                  <w:r>
                    <w:rPr>
                      <w:rFonts w:hint="eastAsia"/>
                      <w:b/>
                      <w:bCs/>
                      <w:sz w:val="21"/>
                      <w:szCs w:val="21"/>
                    </w:rPr>
                    <w:t>抛丸废气</w:t>
                  </w:r>
                  <w:r>
                    <w:rPr>
                      <w:rFonts w:hint="eastAsia"/>
                      <w:sz w:val="21"/>
                      <w:szCs w:val="21"/>
                    </w:rPr>
                    <w:t>：</w:t>
                  </w:r>
                  <w:r>
                    <w:rPr>
                      <w:rFonts w:hint="eastAsia"/>
                      <w:color w:val="000000" w:themeColor="text1"/>
                      <w:sz w:val="21"/>
                      <w:szCs w:val="21"/>
                      <w14:textFill>
                        <w14:solidFill>
                          <w14:schemeClr w14:val="tx1"/>
                        </w14:solidFill>
                      </w14:textFill>
                    </w:rPr>
                    <w:t>在抛丸机进出口设有遮挡门帘，内部设置粉尘收集装置，经自带除尘设施处理后无组织排放。</w:t>
                  </w:r>
                </w:p>
                <w:p w14:paraId="19BD0A85">
                  <w:pPr>
                    <w:kinsoku w:val="0"/>
                    <w:wordWrap w:val="0"/>
                    <w:autoSpaceDE w:val="0"/>
                    <w:autoSpaceDN w:val="0"/>
                    <w:adjustRightInd w:val="0"/>
                    <w:snapToGrid w:val="0"/>
                    <w:rPr>
                      <w:color w:val="FF0000"/>
                      <w:kern w:val="21"/>
                      <w:sz w:val="21"/>
                      <w:szCs w:val="21"/>
                    </w:rPr>
                  </w:pPr>
                  <w:r>
                    <w:rPr>
                      <w:rFonts w:hint="eastAsia"/>
                      <w:b/>
                      <w:bCs/>
                      <w:color w:val="000000" w:themeColor="text1"/>
                      <w:sz w:val="21"/>
                      <w:szCs w:val="21"/>
                      <w14:textFill>
                        <w14:solidFill>
                          <w14:schemeClr w14:val="tx1"/>
                        </w14:solidFill>
                      </w14:textFill>
                    </w:rPr>
                    <w:t>喷漆废气</w:t>
                  </w:r>
                  <w:r>
                    <w:rPr>
                      <w:rFonts w:hint="eastAsia"/>
                      <w:color w:val="000000" w:themeColor="text1"/>
                      <w:sz w:val="21"/>
                      <w:szCs w:val="21"/>
                      <w14:textFill>
                        <w14:solidFill>
                          <w14:schemeClr w14:val="tx1"/>
                        </w14:solidFill>
                      </w14:textFill>
                    </w:rPr>
                    <w:t>：采取负压收集，经1套“干式过滤棉+三级活性炭吸附装置”处理后，于15m高排气筒（DA001）高空达标排放。</w:t>
                  </w:r>
                </w:p>
                <w:p w14:paraId="04494359">
                  <w:pPr>
                    <w:pStyle w:val="32"/>
                    <w:kinsoku w:val="0"/>
                    <w:wordWrap w:val="0"/>
                    <w:autoSpaceDE w:val="0"/>
                    <w:autoSpaceDN w:val="0"/>
                    <w:adjustRightInd w:val="0"/>
                    <w:snapToGrid w:val="0"/>
                    <w:jc w:val="both"/>
                    <w:rPr>
                      <w:kern w:val="21"/>
                      <w:sz w:val="21"/>
                      <w:szCs w:val="21"/>
                    </w:rPr>
                  </w:pPr>
                  <w:r>
                    <w:rPr>
                      <w:rFonts w:hint="eastAsia"/>
                      <w:kern w:val="21"/>
                      <w:sz w:val="21"/>
                      <w:szCs w:val="21"/>
                    </w:rPr>
                    <w:t>（2.3）固态废物：本项目一般废物分类收集后暂存于一般固废暂存间定外售综合利用，危险废物分类收集后暂存于危险废物暂存间定期交由有资质单位处置。</w:t>
                  </w:r>
                </w:p>
                <w:p w14:paraId="09A95533">
                  <w:pPr>
                    <w:pStyle w:val="32"/>
                    <w:kinsoku w:val="0"/>
                    <w:wordWrap w:val="0"/>
                    <w:autoSpaceDE w:val="0"/>
                    <w:autoSpaceDN w:val="0"/>
                    <w:adjustRightInd w:val="0"/>
                    <w:snapToGrid w:val="0"/>
                    <w:jc w:val="both"/>
                    <w:rPr>
                      <w:kern w:val="21"/>
                      <w:sz w:val="21"/>
                      <w:szCs w:val="21"/>
                    </w:rPr>
                  </w:pPr>
                  <w:r>
                    <w:rPr>
                      <w:rFonts w:hint="eastAsia"/>
                      <w:kern w:val="21"/>
                      <w:sz w:val="21"/>
                      <w:szCs w:val="21"/>
                    </w:rPr>
                    <w:t>（2.4）本项目不涉及锅炉</w:t>
                  </w:r>
                  <w:r>
                    <w:rPr>
                      <w:rFonts w:hint="eastAsia"/>
                      <w:kern w:val="2"/>
                      <w:sz w:val="21"/>
                      <w:szCs w:val="21"/>
                    </w:rPr>
                    <w:t>大气污染物排放。</w:t>
                  </w:r>
                </w:p>
              </w:tc>
              <w:tc>
                <w:tcPr>
                  <w:tcW w:w="798" w:type="dxa"/>
                  <w:tcBorders>
                    <w:tl2br w:val="nil"/>
                    <w:tr2bl w:val="nil"/>
                  </w:tcBorders>
                  <w:vAlign w:val="center"/>
                </w:tcPr>
                <w:p w14:paraId="40362AEB">
                  <w:pPr>
                    <w:kinsoku w:val="0"/>
                    <w:wordWrap w:val="0"/>
                    <w:autoSpaceDE w:val="0"/>
                    <w:autoSpaceDN w:val="0"/>
                    <w:adjustRightInd w:val="0"/>
                    <w:snapToGrid w:val="0"/>
                    <w:jc w:val="center"/>
                    <w:rPr>
                      <w:color w:val="000000" w:themeColor="text1"/>
                      <w:sz w:val="21"/>
                      <w:szCs w:val="21"/>
                      <w:shd w:val="clear" w:color="auto" w:fill="FFFFFF"/>
                      <w14:textFill>
                        <w14:solidFill>
                          <w14:schemeClr w14:val="tx1"/>
                        </w14:solidFill>
                      </w14:textFill>
                    </w:rPr>
                  </w:pPr>
                  <w:r>
                    <w:rPr>
                      <w:color w:val="000000" w:themeColor="text1"/>
                      <w:sz w:val="21"/>
                      <w:szCs w:val="21"/>
                      <w14:textFill>
                        <w14:solidFill>
                          <w14:schemeClr w14:val="tx1"/>
                        </w14:solidFill>
                      </w14:textFill>
                    </w:rPr>
                    <w:t>符合</w:t>
                  </w:r>
                </w:p>
              </w:tc>
            </w:tr>
            <w:tr w14:paraId="4CE658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60" w:hRule="atLeast"/>
                <w:jc w:val="center"/>
              </w:trPr>
              <w:tc>
                <w:tcPr>
                  <w:tcW w:w="725" w:type="dxa"/>
                  <w:tcBorders>
                    <w:tl2br w:val="nil"/>
                    <w:tr2bl w:val="nil"/>
                  </w:tcBorders>
                  <w:vAlign w:val="center"/>
                </w:tcPr>
                <w:p w14:paraId="59864837">
                  <w:pPr>
                    <w:pStyle w:val="32"/>
                    <w:kinsoku w:val="0"/>
                    <w:wordWrap w:val="0"/>
                    <w:autoSpaceDE w:val="0"/>
                    <w:autoSpaceDN w:val="0"/>
                    <w:adjustRightInd w:val="0"/>
                    <w:snapToGrid w:val="0"/>
                    <w:rPr>
                      <w:kern w:val="21"/>
                      <w:sz w:val="21"/>
                      <w:szCs w:val="21"/>
                    </w:rPr>
                  </w:pPr>
                  <w:r>
                    <w:rPr>
                      <w:kern w:val="21"/>
                      <w:sz w:val="21"/>
                      <w:szCs w:val="21"/>
                    </w:rPr>
                    <w:t>环境风险防控</w:t>
                  </w:r>
                </w:p>
              </w:tc>
              <w:tc>
                <w:tcPr>
                  <w:tcW w:w="3361" w:type="dxa"/>
                  <w:gridSpan w:val="2"/>
                  <w:tcBorders>
                    <w:tl2br w:val="nil"/>
                    <w:tr2bl w:val="nil"/>
                  </w:tcBorders>
                  <w:vAlign w:val="center"/>
                </w:tcPr>
                <w:p w14:paraId="0F8D3A94">
                  <w:pPr>
                    <w:pStyle w:val="32"/>
                    <w:kinsoku w:val="0"/>
                    <w:wordWrap w:val="0"/>
                    <w:autoSpaceDE w:val="0"/>
                    <w:autoSpaceDN w:val="0"/>
                    <w:adjustRightInd w:val="0"/>
                    <w:snapToGrid w:val="0"/>
                    <w:rPr>
                      <w:kern w:val="21"/>
                      <w:sz w:val="21"/>
                      <w:szCs w:val="21"/>
                    </w:rPr>
                  </w:pPr>
                  <w:r>
                    <w:rPr>
                      <w:rFonts w:hint="eastAsia"/>
                      <w:kern w:val="21"/>
                      <w:sz w:val="21"/>
                      <w:szCs w:val="21"/>
                    </w:rPr>
                    <w:t>（3.1）园区应建立健全各区块环境风险防控体系，严格落实《益阳龙岭产业开发区突发环境事件应急预案》的相关要求，严防环境突发事件发生，提高应急处置能力。建立健全环境应急演练制度，每年至少组织一次应急预案演练。</w:t>
                  </w:r>
                </w:p>
                <w:p w14:paraId="380CF604">
                  <w:pPr>
                    <w:pStyle w:val="32"/>
                    <w:kinsoku w:val="0"/>
                    <w:wordWrap w:val="0"/>
                    <w:autoSpaceDE w:val="0"/>
                    <w:autoSpaceDN w:val="0"/>
                    <w:adjustRightInd w:val="0"/>
                    <w:snapToGrid w:val="0"/>
                    <w:rPr>
                      <w:kern w:val="21"/>
                      <w:sz w:val="21"/>
                      <w:szCs w:val="21"/>
                    </w:rPr>
                  </w:pPr>
                  <w:r>
                    <w:rPr>
                      <w:rFonts w:hint="eastAsia"/>
                      <w:kern w:val="21"/>
                      <w:sz w:val="21"/>
                      <w:szCs w:val="21"/>
                    </w:rPr>
                    <w:t>（</w:t>
                  </w:r>
                  <w:r>
                    <w:rPr>
                      <w:kern w:val="21"/>
                      <w:sz w:val="21"/>
                      <w:szCs w:val="21"/>
                    </w:rPr>
                    <w:t>3.2</w:t>
                  </w:r>
                  <w:r>
                    <w:rPr>
                      <w:rFonts w:hint="eastAsia"/>
                      <w:kern w:val="21"/>
                      <w:sz w:val="21"/>
                      <w:szCs w:val="21"/>
                    </w:rPr>
                    <w:t>）园区可能发生突发环境事件的污染物排放企业，生产、储存、运输、使用危险化学品的企业，产生、收集、贮存、运输、 利用、处置危险废物的企业应当编制和实施环境应急预案；鼓励其他企业制定单独的环境应急预案，或在突发事件应急预案中制定 环境应急预案专章，并备案。</w:t>
                  </w:r>
                </w:p>
                <w:p w14:paraId="6446BE69">
                  <w:pPr>
                    <w:pStyle w:val="32"/>
                    <w:kinsoku w:val="0"/>
                    <w:wordWrap w:val="0"/>
                    <w:autoSpaceDE w:val="0"/>
                    <w:autoSpaceDN w:val="0"/>
                    <w:adjustRightInd w:val="0"/>
                    <w:snapToGrid w:val="0"/>
                    <w:rPr>
                      <w:kern w:val="21"/>
                      <w:sz w:val="21"/>
                      <w:szCs w:val="21"/>
                    </w:rPr>
                  </w:pPr>
                  <w:r>
                    <w:rPr>
                      <w:rFonts w:hint="eastAsia"/>
                      <w:kern w:val="21"/>
                      <w:sz w:val="21"/>
                      <w:szCs w:val="21"/>
                    </w:rPr>
                    <w:t>（</w:t>
                  </w:r>
                  <w:r>
                    <w:rPr>
                      <w:kern w:val="21"/>
                      <w:sz w:val="21"/>
                      <w:szCs w:val="21"/>
                    </w:rPr>
                    <w:t>3.3</w:t>
                  </w:r>
                  <w:r>
                    <w:rPr>
                      <w:rFonts w:hint="eastAsia"/>
                      <w:kern w:val="21"/>
                      <w:sz w:val="21"/>
                      <w:szCs w:val="21"/>
                    </w:rPr>
                    <w:t>）建设用地土壤风险防控：重点行业及排放重点污染物的建设项目，需要建设的土壤污染防治设施，要与主体工程同时设计、同时施工、同时投产使用。土壤环境重点监管企业每年要按照相关规定和监测规范，依法对其用地进行土壤环境监测。</w:t>
                  </w:r>
                </w:p>
                <w:p w14:paraId="09039C83">
                  <w:pPr>
                    <w:pStyle w:val="32"/>
                    <w:kinsoku w:val="0"/>
                    <w:wordWrap w:val="0"/>
                    <w:autoSpaceDE w:val="0"/>
                    <w:autoSpaceDN w:val="0"/>
                    <w:adjustRightInd w:val="0"/>
                    <w:snapToGrid w:val="0"/>
                    <w:rPr>
                      <w:kern w:val="21"/>
                      <w:sz w:val="21"/>
                      <w:szCs w:val="21"/>
                    </w:rPr>
                  </w:pPr>
                  <w:r>
                    <w:rPr>
                      <w:rFonts w:hint="eastAsia"/>
                      <w:kern w:val="21"/>
                      <w:sz w:val="21"/>
                      <w:szCs w:val="21"/>
                    </w:rPr>
                    <w:t>（</w:t>
                  </w:r>
                  <w:r>
                    <w:rPr>
                      <w:kern w:val="21"/>
                      <w:sz w:val="21"/>
                      <w:szCs w:val="21"/>
                    </w:rPr>
                    <w:t>3.4</w:t>
                  </w:r>
                  <w:r>
                    <w:rPr>
                      <w:rFonts w:hint="eastAsia"/>
                      <w:kern w:val="21"/>
                      <w:sz w:val="21"/>
                      <w:szCs w:val="21"/>
                    </w:rPr>
                    <w:t>）农用地土壤风险防控：禁止向农用地排放、倾倒未无害化处理达标的固体废物、工业废水，严防灌溉用水污染土壤，从源头切断污染物进入农用地。</w:t>
                  </w:r>
                </w:p>
              </w:tc>
              <w:tc>
                <w:tcPr>
                  <w:tcW w:w="2435" w:type="dxa"/>
                  <w:tcBorders>
                    <w:tl2br w:val="nil"/>
                    <w:tr2bl w:val="nil"/>
                  </w:tcBorders>
                  <w:vAlign w:val="center"/>
                </w:tcPr>
                <w:p w14:paraId="6A980350">
                  <w:pPr>
                    <w:pStyle w:val="32"/>
                    <w:kinsoku w:val="0"/>
                    <w:wordWrap w:val="0"/>
                    <w:autoSpaceDE w:val="0"/>
                    <w:autoSpaceDN w:val="0"/>
                    <w:adjustRightInd w:val="0"/>
                    <w:snapToGrid w:val="0"/>
                    <w:rPr>
                      <w:kern w:val="21"/>
                      <w:sz w:val="21"/>
                      <w:szCs w:val="21"/>
                    </w:rPr>
                  </w:pPr>
                  <w:r>
                    <w:rPr>
                      <w:rFonts w:hint="eastAsia"/>
                      <w:kern w:val="21"/>
                      <w:sz w:val="21"/>
                      <w:szCs w:val="21"/>
                    </w:rPr>
                    <w:t>本环评要求建设单位在项目建成投产后及时编制环境事件应急预案，并进行备案；项目位于工业园区，厂房地面均已全部硬化处理，厂房内拟设单独的一般固废暂存区和危废暂存区，项目建设对周边土壤环境影响不大。</w:t>
                  </w:r>
                </w:p>
              </w:tc>
              <w:tc>
                <w:tcPr>
                  <w:tcW w:w="798" w:type="dxa"/>
                  <w:tcBorders>
                    <w:tl2br w:val="nil"/>
                    <w:tr2bl w:val="nil"/>
                  </w:tcBorders>
                  <w:vAlign w:val="center"/>
                </w:tcPr>
                <w:p w14:paraId="64C3F6F7">
                  <w:pPr>
                    <w:pStyle w:val="32"/>
                    <w:kinsoku w:val="0"/>
                    <w:wordWrap w:val="0"/>
                    <w:autoSpaceDE w:val="0"/>
                    <w:autoSpaceDN w:val="0"/>
                    <w:adjustRightInd w:val="0"/>
                    <w:snapToGrid w:val="0"/>
                    <w:rPr>
                      <w:kern w:val="21"/>
                      <w:sz w:val="21"/>
                      <w:szCs w:val="21"/>
                    </w:rPr>
                  </w:pPr>
                  <w:r>
                    <w:rPr>
                      <w:kern w:val="21"/>
                      <w:sz w:val="21"/>
                      <w:szCs w:val="21"/>
                    </w:rPr>
                    <w:t>符合</w:t>
                  </w:r>
                </w:p>
              </w:tc>
            </w:tr>
            <w:tr w14:paraId="153F40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7" w:hRule="atLeast"/>
                <w:jc w:val="center"/>
              </w:trPr>
              <w:tc>
                <w:tcPr>
                  <w:tcW w:w="725" w:type="dxa"/>
                  <w:tcBorders>
                    <w:tl2br w:val="nil"/>
                    <w:tr2bl w:val="nil"/>
                  </w:tcBorders>
                  <w:vAlign w:val="center"/>
                </w:tcPr>
                <w:p w14:paraId="3BEEEF04">
                  <w:pPr>
                    <w:pStyle w:val="32"/>
                    <w:kinsoku w:val="0"/>
                    <w:wordWrap w:val="0"/>
                    <w:autoSpaceDE w:val="0"/>
                    <w:autoSpaceDN w:val="0"/>
                    <w:adjustRightInd w:val="0"/>
                    <w:snapToGrid w:val="0"/>
                    <w:rPr>
                      <w:kern w:val="21"/>
                      <w:sz w:val="21"/>
                      <w:szCs w:val="21"/>
                    </w:rPr>
                  </w:pPr>
                  <w:r>
                    <w:rPr>
                      <w:kern w:val="21"/>
                      <w:sz w:val="21"/>
                      <w:szCs w:val="21"/>
                    </w:rPr>
                    <w:t>资源开发效率要求</w:t>
                  </w:r>
                </w:p>
              </w:tc>
              <w:tc>
                <w:tcPr>
                  <w:tcW w:w="3361" w:type="dxa"/>
                  <w:gridSpan w:val="2"/>
                  <w:tcBorders>
                    <w:tl2br w:val="nil"/>
                    <w:tr2bl w:val="nil"/>
                  </w:tcBorders>
                  <w:vAlign w:val="center"/>
                </w:tcPr>
                <w:p w14:paraId="585441A5">
                  <w:pPr>
                    <w:pStyle w:val="32"/>
                    <w:kinsoku w:val="0"/>
                    <w:wordWrap w:val="0"/>
                    <w:autoSpaceDE w:val="0"/>
                    <w:autoSpaceDN w:val="0"/>
                    <w:adjustRightInd w:val="0"/>
                    <w:snapToGrid w:val="0"/>
                    <w:rPr>
                      <w:kern w:val="21"/>
                      <w:sz w:val="21"/>
                      <w:szCs w:val="21"/>
                    </w:rPr>
                  </w:pPr>
                  <w:r>
                    <w:rPr>
                      <w:rFonts w:hint="eastAsia"/>
                      <w:kern w:val="21"/>
                      <w:sz w:val="21"/>
                      <w:szCs w:val="21"/>
                    </w:rPr>
                    <w:t>（4.1）能源：大力调整能源消费结构，加快提高天然气、可再生能源应用比例；强化节能评估和审查制度，推行合同能源管理。</w:t>
                  </w:r>
                  <w:r>
                    <w:rPr>
                      <w:kern w:val="21"/>
                      <w:sz w:val="21"/>
                      <w:szCs w:val="21"/>
                    </w:rPr>
                    <w:t>2025</w:t>
                  </w:r>
                  <w:r>
                    <w:rPr>
                      <w:rFonts w:hint="eastAsia"/>
                      <w:kern w:val="21"/>
                      <w:sz w:val="21"/>
                      <w:szCs w:val="21"/>
                    </w:rPr>
                    <w:t>年单位</w:t>
                  </w:r>
                  <w:r>
                    <w:rPr>
                      <w:kern w:val="21"/>
                      <w:sz w:val="21"/>
                      <w:szCs w:val="21"/>
                    </w:rPr>
                    <w:t>GDP</w:t>
                  </w:r>
                  <w:r>
                    <w:rPr>
                      <w:rFonts w:hint="eastAsia"/>
                      <w:kern w:val="21"/>
                      <w:sz w:val="21"/>
                      <w:szCs w:val="21"/>
                    </w:rPr>
                    <w:t>能耗指标</w:t>
                  </w:r>
                  <w:r>
                    <w:rPr>
                      <w:kern w:val="21"/>
                      <w:sz w:val="21"/>
                      <w:szCs w:val="21"/>
                    </w:rPr>
                    <w:t>0.265</w:t>
                  </w:r>
                  <w:r>
                    <w:rPr>
                      <w:rFonts w:hint="eastAsia"/>
                      <w:kern w:val="21"/>
                      <w:sz w:val="21"/>
                      <w:szCs w:val="21"/>
                    </w:rPr>
                    <w:t>标煤</w:t>
                  </w:r>
                  <w:r>
                    <w:rPr>
                      <w:kern w:val="21"/>
                      <w:sz w:val="21"/>
                      <w:szCs w:val="21"/>
                    </w:rPr>
                    <w:t>/</w:t>
                  </w:r>
                  <w:r>
                    <w:rPr>
                      <w:rFonts w:hint="eastAsia"/>
                      <w:kern w:val="21"/>
                      <w:sz w:val="21"/>
                      <w:szCs w:val="21"/>
                    </w:rPr>
                    <w:t>万元。“十四五”时期能源消费增量控制在</w:t>
                  </w:r>
                  <w:r>
                    <w:rPr>
                      <w:kern w:val="21"/>
                      <w:sz w:val="21"/>
                      <w:szCs w:val="21"/>
                    </w:rPr>
                    <w:t>5.48</w:t>
                  </w:r>
                  <w:r>
                    <w:rPr>
                      <w:rFonts w:hint="eastAsia"/>
                      <w:kern w:val="21"/>
                      <w:sz w:val="21"/>
                      <w:szCs w:val="21"/>
                    </w:rPr>
                    <w:t>万标煤（当量值），单位</w:t>
                  </w:r>
                  <w:r>
                    <w:rPr>
                      <w:kern w:val="21"/>
                      <w:sz w:val="21"/>
                      <w:szCs w:val="21"/>
                    </w:rPr>
                    <w:t>GDP</w:t>
                  </w:r>
                  <w:r>
                    <w:rPr>
                      <w:rFonts w:hint="eastAsia"/>
                      <w:kern w:val="21"/>
                      <w:sz w:val="21"/>
                      <w:szCs w:val="21"/>
                    </w:rPr>
                    <w:t>能耗较</w:t>
                  </w:r>
                  <w:r>
                    <w:rPr>
                      <w:kern w:val="21"/>
                      <w:sz w:val="21"/>
                      <w:szCs w:val="21"/>
                    </w:rPr>
                    <w:t>2020</w:t>
                  </w:r>
                  <w:r>
                    <w:rPr>
                      <w:rFonts w:hint="eastAsia"/>
                      <w:kern w:val="21"/>
                      <w:sz w:val="21"/>
                      <w:szCs w:val="21"/>
                    </w:rPr>
                    <w:t>年下降</w:t>
                  </w:r>
                  <w:r>
                    <w:rPr>
                      <w:kern w:val="21"/>
                      <w:sz w:val="21"/>
                      <w:szCs w:val="21"/>
                    </w:rPr>
                    <w:t>12%</w:t>
                  </w:r>
                  <w:r>
                    <w:rPr>
                      <w:rFonts w:hint="eastAsia"/>
                      <w:kern w:val="21"/>
                      <w:sz w:val="21"/>
                      <w:szCs w:val="21"/>
                    </w:rPr>
                    <w:t>。</w:t>
                  </w:r>
                </w:p>
                <w:p w14:paraId="336744F0">
                  <w:pPr>
                    <w:pStyle w:val="32"/>
                    <w:kinsoku w:val="0"/>
                    <w:wordWrap w:val="0"/>
                    <w:autoSpaceDE w:val="0"/>
                    <w:autoSpaceDN w:val="0"/>
                    <w:adjustRightInd w:val="0"/>
                    <w:snapToGrid w:val="0"/>
                    <w:rPr>
                      <w:kern w:val="21"/>
                      <w:sz w:val="21"/>
                      <w:szCs w:val="21"/>
                    </w:rPr>
                  </w:pPr>
                  <w:r>
                    <w:rPr>
                      <w:rFonts w:hint="eastAsia"/>
                      <w:kern w:val="21"/>
                      <w:sz w:val="21"/>
                      <w:szCs w:val="21"/>
                    </w:rPr>
                    <w:t>（</w:t>
                  </w:r>
                  <w:r>
                    <w:rPr>
                      <w:kern w:val="21"/>
                      <w:sz w:val="21"/>
                      <w:szCs w:val="21"/>
                    </w:rPr>
                    <w:t>4.2</w:t>
                  </w:r>
                  <w:r>
                    <w:rPr>
                      <w:rFonts w:hint="eastAsia"/>
                      <w:kern w:val="21"/>
                      <w:sz w:val="21"/>
                      <w:szCs w:val="21"/>
                    </w:rPr>
                    <w:t>）水资源：开展节水诊断、水平衡测试、用水效率评估到</w:t>
                  </w:r>
                  <w:r>
                    <w:rPr>
                      <w:kern w:val="21"/>
                      <w:sz w:val="21"/>
                      <w:szCs w:val="21"/>
                    </w:rPr>
                    <w:t>2025</w:t>
                  </w:r>
                  <w:r>
                    <w:rPr>
                      <w:rFonts w:hint="eastAsia"/>
                      <w:kern w:val="21"/>
                      <w:sz w:val="21"/>
                      <w:szCs w:val="21"/>
                    </w:rPr>
                    <w:t>年，赫山区用水总量</w:t>
                  </w:r>
                  <w:r>
                    <w:rPr>
                      <w:kern w:val="21"/>
                      <w:sz w:val="21"/>
                      <w:szCs w:val="21"/>
                    </w:rPr>
                    <w:t>7.374</w:t>
                  </w:r>
                  <w:r>
                    <w:rPr>
                      <w:rFonts w:hint="eastAsia"/>
                      <w:kern w:val="21"/>
                      <w:sz w:val="21"/>
                      <w:szCs w:val="21"/>
                    </w:rPr>
                    <w:t>亿立方米，万元工业增加值用水量</w:t>
                  </w:r>
                  <w:r>
                    <w:rPr>
                      <w:kern w:val="21"/>
                      <w:sz w:val="21"/>
                      <w:szCs w:val="21"/>
                    </w:rPr>
                    <w:t>11.52</w:t>
                  </w:r>
                  <w:r>
                    <w:rPr>
                      <w:rFonts w:hint="eastAsia"/>
                      <w:kern w:val="21"/>
                      <w:sz w:val="21"/>
                      <w:szCs w:val="21"/>
                    </w:rPr>
                    <w:t>立方米</w:t>
                  </w:r>
                  <w:r>
                    <w:rPr>
                      <w:kern w:val="21"/>
                      <w:sz w:val="21"/>
                      <w:szCs w:val="21"/>
                    </w:rPr>
                    <w:t>/</w:t>
                  </w:r>
                  <w:r>
                    <w:rPr>
                      <w:rFonts w:hint="eastAsia"/>
                      <w:kern w:val="21"/>
                      <w:sz w:val="21"/>
                      <w:szCs w:val="21"/>
                    </w:rPr>
                    <w:t>万元，万元工业增加值用水量比</w:t>
                  </w:r>
                  <w:r>
                    <w:rPr>
                      <w:kern w:val="21"/>
                      <w:sz w:val="21"/>
                      <w:szCs w:val="21"/>
                    </w:rPr>
                    <w:t>2020</w:t>
                  </w:r>
                  <w:r>
                    <w:rPr>
                      <w:rFonts w:hint="eastAsia"/>
                      <w:kern w:val="21"/>
                      <w:sz w:val="21"/>
                      <w:szCs w:val="21"/>
                    </w:rPr>
                    <w:t>年下降</w:t>
                  </w:r>
                  <w:r>
                    <w:rPr>
                      <w:kern w:val="21"/>
                      <w:sz w:val="21"/>
                      <w:szCs w:val="21"/>
                    </w:rPr>
                    <w:t>8.87</w:t>
                  </w:r>
                  <w:r>
                    <w:rPr>
                      <w:rFonts w:hint="eastAsia"/>
                      <w:kern w:val="21"/>
                      <w:sz w:val="21"/>
                      <w:szCs w:val="21"/>
                    </w:rPr>
                    <w:t>%。</w:t>
                  </w:r>
                </w:p>
                <w:p w14:paraId="1BCC778B">
                  <w:pPr>
                    <w:pStyle w:val="32"/>
                    <w:kinsoku w:val="0"/>
                    <w:wordWrap w:val="0"/>
                    <w:autoSpaceDE w:val="0"/>
                    <w:autoSpaceDN w:val="0"/>
                    <w:adjustRightInd w:val="0"/>
                    <w:snapToGrid w:val="0"/>
                    <w:rPr>
                      <w:kern w:val="21"/>
                      <w:sz w:val="21"/>
                      <w:szCs w:val="21"/>
                    </w:rPr>
                  </w:pPr>
                  <w:r>
                    <w:rPr>
                      <w:rFonts w:hint="eastAsia"/>
                      <w:kern w:val="21"/>
                      <w:sz w:val="21"/>
                      <w:szCs w:val="21"/>
                    </w:rPr>
                    <w:t>（</w:t>
                  </w:r>
                  <w:r>
                    <w:rPr>
                      <w:kern w:val="21"/>
                      <w:sz w:val="21"/>
                      <w:szCs w:val="21"/>
                    </w:rPr>
                    <w:t>4.3</w:t>
                  </w:r>
                  <w:r>
                    <w:rPr>
                      <w:rFonts w:hint="eastAsia"/>
                      <w:kern w:val="21"/>
                      <w:sz w:val="21"/>
                      <w:szCs w:val="21"/>
                    </w:rPr>
                    <w:t>）土地资源：在详细规划编制、用地预审与选址、用地报批、土地出让、规划许可、竣工验收等环节，全面推行工业项目 建设用地引导指标和工业项目供地负面清单管理；工业用地固定资产投资强度达</w:t>
                  </w:r>
                  <w:r>
                    <w:rPr>
                      <w:kern w:val="21"/>
                      <w:sz w:val="21"/>
                      <w:szCs w:val="21"/>
                    </w:rPr>
                    <w:t>260</w:t>
                  </w:r>
                  <w:r>
                    <w:rPr>
                      <w:rFonts w:hint="eastAsia"/>
                      <w:kern w:val="21"/>
                      <w:sz w:val="21"/>
                      <w:szCs w:val="21"/>
                    </w:rPr>
                    <w:t>万元</w:t>
                  </w:r>
                  <w:r>
                    <w:rPr>
                      <w:kern w:val="21"/>
                      <w:sz w:val="21"/>
                      <w:szCs w:val="21"/>
                    </w:rPr>
                    <w:t>/</w:t>
                  </w:r>
                  <w:r>
                    <w:rPr>
                      <w:rFonts w:hint="eastAsia"/>
                      <w:kern w:val="21"/>
                      <w:sz w:val="21"/>
                      <w:szCs w:val="21"/>
                    </w:rPr>
                    <w:t>亩，工业用地地均税收</w:t>
                  </w:r>
                  <w:r>
                    <w:rPr>
                      <w:kern w:val="21"/>
                      <w:sz w:val="21"/>
                      <w:szCs w:val="21"/>
                    </w:rPr>
                    <w:t>13</w:t>
                  </w:r>
                  <w:r>
                    <w:rPr>
                      <w:rFonts w:hint="eastAsia"/>
                      <w:kern w:val="21"/>
                      <w:sz w:val="21"/>
                      <w:szCs w:val="21"/>
                    </w:rPr>
                    <w:t>万元</w:t>
                  </w:r>
                  <w:r>
                    <w:rPr>
                      <w:kern w:val="21"/>
                      <w:sz w:val="21"/>
                      <w:szCs w:val="21"/>
                    </w:rPr>
                    <w:t>/</w:t>
                  </w:r>
                  <w:r>
                    <w:rPr>
                      <w:rFonts w:hint="eastAsia"/>
                      <w:kern w:val="21"/>
                      <w:sz w:val="21"/>
                      <w:szCs w:val="21"/>
                    </w:rPr>
                    <w:t>亩。</w:t>
                  </w:r>
                </w:p>
              </w:tc>
              <w:tc>
                <w:tcPr>
                  <w:tcW w:w="2435" w:type="dxa"/>
                  <w:tcBorders>
                    <w:tl2br w:val="nil"/>
                    <w:tr2bl w:val="nil"/>
                  </w:tcBorders>
                  <w:vAlign w:val="center"/>
                </w:tcPr>
                <w:p w14:paraId="0E12C67F">
                  <w:pPr>
                    <w:pStyle w:val="32"/>
                    <w:kinsoku w:val="0"/>
                    <w:wordWrap w:val="0"/>
                    <w:autoSpaceDE w:val="0"/>
                    <w:autoSpaceDN w:val="0"/>
                    <w:adjustRightInd w:val="0"/>
                    <w:snapToGrid w:val="0"/>
                    <w:rPr>
                      <w:kern w:val="21"/>
                      <w:sz w:val="21"/>
                      <w:szCs w:val="21"/>
                    </w:rPr>
                  </w:pPr>
                  <w:r>
                    <w:rPr>
                      <w:rFonts w:hint="eastAsia"/>
                      <w:kern w:val="21"/>
                      <w:sz w:val="21"/>
                      <w:szCs w:val="21"/>
                    </w:rPr>
                    <w:t>（4.1）本项目生产主要使用电能，属于清洁能源。</w:t>
                  </w:r>
                </w:p>
                <w:p w14:paraId="0155B60E">
                  <w:pPr>
                    <w:pStyle w:val="32"/>
                    <w:kinsoku w:val="0"/>
                    <w:wordWrap w:val="0"/>
                    <w:autoSpaceDE w:val="0"/>
                    <w:autoSpaceDN w:val="0"/>
                    <w:adjustRightInd w:val="0"/>
                    <w:snapToGrid w:val="0"/>
                    <w:rPr>
                      <w:kern w:val="21"/>
                      <w:sz w:val="21"/>
                      <w:szCs w:val="21"/>
                    </w:rPr>
                  </w:pPr>
                  <w:r>
                    <w:rPr>
                      <w:rFonts w:hint="eastAsia"/>
                      <w:kern w:val="21"/>
                      <w:sz w:val="21"/>
                      <w:szCs w:val="21"/>
                    </w:rPr>
                    <w:t>（4.2）本项目用水量较少，不属于水资源消耗大企业。</w:t>
                  </w:r>
                </w:p>
                <w:p w14:paraId="5035E83D">
                  <w:pPr>
                    <w:pStyle w:val="32"/>
                    <w:kinsoku w:val="0"/>
                    <w:wordWrap w:val="0"/>
                    <w:autoSpaceDE w:val="0"/>
                    <w:autoSpaceDN w:val="0"/>
                    <w:adjustRightInd w:val="0"/>
                    <w:snapToGrid w:val="0"/>
                    <w:rPr>
                      <w:kern w:val="21"/>
                      <w:sz w:val="21"/>
                      <w:szCs w:val="21"/>
                    </w:rPr>
                  </w:pPr>
                  <w:r>
                    <w:rPr>
                      <w:rFonts w:hint="eastAsia"/>
                      <w:kern w:val="21"/>
                      <w:sz w:val="21"/>
                      <w:szCs w:val="21"/>
                    </w:rPr>
                    <w:t>（4.3）</w:t>
                  </w:r>
                  <w:r>
                    <w:rPr>
                      <w:kern w:val="21"/>
                      <w:sz w:val="21"/>
                      <w:szCs w:val="21"/>
                    </w:rPr>
                    <w:t>本项目</w:t>
                  </w:r>
                  <w:r>
                    <w:rPr>
                      <w:rFonts w:hint="eastAsia"/>
                      <w:kern w:val="21"/>
                      <w:sz w:val="21"/>
                      <w:szCs w:val="21"/>
                    </w:rPr>
                    <w:t>位于</w:t>
                  </w:r>
                  <w:r>
                    <w:rPr>
                      <w:kern w:val="21"/>
                      <w:sz w:val="21"/>
                      <w:szCs w:val="21"/>
                    </w:rPr>
                    <w:t>益阳市赫山区龙岭产业开发区新材料产业园朝阳路粤浙城科技示范基地</w:t>
                  </w:r>
                  <w:r>
                    <w:rPr>
                      <w:rFonts w:hint="eastAsia"/>
                      <w:kern w:val="21"/>
                      <w:sz w:val="21"/>
                      <w:szCs w:val="21"/>
                    </w:rPr>
                    <w:t>8栋，属于工业用地，符合相关用地规划。</w:t>
                  </w:r>
                </w:p>
              </w:tc>
              <w:tc>
                <w:tcPr>
                  <w:tcW w:w="798" w:type="dxa"/>
                  <w:tcBorders>
                    <w:tl2br w:val="nil"/>
                    <w:tr2bl w:val="nil"/>
                  </w:tcBorders>
                  <w:vAlign w:val="center"/>
                </w:tcPr>
                <w:p w14:paraId="3F1B4BFF">
                  <w:pPr>
                    <w:pStyle w:val="32"/>
                    <w:kinsoku w:val="0"/>
                    <w:wordWrap w:val="0"/>
                    <w:autoSpaceDE w:val="0"/>
                    <w:autoSpaceDN w:val="0"/>
                    <w:adjustRightInd w:val="0"/>
                    <w:snapToGrid w:val="0"/>
                    <w:rPr>
                      <w:kern w:val="21"/>
                      <w:sz w:val="21"/>
                      <w:szCs w:val="21"/>
                    </w:rPr>
                  </w:pPr>
                  <w:r>
                    <w:rPr>
                      <w:kern w:val="21"/>
                      <w:sz w:val="21"/>
                      <w:szCs w:val="21"/>
                    </w:rPr>
                    <w:t>符合</w:t>
                  </w:r>
                </w:p>
              </w:tc>
            </w:tr>
          </w:tbl>
          <w:p w14:paraId="36A56657">
            <w:pPr>
              <w:autoSpaceDE w:val="0"/>
              <w:autoSpaceDN w:val="0"/>
              <w:adjustRightInd w:val="0"/>
              <w:snapToGrid w:val="0"/>
              <w:spacing w:line="360" w:lineRule="auto"/>
              <w:ind w:firstLine="480" w:firstLineChars="200"/>
              <w:rPr>
                <w:kern w:val="21"/>
              </w:rPr>
            </w:pPr>
            <w:r>
              <w:rPr>
                <w:rFonts w:hint="eastAsia"/>
                <w:kern w:val="21"/>
              </w:rPr>
              <w:t>综上所述，项目符合《湖南省生态环境分区管控总体管控要求暨省级以上产业园区生态环境准入清单》（湘环函〔2024〕26号）的相关要求。</w:t>
            </w:r>
          </w:p>
          <w:p w14:paraId="65BD3A23">
            <w:pPr>
              <w:kinsoku w:val="0"/>
              <w:wordWrap w:val="0"/>
              <w:adjustRightInd w:val="0"/>
              <w:snapToGrid w:val="0"/>
              <w:spacing w:line="360" w:lineRule="auto"/>
              <w:rPr>
                <w:b/>
                <w:bCs/>
              </w:rPr>
            </w:pPr>
            <w:r>
              <w:rPr>
                <w:rFonts w:hint="eastAsia"/>
                <w:b/>
                <w:bCs/>
              </w:rPr>
              <w:t>三、与《挥发性有机物无组织排放控制标准》（</w:t>
            </w:r>
            <w:r>
              <w:rPr>
                <w:b/>
                <w:bCs/>
              </w:rPr>
              <w:t>GB37822-2019）</w:t>
            </w:r>
            <w:r>
              <w:rPr>
                <w:rFonts w:hint="eastAsia"/>
                <w:b/>
                <w:bCs/>
              </w:rPr>
              <w:t>的符合性分析</w:t>
            </w:r>
          </w:p>
          <w:p w14:paraId="276C3AD1">
            <w:pPr>
              <w:kinsoku w:val="0"/>
              <w:wordWrap w:val="0"/>
              <w:autoSpaceDE w:val="0"/>
              <w:autoSpaceDN w:val="0"/>
              <w:adjustRightInd w:val="0"/>
              <w:snapToGrid w:val="0"/>
              <w:jc w:val="center"/>
              <w:rPr>
                <w:b/>
                <w:bCs/>
              </w:rPr>
            </w:pPr>
            <w:r>
              <w:rPr>
                <w:rFonts w:hint="eastAsia"/>
                <w:b/>
                <w:bCs/>
              </w:rPr>
              <w:t xml:space="preserve">表1-5  </w:t>
            </w:r>
            <w:r>
              <w:rPr>
                <w:rFonts w:hint="eastAsia"/>
                <w:b/>
                <w:bCs/>
                <w:kern w:val="21"/>
              </w:rPr>
              <w:t>与</w:t>
            </w:r>
            <w:r>
              <w:rPr>
                <w:rFonts w:hint="eastAsia"/>
                <w:b/>
                <w:bCs/>
              </w:rPr>
              <w:t>《挥发性有机物无组织排放控制标准》（</w:t>
            </w:r>
            <w:r>
              <w:rPr>
                <w:b/>
                <w:bCs/>
              </w:rPr>
              <w:t>GB37822-2019）</w:t>
            </w:r>
            <w:r>
              <w:rPr>
                <w:rFonts w:hint="eastAsia"/>
                <w:b/>
                <w:bCs/>
                <w:kern w:val="21"/>
              </w:rPr>
              <w:t>符合性分析</w:t>
            </w:r>
          </w:p>
          <w:tbl>
            <w:tblPr>
              <w:tblStyle w:val="24"/>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3007"/>
              <w:gridCol w:w="3010"/>
              <w:gridCol w:w="789"/>
            </w:tblGrid>
            <w:tr w14:paraId="017F2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13" w:type="pct"/>
                  <w:tcBorders>
                    <w:tl2br w:val="nil"/>
                    <w:tr2bl w:val="nil"/>
                  </w:tcBorders>
                  <w:vAlign w:val="center"/>
                </w:tcPr>
                <w:p w14:paraId="7E191F31">
                  <w:pPr>
                    <w:adjustRightInd w:val="0"/>
                    <w:snapToGrid w:val="0"/>
                    <w:jc w:val="center"/>
                    <w:rPr>
                      <w:b/>
                      <w:bCs/>
                      <w:color w:val="000000"/>
                      <w:sz w:val="21"/>
                      <w:szCs w:val="21"/>
                    </w:rPr>
                  </w:pPr>
                  <w:r>
                    <w:rPr>
                      <w:rFonts w:hint="eastAsia"/>
                      <w:b/>
                      <w:bCs/>
                      <w:color w:val="000000"/>
                      <w:sz w:val="21"/>
                      <w:szCs w:val="21"/>
                    </w:rPr>
                    <w:t>序号</w:t>
                  </w:r>
                </w:p>
              </w:tc>
              <w:tc>
                <w:tcPr>
                  <w:tcW w:w="2026" w:type="pct"/>
                  <w:tcBorders>
                    <w:tl2br w:val="nil"/>
                    <w:tr2bl w:val="nil"/>
                  </w:tcBorders>
                  <w:vAlign w:val="center"/>
                </w:tcPr>
                <w:p w14:paraId="24CE8EA4">
                  <w:pPr>
                    <w:adjustRightInd w:val="0"/>
                    <w:snapToGrid w:val="0"/>
                    <w:jc w:val="center"/>
                    <w:rPr>
                      <w:b/>
                      <w:bCs/>
                      <w:color w:val="000000"/>
                      <w:sz w:val="21"/>
                      <w:szCs w:val="21"/>
                    </w:rPr>
                  </w:pPr>
                  <w:r>
                    <w:rPr>
                      <w:rFonts w:hint="eastAsia"/>
                      <w:b/>
                      <w:bCs/>
                      <w:color w:val="000000"/>
                      <w:sz w:val="21"/>
                      <w:szCs w:val="21"/>
                    </w:rPr>
                    <w:t>相关要求</w:t>
                  </w:r>
                </w:p>
              </w:tc>
              <w:tc>
                <w:tcPr>
                  <w:tcW w:w="2028" w:type="pct"/>
                  <w:tcBorders>
                    <w:tl2br w:val="nil"/>
                    <w:tr2bl w:val="nil"/>
                  </w:tcBorders>
                  <w:vAlign w:val="center"/>
                </w:tcPr>
                <w:p w14:paraId="2342FC87">
                  <w:pPr>
                    <w:adjustRightInd w:val="0"/>
                    <w:snapToGrid w:val="0"/>
                    <w:jc w:val="center"/>
                    <w:rPr>
                      <w:b/>
                      <w:bCs/>
                      <w:color w:val="000000"/>
                      <w:sz w:val="21"/>
                      <w:szCs w:val="21"/>
                    </w:rPr>
                  </w:pPr>
                  <w:r>
                    <w:rPr>
                      <w:rFonts w:hint="eastAsia"/>
                      <w:b/>
                      <w:bCs/>
                      <w:color w:val="000000"/>
                      <w:sz w:val="21"/>
                      <w:szCs w:val="21"/>
                    </w:rPr>
                    <w:t>本项目情况</w:t>
                  </w:r>
                </w:p>
              </w:tc>
              <w:tc>
                <w:tcPr>
                  <w:tcW w:w="531" w:type="pct"/>
                  <w:tcBorders>
                    <w:tl2br w:val="nil"/>
                    <w:tr2bl w:val="nil"/>
                  </w:tcBorders>
                  <w:vAlign w:val="center"/>
                </w:tcPr>
                <w:p w14:paraId="5BDE7D71">
                  <w:pPr>
                    <w:adjustRightInd w:val="0"/>
                    <w:snapToGrid w:val="0"/>
                    <w:jc w:val="center"/>
                    <w:rPr>
                      <w:b/>
                      <w:bCs/>
                      <w:color w:val="000000"/>
                      <w:sz w:val="21"/>
                      <w:szCs w:val="21"/>
                    </w:rPr>
                  </w:pPr>
                  <w:r>
                    <w:rPr>
                      <w:rFonts w:hint="eastAsia"/>
                      <w:b/>
                      <w:bCs/>
                      <w:color w:val="000000"/>
                      <w:sz w:val="21"/>
                      <w:szCs w:val="21"/>
                    </w:rPr>
                    <w:t>符合性</w:t>
                  </w:r>
                </w:p>
              </w:tc>
            </w:tr>
            <w:tr w14:paraId="4424B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413" w:type="pct"/>
                  <w:tcBorders>
                    <w:tl2br w:val="nil"/>
                    <w:tr2bl w:val="nil"/>
                  </w:tcBorders>
                  <w:vAlign w:val="center"/>
                </w:tcPr>
                <w:p w14:paraId="06EC120A">
                  <w:pPr>
                    <w:adjustRightInd w:val="0"/>
                    <w:snapToGrid w:val="0"/>
                    <w:jc w:val="center"/>
                    <w:rPr>
                      <w:color w:val="000000"/>
                      <w:sz w:val="21"/>
                      <w:szCs w:val="21"/>
                    </w:rPr>
                  </w:pPr>
                  <w:r>
                    <w:rPr>
                      <w:rFonts w:hint="eastAsia"/>
                      <w:color w:val="000000"/>
                      <w:sz w:val="21"/>
                      <w:szCs w:val="21"/>
                    </w:rPr>
                    <w:t>1</w:t>
                  </w:r>
                </w:p>
              </w:tc>
              <w:tc>
                <w:tcPr>
                  <w:tcW w:w="2026" w:type="pct"/>
                  <w:tcBorders>
                    <w:tl2br w:val="nil"/>
                    <w:tr2bl w:val="nil"/>
                  </w:tcBorders>
                  <w:vAlign w:val="center"/>
                </w:tcPr>
                <w:p w14:paraId="297CC01C">
                  <w:pPr>
                    <w:adjustRightInd w:val="0"/>
                    <w:snapToGrid w:val="0"/>
                    <w:jc w:val="center"/>
                    <w:rPr>
                      <w:color w:val="000000"/>
                      <w:sz w:val="21"/>
                      <w:szCs w:val="21"/>
                    </w:rPr>
                  </w:pPr>
                  <w:r>
                    <w:rPr>
                      <w:rFonts w:hint="eastAsia"/>
                      <w:color w:val="000000"/>
                      <w:sz w:val="21"/>
                      <w:szCs w:val="21"/>
                    </w:rPr>
                    <w:t>（1）</w:t>
                  </w:r>
                  <w:r>
                    <w:rPr>
                      <w:color w:val="000000"/>
                      <w:sz w:val="21"/>
                      <w:szCs w:val="21"/>
                    </w:rPr>
                    <w:t>VOCs物料应储存于密闭的容器、包装袋、储</w:t>
                  </w:r>
                  <w:r>
                    <w:rPr>
                      <w:rFonts w:hint="eastAsia"/>
                      <w:color w:val="000000"/>
                      <w:sz w:val="21"/>
                      <w:szCs w:val="21"/>
                    </w:rPr>
                    <w:t>罐</w:t>
                  </w:r>
                  <w:r>
                    <w:rPr>
                      <w:color w:val="000000"/>
                      <w:sz w:val="21"/>
                      <w:szCs w:val="21"/>
                    </w:rPr>
                    <w:t>、储库、料仓中。</w:t>
                  </w:r>
                </w:p>
                <w:p w14:paraId="31E2B32C">
                  <w:pPr>
                    <w:pStyle w:val="22"/>
                    <w:ind w:left="0" w:leftChars="0" w:firstLine="0"/>
                  </w:pPr>
                  <w:r>
                    <w:rPr>
                      <w:rFonts w:hint="eastAsia"/>
                    </w:rPr>
                    <w:t>（2）</w:t>
                  </w:r>
                  <w:r>
                    <w:t>盛装VOCs物料的容器或包装袋应存放于室内，或存放于设置有雨棚、遮阳和防渗设施的专用场地。盛装VOCs物料的容器或包装袋在非取用状态时应加盖、封口，保持密闭。</w:t>
                  </w:r>
                </w:p>
              </w:tc>
              <w:tc>
                <w:tcPr>
                  <w:tcW w:w="2028" w:type="pct"/>
                  <w:tcBorders>
                    <w:tl2br w:val="nil"/>
                    <w:tr2bl w:val="nil"/>
                  </w:tcBorders>
                  <w:vAlign w:val="center"/>
                </w:tcPr>
                <w:p w14:paraId="61007BA2">
                  <w:pPr>
                    <w:adjustRightInd w:val="0"/>
                    <w:snapToGrid w:val="0"/>
                    <w:jc w:val="center"/>
                    <w:rPr>
                      <w:color w:val="000000"/>
                      <w:sz w:val="21"/>
                      <w:szCs w:val="21"/>
                    </w:rPr>
                  </w:pPr>
                  <w:r>
                    <w:rPr>
                      <w:rFonts w:hint="eastAsia"/>
                      <w:sz w:val="21"/>
                      <w:szCs w:val="21"/>
                    </w:rPr>
                    <w:t>本项目水性漆采用密封桶装存储，且原料存放处设置有防雨、防晒、防渗等设施，水性漆在</w:t>
                  </w:r>
                  <w:r>
                    <w:rPr>
                      <w:sz w:val="21"/>
                      <w:szCs w:val="21"/>
                    </w:rPr>
                    <w:t>非取用状态时</w:t>
                  </w:r>
                  <w:r>
                    <w:rPr>
                      <w:rFonts w:hint="eastAsia"/>
                      <w:sz w:val="21"/>
                      <w:szCs w:val="21"/>
                    </w:rPr>
                    <w:t>采取</w:t>
                  </w:r>
                  <w:r>
                    <w:rPr>
                      <w:sz w:val="21"/>
                      <w:szCs w:val="21"/>
                    </w:rPr>
                    <w:t>加盖</w:t>
                  </w:r>
                  <w:r>
                    <w:rPr>
                      <w:rFonts w:hint="eastAsia"/>
                      <w:sz w:val="21"/>
                      <w:szCs w:val="21"/>
                    </w:rPr>
                    <w:t>保持密闭。</w:t>
                  </w:r>
                </w:p>
              </w:tc>
              <w:tc>
                <w:tcPr>
                  <w:tcW w:w="531" w:type="pct"/>
                  <w:tcBorders>
                    <w:tl2br w:val="nil"/>
                    <w:tr2bl w:val="nil"/>
                  </w:tcBorders>
                  <w:vAlign w:val="center"/>
                </w:tcPr>
                <w:p w14:paraId="6A93D379">
                  <w:pPr>
                    <w:adjustRightInd w:val="0"/>
                    <w:snapToGrid w:val="0"/>
                    <w:jc w:val="center"/>
                    <w:rPr>
                      <w:color w:val="000000"/>
                      <w:sz w:val="21"/>
                      <w:szCs w:val="21"/>
                    </w:rPr>
                  </w:pPr>
                  <w:r>
                    <w:rPr>
                      <w:rFonts w:hint="eastAsia"/>
                      <w:color w:val="000000"/>
                      <w:sz w:val="21"/>
                      <w:szCs w:val="21"/>
                    </w:rPr>
                    <w:t>符合</w:t>
                  </w:r>
                </w:p>
              </w:tc>
            </w:tr>
            <w:tr w14:paraId="37B51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4" w:hRule="atLeast"/>
                <w:jc w:val="center"/>
              </w:trPr>
              <w:tc>
                <w:tcPr>
                  <w:tcW w:w="413" w:type="pct"/>
                  <w:tcBorders>
                    <w:tl2br w:val="nil"/>
                    <w:tr2bl w:val="nil"/>
                  </w:tcBorders>
                  <w:vAlign w:val="center"/>
                </w:tcPr>
                <w:p w14:paraId="4F29BF64">
                  <w:pPr>
                    <w:adjustRightInd w:val="0"/>
                    <w:snapToGrid w:val="0"/>
                    <w:jc w:val="center"/>
                    <w:rPr>
                      <w:color w:val="000000"/>
                      <w:sz w:val="21"/>
                      <w:szCs w:val="21"/>
                    </w:rPr>
                  </w:pPr>
                  <w:r>
                    <w:rPr>
                      <w:rFonts w:hint="eastAsia"/>
                      <w:color w:val="000000"/>
                      <w:sz w:val="21"/>
                      <w:szCs w:val="21"/>
                    </w:rPr>
                    <w:t>2</w:t>
                  </w:r>
                </w:p>
              </w:tc>
              <w:tc>
                <w:tcPr>
                  <w:tcW w:w="2026" w:type="pct"/>
                  <w:tcBorders>
                    <w:tl2br w:val="nil"/>
                    <w:tr2bl w:val="nil"/>
                  </w:tcBorders>
                  <w:vAlign w:val="center"/>
                </w:tcPr>
                <w:p w14:paraId="0FA02F5B">
                  <w:pPr>
                    <w:adjustRightInd w:val="0"/>
                    <w:snapToGrid w:val="0"/>
                    <w:jc w:val="center"/>
                    <w:rPr>
                      <w:color w:val="000000"/>
                      <w:sz w:val="21"/>
                      <w:szCs w:val="21"/>
                    </w:rPr>
                  </w:pPr>
                  <w:r>
                    <w:rPr>
                      <w:color w:val="000000"/>
                      <w:sz w:val="21"/>
                      <w:szCs w:val="21"/>
                    </w:rPr>
                    <w:t>（1）液态VOCs物料应采用密闭管道输送。采用非管道输送方式转移液态VOCs物料时，应采用密闭容器、罐车。</w:t>
                  </w:r>
                </w:p>
                <w:p w14:paraId="0F45693D">
                  <w:pPr>
                    <w:pStyle w:val="22"/>
                    <w:ind w:left="0" w:leftChars="0" w:firstLine="0"/>
                  </w:pPr>
                  <w:r>
                    <w:t>（2）粉状、粒状VOCs物料应采用气力输送设备、管状带式输送机、螺旋输送机等密闭输送方式或者采用密闭的包装袋、容器或罐车进行物料转移。</w:t>
                  </w:r>
                </w:p>
              </w:tc>
              <w:tc>
                <w:tcPr>
                  <w:tcW w:w="2028" w:type="pct"/>
                  <w:tcBorders>
                    <w:tl2br w:val="nil"/>
                    <w:tr2bl w:val="nil"/>
                  </w:tcBorders>
                  <w:vAlign w:val="center"/>
                </w:tcPr>
                <w:p w14:paraId="74E2FEF5">
                  <w:pPr>
                    <w:adjustRightInd w:val="0"/>
                    <w:snapToGrid w:val="0"/>
                    <w:jc w:val="center"/>
                    <w:rPr>
                      <w:color w:val="000000"/>
                      <w:sz w:val="21"/>
                      <w:szCs w:val="21"/>
                    </w:rPr>
                  </w:pPr>
                  <w:r>
                    <w:rPr>
                      <w:rFonts w:hint="eastAsia"/>
                      <w:color w:val="000000"/>
                      <w:sz w:val="21"/>
                      <w:szCs w:val="21"/>
                    </w:rPr>
                    <w:t>版本项目采用水性漆，属于液态VOCs物料，非管道输送，采用密闭容器（水性漆桶）转移至喷涂间。</w:t>
                  </w:r>
                </w:p>
              </w:tc>
              <w:tc>
                <w:tcPr>
                  <w:tcW w:w="531" w:type="pct"/>
                  <w:tcBorders>
                    <w:tl2br w:val="nil"/>
                    <w:tr2bl w:val="nil"/>
                  </w:tcBorders>
                  <w:vAlign w:val="center"/>
                </w:tcPr>
                <w:p w14:paraId="435BE6E1">
                  <w:pPr>
                    <w:adjustRightInd w:val="0"/>
                    <w:snapToGrid w:val="0"/>
                    <w:jc w:val="center"/>
                    <w:rPr>
                      <w:color w:val="000000"/>
                      <w:sz w:val="21"/>
                      <w:szCs w:val="21"/>
                    </w:rPr>
                  </w:pPr>
                  <w:r>
                    <w:rPr>
                      <w:rFonts w:hint="eastAsia"/>
                      <w:color w:val="000000"/>
                      <w:sz w:val="21"/>
                      <w:szCs w:val="21"/>
                    </w:rPr>
                    <w:t>符合</w:t>
                  </w:r>
                </w:p>
              </w:tc>
            </w:tr>
            <w:tr w14:paraId="0B4B6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4" w:hRule="atLeast"/>
                <w:jc w:val="center"/>
              </w:trPr>
              <w:tc>
                <w:tcPr>
                  <w:tcW w:w="413" w:type="pct"/>
                  <w:tcBorders>
                    <w:tl2br w:val="nil"/>
                    <w:tr2bl w:val="nil"/>
                  </w:tcBorders>
                  <w:vAlign w:val="center"/>
                </w:tcPr>
                <w:p w14:paraId="389518F1">
                  <w:pPr>
                    <w:adjustRightInd w:val="0"/>
                    <w:snapToGrid w:val="0"/>
                    <w:jc w:val="center"/>
                    <w:rPr>
                      <w:color w:val="000000"/>
                      <w:sz w:val="21"/>
                      <w:szCs w:val="21"/>
                    </w:rPr>
                  </w:pPr>
                  <w:r>
                    <w:rPr>
                      <w:rFonts w:hint="eastAsia"/>
                      <w:color w:val="000000"/>
                      <w:sz w:val="21"/>
                      <w:szCs w:val="21"/>
                    </w:rPr>
                    <w:t>3</w:t>
                  </w:r>
                </w:p>
              </w:tc>
              <w:tc>
                <w:tcPr>
                  <w:tcW w:w="2026" w:type="pct"/>
                  <w:tcBorders>
                    <w:tl2br w:val="nil"/>
                    <w:tr2bl w:val="nil"/>
                  </w:tcBorders>
                  <w:vAlign w:val="center"/>
                </w:tcPr>
                <w:p w14:paraId="4AEAA31A">
                  <w:pPr>
                    <w:pStyle w:val="22"/>
                    <w:kinsoku w:val="0"/>
                    <w:wordWrap w:val="0"/>
                    <w:adjustRightInd w:val="0"/>
                    <w:snapToGrid w:val="0"/>
                    <w:ind w:left="0" w:leftChars="0" w:firstLine="0"/>
                  </w:pPr>
                  <w:r>
                    <w:rPr>
                      <w:rFonts w:hint="eastAsia"/>
                    </w:rPr>
                    <w:t>（1）液态VOCs物料应采用密闭管道输送方式或采用高位槽（罐）、桶泵等给料方式密闭投加。无法GB37822-2019密闭投加的，应在密闭空间内操作，或进行局部气体收集，废气应排至VOCs废气收集处理系统。</w:t>
                  </w:r>
                </w:p>
                <w:p w14:paraId="267FF636">
                  <w:pPr>
                    <w:pStyle w:val="22"/>
                    <w:kinsoku w:val="0"/>
                    <w:wordWrap w:val="0"/>
                    <w:adjustRightInd w:val="0"/>
                    <w:snapToGrid w:val="0"/>
                    <w:ind w:left="0" w:leftChars="0" w:firstLine="0"/>
                  </w:pPr>
                  <w:r>
                    <w:rPr>
                      <w:rFonts w:hint="eastAsia"/>
                    </w:rPr>
                    <w:t>（2）粉状、粒状VOCs物料应采用气力输送方式或采用密闭固体投料器等给料方式密闭投加。无法密闭投加的，应在密闭空间内操作，或进行局部气体收集，废气应排至除尘设施、VOCs废气收集处理系统。</w:t>
                  </w:r>
                </w:p>
                <w:p w14:paraId="16154053">
                  <w:pPr>
                    <w:pStyle w:val="22"/>
                    <w:kinsoku w:val="0"/>
                    <w:wordWrap w:val="0"/>
                    <w:adjustRightInd w:val="0"/>
                    <w:snapToGrid w:val="0"/>
                    <w:ind w:left="0" w:leftChars="0" w:firstLine="0"/>
                  </w:pPr>
                  <w:r>
                    <w:rPr>
                      <w:rFonts w:hint="eastAsia"/>
                    </w:rPr>
                    <w:t>（3）VOCs物料卸（出、放）料过程应密闭，卸料废气应排至VOCs废气收集处理系统：无法密闭的，应采取局部气体收集措施，废气应排至VOCs废气收集处理系统。</w:t>
                  </w:r>
                </w:p>
              </w:tc>
              <w:tc>
                <w:tcPr>
                  <w:tcW w:w="2028" w:type="pct"/>
                  <w:tcBorders>
                    <w:tl2br w:val="nil"/>
                    <w:tr2bl w:val="nil"/>
                  </w:tcBorders>
                  <w:vAlign w:val="center"/>
                </w:tcPr>
                <w:p w14:paraId="4851674D">
                  <w:pPr>
                    <w:adjustRightInd w:val="0"/>
                    <w:snapToGrid w:val="0"/>
                    <w:jc w:val="center"/>
                    <w:rPr>
                      <w:color w:val="000000"/>
                      <w:sz w:val="21"/>
                      <w:szCs w:val="21"/>
                    </w:rPr>
                  </w:pPr>
                  <w:r>
                    <w:rPr>
                      <w:rFonts w:hint="eastAsia"/>
                      <w:color w:val="000000"/>
                      <w:sz w:val="21"/>
                      <w:szCs w:val="21"/>
                    </w:rPr>
                    <w:t>（1）本项目水性漆采用桶泵方式密闭投加，水性漆喷涂、晾干都在喷漆房里面进行，采用负压收集，收集后经干式过滤棉+三级活性炭处理后通过15m排气筒（DA001）高空排放。</w:t>
                  </w:r>
                </w:p>
                <w:p w14:paraId="75F4C2D2">
                  <w:pPr>
                    <w:pStyle w:val="22"/>
                    <w:kinsoku w:val="0"/>
                    <w:wordWrap w:val="0"/>
                    <w:adjustRightInd w:val="0"/>
                    <w:snapToGrid w:val="0"/>
                    <w:ind w:left="0" w:leftChars="0" w:firstLine="0"/>
                  </w:pPr>
                  <w:r>
                    <w:rPr>
                      <w:rFonts w:hint="eastAsia"/>
                      <w:color w:val="000000"/>
                      <w:szCs w:val="21"/>
                    </w:rPr>
                    <w:t>（2）本项目不涉及</w:t>
                  </w:r>
                  <w:r>
                    <w:rPr>
                      <w:rFonts w:hint="eastAsia"/>
                    </w:rPr>
                    <w:t>粉状、粒状 VOCs物料。</w:t>
                  </w:r>
                </w:p>
                <w:p w14:paraId="49E2E7ED">
                  <w:pPr>
                    <w:adjustRightInd w:val="0"/>
                    <w:snapToGrid w:val="0"/>
                    <w:jc w:val="center"/>
                    <w:rPr>
                      <w:sz w:val="21"/>
                    </w:rPr>
                  </w:pPr>
                  <w:r>
                    <w:rPr>
                      <w:rFonts w:hint="eastAsia"/>
                      <w:sz w:val="21"/>
                    </w:rPr>
                    <w:t>（3）本项目水性漆喷漆和晾干均只在喷漆房使用，且采用负压收集</w:t>
                  </w:r>
                  <w:r>
                    <w:rPr>
                      <w:rFonts w:hint="eastAsia"/>
                      <w:color w:val="000000"/>
                      <w:sz w:val="21"/>
                      <w:szCs w:val="21"/>
                    </w:rPr>
                    <w:t>，集后经干式过滤棉+三级活性炭处理后通过15m排气筒（DA001）高空排放。</w:t>
                  </w:r>
                </w:p>
              </w:tc>
              <w:tc>
                <w:tcPr>
                  <w:tcW w:w="531" w:type="pct"/>
                  <w:tcBorders>
                    <w:tl2br w:val="nil"/>
                    <w:tr2bl w:val="nil"/>
                  </w:tcBorders>
                  <w:vAlign w:val="center"/>
                </w:tcPr>
                <w:p w14:paraId="20E84FD5">
                  <w:pPr>
                    <w:adjustRightInd w:val="0"/>
                    <w:snapToGrid w:val="0"/>
                    <w:jc w:val="center"/>
                    <w:rPr>
                      <w:color w:val="000000"/>
                      <w:sz w:val="21"/>
                      <w:szCs w:val="21"/>
                    </w:rPr>
                  </w:pPr>
                  <w:r>
                    <w:rPr>
                      <w:rFonts w:hint="eastAsia"/>
                      <w:color w:val="000000"/>
                      <w:sz w:val="21"/>
                      <w:szCs w:val="21"/>
                    </w:rPr>
                    <w:t>符合</w:t>
                  </w:r>
                </w:p>
              </w:tc>
            </w:tr>
            <w:tr w14:paraId="7DEA4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4" w:hRule="atLeast"/>
                <w:jc w:val="center"/>
              </w:trPr>
              <w:tc>
                <w:tcPr>
                  <w:tcW w:w="413" w:type="pct"/>
                  <w:tcBorders>
                    <w:tl2br w:val="nil"/>
                    <w:tr2bl w:val="nil"/>
                  </w:tcBorders>
                  <w:vAlign w:val="center"/>
                </w:tcPr>
                <w:p w14:paraId="666D0F40">
                  <w:pPr>
                    <w:adjustRightInd w:val="0"/>
                    <w:snapToGrid w:val="0"/>
                    <w:jc w:val="center"/>
                    <w:rPr>
                      <w:color w:val="000000"/>
                      <w:sz w:val="21"/>
                      <w:szCs w:val="21"/>
                    </w:rPr>
                  </w:pPr>
                  <w:r>
                    <w:rPr>
                      <w:rFonts w:hint="eastAsia"/>
                      <w:color w:val="000000"/>
                      <w:sz w:val="21"/>
                      <w:szCs w:val="21"/>
                    </w:rPr>
                    <w:t>4</w:t>
                  </w:r>
                </w:p>
              </w:tc>
              <w:tc>
                <w:tcPr>
                  <w:tcW w:w="2026" w:type="pct"/>
                  <w:tcBorders>
                    <w:tl2br w:val="nil"/>
                    <w:tr2bl w:val="nil"/>
                  </w:tcBorders>
                  <w:vAlign w:val="center"/>
                </w:tcPr>
                <w:p w14:paraId="00EEFAF2">
                  <w:pPr>
                    <w:pStyle w:val="22"/>
                    <w:kinsoku w:val="0"/>
                    <w:wordWrap w:val="0"/>
                    <w:adjustRightInd w:val="0"/>
                    <w:snapToGrid w:val="0"/>
                    <w:ind w:left="0" w:leftChars="0" w:firstLine="0"/>
                  </w:pPr>
                  <w:r>
                    <w:rPr>
                      <w:rFonts w:hint="eastAsia"/>
                    </w:rPr>
                    <w:t>收集的废气中NMHC初始排放速率&gt;3kg/h时，应配置VOCs处理设施，处理效率不应低于 80%；对于重点地区，收集的废气中NMHC初始排放速率&gt;2kg/h时，应配置VOCs处理设施，处理效率不应低于80%；采用的原辅材料符合国家有关低VOCs含量产品规定的除外。</w:t>
                  </w:r>
                </w:p>
              </w:tc>
              <w:tc>
                <w:tcPr>
                  <w:tcW w:w="2028" w:type="pct"/>
                  <w:tcBorders>
                    <w:tl2br w:val="nil"/>
                    <w:tr2bl w:val="nil"/>
                  </w:tcBorders>
                  <w:vAlign w:val="center"/>
                </w:tcPr>
                <w:p w14:paraId="6B1DD095">
                  <w:pPr>
                    <w:adjustRightInd w:val="0"/>
                    <w:snapToGrid w:val="0"/>
                    <w:jc w:val="center"/>
                    <w:rPr>
                      <w:sz w:val="21"/>
                    </w:rPr>
                  </w:pPr>
                  <w:r>
                    <w:rPr>
                      <w:rFonts w:hint="eastAsia"/>
                      <w:sz w:val="21"/>
                    </w:rPr>
                    <w:t>本项目使用的涂料满足《低挥发性有机化合物含量涂料产品技术要求》（GB/T38597-2020）要求，且根据后文污染源强核算，本项目NMHC初始排放速率小于3kg/h，故处理效率不作要求。项目针对产生的VOCs拟设置负压收集和</w:t>
                  </w:r>
                  <w:r>
                    <w:rPr>
                      <w:rFonts w:hint="eastAsia"/>
                      <w:color w:val="000000"/>
                      <w:sz w:val="21"/>
                      <w:szCs w:val="21"/>
                    </w:rPr>
                    <w:t>干式过滤棉+三级活性炭等设施</w:t>
                  </w:r>
                  <w:r>
                    <w:rPr>
                      <w:rFonts w:hint="eastAsia"/>
                      <w:sz w:val="21"/>
                    </w:rPr>
                    <w:t>，废气经处理后可达标排放。</w:t>
                  </w:r>
                </w:p>
              </w:tc>
              <w:tc>
                <w:tcPr>
                  <w:tcW w:w="531" w:type="pct"/>
                  <w:tcBorders>
                    <w:tl2br w:val="nil"/>
                    <w:tr2bl w:val="nil"/>
                  </w:tcBorders>
                  <w:vAlign w:val="center"/>
                </w:tcPr>
                <w:p w14:paraId="71D7C695">
                  <w:pPr>
                    <w:adjustRightInd w:val="0"/>
                    <w:snapToGrid w:val="0"/>
                    <w:jc w:val="center"/>
                    <w:rPr>
                      <w:color w:val="000000"/>
                      <w:sz w:val="21"/>
                      <w:szCs w:val="21"/>
                    </w:rPr>
                  </w:pPr>
                  <w:r>
                    <w:rPr>
                      <w:rFonts w:hint="eastAsia"/>
                      <w:color w:val="000000"/>
                      <w:sz w:val="21"/>
                      <w:szCs w:val="21"/>
                    </w:rPr>
                    <w:t>符合</w:t>
                  </w:r>
                </w:p>
              </w:tc>
            </w:tr>
            <w:tr w14:paraId="09CFA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413" w:type="pct"/>
                  <w:tcBorders>
                    <w:tl2br w:val="nil"/>
                    <w:tr2bl w:val="nil"/>
                  </w:tcBorders>
                  <w:vAlign w:val="center"/>
                </w:tcPr>
                <w:p w14:paraId="1EDD0A2E">
                  <w:pPr>
                    <w:adjustRightInd w:val="0"/>
                    <w:snapToGrid w:val="0"/>
                    <w:jc w:val="center"/>
                    <w:rPr>
                      <w:color w:val="000000"/>
                      <w:sz w:val="21"/>
                      <w:szCs w:val="21"/>
                    </w:rPr>
                  </w:pPr>
                  <w:r>
                    <w:rPr>
                      <w:rFonts w:hint="eastAsia"/>
                      <w:color w:val="000000"/>
                      <w:sz w:val="21"/>
                      <w:szCs w:val="21"/>
                    </w:rPr>
                    <w:t>5</w:t>
                  </w:r>
                </w:p>
              </w:tc>
              <w:tc>
                <w:tcPr>
                  <w:tcW w:w="2026" w:type="pct"/>
                  <w:tcBorders>
                    <w:tl2br w:val="nil"/>
                    <w:tr2bl w:val="nil"/>
                  </w:tcBorders>
                  <w:vAlign w:val="center"/>
                </w:tcPr>
                <w:p w14:paraId="20DC4BDF">
                  <w:pPr>
                    <w:pStyle w:val="22"/>
                    <w:kinsoku w:val="0"/>
                    <w:wordWrap w:val="0"/>
                    <w:adjustRightInd w:val="0"/>
                    <w:snapToGrid w:val="0"/>
                    <w:ind w:left="0" w:leftChars="0" w:firstLine="0"/>
                  </w:pPr>
                  <w:r>
                    <w:rPr>
                      <w:color w:val="000000"/>
                      <w:szCs w:val="21"/>
                    </w:rPr>
                    <w:t>排气筒高度不低于15m，具体高度以及与周围建筑物的相对高度关系应根据环境影响评价文件确定</w:t>
                  </w:r>
                  <w:r>
                    <w:rPr>
                      <w:rFonts w:hint="eastAsia"/>
                      <w:color w:val="000000"/>
                      <w:szCs w:val="21"/>
                    </w:rPr>
                    <w:t>。</w:t>
                  </w:r>
                  <w:r>
                    <w:rPr>
                      <w:color w:val="000000"/>
                      <w:szCs w:val="21"/>
                    </w:rPr>
                    <w:t>企业应建立台账，记录废气收集系统、VOCs处理设施的主要运行和维护信息，台账保存期限不少于3年</w:t>
                  </w:r>
                </w:p>
              </w:tc>
              <w:tc>
                <w:tcPr>
                  <w:tcW w:w="2028" w:type="pct"/>
                  <w:tcBorders>
                    <w:tl2br w:val="nil"/>
                    <w:tr2bl w:val="nil"/>
                  </w:tcBorders>
                  <w:vAlign w:val="center"/>
                </w:tcPr>
                <w:p w14:paraId="3E577697">
                  <w:pPr>
                    <w:keepLines/>
                    <w:kinsoku w:val="0"/>
                    <w:overflowPunct w:val="0"/>
                    <w:autoSpaceDE w:val="0"/>
                    <w:autoSpaceDN w:val="0"/>
                    <w:adjustRightInd w:val="0"/>
                    <w:snapToGrid w:val="0"/>
                    <w:jc w:val="center"/>
                    <w:rPr>
                      <w:color w:val="000000"/>
                      <w:sz w:val="21"/>
                      <w:szCs w:val="21"/>
                    </w:rPr>
                  </w:pPr>
                  <w:r>
                    <w:rPr>
                      <w:rFonts w:hint="eastAsia"/>
                      <w:color w:val="000000"/>
                      <w:sz w:val="21"/>
                      <w:szCs w:val="21"/>
                    </w:rPr>
                    <w:t>项目拟建设15m高排气筒；</w:t>
                  </w:r>
                </w:p>
                <w:p w14:paraId="3C6D4AC2">
                  <w:pPr>
                    <w:adjustRightInd w:val="0"/>
                    <w:snapToGrid w:val="0"/>
                    <w:jc w:val="center"/>
                    <w:rPr>
                      <w:sz w:val="21"/>
                    </w:rPr>
                  </w:pPr>
                  <w:r>
                    <w:rPr>
                      <w:rFonts w:hint="eastAsia"/>
                      <w:color w:val="000000"/>
                      <w:sz w:val="21"/>
                      <w:szCs w:val="21"/>
                    </w:rPr>
                    <w:t>环评已提出要求，企业应按照要求建立台账并按要求记录、保存，保存期限不少于5年。</w:t>
                  </w:r>
                </w:p>
              </w:tc>
              <w:tc>
                <w:tcPr>
                  <w:tcW w:w="531" w:type="pct"/>
                  <w:tcBorders>
                    <w:tl2br w:val="nil"/>
                    <w:tr2bl w:val="nil"/>
                  </w:tcBorders>
                  <w:vAlign w:val="center"/>
                </w:tcPr>
                <w:p w14:paraId="47D9CE64">
                  <w:pPr>
                    <w:adjustRightInd w:val="0"/>
                    <w:snapToGrid w:val="0"/>
                    <w:jc w:val="center"/>
                    <w:rPr>
                      <w:color w:val="000000"/>
                      <w:sz w:val="21"/>
                      <w:szCs w:val="21"/>
                    </w:rPr>
                  </w:pPr>
                  <w:r>
                    <w:rPr>
                      <w:rFonts w:hint="eastAsia"/>
                      <w:color w:val="000000"/>
                      <w:sz w:val="21"/>
                      <w:szCs w:val="21"/>
                    </w:rPr>
                    <w:t>符合</w:t>
                  </w:r>
                </w:p>
              </w:tc>
            </w:tr>
            <w:tr w14:paraId="4D2A2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413" w:type="pct"/>
                  <w:tcBorders>
                    <w:tl2br w:val="nil"/>
                    <w:tr2bl w:val="nil"/>
                  </w:tcBorders>
                  <w:vAlign w:val="center"/>
                </w:tcPr>
                <w:p w14:paraId="7EDEC15C">
                  <w:pPr>
                    <w:adjustRightInd w:val="0"/>
                    <w:snapToGrid w:val="0"/>
                    <w:jc w:val="center"/>
                    <w:rPr>
                      <w:color w:val="000000"/>
                      <w:sz w:val="21"/>
                      <w:szCs w:val="21"/>
                    </w:rPr>
                  </w:pPr>
                  <w:r>
                    <w:rPr>
                      <w:rFonts w:hint="eastAsia"/>
                      <w:color w:val="000000"/>
                      <w:sz w:val="21"/>
                      <w:szCs w:val="21"/>
                    </w:rPr>
                    <w:t>6</w:t>
                  </w:r>
                </w:p>
              </w:tc>
              <w:tc>
                <w:tcPr>
                  <w:tcW w:w="3007" w:type="dxa"/>
                  <w:tcBorders>
                    <w:tl2br w:val="nil"/>
                    <w:tr2bl w:val="nil"/>
                  </w:tcBorders>
                  <w:vAlign w:val="center"/>
                </w:tcPr>
                <w:p w14:paraId="42ACDB63">
                  <w:pPr>
                    <w:keepLines/>
                    <w:kinsoku w:val="0"/>
                    <w:overflowPunct w:val="0"/>
                    <w:autoSpaceDE w:val="0"/>
                    <w:autoSpaceDN w:val="0"/>
                    <w:adjustRightInd w:val="0"/>
                    <w:snapToGrid w:val="0"/>
                    <w:jc w:val="center"/>
                    <w:rPr>
                      <w:color w:val="000000"/>
                      <w:sz w:val="21"/>
                      <w:szCs w:val="21"/>
                    </w:rPr>
                  </w:pPr>
                  <w:r>
                    <w:rPr>
                      <w:color w:val="000000"/>
                      <w:sz w:val="21"/>
                      <w:szCs w:val="21"/>
                    </w:rPr>
                    <w:t>企业应建立台账，记录含VOCs原辅材料和含VOCs产品的名称、使用量、回收量、废弃量、去向以及VOCs含量等信息。台账保存期限不少于3年</w:t>
                  </w:r>
                </w:p>
              </w:tc>
              <w:tc>
                <w:tcPr>
                  <w:tcW w:w="3010" w:type="dxa"/>
                  <w:tcBorders>
                    <w:tl2br w:val="nil"/>
                    <w:tr2bl w:val="nil"/>
                  </w:tcBorders>
                  <w:vAlign w:val="center"/>
                </w:tcPr>
                <w:p w14:paraId="7C692D44">
                  <w:pPr>
                    <w:adjustRightInd w:val="0"/>
                    <w:snapToGrid w:val="0"/>
                    <w:jc w:val="center"/>
                    <w:rPr>
                      <w:color w:val="000000"/>
                      <w:sz w:val="21"/>
                      <w:szCs w:val="21"/>
                    </w:rPr>
                  </w:pPr>
                  <w:r>
                    <w:rPr>
                      <w:rFonts w:hint="eastAsia"/>
                      <w:color w:val="000000" w:themeColor="text1"/>
                      <w:sz w:val="21"/>
                      <w:szCs w:val="21"/>
                      <w14:textFill>
                        <w14:solidFill>
                          <w14:schemeClr w14:val="tx1"/>
                        </w14:solidFill>
                      </w14:textFill>
                    </w:rPr>
                    <w:t>环评要求企业按照要求建立台账并按要求记录、保存，保存期限不少于5年。</w:t>
                  </w:r>
                </w:p>
              </w:tc>
              <w:tc>
                <w:tcPr>
                  <w:tcW w:w="531" w:type="pct"/>
                  <w:tcBorders>
                    <w:tl2br w:val="nil"/>
                    <w:tr2bl w:val="nil"/>
                  </w:tcBorders>
                  <w:vAlign w:val="center"/>
                </w:tcPr>
                <w:p w14:paraId="69FA94C5">
                  <w:pPr>
                    <w:adjustRightInd w:val="0"/>
                    <w:snapToGrid w:val="0"/>
                    <w:jc w:val="center"/>
                    <w:rPr>
                      <w:color w:val="000000"/>
                      <w:sz w:val="21"/>
                      <w:szCs w:val="21"/>
                    </w:rPr>
                  </w:pPr>
                  <w:r>
                    <w:rPr>
                      <w:rFonts w:hint="eastAsia"/>
                      <w:color w:val="000000"/>
                      <w:sz w:val="21"/>
                      <w:szCs w:val="21"/>
                    </w:rPr>
                    <w:t>符合</w:t>
                  </w:r>
                </w:p>
              </w:tc>
            </w:tr>
          </w:tbl>
          <w:p w14:paraId="6555162D">
            <w:pPr>
              <w:kinsoku w:val="0"/>
              <w:wordWrap w:val="0"/>
              <w:adjustRightInd w:val="0"/>
              <w:snapToGrid w:val="0"/>
              <w:spacing w:line="360" w:lineRule="auto"/>
              <w:ind w:firstLine="480" w:firstLineChars="200"/>
            </w:pPr>
            <w:r>
              <w:rPr>
                <w:rFonts w:hint="eastAsia"/>
              </w:rPr>
              <w:t>综上所述，本项目符合《挥发性有机物无组织排放控制标准》（</w:t>
            </w:r>
            <w:r>
              <w:t>GB37822-2019）</w:t>
            </w:r>
            <w:r>
              <w:rPr>
                <w:rFonts w:hint="eastAsia"/>
              </w:rPr>
              <w:t>中的相关要求。</w:t>
            </w:r>
          </w:p>
          <w:p w14:paraId="3227508F">
            <w:pPr>
              <w:kinsoku w:val="0"/>
              <w:wordWrap w:val="0"/>
              <w:adjustRightInd w:val="0"/>
              <w:snapToGrid w:val="0"/>
              <w:spacing w:line="360" w:lineRule="auto"/>
              <w:rPr>
                <w:b/>
                <w:bCs/>
                <w:u w:val="single"/>
              </w:rPr>
            </w:pPr>
            <w:r>
              <w:rPr>
                <w:rFonts w:hint="eastAsia"/>
                <w:b/>
                <w:bCs/>
                <w:u w:val="single"/>
              </w:rPr>
              <w:t>四、与《挥发性有机物</w:t>
            </w:r>
            <w:r>
              <w:rPr>
                <w:rFonts w:hint="eastAsia"/>
                <w:b/>
                <w:bCs/>
                <w:color w:val="000000"/>
                <w:kern w:val="0"/>
                <w:u w:val="single"/>
              </w:rPr>
              <w:t>（</w:t>
            </w:r>
            <w:r>
              <w:rPr>
                <w:b/>
                <w:bCs/>
                <w:color w:val="000000"/>
                <w:kern w:val="0"/>
                <w:u w:val="single"/>
              </w:rPr>
              <w:t>VOCs</w:t>
            </w:r>
            <w:r>
              <w:rPr>
                <w:rFonts w:hint="eastAsia"/>
                <w:b/>
                <w:bCs/>
                <w:color w:val="000000"/>
                <w:kern w:val="0"/>
                <w:u w:val="single"/>
              </w:rPr>
              <w:t>）</w:t>
            </w:r>
            <w:r>
              <w:rPr>
                <w:rFonts w:hint="eastAsia"/>
                <w:b/>
                <w:bCs/>
                <w:u w:val="single"/>
              </w:rPr>
              <w:t>污染防治技术政策》的符合性分析</w:t>
            </w:r>
          </w:p>
          <w:p w14:paraId="40119B8F">
            <w:pPr>
              <w:keepNext/>
              <w:keepLines/>
              <w:widowControl/>
              <w:jc w:val="center"/>
              <w:rPr>
                <w:b/>
                <w:bCs/>
                <w:color w:val="000000"/>
                <w:kern w:val="0"/>
                <w:u w:val="single"/>
              </w:rPr>
            </w:pPr>
            <w:r>
              <w:rPr>
                <w:rFonts w:hint="eastAsia"/>
                <w:b/>
                <w:bCs/>
                <w:color w:val="000000"/>
                <w:kern w:val="0"/>
                <w:u w:val="single"/>
              </w:rPr>
              <w:t>表</w:t>
            </w:r>
            <w:r>
              <w:rPr>
                <w:b/>
                <w:bCs/>
                <w:color w:val="000000"/>
                <w:kern w:val="0"/>
                <w:u w:val="single"/>
              </w:rPr>
              <w:t>1-</w:t>
            </w:r>
            <w:r>
              <w:rPr>
                <w:rFonts w:hint="eastAsia"/>
                <w:b/>
                <w:bCs/>
                <w:color w:val="000000"/>
                <w:kern w:val="0"/>
                <w:u w:val="single"/>
              </w:rPr>
              <w:t>6</w:t>
            </w:r>
            <w:r>
              <w:rPr>
                <w:b/>
                <w:bCs/>
                <w:color w:val="000000"/>
                <w:kern w:val="0"/>
                <w:u w:val="single"/>
              </w:rPr>
              <w:t xml:space="preserve">  </w:t>
            </w:r>
            <w:r>
              <w:rPr>
                <w:rFonts w:hint="eastAsia"/>
                <w:b/>
                <w:bCs/>
                <w:color w:val="000000"/>
                <w:kern w:val="0"/>
                <w:u w:val="single"/>
              </w:rPr>
              <w:t>《挥发性有机物（</w:t>
            </w:r>
            <w:r>
              <w:rPr>
                <w:b/>
                <w:bCs/>
                <w:color w:val="000000"/>
                <w:kern w:val="0"/>
                <w:u w:val="single"/>
              </w:rPr>
              <w:t>VOCs</w:t>
            </w:r>
            <w:r>
              <w:rPr>
                <w:rFonts w:hint="eastAsia"/>
                <w:b/>
                <w:bCs/>
                <w:color w:val="000000"/>
                <w:kern w:val="0"/>
                <w:u w:val="single"/>
              </w:rPr>
              <w:t>）污染防治技术政策》符合性分析</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820"/>
              <w:gridCol w:w="2973"/>
              <w:gridCol w:w="1022"/>
            </w:tblGrid>
            <w:tr w14:paraId="44009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op w:val="single" w:color="auto" w:sz="12" w:space="0"/>
                    <w:left w:val="single" w:color="auto" w:sz="12" w:space="0"/>
                    <w:bottom w:val="single" w:color="auto" w:sz="4" w:space="0"/>
                    <w:right w:val="single" w:color="auto" w:sz="4" w:space="0"/>
                  </w:tcBorders>
                  <w:vAlign w:val="center"/>
                </w:tcPr>
                <w:p w14:paraId="7E899A88">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序号</w:t>
                  </w:r>
                </w:p>
              </w:tc>
              <w:tc>
                <w:tcPr>
                  <w:tcW w:w="2820" w:type="dxa"/>
                  <w:tcBorders>
                    <w:top w:val="single" w:color="auto" w:sz="12" w:space="0"/>
                    <w:left w:val="single" w:color="auto" w:sz="4" w:space="0"/>
                    <w:bottom w:val="single" w:color="auto" w:sz="4" w:space="0"/>
                    <w:right w:val="single" w:color="auto" w:sz="4" w:space="0"/>
                  </w:tcBorders>
                  <w:vAlign w:val="center"/>
                </w:tcPr>
                <w:p w14:paraId="7FFA4E96">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相关要求</w:t>
                  </w:r>
                </w:p>
              </w:tc>
              <w:tc>
                <w:tcPr>
                  <w:tcW w:w="2973" w:type="dxa"/>
                  <w:tcBorders>
                    <w:top w:val="single" w:color="auto" w:sz="12" w:space="0"/>
                    <w:left w:val="single" w:color="auto" w:sz="4" w:space="0"/>
                    <w:bottom w:val="single" w:color="auto" w:sz="4" w:space="0"/>
                    <w:right w:val="single" w:color="auto" w:sz="4" w:space="0"/>
                  </w:tcBorders>
                  <w:vAlign w:val="center"/>
                </w:tcPr>
                <w:p w14:paraId="40A5C202">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本项目</w:t>
                  </w:r>
                </w:p>
              </w:tc>
              <w:tc>
                <w:tcPr>
                  <w:tcW w:w="1022" w:type="dxa"/>
                  <w:tcBorders>
                    <w:top w:val="single" w:color="auto" w:sz="12" w:space="0"/>
                    <w:left w:val="single" w:color="auto" w:sz="4" w:space="0"/>
                    <w:bottom w:val="single" w:color="auto" w:sz="4" w:space="0"/>
                    <w:right w:val="single" w:color="auto" w:sz="12" w:space="0"/>
                  </w:tcBorders>
                  <w:vAlign w:val="center"/>
                </w:tcPr>
                <w:p w14:paraId="3210A7C3">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相符性</w:t>
                  </w:r>
                </w:p>
              </w:tc>
            </w:tr>
            <w:tr w14:paraId="31059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67046139">
                  <w:pPr>
                    <w:kinsoku w:val="0"/>
                    <w:overflowPunct w:val="0"/>
                    <w:autoSpaceDE w:val="0"/>
                    <w:autoSpaceDN w:val="0"/>
                    <w:adjustRightInd w:val="0"/>
                    <w:snapToGrid w:val="0"/>
                    <w:jc w:val="center"/>
                    <w:rPr>
                      <w:color w:val="000000"/>
                      <w:sz w:val="21"/>
                      <w:szCs w:val="21"/>
                      <w:u w:val="single"/>
                    </w:rPr>
                  </w:pPr>
                  <w:r>
                    <w:rPr>
                      <w:color w:val="000000"/>
                      <w:sz w:val="21"/>
                      <w:szCs w:val="21"/>
                      <w:u w:val="single"/>
                    </w:rPr>
                    <w:t>1</w:t>
                  </w:r>
                </w:p>
              </w:tc>
              <w:tc>
                <w:tcPr>
                  <w:tcW w:w="2820" w:type="dxa"/>
                  <w:tcBorders>
                    <w:top w:val="single" w:color="auto" w:sz="4" w:space="0"/>
                    <w:left w:val="single" w:color="auto" w:sz="4" w:space="0"/>
                    <w:bottom w:val="single" w:color="auto" w:sz="4" w:space="0"/>
                    <w:right w:val="single" w:color="auto" w:sz="4" w:space="0"/>
                  </w:tcBorders>
                  <w:vAlign w:val="center"/>
                </w:tcPr>
                <w:p w14:paraId="2E12B9E6">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鼓励符合环境标志产品技术要求的水基型、无有机溶剂型、低有机溶剂型的涂料、油墨和胶粘剂等的生产和销售；</w:t>
                  </w:r>
                </w:p>
              </w:tc>
              <w:tc>
                <w:tcPr>
                  <w:tcW w:w="2973" w:type="dxa"/>
                  <w:tcBorders>
                    <w:top w:val="single" w:color="auto" w:sz="4" w:space="0"/>
                    <w:left w:val="single" w:color="auto" w:sz="4" w:space="0"/>
                    <w:bottom w:val="single" w:color="auto" w:sz="4" w:space="0"/>
                    <w:right w:val="single" w:color="auto" w:sz="4" w:space="0"/>
                  </w:tcBorders>
                  <w:vAlign w:val="center"/>
                </w:tcPr>
                <w:p w14:paraId="1F727F81">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本项目使用的水性漆属于符合环境标志产品技术要求的涂料。</w:t>
                  </w:r>
                </w:p>
              </w:tc>
              <w:tc>
                <w:tcPr>
                  <w:tcW w:w="1022" w:type="dxa"/>
                  <w:tcBorders>
                    <w:top w:val="single" w:color="auto" w:sz="4" w:space="0"/>
                    <w:left w:val="single" w:color="auto" w:sz="4" w:space="0"/>
                    <w:bottom w:val="single" w:color="auto" w:sz="4" w:space="0"/>
                    <w:right w:val="single" w:color="auto" w:sz="12" w:space="0"/>
                  </w:tcBorders>
                  <w:vAlign w:val="center"/>
                </w:tcPr>
                <w:p w14:paraId="06922E44">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2BB1F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3E3AF0EB">
                  <w:pPr>
                    <w:kinsoku w:val="0"/>
                    <w:overflowPunct w:val="0"/>
                    <w:autoSpaceDE w:val="0"/>
                    <w:autoSpaceDN w:val="0"/>
                    <w:adjustRightInd w:val="0"/>
                    <w:snapToGrid w:val="0"/>
                    <w:jc w:val="center"/>
                    <w:rPr>
                      <w:color w:val="000000"/>
                      <w:sz w:val="21"/>
                      <w:szCs w:val="21"/>
                      <w:u w:val="single"/>
                    </w:rPr>
                  </w:pPr>
                  <w:r>
                    <w:rPr>
                      <w:color w:val="000000"/>
                      <w:sz w:val="21"/>
                      <w:szCs w:val="21"/>
                      <w:u w:val="single"/>
                    </w:rPr>
                    <w:t>2</w:t>
                  </w:r>
                </w:p>
              </w:tc>
              <w:tc>
                <w:tcPr>
                  <w:tcW w:w="2820" w:type="dxa"/>
                  <w:tcBorders>
                    <w:top w:val="single" w:color="auto" w:sz="4" w:space="0"/>
                    <w:left w:val="single" w:color="auto" w:sz="4" w:space="0"/>
                    <w:bottom w:val="single" w:color="auto" w:sz="4" w:space="0"/>
                    <w:right w:val="single" w:color="auto" w:sz="4" w:space="0"/>
                  </w:tcBorders>
                  <w:vAlign w:val="center"/>
                </w:tcPr>
                <w:p w14:paraId="76394434">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鼓励采用密闭一体化生产技术，并对生产过程中产生的废气分类收集后处理。</w:t>
                  </w:r>
                </w:p>
              </w:tc>
              <w:tc>
                <w:tcPr>
                  <w:tcW w:w="2973" w:type="dxa"/>
                  <w:tcBorders>
                    <w:top w:val="single" w:color="auto" w:sz="4" w:space="0"/>
                    <w:left w:val="single" w:color="auto" w:sz="4" w:space="0"/>
                    <w:bottom w:val="single" w:color="auto" w:sz="4" w:space="0"/>
                    <w:right w:val="single" w:color="auto" w:sz="4" w:space="0"/>
                  </w:tcBorders>
                  <w:vAlign w:val="center"/>
                </w:tcPr>
                <w:p w14:paraId="0DFA811F">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本项目喷漆和晾干产生的废气均经喷漆房密闭负压收集处理。</w:t>
                  </w:r>
                </w:p>
              </w:tc>
              <w:tc>
                <w:tcPr>
                  <w:tcW w:w="1022" w:type="dxa"/>
                  <w:tcBorders>
                    <w:top w:val="single" w:color="auto" w:sz="4" w:space="0"/>
                    <w:left w:val="single" w:color="auto" w:sz="4" w:space="0"/>
                    <w:bottom w:val="single" w:color="auto" w:sz="4" w:space="0"/>
                    <w:right w:val="single" w:color="auto" w:sz="12" w:space="0"/>
                  </w:tcBorders>
                  <w:vAlign w:val="center"/>
                </w:tcPr>
                <w:p w14:paraId="5E382A0C">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6B6DC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531A48A5">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3</w:t>
                  </w:r>
                </w:p>
              </w:tc>
              <w:tc>
                <w:tcPr>
                  <w:tcW w:w="2820" w:type="dxa"/>
                  <w:tcBorders>
                    <w:top w:val="single" w:color="auto" w:sz="4" w:space="0"/>
                    <w:left w:val="single" w:color="auto" w:sz="4" w:space="0"/>
                    <w:bottom w:val="single" w:color="auto" w:sz="4" w:space="0"/>
                    <w:right w:val="single" w:color="auto" w:sz="4" w:space="0"/>
                  </w:tcBorders>
                  <w:vAlign w:val="center"/>
                </w:tcPr>
                <w:p w14:paraId="3261D39C">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根据涂装工艺的不同，鼓励使用水性涂料、高固份涂料、粉末涂料、紫外光固化（</w:t>
                  </w:r>
                  <w:r>
                    <w:rPr>
                      <w:color w:val="000000"/>
                      <w:sz w:val="21"/>
                      <w:szCs w:val="21"/>
                      <w:u w:val="single"/>
                    </w:rPr>
                    <w:t>UV</w:t>
                  </w:r>
                  <w:r>
                    <w:rPr>
                      <w:rFonts w:hint="eastAsia"/>
                      <w:color w:val="000000"/>
                      <w:sz w:val="21"/>
                      <w:szCs w:val="21"/>
                      <w:u w:val="single"/>
                    </w:rPr>
                    <w:t>）涂料等环保型涂料；推广采用静电喷涂、淋涂、辊涂、浸涂等效率较高的涂装工艺；应尽量避免无</w:t>
                  </w:r>
                  <w:r>
                    <w:rPr>
                      <w:color w:val="000000"/>
                      <w:sz w:val="21"/>
                      <w:szCs w:val="21"/>
                      <w:u w:val="single"/>
                    </w:rPr>
                    <w:t>VOCs</w:t>
                  </w:r>
                  <w:r>
                    <w:rPr>
                      <w:rFonts w:hint="eastAsia"/>
                      <w:color w:val="000000"/>
                      <w:sz w:val="21"/>
                      <w:szCs w:val="21"/>
                      <w:u w:val="single"/>
                    </w:rPr>
                    <w:t>净化、回收措施的露天喷涂作业。</w:t>
                  </w:r>
                </w:p>
              </w:tc>
              <w:tc>
                <w:tcPr>
                  <w:tcW w:w="2973" w:type="dxa"/>
                  <w:tcBorders>
                    <w:top w:val="single" w:color="auto" w:sz="4" w:space="0"/>
                    <w:left w:val="single" w:color="auto" w:sz="4" w:space="0"/>
                    <w:bottom w:val="single" w:color="auto" w:sz="4" w:space="0"/>
                    <w:right w:val="single" w:color="auto" w:sz="4" w:space="0"/>
                  </w:tcBorders>
                  <w:vAlign w:val="center"/>
                </w:tcPr>
                <w:p w14:paraId="6DFFD033">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本项目采用的水性漆，属于水性涂料，产生的挥发性有机物经喷漆房负压收集至干式过滤器+三级活性炭吸附处理后通过高</w:t>
                  </w:r>
                  <w:r>
                    <w:rPr>
                      <w:color w:val="000000"/>
                      <w:sz w:val="21"/>
                      <w:szCs w:val="21"/>
                      <w:u w:val="single"/>
                    </w:rPr>
                    <w:t>15m</w:t>
                  </w:r>
                  <w:r>
                    <w:rPr>
                      <w:rFonts w:hint="eastAsia"/>
                      <w:color w:val="000000"/>
                      <w:sz w:val="21"/>
                      <w:szCs w:val="21"/>
                      <w:u w:val="single"/>
                    </w:rPr>
                    <w:t>排气筒（</w:t>
                  </w:r>
                  <w:r>
                    <w:rPr>
                      <w:color w:val="000000"/>
                      <w:sz w:val="21"/>
                      <w:szCs w:val="21"/>
                      <w:u w:val="single"/>
                    </w:rPr>
                    <w:t>DA001</w:t>
                  </w:r>
                  <w:r>
                    <w:rPr>
                      <w:rFonts w:hint="eastAsia"/>
                      <w:color w:val="000000"/>
                      <w:sz w:val="21"/>
                      <w:szCs w:val="21"/>
                      <w:u w:val="single"/>
                    </w:rPr>
                    <w:t>）达标排放。</w:t>
                  </w:r>
                </w:p>
              </w:tc>
              <w:tc>
                <w:tcPr>
                  <w:tcW w:w="1022" w:type="dxa"/>
                  <w:tcBorders>
                    <w:top w:val="single" w:color="auto" w:sz="4" w:space="0"/>
                    <w:left w:val="single" w:color="auto" w:sz="4" w:space="0"/>
                    <w:bottom w:val="single" w:color="auto" w:sz="4" w:space="0"/>
                    <w:right w:val="single" w:color="auto" w:sz="12" w:space="0"/>
                  </w:tcBorders>
                  <w:vAlign w:val="center"/>
                </w:tcPr>
                <w:p w14:paraId="09E32E24">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37CEA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1C0912E6">
                  <w:pPr>
                    <w:kinsoku w:val="0"/>
                    <w:overflowPunct w:val="0"/>
                    <w:autoSpaceDE w:val="0"/>
                    <w:autoSpaceDN w:val="0"/>
                    <w:adjustRightInd w:val="0"/>
                    <w:snapToGrid w:val="0"/>
                    <w:jc w:val="center"/>
                    <w:rPr>
                      <w:color w:val="000000"/>
                      <w:sz w:val="21"/>
                      <w:szCs w:val="21"/>
                      <w:u w:val="single"/>
                    </w:rPr>
                  </w:pPr>
                  <w:r>
                    <w:rPr>
                      <w:color w:val="000000"/>
                      <w:sz w:val="21"/>
                      <w:szCs w:val="21"/>
                      <w:u w:val="single"/>
                    </w:rPr>
                    <w:t>7</w:t>
                  </w:r>
                </w:p>
              </w:tc>
              <w:tc>
                <w:tcPr>
                  <w:tcW w:w="2820" w:type="dxa"/>
                  <w:tcBorders>
                    <w:top w:val="single" w:color="auto" w:sz="4" w:space="0"/>
                    <w:left w:val="single" w:color="auto" w:sz="4" w:space="0"/>
                    <w:bottom w:val="single" w:color="auto" w:sz="4" w:space="0"/>
                    <w:right w:val="single" w:color="auto" w:sz="4" w:space="0"/>
                  </w:tcBorders>
                  <w:vAlign w:val="center"/>
                </w:tcPr>
                <w:p w14:paraId="2326C2D2">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淘汰以三氟三氯乙烷、甲基氯仿和四氯化碳为清洗剂或溶剂的生产工艺。清洗过程中产生的废溶剂宜密闭收集，有回收价值的废溶剂经处理后回用，其他废溶剂应妥善处置。</w:t>
                  </w:r>
                </w:p>
              </w:tc>
              <w:tc>
                <w:tcPr>
                  <w:tcW w:w="2973" w:type="dxa"/>
                  <w:tcBorders>
                    <w:top w:val="single" w:color="auto" w:sz="4" w:space="0"/>
                    <w:left w:val="single" w:color="auto" w:sz="4" w:space="0"/>
                    <w:bottom w:val="single" w:color="auto" w:sz="4" w:space="0"/>
                    <w:right w:val="single" w:color="auto" w:sz="4" w:space="0"/>
                  </w:tcBorders>
                  <w:vAlign w:val="center"/>
                </w:tcPr>
                <w:p w14:paraId="210CADC9">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本项目不涉及以三氟三氯乙烷、甲基氯仿和四氯化碳为清洗剂或溶剂的生产工艺</w:t>
                  </w:r>
                </w:p>
              </w:tc>
              <w:tc>
                <w:tcPr>
                  <w:tcW w:w="1022" w:type="dxa"/>
                  <w:tcBorders>
                    <w:top w:val="single" w:color="auto" w:sz="4" w:space="0"/>
                    <w:left w:val="single" w:color="auto" w:sz="4" w:space="0"/>
                    <w:bottom w:val="single" w:color="auto" w:sz="4" w:space="0"/>
                    <w:right w:val="single" w:color="auto" w:sz="12" w:space="0"/>
                  </w:tcBorders>
                  <w:vAlign w:val="center"/>
                </w:tcPr>
                <w:p w14:paraId="7E73B409">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1CB16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12" w:space="0"/>
                    <w:right w:val="single" w:color="auto" w:sz="4" w:space="0"/>
                  </w:tcBorders>
                  <w:vAlign w:val="center"/>
                </w:tcPr>
                <w:p w14:paraId="0E5F1E21">
                  <w:pPr>
                    <w:kinsoku w:val="0"/>
                    <w:overflowPunct w:val="0"/>
                    <w:autoSpaceDE w:val="0"/>
                    <w:autoSpaceDN w:val="0"/>
                    <w:adjustRightInd w:val="0"/>
                    <w:snapToGrid w:val="0"/>
                    <w:jc w:val="center"/>
                    <w:rPr>
                      <w:color w:val="000000"/>
                      <w:sz w:val="21"/>
                      <w:szCs w:val="21"/>
                      <w:u w:val="single"/>
                    </w:rPr>
                  </w:pPr>
                  <w:r>
                    <w:rPr>
                      <w:color w:val="000000"/>
                      <w:sz w:val="21"/>
                      <w:szCs w:val="21"/>
                      <w:u w:val="single"/>
                    </w:rPr>
                    <w:t>8</w:t>
                  </w:r>
                </w:p>
              </w:tc>
              <w:tc>
                <w:tcPr>
                  <w:tcW w:w="2820" w:type="dxa"/>
                  <w:tcBorders>
                    <w:top w:val="single" w:color="auto" w:sz="4" w:space="0"/>
                    <w:left w:val="single" w:color="auto" w:sz="4" w:space="0"/>
                    <w:bottom w:val="single" w:color="auto" w:sz="12" w:space="0"/>
                    <w:right w:val="single" w:color="auto" w:sz="4" w:space="0"/>
                  </w:tcBorders>
                  <w:vAlign w:val="center"/>
                </w:tcPr>
                <w:p w14:paraId="72138431">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含</w:t>
                  </w:r>
                  <w:r>
                    <w:rPr>
                      <w:color w:val="000000"/>
                      <w:sz w:val="21"/>
                      <w:szCs w:val="21"/>
                      <w:u w:val="single"/>
                    </w:rPr>
                    <w:t>VOCs</w:t>
                  </w:r>
                  <w:r>
                    <w:rPr>
                      <w:rFonts w:hint="eastAsia"/>
                      <w:color w:val="000000"/>
                      <w:sz w:val="21"/>
                      <w:szCs w:val="21"/>
                      <w:u w:val="single"/>
                    </w:rPr>
                    <w:t>产品的使用过程中，应采取废气收集措施，提高废气收集效率，减少废气的无组织排放与逸散，并对收集后的废气进行回收或处理后达标排放。</w:t>
                  </w:r>
                </w:p>
              </w:tc>
              <w:tc>
                <w:tcPr>
                  <w:tcW w:w="2973" w:type="dxa"/>
                  <w:tcBorders>
                    <w:top w:val="single" w:color="auto" w:sz="4" w:space="0"/>
                    <w:left w:val="single" w:color="auto" w:sz="4" w:space="0"/>
                    <w:bottom w:val="single" w:color="auto" w:sz="12" w:space="0"/>
                    <w:right w:val="single" w:color="auto" w:sz="4" w:space="0"/>
                  </w:tcBorders>
                  <w:vAlign w:val="center"/>
                </w:tcPr>
                <w:p w14:paraId="71C35272">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本项目有机废气无组织排放量较小，相关挥发性有机物产污工艺节点设置经喷漆房负压收集至干式过滤器+三级活性炭吸附处理后通过高</w:t>
                  </w:r>
                  <w:r>
                    <w:rPr>
                      <w:color w:val="000000"/>
                      <w:sz w:val="21"/>
                      <w:szCs w:val="21"/>
                      <w:u w:val="single"/>
                    </w:rPr>
                    <w:t>15m</w:t>
                  </w:r>
                  <w:r>
                    <w:rPr>
                      <w:rFonts w:hint="eastAsia"/>
                      <w:color w:val="000000"/>
                      <w:sz w:val="21"/>
                      <w:szCs w:val="21"/>
                      <w:u w:val="single"/>
                    </w:rPr>
                    <w:t>排气筒（</w:t>
                  </w:r>
                  <w:r>
                    <w:rPr>
                      <w:color w:val="000000"/>
                      <w:sz w:val="21"/>
                      <w:szCs w:val="21"/>
                      <w:u w:val="single"/>
                    </w:rPr>
                    <w:t>DA001</w:t>
                  </w:r>
                  <w:r>
                    <w:rPr>
                      <w:rFonts w:hint="eastAsia"/>
                      <w:color w:val="000000"/>
                      <w:sz w:val="21"/>
                      <w:szCs w:val="21"/>
                      <w:u w:val="single"/>
                    </w:rPr>
                    <w:t>）达标排放。</w:t>
                  </w:r>
                </w:p>
              </w:tc>
              <w:tc>
                <w:tcPr>
                  <w:tcW w:w="1022" w:type="dxa"/>
                  <w:tcBorders>
                    <w:top w:val="single" w:color="auto" w:sz="4" w:space="0"/>
                    <w:left w:val="single" w:color="auto" w:sz="4" w:space="0"/>
                    <w:bottom w:val="single" w:color="auto" w:sz="12" w:space="0"/>
                    <w:right w:val="single" w:color="auto" w:sz="12" w:space="0"/>
                  </w:tcBorders>
                  <w:vAlign w:val="center"/>
                </w:tcPr>
                <w:p w14:paraId="6D3EC8FC">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bl>
          <w:p w14:paraId="48C7B6F6">
            <w:pPr>
              <w:adjustRightInd w:val="0"/>
              <w:snapToGrid w:val="0"/>
              <w:spacing w:line="360" w:lineRule="auto"/>
              <w:ind w:firstLine="480" w:firstLineChars="200"/>
              <w:rPr>
                <w:kern w:val="21"/>
                <w:u w:val="single"/>
              </w:rPr>
            </w:pPr>
            <w:r>
              <w:rPr>
                <w:rFonts w:hint="eastAsia"/>
                <w:kern w:val="21"/>
                <w:u w:val="single"/>
              </w:rPr>
              <w:t>综上所述，本项目符合《挥发性有机物（</w:t>
            </w:r>
            <w:r>
              <w:rPr>
                <w:kern w:val="21"/>
                <w:u w:val="single"/>
              </w:rPr>
              <w:t>VOCs</w:t>
            </w:r>
            <w:r>
              <w:rPr>
                <w:rFonts w:hint="eastAsia"/>
                <w:kern w:val="21"/>
                <w:u w:val="single"/>
              </w:rPr>
              <w:t>）污染防治技术政策》的相关要求。</w:t>
            </w:r>
          </w:p>
          <w:p w14:paraId="0A783239">
            <w:pPr>
              <w:kinsoku w:val="0"/>
              <w:wordWrap w:val="0"/>
              <w:adjustRightInd w:val="0"/>
              <w:snapToGrid w:val="0"/>
              <w:spacing w:line="360" w:lineRule="auto"/>
              <w:rPr>
                <w:b/>
                <w:bCs/>
                <w:u w:val="single"/>
              </w:rPr>
            </w:pPr>
            <w:r>
              <w:rPr>
                <w:rFonts w:hint="eastAsia"/>
                <w:b/>
                <w:bCs/>
                <w:u w:val="single"/>
              </w:rPr>
              <w:t>五、与</w:t>
            </w:r>
            <w:r>
              <w:rPr>
                <w:b/>
                <w:bCs/>
                <w:u w:val="single"/>
              </w:rPr>
              <w:t>《关于加快解决当前挥发性有机物治理突出问题的通知》</w:t>
            </w:r>
            <w:r>
              <w:rPr>
                <w:rFonts w:hint="eastAsia"/>
                <w:b/>
                <w:bCs/>
                <w:u w:val="single"/>
              </w:rPr>
              <w:t>的符合性分析</w:t>
            </w:r>
          </w:p>
          <w:p w14:paraId="55C0E06A">
            <w:pPr>
              <w:keepNext/>
              <w:keepLines/>
              <w:widowControl/>
              <w:jc w:val="center"/>
              <w:rPr>
                <w:b/>
                <w:bCs/>
                <w:color w:val="000000"/>
                <w:kern w:val="0"/>
                <w:u w:val="single"/>
              </w:rPr>
            </w:pPr>
            <w:r>
              <w:rPr>
                <w:rFonts w:hint="eastAsia"/>
                <w:b/>
                <w:bCs/>
                <w:color w:val="000000"/>
                <w:kern w:val="0"/>
                <w:u w:val="single"/>
              </w:rPr>
              <w:t>表</w:t>
            </w:r>
            <w:r>
              <w:rPr>
                <w:b/>
                <w:bCs/>
                <w:color w:val="000000"/>
                <w:kern w:val="0"/>
                <w:u w:val="single"/>
              </w:rPr>
              <w:t>1-</w:t>
            </w:r>
            <w:r>
              <w:rPr>
                <w:rFonts w:hint="eastAsia"/>
                <w:b/>
                <w:bCs/>
                <w:color w:val="000000"/>
                <w:kern w:val="0"/>
                <w:u w:val="single"/>
              </w:rPr>
              <w:t>7</w:t>
            </w:r>
            <w:r>
              <w:rPr>
                <w:b/>
                <w:bCs/>
                <w:color w:val="000000"/>
                <w:kern w:val="0"/>
                <w:u w:val="single"/>
              </w:rPr>
              <w:t xml:space="preserve">  </w:t>
            </w:r>
            <w:r>
              <w:rPr>
                <w:rFonts w:hint="eastAsia"/>
                <w:b/>
                <w:bCs/>
                <w:color w:val="000000"/>
                <w:kern w:val="0"/>
                <w:u w:val="single"/>
              </w:rPr>
              <w:t>与</w:t>
            </w:r>
            <w:r>
              <w:rPr>
                <w:b/>
                <w:bCs/>
                <w:u w:val="single"/>
              </w:rPr>
              <w:t>《关于加快解决当前挥发性有机物治理突出问题的通知》</w:t>
            </w:r>
            <w:r>
              <w:rPr>
                <w:rFonts w:hint="eastAsia"/>
                <w:b/>
                <w:bCs/>
                <w:color w:val="000000"/>
                <w:kern w:val="0"/>
                <w:u w:val="single"/>
              </w:rPr>
              <w:t>符合性分析</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624"/>
              <w:gridCol w:w="2169"/>
              <w:gridCol w:w="1022"/>
            </w:tblGrid>
            <w:tr w14:paraId="564A4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op w:val="single" w:color="auto" w:sz="12" w:space="0"/>
                    <w:left w:val="single" w:color="auto" w:sz="12" w:space="0"/>
                    <w:bottom w:val="single" w:color="auto" w:sz="4" w:space="0"/>
                    <w:right w:val="single" w:color="auto" w:sz="4" w:space="0"/>
                  </w:tcBorders>
                  <w:vAlign w:val="center"/>
                </w:tcPr>
                <w:p w14:paraId="636E311A">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序号</w:t>
                  </w:r>
                </w:p>
              </w:tc>
              <w:tc>
                <w:tcPr>
                  <w:tcW w:w="3624" w:type="dxa"/>
                  <w:tcBorders>
                    <w:top w:val="single" w:color="auto" w:sz="12" w:space="0"/>
                    <w:left w:val="single" w:color="auto" w:sz="4" w:space="0"/>
                    <w:bottom w:val="single" w:color="auto" w:sz="4" w:space="0"/>
                    <w:right w:val="single" w:color="auto" w:sz="4" w:space="0"/>
                  </w:tcBorders>
                  <w:vAlign w:val="center"/>
                </w:tcPr>
                <w:p w14:paraId="155E902F">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相关要求</w:t>
                  </w:r>
                </w:p>
              </w:tc>
              <w:tc>
                <w:tcPr>
                  <w:tcW w:w="2169" w:type="dxa"/>
                  <w:tcBorders>
                    <w:top w:val="single" w:color="auto" w:sz="12" w:space="0"/>
                    <w:left w:val="single" w:color="auto" w:sz="4" w:space="0"/>
                    <w:bottom w:val="single" w:color="auto" w:sz="4" w:space="0"/>
                    <w:right w:val="single" w:color="auto" w:sz="4" w:space="0"/>
                  </w:tcBorders>
                  <w:vAlign w:val="center"/>
                </w:tcPr>
                <w:p w14:paraId="67CE1777">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本项目</w:t>
                  </w:r>
                </w:p>
              </w:tc>
              <w:tc>
                <w:tcPr>
                  <w:tcW w:w="1022" w:type="dxa"/>
                  <w:tcBorders>
                    <w:top w:val="single" w:color="auto" w:sz="12" w:space="0"/>
                    <w:left w:val="single" w:color="auto" w:sz="4" w:space="0"/>
                    <w:bottom w:val="single" w:color="auto" w:sz="4" w:space="0"/>
                    <w:right w:val="single" w:color="auto" w:sz="12" w:space="0"/>
                  </w:tcBorders>
                  <w:vAlign w:val="center"/>
                </w:tcPr>
                <w:p w14:paraId="68671981">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相符性</w:t>
                  </w:r>
                </w:p>
              </w:tc>
            </w:tr>
            <w:tr w14:paraId="10AB1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7B41F47B">
                  <w:pPr>
                    <w:kinsoku w:val="0"/>
                    <w:overflowPunct w:val="0"/>
                    <w:autoSpaceDE w:val="0"/>
                    <w:autoSpaceDN w:val="0"/>
                    <w:adjustRightInd w:val="0"/>
                    <w:snapToGrid w:val="0"/>
                    <w:jc w:val="center"/>
                    <w:rPr>
                      <w:color w:val="000000"/>
                      <w:sz w:val="21"/>
                      <w:szCs w:val="21"/>
                      <w:u w:val="single"/>
                    </w:rPr>
                  </w:pPr>
                  <w:r>
                    <w:rPr>
                      <w:color w:val="000000"/>
                      <w:sz w:val="21"/>
                      <w:szCs w:val="21"/>
                      <w:u w:val="single"/>
                    </w:rPr>
                    <w:t>1</w:t>
                  </w:r>
                </w:p>
              </w:tc>
              <w:tc>
                <w:tcPr>
                  <w:tcW w:w="3624" w:type="dxa"/>
                  <w:tcBorders>
                    <w:top w:val="single" w:color="auto" w:sz="4" w:space="0"/>
                    <w:left w:val="single" w:color="auto" w:sz="4" w:space="0"/>
                    <w:bottom w:val="single" w:color="auto" w:sz="4" w:space="0"/>
                    <w:right w:val="single" w:color="auto" w:sz="4" w:space="0"/>
                  </w:tcBorders>
                  <w:vAlign w:val="center"/>
                </w:tcPr>
                <w:p w14:paraId="570AF610">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废气收集设施：</w:t>
                  </w:r>
                </w:p>
                <w:p w14:paraId="1BB1E2C3">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产生 VOCs 的生产环节优先采用密闭设备、在密闭空间中操作或采用全密闭集气罩收集方式，并保持负压运行；</w:t>
                  </w:r>
                </w:p>
                <w:p w14:paraId="6344BE92">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制药、农药、涂料、油墨、胶粘剂等间歇性生产工序较多的行业应对进出料、物料输送、搅拌、固液分离、干燥、灌装、取样等过程采取密闭化措施，提升工艺装备水平；</w:t>
                  </w:r>
                </w:p>
                <w:p w14:paraId="2C4D07B9">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工业涂装行业建设密闭喷漆房，对于大型构件（船舶、钢结构）实施分段涂装，废气进行收集治理</w:t>
                  </w:r>
                </w:p>
              </w:tc>
              <w:tc>
                <w:tcPr>
                  <w:tcW w:w="2169" w:type="dxa"/>
                  <w:tcBorders>
                    <w:top w:val="single" w:color="auto" w:sz="4" w:space="0"/>
                    <w:left w:val="single" w:color="auto" w:sz="4" w:space="0"/>
                    <w:bottom w:val="single" w:color="auto" w:sz="4" w:space="0"/>
                    <w:right w:val="single" w:color="auto" w:sz="4" w:space="0"/>
                  </w:tcBorders>
                  <w:vAlign w:val="center"/>
                </w:tcPr>
                <w:p w14:paraId="19A4B005">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1、本项目喷漆晾干废气经喷漆房密闭负压收集至干式过滤棉+三级活性炭吸附处理后经15m排气筒（DA001）排放；</w:t>
                  </w:r>
                </w:p>
                <w:p w14:paraId="6609AC83">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2、本项目水性漆的调配及使用均在喷漆房内进行。</w:t>
                  </w:r>
                </w:p>
                <w:p w14:paraId="222E138F">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3、本项目拟设置500m</w:t>
                  </w:r>
                  <w:r>
                    <w:rPr>
                      <w:rFonts w:hint="eastAsia"/>
                      <w:color w:val="000000"/>
                      <w:sz w:val="21"/>
                      <w:szCs w:val="21"/>
                      <w:u w:val="single"/>
                      <w:vertAlign w:val="superscript"/>
                    </w:rPr>
                    <w:t>2</w:t>
                  </w:r>
                  <w:r>
                    <w:rPr>
                      <w:rFonts w:hint="eastAsia"/>
                      <w:color w:val="000000"/>
                      <w:sz w:val="21"/>
                      <w:szCs w:val="21"/>
                      <w:u w:val="single"/>
                    </w:rPr>
                    <w:t>喷漆房，能满足钢结构件的喷漆及晾干需求。</w:t>
                  </w:r>
                </w:p>
              </w:tc>
              <w:tc>
                <w:tcPr>
                  <w:tcW w:w="1022" w:type="dxa"/>
                  <w:tcBorders>
                    <w:top w:val="single" w:color="auto" w:sz="4" w:space="0"/>
                    <w:left w:val="single" w:color="auto" w:sz="4" w:space="0"/>
                    <w:bottom w:val="single" w:color="auto" w:sz="4" w:space="0"/>
                    <w:right w:val="single" w:color="auto" w:sz="12" w:space="0"/>
                  </w:tcBorders>
                  <w:vAlign w:val="center"/>
                </w:tcPr>
                <w:p w14:paraId="5CB11623">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510B3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12" w:space="0"/>
                    <w:right w:val="single" w:color="auto" w:sz="4" w:space="0"/>
                  </w:tcBorders>
                  <w:vAlign w:val="center"/>
                </w:tcPr>
                <w:p w14:paraId="100A1C11">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2</w:t>
                  </w:r>
                </w:p>
              </w:tc>
              <w:tc>
                <w:tcPr>
                  <w:tcW w:w="3624" w:type="dxa"/>
                  <w:tcBorders>
                    <w:top w:val="single" w:color="auto" w:sz="4" w:space="0"/>
                    <w:left w:val="single" w:color="auto" w:sz="4" w:space="0"/>
                    <w:bottom w:val="single" w:color="auto" w:sz="12" w:space="0"/>
                    <w:right w:val="single" w:color="auto" w:sz="4" w:space="0"/>
                  </w:tcBorders>
                  <w:vAlign w:val="center"/>
                </w:tcPr>
                <w:p w14:paraId="08D23886">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有机废气治理设施：</w:t>
                  </w:r>
                </w:p>
                <w:p w14:paraId="7D7ED2BA">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新建治理设施或对现有治理设施实施改造，应依据排放废气特征、VOCs 组分及浓度、生产工况等，合理选择治理技术；对治理难度大、单一治理工艺难以稳定达标的，宜采用多种技术的组合工艺；除恶臭异味治理外，一般不使用低温等离子、光催化、光氧化等技术；</w:t>
                  </w:r>
                </w:p>
                <w:p w14:paraId="6EE374DD">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eastAsia"/>
                      <w:color w:val="000000"/>
                      <w:sz w:val="21"/>
                      <w:szCs w:val="21"/>
                      <w:u w:val="single"/>
                      <w:vertAlign w:val="superscript"/>
                    </w:rPr>
                    <w:t>2</w:t>
                  </w:r>
                  <w:r>
                    <w:rPr>
                      <w:rFonts w:hint="eastAsia"/>
                      <w:color w:val="000000"/>
                      <w:sz w:val="21"/>
                      <w:szCs w:val="21"/>
                      <w:u w:val="single"/>
                    </w:rPr>
                    <w:t>/g（BET法）。一次性活性炭吸附工艺宜采用颗粒活性炭作为吸附剂。活性炭、活性炭纤维产品销售时应提供产品质量证明材料。</w:t>
                  </w:r>
                </w:p>
              </w:tc>
              <w:tc>
                <w:tcPr>
                  <w:tcW w:w="2169" w:type="dxa"/>
                  <w:tcBorders>
                    <w:top w:val="single" w:color="auto" w:sz="4" w:space="0"/>
                    <w:left w:val="single" w:color="auto" w:sz="4" w:space="0"/>
                    <w:bottom w:val="single" w:color="auto" w:sz="12" w:space="0"/>
                    <w:right w:val="single" w:color="auto" w:sz="4" w:space="0"/>
                  </w:tcBorders>
                  <w:vAlign w:val="center"/>
                </w:tcPr>
                <w:p w14:paraId="358591CE">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1、本项目喷漆晾干废气经喷漆房密闭负压收集至干式过滤棉+三级活性炭吸附处理后经15m排气筒（DA001）排放；</w:t>
                  </w:r>
                </w:p>
                <w:p w14:paraId="2707476F">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2、本项目活性炭采用碘值不宜低于650mg/g的蜂窝活性炭，一季度更换一次。</w:t>
                  </w:r>
                </w:p>
              </w:tc>
              <w:tc>
                <w:tcPr>
                  <w:tcW w:w="1022" w:type="dxa"/>
                  <w:tcBorders>
                    <w:top w:val="single" w:color="auto" w:sz="4" w:space="0"/>
                    <w:left w:val="single" w:color="auto" w:sz="4" w:space="0"/>
                    <w:bottom w:val="single" w:color="auto" w:sz="12" w:space="0"/>
                    <w:right w:val="single" w:color="auto" w:sz="12" w:space="0"/>
                  </w:tcBorders>
                  <w:vAlign w:val="center"/>
                </w:tcPr>
                <w:p w14:paraId="5D4C3E9F">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bl>
          <w:p w14:paraId="0D677A06">
            <w:pPr>
              <w:adjustRightInd w:val="0"/>
              <w:snapToGrid w:val="0"/>
              <w:spacing w:line="360" w:lineRule="auto"/>
              <w:ind w:firstLine="480" w:firstLineChars="200"/>
              <w:rPr>
                <w:kern w:val="21"/>
                <w:u w:val="single"/>
              </w:rPr>
            </w:pPr>
            <w:r>
              <w:rPr>
                <w:rFonts w:hint="eastAsia"/>
                <w:kern w:val="21"/>
                <w:u w:val="single"/>
              </w:rPr>
              <w:t>综上所述，本项目符合</w:t>
            </w:r>
            <w:r>
              <w:rPr>
                <w:kern w:val="21"/>
                <w:u w:val="single"/>
              </w:rPr>
              <w:t>《关于加快解决当前挥发性有机物治理突出问题的通知》</w:t>
            </w:r>
            <w:r>
              <w:rPr>
                <w:rFonts w:hint="eastAsia"/>
                <w:kern w:val="21"/>
                <w:u w:val="single"/>
              </w:rPr>
              <w:t>的相关要求。</w:t>
            </w:r>
          </w:p>
          <w:p w14:paraId="47F0C8C0">
            <w:pPr>
              <w:kinsoku w:val="0"/>
              <w:wordWrap w:val="0"/>
              <w:adjustRightInd w:val="0"/>
              <w:snapToGrid w:val="0"/>
              <w:spacing w:line="360" w:lineRule="auto"/>
              <w:rPr>
                <w:b/>
                <w:bCs/>
                <w:u w:val="single"/>
              </w:rPr>
            </w:pPr>
            <w:r>
              <w:rPr>
                <w:rFonts w:hint="eastAsia"/>
                <w:b/>
                <w:bCs/>
                <w:u w:val="single"/>
              </w:rPr>
              <w:t>六、与《</w:t>
            </w:r>
            <w:r>
              <w:rPr>
                <w:b/>
                <w:bCs/>
                <w:u w:val="single"/>
              </w:rPr>
              <w:t>长株潭及传输通道城市环境空气质量达标攻坚行动计划》</w:t>
            </w:r>
            <w:r>
              <w:rPr>
                <w:rFonts w:hint="eastAsia"/>
                <w:b/>
                <w:bCs/>
                <w:u w:val="single"/>
              </w:rPr>
              <w:t>的符合性分析</w:t>
            </w:r>
          </w:p>
          <w:p w14:paraId="133E7BBC">
            <w:pPr>
              <w:keepNext/>
              <w:keepLines/>
              <w:widowControl/>
              <w:jc w:val="center"/>
              <w:rPr>
                <w:b/>
                <w:bCs/>
                <w:color w:val="000000"/>
                <w:kern w:val="0"/>
                <w:u w:val="single"/>
              </w:rPr>
            </w:pPr>
            <w:r>
              <w:rPr>
                <w:rFonts w:hint="eastAsia"/>
                <w:b/>
                <w:bCs/>
                <w:color w:val="000000"/>
                <w:kern w:val="0"/>
                <w:u w:val="single"/>
              </w:rPr>
              <w:t>表</w:t>
            </w:r>
            <w:r>
              <w:rPr>
                <w:b/>
                <w:bCs/>
                <w:color w:val="000000"/>
                <w:kern w:val="0"/>
                <w:u w:val="single"/>
              </w:rPr>
              <w:t>1-</w:t>
            </w:r>
            <w:r>
              <w:rPr>
                <w:rFonts w:hint="eastAsia"/>
                <w:b/>
                <w:bCs/>
                <w:color w:val="000000"/>
                <w:kern w:val="0"/>
                <w:u w:val="single"/>
              </w:rPr>
              <w:t>8</w:t>
            </w:r>
            <w:r>
              <w:rPr>
                <w:b/>
                <w:bCs/>
                <w:color w:val="000000"/>
                <w:kern w:val="0"/>
                <w:u w:val="single"/>
              </w:rPr>
              <w:t xml:space="preserve">  </w:t>
            </w:r>
            <w:r>
              <w:rPr>
                <w:rFonts w:hint="eastAsia"/>
                <w:b/>
                <w:bCs/>
                <w:color w:val="000000"/>
                <w:kern w:val="0"/>
                <w:u w:val="single"/>
              </w:rPr>
              <w:t>与</w:t>
            </w:r>
            <w:r>
              <w:rPr>
                <w:rFonts w:hint="eastAsia"/>
                <w:b/>
                <w:bCs/>
                <w:u w:val="single"/>
              </w:rPr>
              <w:t>《</w:t>
            </w:r>
            <w:r>
              <w:rPr>
                <w:b/>
                <w:bCs/>
                <w:u w:val="single"/>
              </w:rPr>
              <w:t>长株潭及传输通道城市环境空气质量达标攻坚行动计划》</w:t>
            </w:r>
            <w:r>
              <w:rPr>
                <w:rFonts w:hint="eastAsia"/>
                <w:b/>
                <w:bCs/>
                <w:color w:val="000000"/>
                <w:kern w:val="0"/>
                <w:u w:val="single"/>
              </w:rPr>
              <w:t>符合性分析</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624"/>
              <w:gridCol w:w="2169"/>
              <w:gridCol w:w="1022"/>
            </w:tblGrid>
            <w:tr w14:paraId="65D50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op w:val="single" w:color="auto" w:sz="12" w:space="0"/>
                    <w:left w:val="single" w:color="auto" w:sz="12" w:space="0"/>
                    <w:bottom w:val="single" w:color="auto" w:sz="4" w:space="0"/>
                    <w:right w:val="single" w:color="auto" w:sz="4" w:space="0"/>
                  </w:tcBorders>
                  <w:vAlign w:val="center"/>
                </w:tcPr>
                <w:p w14:paraId="5F1D8D1F">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序号</w:t>
                  </w:r>
                </w:p>
              </w:tc>
              <w:tc>
                <w:tcPr>
                  <w:tcW w:w="3624" w:type="dxa"/>
                  <w:tcBorders>
                    <w:top w:val="single" w:color="auto" w:sz="12" w:space="0"/>
                    <w:left w:val="single" w:color="auto" w:sz="4" w:space="0"/>
                    <w:bottom w:val="single" w:color="auto" w:sz="4" w:space="0"/>
                    <w:right w:val="single" w:color="auto" w:sz="4" w:space="0"/>
                  </w:tcBorders>
                  <w:vAlign w:val="center"/>
                </w:tcPr>
                <w:p w14:paraId="0BBBD673">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相关要求</w:t>
                  </w:r>
                </w:p>
              </w:tc>
              <w:tc>
                <w:tcPr>
                  <w:tcW w:w="2169" w:type="dxa"/>
                  <w:tcBorders>
                    <w:top w:val="single" w:color="auto" w:sz="12" w:space="0"/>
                    <w:left w:val="single" w:color="auto" w:sz="4" w:space="0"/>
                    <w:bottom w:val="single" w:color="auto" w:sz="4" w:space="0"/>
                    <w:right w:val="single" w:color="auto" w:sz="4" w:space="0"/>
                  </w:tcBorders>
                  <w:vAlign w:val="center"/>
                </w:tcPr>
                <w:p w14:paraId="401EBABE">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本项目</w:t>
                  </w:r>
                </w:p>
              </w:tc>
              <w:tc>
                <w:tcPr>
                  <w:tcW w:w="1022" w:type="dxa"/>
                  <w:tcBorders>
                    <w:top w:val="single" w:color="auto" w:sz="12" w:space="0"/>
                    <w:left w:val="single" w:color="auto" w:sz="4" w:space="0"/>
                    <w:bottom w:val="single" w:color="auto" w:sz="4" w:space="0"/>
                    <w:right w:val="single" w:color="auto" w:sz="12" w:space="0"/>
                  </w:tcBorders>
                  <w:vAlign w:val="center"/>
                </w:tcPr>
                <w:p w14:paraId="75EED101">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相符性</w:t>
                  </w:r>
                </w:p>
              </w:tc>
            </w:tr>
            <w:tr w14:paraId="09DAD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385CCA71">
                  <w:pPr>
                    <w:kinsoku w:val="0"/>
                    <w:overflowPunct w:val="0"/>
                    <w:autoSpaceDE w:val="0"/>
                    <w:autoSpaceDN w:val="0"/>
                    <w:adjustRightInd w:val="0"/>
                    <w:snapToGrid w:val="0"/>
                    <w:jc w:val="center"/>
                    <w:rPr>
                      <w:color w:val="000000"/>
                      <w:sz w:val="21"/>
                      <w:szCs w:val="21"/>
                      <w:u w:val="single"/>
                    </w:rPr>
                  </w:pPr>
                  <w:r>
                    <w:rPr>
                      <w:color w:val="000000"/>
                      <w:sz w:val="21"/>
                      <w:szCs w:val="21"/>
                      <w:u w:val="single"/>
                    </w:rPr>
                    <w:t>1</w:t>
                  </w:r>
                </w:p>
              </w:tc>
              <w:tc>
                <w:tcPr>
                  <w:tcW w:w="3624" w:type="dxa"/>
                  <w:tcBorders>
                    <w:top w:val="single" w:color="auto" w:sz="4" w:space="0"/>
                    <w:left w:val="single" w:color="auto" w:sz="4" w:space="0"/>
                    <w:bottom w:val="single" w:color="auto" w:sz="4" w:space="0"/>
                    <w:right w:val="single" w:color="auto" w:sz="4" w:space="0"/>
                  </w:tcBorders>
                  <w:vAlign w:val="center"/>
                </w:tcPr>
                <w:p w14:paraId="6B11E043">
                  <w:pPr>
                    <w:kinsoku w:val="0"/>
                    <w:overflowPunct w:val="0"/>
                    <w:autoSpaceDE w:val="0"/>
                    <w:autoSpaceDN w:val="0"/>
                    <w:adjustRightInd w:val="0"/>
                    <w:snapToGrid w:val="0"/>
                    <w:jc w:val="center"/>
                    <w:rPr>
                      <w:color w:val="000000"/>
                      <w:sz w:val="21"/>
                      <w:szCs w:val="21"/>
                      <w:u w:val="single"/>
                    </w:rPr>
                  </w:pPr>
                  <w:r>
                    <w:rPr>
                      <w:color w:val="000000"/>
                      <w:sz w:val="21"/>
                      <w:szCs w:val="21"/>
                      <w:u w:val="single"/>
                    </w:rPr>
                    <w:t>VOCs</w:t>
                  </w:r>
                  <w:r>
                    <w:rPr>
                      <w:rFonts w:hint="eastAsia"/>
                      <w:color w:val="000000"/>
                      <w:sz w:val="21"/>
                      <w:szCs w:val="21"/>
                      <w:u w:val="single"/>
                    </w:rPr>
                    <w:t>原辅材料源头替代。全面摸排</w:t>
                  </w:r>
                  <w:r>
                    <w:rPr>
                      <w:color w:val="000000"/>
                      <w:sz w:val="21"/>
                      <w:szCs w:val="21"/>
                      <w:u w:val="single"/>
                    </w:rPr>
                    <w:t>VOCs</w:t>
                  </w:r>
                  <w:r>
                    <w:rPr>
                      <w:rFonts w:hint="eastAsia"/>
                      <w:color w:val="000000"/>
                      <w:sz w:val="21"/>
                      <w:szCs w:val="21"/>
                      <w:u w:val="single"/>
                    </w:rPr>
                    <w:t>原辅材料使用现状，以工业涂装、包装印刷等行业为重点，指导企业制定低</w:t>
                  </w:r>
                  <w:r>
                    <w:rPr>
                      <w:color w:val="000000"/>
                      <w:sz w:val="21"/>
                      <w:szCs w:val="21"/>
                      <w:u w:val="single"/>
                    </w:rPr>
                    <w:t>VOCs</w:t>
                  </w:r>
                  <w:r>
                    <w:rPr>
                      <w:rFonts w:hint="eastAsia"/>
                      <w:color w:val="000000"/>
                      <w:sz w:val="21"/>
                      <w:szCs w:val="21"/>
                      <w:u w:val="single"/>
                    </w:rPr>
                    <w:t>原辅材料替代计划。到</w:t>
                  </w:r>
                  <w:r>
                    <w:rPr>
                      <w:color w:val="000000"/>
                      <w:sz w:val="21"/>
                      <w:szCs w:val="21"/>
                      <w:u w:val="single"/>
                    </w:rPr>
                    <w:t>2025</w:t>
                  </w:r>
                  <w:r>
                    <w:rPr>
                      <w:rFonts w:hint="eastAsia"/>
                      <w:color w:val="000000"/>
                      <w:sz w:val="21"/>
                      <w:szCs w:val="21"/>
                      <w:u w:val="single"/>
                    </w:rPr>
                    <w:t>年，六市每年推广使用低</w:t>
                  </w:r>
                  <w:r>
                    <w:rPr>
                      <w:color w:val="000000"/>
                      <w:sz w:val="21"/>
                      <w:szCs w:val="21"/>
                      <w:u w:val="single"/>
                    </w:rPr>
                    <w:t>VOCs</w:t>
                  </w:r>
                  <w:r>
                    <w:rPr>
                      <w:rFonts w:hint="eastAsia"/>
                      <w:color w:val="000000"/>
                      <w:sz w:val="21"/>
                      <w:szCs w:val="21"/>
                      <w:u w:val="single"/>
                    </w:rPr>
                    <w:t>原辅材料替代的企业均不少于</w:t>
                  </w:r>
                  <w:r>
                    <w:rPr>
                      <w:color w:val="000000"/>
                      <w:sz w:val="21"/>
                      <w:szCs w:val="21"/>
                      <w:u w:val="single"/>
                    </w:rPr>
                    <w:t>5</w:t>
                  </w:r>
                  <w:r>
                    <w:rPr>
                      <w:rFonts w:hint="eastAsia"/>
                      <w:color w:val="000000"/>
                      <w:sz w:val="21"/>
                      <w:szCs w:val="21"/>
                      <w:u w:val="single"/>
                    </w:rPr>
                    <w:t>家。严格执行涂料、油墨、胶粘剂、清洗剂</w:t>
                  </w:r>
                  <w:r>
                    <w:rPr>
                      <w:color w:val="000000"/>
                      <w:sz w:val="21"/>
                      <w:szCs w:val="21"/>
                      <w:u w:val="single"/>
                    </w:rPr>
                    <w:t>VOCs</w:t>
                  </w:r>
                  <w:r>
                    <w:rPr>
                      <w:rFonts w:hint="eastAsia"/>
                      <w:color w:val="000000"/>
                      <w:sz w:val="21"/>
                      <w:szCs w:val="21"/>
                      <w:u w:val="single"/>
                    </w:rPr>
                    <w:t>含量限值标准。</w:t>
                  </w:r>
                </w:p>
              </w:tc>
              <w:tc>
                <w:tcPr>
                  <w:tcW w:w="2169" w:type="dxa"/>
                  <w:tcBorders>
                    <w:top w:val="single" w:color="auto" w:sz="4" w:space="0"/>
                    <w:left w:val="single" w:color="auto" w:sz="4" w:space="0"/>
                    <w:bottom w:val="single" w:color="auto" w:sz="4" w:space="0"/>
                    <w:right w:val="single" w:color="auto" w:sz="4" w:space="0"/>
                  </w:tcBorders>
                  <w:vAlign w:val="center"/>
                </w:tcPr>
                <w:p w14:paraId="786F4F86">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本项目涂装工序采用低VOCs的水性漆。</w:t>
                  </w:r>
                </w:p>
              </w:tc>
              <w:tc>
                <w:tcPr>
                  <w:tcW w:w="1022" w:type="dxa"/>
                  <w:tcBorders>
                    <w:top w:val="single" w:color="auto" w:sz="4" w:space="0"/>
                    <w:left w:val="single" w:color="auto" w:sz="4" w:space="0"/>
                    <w:bottom w:val="single" w:color="auto" w:sz="4" w:space="0"/>
                    <w:right w:val="single" w:color="auto" w:sz="12" w:space="0"/>
                  </w:tcBorders>
                  <w:vAlign w:val="center"/>
                </w:tcPr>
                <w:p w14:paraId="614AB3A6">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3C530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12" w:space="0"/>
                    <w:right w:val="single" w:color="auto" w:sz="4" w:space="0"/>
                  </w:tcBorders>
                  <w:vAlign w:val="center"/>
                </w:tcPr>
                <w:p w14:paraId="2C7A88B6">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2</w:t>
                  </w:r>
                </w:p>
              </w:tc>
              <w:tc>
                <w:tcPr>
                  <w:tcW w:w="3624" w:type="dxa"/>
                  <w:tcBorders>
                    <w:top w:val="single" w:color="auto" w:sz="4" w:space="0"/>
                    <w:left w:val="single" w:color="auto" w:sz="4" w:space="0"/>
                    <w:bottom w:val="single" w:color="auto" w:sz="12" w:space="0"/>
                    <w:right w:val="single" w:color="auto" w:sz="4" w:space="0"/>
                  </w:tcBorders>
                  <w:vAlign w:val="center"/>
                </w:tcPr>
                <w:p w14:paraId="42C34003">
                  <w:pPr>
                    <w:kinsoku w:val="0"/>
                    <w:overflowPunct w:val="0"/>
                    <w:autoSpaceDE w:val="0"/>
                    <w:autoSpaceDN w:val="0"/>
                    <w:adjustRightInd w:val="0"/>
                    <w:snapToGrid w:val="0"/>
                    <w:jc w:val="center"/>
                    <w:rPr>
                      <w:color w:val="000000"/>
                      <w:sz w:val="21"/>
                      <w:szCs w:val="21"/>
                      <w:u w:val="single"/>
                    </w:rPr>
                  </w:pPr>
                  <w:r>
                    <w:rPr>
                      <w:color w:val="000000"/>
                      <w:sz w:val="21"/>
                      <w:szCs w:val="21"/>
                      <w:u w:val="single"/>
                    </w:rPr>
                    <w:t>VOCs</w:t>
                  </w:r>
                  <w:r>
                    <w:rPr>
                      <w:rFonts w:hint="eastAsia"/>
                      <w:color w:val="000000"/>
                      <w:sz w:val="21"/>
                      <w:szCs w:val="21"/>
                      <w:u w:val="single"/>
                    </w:rPr>
                    <w:t>污染治理达标。开展</w:t>
                  </w:r>
                  <w:r>
                    <w:rPr>
                      <w:color w:val="000000"/>
                      <w:sz w:val="21"/>
                      <w:szCs w:val="21"/>
                      <w:u w:val="single"/>
                    </w:rPr>
                    <w:t>VOCs</w:t>
                  </w:r>
                  <w:r>
                    <w:rPr>
                      <w:rFonts w:hint="eastAsia"/>
                      <w:color w:val="000000"/>
                      <w:sz w:val="21"/>
                      <w:szCs w:val="21"/>
                      <w:u w:val="single"/>
                    </w:rPr>
                    <w:t>治理突出问题排查整治，清理整顿简易低效治理设施，到</w:t>
                  </w:r>
                  <w:r>
                    <w:rPr>
                      <w:color w:val="000000"/>
                      <w:sz w:val="21"/>
                      <w:szCs w:val="21"/>
                      <w:u w:val="single"/>
                    </w:rPr>
                    <w:t>2025</w:t>
                  </w:r>
                  <w:r>
                    <w:rPr>
                      <w:rFonts w:hint="eastAsia"/>
                      <w:color w:val="000000"/>
                      <w:sz w:val="21"/>
                      <w:szCs w:val="21"/>
                      <w:u w:val="single"/>
                    </w:rPr>
                    <w:t>年累计完成不少于</w:t>
                  </w:r>
                  <w:r>
                    <w:rPr>
                      <w:color w:val="000000"/>
                      <w:sz w:val="21"/>
                      <w:szCs w:val="21"/>
                      <w:u w:val="single"/>
                    </w:rPr>
                    <w:t>500</w:t>
                  </w:r>
                  <w:r>
                    <w:rPr>
                      <w:rFonts w:hint="eastAsia"/>
                      <w:color w:val="000000"/>
                      <w:sz w:val="21"/>
                      <w:szCs w:val="21"/>
                      <w:u w:val="single"/>
                    </w:rPr>
                    <w:t>家；加强非正常工况废气排放管控，全面提升</w:t>
                  </w:r>
                  <w:r>
                    <w:rPr>
                      <w:color w:val="000000"/>
                      <w:sz w:val="21"/>
                      <w:szCs w:val="21"/>
                      <w:u w:val="single"/>
                    </w:rPr>
                    <w:t>VOCs</w:t>
                  </w:r>
                  <w:r>
                    <w:rPr>
                      <w:rFonts w:hint="eastAsia"/>
                      <w:color w:val="000000"/>
                      <w:sz w:val="21"/>
                      <w:szCs w:val="21"/>
                      <w:u w:val="single"/>
                    </w:rPr>
                    <w:t>废气收集率、治理设施运行率和去除率。强化油品储运销环节综合整治，到</w:t>
                  </w:r>
                  <w:r>
                    <w:rPr>
                      <w:color w:val="000000"/>
                      <w:sz w:val="21"/>
                      <w:szCs w:val="21"/>
                      <w:u w:val="single"/>
                    </w:rPr>
                    <w:t>2025</w:t>
                  </w:r>
                  <w:r>
                    <w:rPr>
                      <w:rFonts w:hint="eastAsia"/>
                      <w:color w:val="000000"/>
                      <w:sz w:val="21"/>
                      <w:szCs w:val="21"/>
                      <w:u w:val="single"/>
                    </w:rPr>
                    <w:t>年，区域内原油成品油码头、现役</w:t>
                  </w:r>
                  <w:r>
                    <w:rPr>
                      <w:color w:val="000000"/>
                      <w:sz w:val="21"/>
                      <w:szCs w:val="21"/>
                      <w:u w:val="single"/>
                    </w:rPr>
                    <w:t>5000</w:t>
                  </w:r>
                  <w:r>
                    <w:rPr>
                      <w:rFonts w:hint="eastAsia"/>
                      <w:color w:val="000000"/>
                      <w:sz w:val="21"/>
                      <w:szCs w:val="21"/>
                      <w:u w:val="single"/>
                    </w:rPr>
                    <w:t>总吨及以上的油船全部完成油气回收治理。</w:t>
                  </w:r>
                </w:p>
              </w:tc>
              <w:tc>
                <w:tcPr>
                  <w:tcW w:w="2169" w:type="dxa"/>
                  <w:tcBorders>
                    <w:top w:val="single" w:color="auto" w:sz="4" w:space="0"/>
                    <w:left w:val="single" w:color="auto" w:sz="4" w:space="0"/>
                    <w:bottom w:val="single" w:color="auto" w:sz="12" w:space="0"/>
                    <w:right w:val="single" w:color="auto" w:sz="4" w:space="0"/>
                  </w:tcBorders>
                  <w:vAlign w:val="center"/>
                </w:tcPr>
                <w:p w14:paraId="38DA83A5">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1、本项目喷漆晾干废气经喷漆房密闭负压收集至干式过滤棉+三级活性炭吸附处理后经15m排气筒（DA001）达标排放；</w:t>
                  </w:r>
                </w:p>
              </w:tc>
              <w:tc>
                <w:tcPr>
                  <w:tcW w:w="1022" w:type="dxa"/>
                  <w:tcBorders>
                    <w:top w:val="single" w:color="auto" w:sz="4" w:space="0"/>
                    <w:left w:val="single" w:color="auto" w:sz="4" w:space="0"/>
                    <w:bottom w:val="single" w:color="auto" w:sz="12" w:space="0"/>
                    <w:right w:val="single" w:color="auto" w:sz="12" w:space="0"/>
                  </w:tcBorders>
                  <w:vAlign w:val="center"/>
                </w:tcPr>
                <w:p w14:paraId="31F91979">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bl>
          <w:p w14:paraId="08E6A46C">
            <w:pPr>
              <w:adjustRightInd w:val="0"/>
              <w:snapToGrid w:val="0"/>
              <w:spacing w:line="360" w:lineRule="auto"/>
              <w:ind w:firstLine="480" w:firstLineChars="200"/>
              <w:rPr>
                <w:kern w:val="21"/>
                <w:u w:val="single"/>
              </w:rPr>
            </w:pPr>
            <w:r>
              <w:rPr>
                <w:rFonts w:hint="eastAsia"/>
                <w:kern w:val="21"/>
                <w:u w:val="single"/>
              </w:rPr>
              <w:t>综上所述，本项目符合《</w:t>
            </w:r>
            <w:r>
              <w:rPr>
                <w:kern w:val="21"/>
                <w:u w:val="single"/>
              </w:rPr>
              <w:t>长株潭及传输通道城市环境空气质量达标攻坚行动计划》</w:t>
            </w:r>
            <w:r>
              <w:rPr>
                <w:rFonts w:hint="eastAsia"/>
                <w:kern w:val="21"/>
                <w:u w:val="single"/>
              </w:rPr>
              <w:t>的相关要求。</w:t>
            </w:r>
          </w:p>
          <w:p w14:paraId="75776B8E">
            <w:pPr>
              <w:kinsoku w:val="0"/>
              <w:wordWrap w:val="0"/>
              <w:adjustRightInd w:val="0"/>
              <w:snapToGrid w:val="0"/>
              <w:spacing w:line="360" w:lineRule="auto"/>
              <w:rPr>
                <w:b/>
                <w:bCs/>
                <w:u w:val="single"/>
              </w:rPr>
            </w:pPr>
            <w:r>
              <w:rPr>
                <w:rFonts w:hint="eastAsia"/>
                <w:b/>
                <w:bCs/>
                <w:u w:val="single"/>
              </w:rPr>
              <w:t>七、</w:t>
            </w:r>
            <w:r>
              <w:rPr>
                <w:b/>
                <w:bCs/>
                <w:u w:val="single"/>
              </w:rPr>
              <w:t>与</w:t>
            </w:r>
            <w:bookmarkStart w:id="19" w:name="OLE_LINK12"/>
            <w:r>
              <w:rPr>
                <w:b/>
                <w:bCs/>
                <w:u w:val="single"/>
              </w:rPr>
              <w:t>《益阳市生态环境局关于印发&lt;加强建设项目环境影响评价新增挥发性有机物实行倍量替代实施方案&gt;的通知》</w:t>
            </w:r>
            <w:bookmarkEnd w:id="19"/>
            <w:r>
              <w:rPr>
                <w:b/>
                <w:bCs/>
                <w:u w:val="single"/>
              </w:rPr>
              <w:t>符合性</w:t>
            </w:r>
          </w:p>
          <w:p w14:paraId="650FE787">
            <w:pPr>
              <w:keepNext/>
              <w:keepLines/>
              <w:widowControl/>
              <w:jc w:val="center"/>
              <w:rPr>
                <w:b/>
                <w:bCs/>
                <w:color w:val="000000"/>
                <w:kern w:val="0"/>
                <w:u w:val="single"/>
              </w:rPr>
            </w:pPr>
            <w:r>
              <w:rPr>
                <w:rFonts w:hint="eastAsia"/>
                <w:b/>
                <w:bCs/>
                <w:color w:val="000000"/>
                <w:kern w:val="0"/>
                <w:u w:val="single"/>
              </w:rPr>
              <w:t>表</w:t>
            </w:r>
            <w:r>
              <w:rPr>
                <w:b/>
                <w:bCs/>
                <w:color w:val="000000"/>
                <w:kern w:val="0"/>
                <w:u w:val="single"/>
              </w:rPr>
              <w:t>1-</w:t>
            </w:r>
            <w:r>
              <w:rPr>
                <w:rFonts w:hint="eastAsia"/>
                <w:b/>
                <w:bCs/>
                <w:color w:val="000000"/>
                <w:kern w:val="0"/>
                <w:u w:val="single"/>
              </w:rPr>
              <w:t>9</w:t>
            </w:r>
            <w:r>
              <w:rPr>
                <w:b/>
                <w:bCs/>
                <w:color w:val="000000"/>
                <w:kern w:val="0"/>
                <w:u w:val="single"/>
              </w:rPr>
              <w:t xml:space="preserve">  </w:t>
            </w:r>
            <w:r>
              <w:rPr>
                <w:rFonts w:hint="eastAsia"/>
                <w:b/>
                <w:bCs/>
                <w:color w:val="000000"/>
                <w:kern w:val="0"/>
                <w:u w:val="single"/>
              </w:rPr>
              <w:t>与</w:t>
            </w:r>
            <w:r>
              <w:rPr>
                <w:rFonts w:hint="eastAsia"/>
                <w:b/>
                <w:bCs/>
                <w:u w:val="single"/>
              </w:rPr>
              <w:t>《益阳市生态环境局关于印发</w:t>
            </w:r>
            <w:r>
              <w:rPr>
                <w:b/>
                <w:bCs/>
                <w:u w:val="single"/>
              </w:rPr>
              <w:t>&lt;</w:t>
            </w:r>
            <w:r>
              <w:rPr>
                <w:rFonts w:hint="eastAsia"/>
                <w:b/>
                <w:bCs/>
                <w:u w:val="single"/>
              </w:rPr>
              <w:t>加强建设项目环境影响评价新增挥发性有机物实行倍量替代实施方案</w:t>
            </w:r>
            <w:r>
              <w:rPr>
                <w:b/>
                <w:bCs/>
                <w:u w:val="single"/>
              </w:rPr>
              <w:t>&gt;</w:t>
            </w:r>
            <w:r>
              <w:rPr>
                <w:rFonts w:hint="eastAsia"/>
                <w:b/>
                <w:bCs/>
                <w:u w:val="single"/>
              </w:rPr>
              <w:t>的通知》</w:t>
            </w:r>
            <w:r>
              <w:rPr>
                <w:rFonts w:hint="eastAsia"/>
                <w:b/>
                <w:bCs/>
                <w:color w:val="000000"/>
                <w:kern w:val="0"/>
                <w:u w:val="single"/>
              </w:rPr>
              <w:t>符合性分析</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624"/>
              <w:gridCol w:w="2169"/>
              <w:gridCol w:w="1022"/>
            </w:tblGrid>
            <w:tr w14:paraId="4E01B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op w:val="single" w:color="auto" w:sz="12" w:space="0"/>
                    <w:left w:val="single" w:color="auto" w:sz="12" w:space="0"/>
                    <w:bottom w:val="single" w:color="auto" w:sz="4" w:space="0"/>
                    <w:right w:val="single" w:color="auto" w:sz="4" w:space="0"/>
                  </w:tcBorders>
                  <w:vAlign w:val="center"/>
                </w:tcPr>
                <w:p w14:paraId="2E32008F">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序号</w:t>
                  </w:r>
                </w:p>
              </w:tc>
              <w:tc>
                <w:tcPr>
                  <w:tcW w:w="3624" w:type="dxa"/>
                  <w:tcBorders>
                    <w:top w:val="single" w:color="auto" w:sz="12" w:space="0"/>
                    <w:left w:val="single" w:color="auto" w:sz="4" w:space="0"/>
                    <w:bottom w:val="single" w:color="auto" w:sz="4" w:space="0"/>
                    <w:right w:val="single" w:color="auto" w:sz="4" w:space="0"/>
                  </w:tcBorders>
                  <w:vAlign w:val="center"/>
                </w:tcPr>
                <w:p w14:paraId="4F4C319C">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相关要求</w:t>
                  </w:r>
                </w:p>
              </w:tc>
              <w:tc>
                <w:tcPr>
                  <w:tcW w:w="2169" w:type="dxa"/>
                  <w:tcBorders>
                    <w:top w:val="single" w:color="auto" w:sz="12" w:space="0"/>
                    <w:left w:val="single" w:color="auto" w:sz="4" w:space="0"/>
                    <w:bottom w:val="single" w:color="auto" w:sz="4" w:space="0"/>
                    <w:right w:val="single" w:color="auto" w:sz="4" w:space="0"/>
                  </w:tcBorders>
                  <w:vAlign w:val="center"/>
                </w:tcPr>
                <w:p w14:paraId="39180856">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本项目</w:t>
                  </w:r>
                </w:p>
              </w:tc>
              <w:tc>
                <w:tcPr>
                  <w:tcW w:w="1022" w:type="dxa"/>
                  <w:tcBorders>
                    <w:top w:val="single" w:color="auto" w:sz="12" w:space="0"/>
                    <w:left w:val="single" w:color="auto" w:sz="4" w:space="0"/>
                    <w:bottom w:val="single" w:color="auto" w:sz="4" w:space="0"/>
                    <w:right w:val="single" w:color="auto" w:sz="12" w:space="0"/>
                  </w:tcBorders>
                  <w:vAlign w:val="center"/>
                </w:tcPr>
                <w:p w14:paraId="6A049CD6">
                  <w:pPr>
                    <w:kinsoku w:val="0"/>
                    <w:overflowPunct w:val="0"/>
                    <w:autoSpaceDE w:val="0"/>
                    <w:autoSpaceDN w:val="0"/>
                    <w:adjustRightInd w:val="0"/>
                    <w:snapToGrid w:val="0"/>
                    <w:jc w:val="center"/>
                    <w:rPr>
                      <w:b/>
                      <w:bCs/>
                      <w:color w:val="000000"/>
                      <w:sz w:val="21"/>
                      <w:szCs w:val="21"/>
                      <w:u w:val="single"/>
                    </w:rPr>
                  </w:pPr>
                  <w:r>
                    <w:rPr>
                      <w:rFonts w:hint="eastAsia"/>
                      <w:b/>
                      <w:bCs/>
                      <w:color w:val="000000"/>
                      <w:sz w:val="21"/>
                      <w:szCs w:val="21"/>
                      <w:u w:val="single"/>
                    </w:rPr>
                    <w:t>相符性</w:t>
                  </w:r>
                </w:p>
              </w:tc>
            </w:tr>
            <w:tr w14:paraId="6966A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32C42B64">
                  <w:pPr>
                    <w:kinsoku w:val="0"/>
                    <w:overflowPunct w:val="0"/>
                    <w:autoSpaceDE w:val="0"/>
                    <w:autoSpaceDN w:val="0"/>
                    <w:adjustRightInd w:val="0"/>
                    <w:snapToGrid w:val="0"/>
                    <w:jc w:val="center"/>
                    <w:rPr>
                      <w:color w:val="000000"/>
                      <w:sz w:val="21"/>
                      <w:szCs w:val="21"/>
                      <w:u w:val="single"/>
                    </w:rPr>
                  </w:pPr>
                  <w:r>
                    <w:rPr>
                      <w:color w:val="000000"/>
                      <w:sz w:val="21"/>
                      <w:szCs w:val="21"/>
                      <w:u w:val="single"/>
                    </w:rPr>
                    <w:t>1</w:t>
                  </w:r>
                </w:p>
              </w:tc>
              <w:tc>
                <w:tcPr>
                  <w:tcW w:w="3624" w:type="dxa"/>
                  <w:tcBorders>
                    <w:top w:val="single" w:color="auto" w:sz="4" w:space="0"/>
                    <w:left w:val="single" w:color="auto" w:sz="4" w:space="0"/>
                    <w:bottom w:val="single" w:color="auto" w:sz="4" w:space="0"/>
                    <w:right w:val="single" w:color="auto" w:sz="4" w:space="0"/>
                  </w:tcBorders>
                  <w:vAlign w:val="center"/>
                </w:tcPr>
                <w:p w14:paraId="2AC166B5">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规范重点行业领域削减措施来源。石化、化工(含工艺工序)、工业涂装(含工艺工序)、包装印刷(含工艺工序)、油品储运销等行业削减措施原则上应优先来源于纳入排污许可管理(现役源)的排污单位采取的治理措施(含关停、原料和工艺改造、末端治理等)。区域削减方案由建设单位、削减措施排污单位及做出落实承诺的地方人民政府共同确认，并明确各方责任。建设单位应在提交环境影响评价文件时明确区域内VOCs削减方案，包括污染物削减量、削减来源、削减措施、责任主体完成时限和削减措施排污单位及行政区域人民政府承诺性文件。建设单位应积极推动落实区域削减方案，全部削减措施应在建设项目取得排污许可证前完成竣工环境保护验收时，应说明区域削减方案落煙快舢俩实情况。</w:t>
                  </w:r>
                </w:p>
              </w:tc>
              <w:tc>
                <w:tcPr>
                  <w:tcW w:w="2169" w:type="dxa"/>
                  <w:tcBorders>
                    <w:top w:val="single" w:color="auto" w:sz="4" w:space="0"/>
                    <w:left w:val="single" w:color="auto" w:sz="4" w:space="0"/>
                    <w:bottom w:val="single" w:color="auto" w:sz="4" w:space="0"/>
                    <w:right w:val="single" w:color="auto" w:sz="4" w:space="0"/>
                  </w:tcBorders>
                  <w:vAlign w:val="center"/>
                </w:tcPr>
                <w:p w14:paraId="588DFD40">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项目为金属结构制造，需提交削减方案，项目排放VOCs总量为0.4281t/a，需倍量替代0.3671t/a，本项目倍量替代来源于湖南国森印刷有限公司，目前可使用替代量为1.0089t/a，可覆盖本次倍量替代量。</w:t>
                  </w:r>
                </w:p>
              </w:tc>
              <w:tc>
                <w:tcPr>
                  <w:tcW w:w="1022" w:type="dxa"/>
                  <w:tcBorders>
                    <w:top w:val="single" w:color="auto" w:sz="4" w:space="0"/>
                    <w:left w:val="single" w:color="auto" w:sz="4" w:space="0"/>
                    <w:bottom w:val="single" w:color="auto" w:sz="4" w:space="0"/>
                    <w:right w:val="single" w:color="auto" w:sz="12" w:space="0"/>
                  </w:tcBorders>
                  <w:vAlign w:val="center"/>
                </w:tcPr>
                <w:p w14:paraId="5A3975BC">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1F7B7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2206E597">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2</w:t>
                  </w:r>
                </w:p>
              </w:tc>
              <w:tc>
                <w:tcPr>
                  <w:tcW w:w="3624" w:type="dxa"/>
                  <w:tcBorders>
                    <w:top w:val="single" w:color="auto" w:sz="4" w:space="0"/>
                    <w:left w:val="single" w:color="auto" w:sz="4" w:space="0"/>
                    <w:bottom w:val="single" w:color="auto" w:sz="4" w:space="0"/>
                    <w:right w:val="single" w:color="auto" w:sz="4" w:space="0"/>
                  </w:tcBorders>
                  <w:vAlign w:val="center"/>
                </w:tcPr>
                <w:p w14:paraId="44E15CE8">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推进建设适宜高效的治污设施。企业新建治污设施或对现有治污设施实施改造，应依据排放废气的浓度、组分、风量，温度、湿度、压力，以及生产工祝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不适用于VOCs。</w:t>
                  </w:r>
                </w:p>
                <w:p w14:paraId="7DA290DE">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废气治理：生物法主要适用于低浓度VOCs废气治理和恶臭异味治理。非水溶性的VOCs度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2169" w:type="dxa"/>
                  <w:tcBorders>
                    <w:top w:val="single" w:color="auto" w:sz="4" w:space="0"/>
                    <w:left w:val="single" w:color="auto" w:sz="4" w:space="0"/>
                    <w:bottom w:val="single" w:color="auto" w:sz="4" w:space="0"/>
                    <w:right w:val="single" w:color="auto" w:sz="4" w:space="0"/>
                  </w:tcBorders>
                  <w:vAlign w:val="center"/>
                </w:tcPr>
                <w:p w14:paraId="609C8BA2">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本项目喷漆晾干废气经喷漆房密闭负压收集至干式过滤棉+三级活性炭吸附处理后经15m排气筒（DA001）达标排放；处理效率为87.5%。</w:t>
                  </w:r>
                </w:p>
              </w:tc>
              <w:tc>
                <w:tcPr>
                  <w:tcW w:w="1022" w:type="dxa"/>
                  <w:tcBorders>
                    <w:top w:val="single" w:color="auto" w:sz="4" w:space="0"/>
                    <w:left w:val="single" w:color="auto" w:sz="4" w:space="0"/>
                    <w:bottom w:val="single" w:color="auto" w:sz="4" w:space="0"/>
                    <w:right w:val="single" w:color="auto" w:sz="12" w:space="0"/>
                  </w:tcBorders>
                  <w:vAlign w:val="center"/>
                </w:tcPr>
                <w:p w14:paraId="70A5B0C6">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2C028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4" w:space="0"/>
                    <w:right w:val="single" w:color="auto" w:sz="4" w:space="0"/>
                  </w:tcBorders>
                  <w:vAlign w:val="center"/>
                </w:tcPr>
                <w:p w14:paraId="264DBB2B">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3</w:t>
                  </w:r>
                </w:p>
              </w:tc>
              <w:tc>
                <w:tcPr>
                  <w:tcW w:w="3624" w:type="dxa"/>
                  <w:tcBorders>
                    <w:top w:val="single" w:color="auto" w:sz="4" w:space="0"/>
                    <w:left w:val="single" w:color="auto" w:sz="4" w:space="0"/>
                    <w:bottom w:val="single" w:color="auto" w:sz="4" w:space="0"/>
                    <w:right w:val="single" w:color="auto" w:sz="4" w:space="0"/>
                  </w:tcBorders>
                  <w:vAlign w:val="center"/>
                </w:tcPr>
                <w:p w14:paraId="0F121526">
                  <w:pPr>
                    <w:kinsoku w:val="0"/>
                    <w:overflowPunct w:val="0"/>
                    <w:autoSpaceDE w:val="0"/>
                    <w:autoSpaceDN w:val="0"/>
                    <w:adjustRightInd w:val="0"/>
                    <w:snapToGrid w:val="0"/>
                    <w:jc w:val="center"/>
                    <w:rPr>
                      <w:color w:val="000000"/>
                      <w:sz w:val="21"/>
                      <w:szCs w:val="21"/>
                      <w:u w:val="single"/>
                    </w:rPr>
                  </w:pPr>
                  <w:r>
                    <w:rPr>
                      <w:color w:val="000000"/>
                      <w:sz w:val="21"/>
                      <w:szCs w:val="21"/>
                      <w:u w:val="single"/>
                    </w:rPr>
                    <w:t>规范工程设计。产生含挥发性有机物废气的生产和服务活动，应当在密闭空间或者设备中进行，并按照规定安装、使用污染防治设施；无法密闭的，应当采取措施减少废气排放。采用吸附处理工艺的，应满足</w:t>
                  </w:r>
                  <w:bookmarkStart w:id="20" w:name="OLE_LINK5"/>
                  <w:r>
                    <w:rPr>
                      <w:color w:val="000000"/>
                      <w:sz w:val="21"/>
                      <w:szCs w:val="21"/>
                      <w:u w:val="single"/>
                    </w:rPr>
                    <w:t>《吸附法工业有机废气治理工程技术规范》</w:t>
                  </w:r>
                  <w:bookmarkEnd w:id="20"/>
                  <w:r>
                    <w:rPr>
                      <w:color w:val="000000"/>
                      <w:sz w:val="21"/>
                      <w:szCs w:val="21"/>
                      <w:u w:val="single"/>
                    </w:rPr>
                    <w:t>要求。采用催化燃烧工艺的，应满足《催化燃烧法工业有机废气治理工程技术规范》要求。采用蓄热燃烧等其他处理工艺的，应按相关技术规范要求设计。</w:t>
                  </w:r>
                </w:p>
              </w:tc>
              <w:tc>
                <w:tcPr>
                  <w:tcW w:w="2169" w:type="dxa"/>
                  <w:tcBorders>
                    <w:top w:val="single" w:color="auto" w:sz="4" w:space="0"/>
                    <w:left w:val="single" w:color="auto" w:sz="4" w:space="0"/>
                    <w:bottom w:val="single" w:color="auto" w:sz="4" w:space="0"/>
                    <w:right w:val="single" w:color="auto" w:sz="4" w:space="0"/>
                  </w:tcBorders>
                  <w:vAlign w:val="center"/>
                </w:tcPr>
                <w:p w14:paraId="43C212F2">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喷漆房设置密闭负压收集产生的挥发性有机废气经负压收集至干式过滤器+三级活性炭吸附处理后于15m排气筒（DA001）排放。废气治理设施能满足</w:t>
                  </w:r>
                  <w:r>
                    <w:rPr>
                      <w:color w:val="000000"/>
                      <w:sz w:val="21"/>
                      <w:szCs w:val="21"/>
                      <w:u w:val="single"/>
                    </w:rPr>
                    <w:t>《吸附法工业有机废气治理工程技术规范》</w:t>
                  </w:r>
                  <w:r>
                    <w:rPr>
                      <w:rFonts w:hint="eastAsia"/>
                      <w:color w:val="000000"/>
                      <w:sz w:val="21"/>
                      <w:szCs w:val="21"/>
                      <w:u w:val="single"/>
                    </w:rPr>
                    <w:t>的相关要求。</w:t>
                  </w:r>
                </w:p>
              </w:tc>
              <w:tc>
                <w:tcPr>
                  <w:tcW w:w="1022" w:type="dxa"/>
                  <w:tcBorders>
                    <w:top w:val="single" w:color="auto" w:sz="4" w:space="0"/>
                    <w:left w:val="single" w:color="auto" w:sz="4" w:space="0"/>
                    <w:bottom w:val="single" w:color="auto" w:sz="4" w:space="0"/>
                    <w:right w:val="single" w:color="auto" w:sz="12" w:space="0"/>
                  </w:tcBorders>
                  <w:vAlign w:val="center"/>
                </w:tcPr>
                <w:p w14:paraId="075D93FA">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r w14:paraId="70815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single" w:color="auto" w:sz="12" w:space="0"/>
                    <w:bottom w:val="single" w:color="auto" w:sz="12" w:space="0"/>
                    <w:right w:val="single" w:color="auto" w:sz="4" w:space="0"/>
                  </w:tcBorders>
                  <w:vAlign w:val="center"/>
                </w:tcPr>
                <w:p w14:paraId="480EBA14">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4</w:t>
                  </w:r>
                </w:p>
              </w:tc>
              <w:tc>
                <w:tcPr>
                  <w:tcW w:w="3624" w:type="dxa"/>
                  <w:tcBorders>
                    <w:top w:val="single" w:color="auto" w:sz="4" w:space="0"/>
                    <w:left w:val="single" w:color="auto" w:sz="4" w:space="0"/>
                    <w:bottom w:val="single" w:color="auto" w:sz="12" w:space="0"/>
                    <w:right w:val="single" w:color="auto" w:sz="4" w:space="0"/>
                  </w:tcBorders>
                  <w:vAlign w:val="center"/>
                </w:tcPr>
                <w:p w14:paraId="780573B8">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169" w:type="dxa"/>
                  <w:tcBorders>
                    <w:top w:val="single" w:color="auto" w:sz="4" w:space="0"/>
                    <w:left w:val="single" w:color="auto" w:sz="4" w:space="0"/>
                    <w:bottom w:val="single" w:color="auto" w:sz="12" w:space="0"/>
                    <w:right w:val="single" w:color="auto" w:sz="4" w:space="0"/>
                  </w:tcBorders>
                  <w:vAlign w:val="center"/>
                </w:tcPr>
                <w:p w14:paraId="04354D9D">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本项目VOCs初始排放速率小于2千克/小时。同时废气收集处理效率为87.5%</w:t>
                  </w:r>
                </w:p>
              </w:tc>
              <w:tc>
                <w:tcPr>
                  <w:tcW w:w="1022" w:type="dxa"/>
                  <w:tcBorders>
                    <w:top w:val="single" w:color="auto" w:sz="4" w:space="0"/>
                    <w:left w:val="single" w:color="auto" w:sz="4" w:space="0"/>
                    <w:bottom w:val="single" w:color="auto" w:sz="12" w:space="0"/>
                    <w:right w:val="single" w:color="auto" w:sz="12" w:space="0"/>
                  </w:tcBorders>
                  <w:vAlign w:val="center"/>
                </w:tcPr>
                <w:p w14:paraId="0BEF2594">
                  <w:pPr>
                    <w:kinsoku w:val="0"/>
                    <w:overflowPunct w:val="0"/>
                    <w:autoSpaceDE w:val="0"/>
                    <w:autoSpaceDN w:val="0"/>
                    <w:adjustRightInd w:val="0"/>
                    <w:snapToGrid w:val="0"/>
                    <w:jc w:val="center"/>
                    <w:rPr>
                      <w:color w:val="000000"/>
                      <w:sz w:val="21"/>
                      <w:szCs w:val="21"/>
                      <w:u w:val="single"/>
                    </w:rPr>
                  </w:pPr>
                  <w:r>
                    <w:rPr>
                      <w:rFonts w:hint="eastAsia"/>
                      <w:color w:val="000000"/>
                      <w:sz w:val="21"/>
                      <w:szCs w:val="21"/>
                      <w:u w:val="single"/>
                    </w:rPr>
                    <w:t>符合</w:t>
                  </w:r>
                </w:p>
              </w:tc>
            </w:tr>
          </w:tbl>
          <w:p w14:paraId="44C21797">
            <w:pPr>
              <w:adjustRightInd w:val="0"/>
              <w:snapToGrid w:val="0"/>
              <w:spacing w:line="360" w:lineRule="auto"/>
              <w:ind w:firstLine="480" w:firstLineChars="200"/>
              <w:rPr>
                <w:kern w:val="21"/>
                <w:u w:val="single"/>
              </w:rPr>
            </w:pPr>
            <w:r>
              <w:rPr>
                <w:rFonts w:hint="eastAsia"/>
                <w:kern w:val="21"/>
                <w:u w:val="single"/>
              </w:rPr>
              <w:t>综上所述，本项目符合《益阳市生态环境局关于印发</w:t>
            </w:r>
            <w:r>
              <w:rPr>
                <w:kern w:val="21"/>
                <w:u w:val="single"/>
              </w:rPr>
              <w:t>&lt;</w:t>
            </w:r>
            <w:r>
              <w:rPr>
                <w:rFonts w:hint="eastAsia"/>
                <w:kern w:val="21"/>
                <w:u w:val="single"/>
              </w:rPr>
              <w:t>加强建设项目环境影响评价新增挥发性有机物实行倍量替代实施方案</w:t>
            </w:r>
            <w:r>
              <w:rPr>
                <w:kern w:val="21"/>
                <w:u w:val="single"/>
              </w:rPr>
              <w:t>&gt;</w:t>
            </w:r>
            <w:r>
              <w:rPr>
                <w:rFonts w:hint="eastAsia"/>
                <w:kern w:val="21"/>
                <w:u w:val="single"/>
              </w:rPr>
              <w:t>的通知》的相关要求。</w:t>
            </w:r>
          </w:p>
          <w:p w14:paraId="0C409A89">
            <w:pPr>
              <w:kinsoku w:val="0"/>
              <w:wordWrap w:val="0"/>
              <w:adjustRightInd w:val="0"/>
              <w:snapToGrid w:val="0"/>
              <w:spacing w:line="360" w:lineRule="auto"/>
              <w:rPr>
                <w:b/>
                <w:bCs/>
              </w:rPr>
            </w:pPr>
            <w:r>
              <w:rPr>
                <w:rFonts w:hint="eastAsia"/>
                <w:b/>
                <w:bCs/>
              </w:rPr>
              <w:t>八、选址合理性分析</w:t>
            </w:r>
          </w:p>
          <w:p w14:paraId="1A211DC5">
            <w:pPr>
              <w:autoSpaceDE w:val="0"/>
              <w:autoSpaceDN w:val="0"/>
              <w:spacing w:line="360" w:lineRule="auto"/>
              <w:ind w:firstLine="480" w:firstLineChars="200"/>
            </w:pPr>
            <w:r>
              <w:t>本项目位于益阳市赫山区龙岭产业开发区新材料产业园朝阳路粤浙城科技示范基地</w:t>
            </w:r>
            <w:r>
              <w:rPr>
                <w:rFonts w:hint="eastAsia"/>
              </w:rPr>
              <w:t>8栋</w:t>
            </w:r>
            <w:r>
              <w:t>，根据</w:t>
            </w:r>
            <w:r>
              <w:rPr>
                <w:rFonts w:hint="eastAsia"/>
              </w:rPr>
              <w:t>相关规划本项目位于</w:t>
            </w:r>
            <w:r>
              <w:rPr>
                <w:rFonts w:hint="eastAsia"/>
                <w:color w:val="000000" w:themeColor="text1"/>
                <w14:textFill>
                  <w14:solidFill>
                    <w14:schemeClr w14:val="tx1"/>
                  </w14:solidFill>
                </w14:textFill>
              </w:rPr>
              <w:t>龙岭产业开发区区块六，</w:t>
            </w:r>
            <w:r>
              <w:rPr>
                <w:color w:val="000000" w:themeColor="text1"/>
                <w14:textFill>
                  <w14:solidFill>
                    <w14:schemeClr w14:val="tx1"/>
                  </w14:solidFill>
                </w14:textFill>
              </w:rPr>
              <w:t>用地性质为工业用地，符合园区用地规划。</w:t>
            </w:r>
          </w:p>
          <w:p w14:paraId="037FDEBE">
            <w:pPr>
              <w:autoSpaceDE w:val="0"/>
              <w:autoSpaceDN w:val="0"/>
              <w:spacing w:line="360" w:lineRule="auto"/>
              <w:ind w:firstLine="480" w:firstLineChars="200"/>
            </w:pPr>
            <w:r>
              <w:t>1、环境相容性</w:t>
            </w:r>
          </w:p>
          <w:p w14:paraId="5B90E023">
            <w:pPr>
              <w:autoSpaceDE w:val="0"/>
              <w:autoSpaceDN w:val="0"/>
              <w:spacing w:line="360" w:lineRule="auto"/>
              <w:ind w:firstLine="480" w:firstLineChars="200"/>
            </w:pPr>
            <w:r>
              <w:t>本项目周边无集中式饮用水水源保护区，医院、学校等公共场。经查询，本项目用地范围不占用生态红线。</w:t>
            </w:r>
          </w:p>
          <w:p w14:paraId="5FF372A2">
            <w:pPr>
              <w:autoSpaceDE w:val="0"/>
              <w:autoSpaceDN w:val="0"/>
              <w:spacing w:line="360" w:lineRule="auto"/>
              <w:ind w:firstLine="480" w:firstLineChars="200"/>
            </w:pPr>
            <w:r>
              <w:t>本项目运行过程中，</w:t>
            </w:r>
            <w:r>
              <w:rPr>
                <w:rFonts w:hint="eastAsia"/>
              </w:rPr>
              <w:t>抛丸、下料、焊接、喷漆、晾干等工序</w:t>
            </w:r>
            <w:r>
              <w:t>会产生</w:t>
            </w:r>
            <w:r>
              <w:rPr>
                <w:rFonts w:hint="eastAsia"/>
              </w:rPr>
              <w:t>颗粒物和挥发性有机物等</w:t>
            </w:r>
            <w:r>
              <w:t>废气，</w:t>
            </w:r>
            <w:r>
              <w:rPr>
                <w:rFonts w:hint="eastAsia"/>
              </w:rPr>
              <w:t>抛丸废气经</w:t>
            </w:r>
            <w:r>
              <w:rPr>
                <w:rFonts w:hint="eastAsia"/>
                <w:color w:val="000000" w:themeColor="text1"/>
                <w14:textFill>
                  <w14:solidFill>
                    <w14:schemeClr w14:val="tx1"/>
                  </w14:solidFill>
                </w14:textFill>
              </w:rPr>
              <w:t>自带除尘设施处理后无组织排放。</w:t>
            </w:r>
            <w:r>
              <w:rPr>
                <w:rFonts w:hint="eastAsia"/>
              </w:rPr>
              <w:t>下料、焊接废气经移动式袋式除尘器处理在厂区内无组织排放；喷漆晾干废气经</w:t>
            </w:r>
            <w:r>
              <w:rPr>
                <w:rFonts w:hint="eastAsia"/>
                <w:color w:val="000000" w:themeColor="text1"/>
                <w14:textFill>
                  <w14:solidFill>
                    <w14:schemeClr w14:val="tx1"/>
                  </w14:solidFill>
                </w14:textFill>
              </w:rPr>
              <w:t>干式过滤棉+三级活性炭吸附装置处理达标后通过15m排气筒（DA001）排放</w:t>
            </w:r>
            <w:r>
              <w:rPr>
                <w:rFonts w:hint="eastAsia"/>
              </w:rPr>
              <w:t>；</w:t>
            </w:r>
            <w:r>
              <w:t>生活污水经</w:t>
            </w:r>
            <w:r>
              <w:rPr>
                <w:rFonts w:hint="eastAsia"/>
              </w:rPr>
              <w:t>已建</w:t>
            </w:r>
            <w:r>
              <w:t>化粪池预处理达</w:t>
            </w:r>
            <w:r>
              <w:rPr>
                <w:rFonts w:hint="eastAsia"/>
              </w:rPr>
              <w:t>标</w:t>
            </w:r>
            <w:r>
              <w:t>后排入市政污水管网，</w:t>
            </w:r>
            <w:r>
              <w:rPr>
                <w:rFonts w:hint="eastAsia"/>
              </w:rPr>
              <w:t>喷漆清洗废液作回用于水性漆配置，不外排</w:t>
            </w:r>
            <w:r>
              <w:t>；固体废物均能得到妥善处置；噪声经预测通过墙体隔声等措施处理后能实现达标排放。经采取各项措施后本项目建设对周边环境敏感点的影响较小，因此本项目周边环境的相容性较好。</w:t>
            </w:r>
          </w:p>
          <w:p w14:paraId="19819B7A">
            <w:pPr>
              <w:autoSpaceDE w:val="0"/>
              <w:autoSpaceDN w:val="0"/>
              <w:spacing w:line="360" w:lineRule="auto"/>
              <w:ind w:firstLine="480" w:firstLineChars="200"/>
            </w:pPr>
            <w:r>
              <w:t>2、配套条件</w:t>
            </w:r>
          </w:p>
          <w:p w14:paraId="1C365D02">
            <w:pPr>
              <w:autoSpaceDE w:val="0"/>
              <w:autoSpaceDN w:val="0"/>
              <w:spacing w:line="360" w:lineRule="auto"/>
              <w:ind w:firstLine="480" w:firstLineChars="200"/>
            </w:pPr>
            <w:r>
              <w:t>本项目所在地邻近</w:t>
            </w:r>
            <w:r>
              <w:rPr>
                <w:rFonts w:hint="eastAsia"/>
              </w:rPr>
              <w:t>银城大道</w:t>
            </w:r>
            <w:r>
              <w:t>，交通便利，用水能依托</w:t>
            </w:r>
            <w:r>
              <w:rPr>
                <w:rFonts w:hint="eastAsia"/>
              </w:rPr>
              <w:t>园区</w:t>
            </w:r>
            <w:r>
              <w:t>自来水，排水依托市政污水管网排入</w:t>
            </w:r>
            <w:r>
              <w:rPr>
                <w:rFonts w:hint="eastAsia"/>
              </w:rPr>
              <w:t>衡龙新区污水处理厂</w:t>
            </w:r>
            <w:r>
              <w:t>，供电能依托</w:t>
            </w:r>
            <w:r>
              <w:rPr>
                <w:rFonts w:hint="eastAsia"/>
              </w:rPr>
              <w:t>园区</w:t>
            </w:r>
            <w:r>
              <w:t>电网供电。</w:t>
            </w:r>
          </w:p>
          <w:p w14:paraId="519FD64C">
            <w:pPr>
              <w:kinsoku w:val="0"/>
              <w:wordWrap w:val="0"/>
              <w:adjustRightInd w:val="0"/>
              <w:snapToGrid w:val="0"/>
              <w:spacing w:line="360" w:lineRule="auto"/>
              <w:ind w:firstLine="480" w:firstLineChars="200"/>
            </w:pPr>
            <w:r>
              <w:t>综上所述，本项目配套条件齐全，环境相容性较好，本项目选址较为合理。</w:t>
            </w:r>
          </w:p>
        </w:tc>
      </w:tr>
    </w:tbl>
    <w:p w14:paraId="4F3D6804">
      <w:pPr>
        <w:sectPr>
          <w:footerReference r:id="rId5" w:type="default"/>
          <w:pgSz w:w="11906" w:h="16838"/>
          <w:pgMar w:top="1440" w:right="1800" w:bottom="1440" w:left="1800" w:header="851" w:footer="992" w:gutter="0"/>
          <w:pgNumType w:start="1"/>
          <w:cols w:space="425" w:num="1"/>
          <w:docGrid w:type="lines" w:linePitch="312" w:charSpace="0"/>
        </w:sectPr>
      </w:pPr>
    </w:p>
    <w:p w14:paraId="01CC3BE5">
      <w:pPr>
        <w:pStyle w:val="20"/>
        <w:spacing w:before="0" w:beforeAutospacing="0" w:after="0" w:afterAutospacing="0"/>
        <w:jc w:val="center"/>
        <w:outlineLvl w:val="0"/>
        <w:rPr>
          <w:rFonts w:hint="eastAsia"/>
        </w:rPr>
      </w:pPr>
      <w:bookmarkStart w:id="21" w:name="_Toc29209"/>
      <w:bookmarkStart w:id="22" w:name="_Toc284"/>
      <w:bookmarkStart w:id="23" w:name="_Toc189746363"/>
      <w:bookmarkStart w:id="24" w:name="_Toc8759"/>
      <w:r>
        <w:rPr>
          <w:rFonts w:hint="eastAsia" w:ascii="黑体" w:hAnsi="黑体" w:eastAsia="黑体"/>
          <w:snapToGrid w:val="0"/>
          <w:color w:val="000000"/>
          <w:sz w:val="30"/>
          <w:szCs w:val="30"/>
        </w:rPr>
        <w:t>二、建设项目工程分析</w:t>
      </w:r>
      <w:bookmarkEnd w:id="21"/>
      <w:bookmarkEnd w:id="22"/>
      <w:bookmarkEnd w:id="23"/>
      <w:bookmarkEnd w:id="24"/>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6135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9" w:type="dxa"/>
            <w:vAlign w:val="center"/>
          </w:tcPr>
          <w:p w14:paraId="13227CE3">
            <w:pPr>
              <w:jc w:val="center"/>
            </w:pPr>
            <w:r>
              <w:rPr>
                <w:rFonts w:hint="eastAsia" w:ascii="宋体" w:hAnsi="宋体" w:cs="宋体"/>
                <w:snapToGrid w:val="0"/>
                <w:color w:val="000000"/>
              </w:rPr>
              <w:t>建设内容</w:t>
            </w:r>
          </w:p>
        </w:tc>
        <w:tc>
          <w:tcPr>
            <w:tcW w:w="8093" w:type="dxa"/>
          </w:tcPr>
          <w:p w14:paraId="2D1DC8E4">
            <w:pPr>
              <w:kinsoku w:val="0"/>
              <w:wordWrap w:val="0"/>
              <w:autoSpaceDE w:val="0"/>
              <w:autoSpaceDN w:val="0"/>
              <w:adjustRightInd w:val="0"/>
              <w:snapToGrid w:val="0"/>
              <w:spacing w:line="360" w:lineRule="auto"/>
              <w:rPr>
                <w:color w:val="000000"/>
              </w:rPr>
            </w:pPr>
            <w:r>
              <w:rPr>
                <w:rFonts w:hint="eastAsia"/>
                <w:b/>
                <w:bCs/>
                <w:color w:val="000000"/>
              </w:rPr>
              <w:t>一</w:t>
            </w:r>
            <w:r>
              <w:rPr>
                <w:b/>
                <w:bCs/>
                <w:color w:val="000000"/>
              </w:rPr>
              <w:t>、项目概况</w:t>
            </w:r>
          </w:p>
          <w:p w14:paraId="6AB094B0">
            <w:pPr>
              <w:tabs>
                <w:tab w:val="left" w:pos="6111"/>
              </w:tabs>
              <w:wordWrap w:val="0"/>
              <w:autoSpaceDE w:val="0"/>
              <w:autoSpaceDN w:val="0"/>
              <w:adjustRightInd w:val="0"/>
              <w:snapToGrid w:val="0"/>
              <w:spacing w:line="360" w:lineRule="auto"/>
              <w:ind w:firstLine="480" w:firstLineChars="200"/>
              <w:rPr>
                <w:szCs w:val="21"/>
              </w:rPr>
            </w:pPr>
            <w:r>
              <w:rPr>
                <w:snapToGrid w:val="0"/>
                <w:color w:val="000000"/>
              </w:rPr>
              <w:t>项目由来：</w:t>
            </w:r>
            <w:r>
              <w:rPr>
                <w:rFonts w:hint="eastAsia"/>
              </w:rPr>
              <w:t>现</w:t>
            </w:r>
            <w:r>
              <w:t>有项目</w:t>
            </w:r>
            <w:r>
              <w:rPr>
                <w:rFonts w:hint="eastAsia"/>
              </w:rPr>
              <w:t>年产</w:t>
            </w:r>
            <w:r>
              <w:rPr>
                <w:szCs w:val="21"/>
              </w:rPr>
              <w:t>5000吨钢结构立柱梁</w:t>
            </w:r>
            <w:r>
              <w:rPr>
                <w:color w:val="000000"/>
              </w:rPr>
              <w:t>。</w:t>
            </w:r>
            <w:r>
              <w:rPr>
                <w:szCs w:val="21"/>
              </w:rPr>
              <w:t>该项目自20</w:t>
            </w:r>
            <w:r>
              <w:rPr>
                <w:rFonts w:hint="eastAsia"/>
                <w:szCs w:val="21"/>
              </w:rPr>
              <w:t>22</w:t>
            </w:r>
            <w:r>
              <w:rPr>
                <w:szCs w:val="21"/>
              </w:rPr>
              <w:t>年开始运营，并于2021年4月委托湖南中鉴生态环境科技有限公司编制了</w:t>
            </w:r>
            <w:r>
              <w:rPr>
                <w:rFonts w:hint="eastAsia"/>
                <w:szCs w:val="21"/>
              </w:rPr>
              <w:t>《湖南凯祥金属结构有限公司年产5000吨钢结构立柱梁生产线建设项目环境影响报告表》</w:t>
            </w:r>
            <w:r>
              <w:rPr>
                <w:szCs w:val="21"/>
              </w:rPr>
              <w:t>。2021年6月22日，项目获得了益阳市生态环境局的批复（益赫环评表〔2021〕8号）。随后，于2022年9月2日，</w:t>
            </w:r>
            <w:r>
              <w:rPr>
                <w:rFonts w:hint="eastAsia"/>
                <w:szCs w:val="21"/>
              </w:rPr>
              <w:t>已按照相关政策法规完成固定污染源排污许可申报</w:t>
            </w:r>
            <w:r>
              <w:rPr>
                <w:szCs w:val="21"/>
              </w:rPr>
              <w:t>，编号为91430900MA4LR7CG77001X。</w:t>
            </w:r>
            <w:r>
              <w:rPr>
                <w:rFonts w:hint="eastAsia"/>
                <w:szCs w:val="21"/>
              </w:rPr>
              <w:t>现有项目</w:t>
            </w:r>
            <w:r>
              <w:rPr>
                <w:szCs w:val="21"/>
              </w:rPr>
              <w:t>企业</w:t>
            </w:r>
            <w:r>
              <w:rPr>
                <w:rFonts w:hint="eastAsia"/>
                <w:szCs w:val="21"/>
              </w:rPr>
              <w:t>于2022年9月9日</w:t>
            </w:r>
            <w:r>
              <w:rPr>
                <w:szCs w:val="21"/>
              </w:rPr>
              <w:t>已编制完成突发环境事件应急预案，并已备案，备案编号：</w:t>
            </w:r>
            <w:r>
              <w:rPr>
                <w:rFonts w:hint="eastAsia"/>
                <w:szCs w:val="21"/>
              </w:rPr>
              <w:t>43090320220114X。</w:t>
            </w:r>
            <w:r>
              <w:rPr>
                <w:szCs w:val="21"/>
              </w:rPr>
              <w:t>2022年8月18日至8月19日，湖南精科检测有限公司对该项目进行了现场验收监测，并出具了竣工验收检测报告。湖南凯祥金属结构有限公司根据验收监测结果及环境管理检查结果，编制了《湖南凯祥金属结构有限公司年产5000吨钢结构立柱梁生产线建设项目竣工环境保护验收监测报告》</w:t>
            </w:r>
            <w:r>
              <w:rPr>
                <w:rFonts w:hint="eastAsia"/>
                <w:szCs w:val="21"/>
              </w:rPr>
              <w:t>，并通过自主竣工验收，开始投产</w:t>
            </w:r>
            <w:r>
              <w:rPr>
                <w:szCs w:val="21"/>
              </w:rPr>
              <w:t>。</w:t>
            </w:r>
          </w:p>
          <w:p w14:paraId="1345172E">
            <w:pPr>
              <w:adjustRightInd w:val="0"/>
              <w:snapToGrid w:val="0"/>
              <w:spacing w:line="360" w:lineRule="auto"/>
              <w:ind w:firstLine="480" w:firstLineChars="200"/>
              <w:textAlignment w:val="baseline"/>
              <w:rPr>
                <w:color w:val="000000"/>
              </w:rPr>
            </w:pPr>
            <w:r>
              <w:rPr>
                <w:rFonts w:hint="eastAsia"/>
              </w:rPr>
              <w:t>现</w:t>
            </w:r>
            <w:bookmarkStart w:id="25" w:name="_Hlk217998706"/>
            <w:r>
              <w:rPr>
                <w:rFonts w:hint="eastAsia"/>
              </w:rPr>
              <w:t>为响应国家及地方政策要求，拟将项目搬迁入园，为更好的推动项目建设</w:t>
            </w:r>
            <w:bookmarkEnd w:id="25"/>
            <w:r>
              <w:rPr>
                <w:rFonts w:hint="eastAsia"/>
              </w:rPr>
              <w:t>，建设单位投资1000万元租赁</w:t>
            </w:r>
            <w:r>
              <w:rPr>
                <w:kern w:val="21"/>
              </w:rPr>
              <w:t>益阳市赫山区龙岭产业开发区新材料产业园朝阳路粤浙城科技示范基地</w:t>
            </w:r>
            <w:r>
              <w:rPr>
                <w:rFonts w:hint="eastAsia"/>
                <w:kern w:val="21"/>
              </w:rPr>
              <w:t>8栋厂房建设年产5000吨钢结构产品生产线迁建项目，</w:t>
            </w:r>
            <w:r>
              <w:rPr>
                <w:rFonts w:hint="eastAsia"/>
              </w:rPr>
              <w:t>预计于2025年进行项目搬迁建设，项目占地面积为</w:t>
            </w:r>
            <w:r>
              <w:rPr>
                <w:rFonts w:hint="eastAsia"/>
                <w:color w:val="000000"/>
              </w:rPr>
              <w:t>10368.36</w:t>
            </w:r>
            <w:r>
              <w:rPr>
                <w:rFonts w:hint="eastAsia"/>
              </w:rPr>
              <w:t>m</w:t>
            </w:r>
            <w:r>
              <w:rPr>
                <w:vertAlign w:val="superscript"/>
              </w:rPr>
              <w:t>2</w:t>
            </w:r>
            <w:r>
              <w:rPr>
                <w:rFonts w:hint="eastAsia"/>
              </w:rPr>
              <w:t>，</w:t>
            </w:r>
            <w:r>
              <w:rPr>
                <w:rFonts w:hint="eastAsia"/>
                <w:color w:val="000000"/>
              </w:rPr>
              <w:t>项目搬迁建设后年产5000吨钢结构产品，与搬迁前生产规模一致。</w:t>
            </w:r>
          </w:p>
          <w:p w14:paraId="5C97011F">
            <w:pPr>
              <w:adjustRightInd w:val="0"/>
              <w:snapToGrid w:val="0"/>
              <w:spacing w:line="360" w:lineRule="auto"/>
              <w:ind w:firstLine="480" w:firstLineChars="200"/>
              <w:textAlignment w:val="baseline"/>
              <w:rPr>
                <w:color w:val="000000"/>
              </w:rPr>
            </w:pPr>
            <w:r>
              <w:rPr>
                <w:rFonts w:hint="eastAsia"/>
                <w:snapToGrid w:val="0"/>
                <w:color w:val="000000"/>
              </w:rPr>
              <w:t>编制依据</w:t>
            </w:r>
            <w:r>
              <w:rPr>
                <w:rFonts w:hint="eastAsia" w:ascii="宋体" w:hAnsi="宋体" w:cs="宋体"/>
                <w:snapToGrid w:val="0"/>
                <w:color w:val="000000"/>
              </w:rPr>
              <w:t>:</w:t>
            </w:r>
            <w:r>
              <w:rPr>
                <w:color w:val="000000"/>
              </w:rPr>
              <w:t>根据《中华人民共和国环境影响评价法》、《建设项目环境保护管理条例》、《建设项目环境影响评价分类管理名录》</w:t>
            </w:r>
            <w:r>
              <w:rPr>
                <w:rFonts w:hint="eastAsia" w:ascii="宋体" w:hAnsi="宋体" w:cs="宋体"/>
                <w:color w:val="000000"/>
              </w:rPr>
              <w:t>(</w:t>
            </w:r>
            <w:r>
              <w:rPr>
                <w:color w:val="000000"/>
              </w:rPr>
              <w:t>环境保护部令第44号</w:t>
            </w:r>
            <w:r>
              <w:rPr>
                <w:rFonts w:ascii="宋体" w:hAnsi="宋体" w:cs="宋体"/>
                <w:color w:val="000000"/>
              </w:rPr>
              <w:t>)</w:t>
            </w:r>
            <w:r>
              <w:rPr>
                <w:color w:val="000000"/>
              </w:rPr>
              <w:t>，本项目</w:t>
            </w:r>
            <w:r>
              <w:rPr>
                <w:rFonts w:hint="eastAsia"/>
                <w:color w:val="000000"/>
              </w:rPr>
              <w:t>属于“三十、金属制品业33结构性金属制品制造331</w:t>
            </w:r>
            <w:r>
              <w:rPr>
                <w:color w:val="000000"/>
              </w:rPr>
              <w:t>其他（仅分割、焊接、组装的 除外；年用非溶剂型低VOCs含量涂料10吨以下的除外）</w:t>
            </w:r>
            <w:r>
              <w:rPr>
                <w:rFonts w:hint="eastAsia"/>
                <w:color w:val="000000"/>
              </w:rPr>
              <w:t>”应编制环境影响评价报告表。</w:t>
            </w:r>
            <w:r>
              <w:rPr>
                <w:rFonts w:hint="eastAsia"/>
              </w:rPr>
              <w:t>本项目水性漆用量为14.27t/a，</w:t>
            </w:r>
            <w:r>
              <w:rPr>
                <w:color w:val="000000"/>
              </w:rPr>
              <w:t>因此，</w:t>
            </w:r>
            <w:r>
              <w:rPr>
                <w:snapToGrid w:val="0"/>
                <w:color w:val="000000"/>
              </w:rPr>
              <w:t>湖南凯祥</w:t>
            </w:r>
            <w:r>
              <w:rPr>
                <w:rFonts w:hint="eastAsia"/>
                <w:snapToGrid w:val="0"/>
                <w:color w:val="000000"/>
              </w:rPr>
              <w:t>金属结构</w:t>
            </w:r>
            <w:r>
              <w:rPr>
                <w:snapToGrid w:val="0"/>
                <w:color w:val="000000"/>
              </w:rPr>
              <w:t>有限公司</w:t>
            </w:r>
            <w:r>
              <w:rPr>
                <w:color w:val="000000"/>
              </w:rPr>
              <w:t>委托</w:t>
            </w:r>
            <w:r>
              <w:rPr>
                <w:rFonts w:hint="eastAsia"/>
                <w:color w:val="000000" w:themeColor="text1"/>
                <w14:textFill>
                  <w14:solidFill>
                    <w14:schemeClr w14:val="tx1"/>
                  </w14:solidFill>
                </w14:textFill>
              </w:rPr>
              <w:t>湖南易恒环保科技有限公司</w:t>
            </w:r>
            <w:r>
              <w:rPr>
                <w:color w:val="000000" w:themeColor="text1"/>
                <w14:textFill>
                  <w14:solidFill>
                    <w14:schemeClr w14:val="tx1"/>
                  </w14:solidFill>
                </w14:textFill>
              </w:rPr>
              <w:t>承担该项目</w:t>
            </w:r>
            <w:r>
              <w:rPr>
                <w:color w:val="000000"/>
              </w:rPr>
              <w:t>环境影响评价工作。接受委托后，环评单位立即组织技术人员对项目拟建场址进行了实地勘查，在进行较充分的现场调查和资料收集的基础上，按照有关环评导则和技术规范的要求，编制完成了本项目环境影响报告表。</w:t>
            </w:r>
          </w:p>
          <w:p w14:paraId="2812F20E">
            <w:pPr>
              <w:kinsoku w:val="0"/>
              <w:wordWrap w:val="0"/>
              <w:autoSpaceDE w:val="0"/>
              <w:autoSpaceDN w:val="0"/>
              <w:adjustRightInd w:val="0"/>
              <w:snapToGrid w:val="0"/>
              <w:spacing w:line="360" w:lineRule="auto"/>
              <w:rPr>
                <w:b/>
                <w:bCs/>
                <w:snapToGrid w:val="0"/>
                <w:color w:val="000000"/>
              </w:rPr>
            </w:pPr>
            <w:r>
              <w:rPr>
                <w:rFonts w:hint="eastAsia"/>
                <w:b/>
                <w:bCs/>
                <w:snapToGrid w:val="0"/>
                <w:color w:val="000000"/>
              </w:rPr>
              <w:t>二、项目组成</w:t>
            </w:r>
          </w:p>
          <w:p w14:paraId="79DCDD39">
            <w:pPr>
              <w:kinsoku w:val="0"/>
              <w:wordWrap w:val="0"/>
              <w:autoSpaceDE w:val="0"/>
              <w:autoSpaceDN w:val="0"/>
              <w:adjustRightInd w:val="0"/>
              <w:snapToGrid w:val="0"/>
              <w:spacing w:line="360" w:lineRule="auto"/>
              <w:ind w:firstLine="480" w:firstLineChars="200"/>
              <w:rPr>
                <w:kern w:val="21"/>
              </w:rPr>
            </w:pPr>
            <w:r>
              <w:rPr>
                <w:rFonts w:hint="eastAsia"/>
                <w:kern w:val="21"/>
              </w:rPr>
              <w:t>建设内容及规模：项目租赁</w:t>
            </w:r>
            <w:r>
              <w:rPr>
                <w:kern w:val="21"/>
              </w:rPr>
              <w:t>益阳市赫山区龙岭产业开发区新材料产业园朝阳路粤浙城科技示范基地</w:t>
            </w:r>
            <w:r>
              <w:rPr>
                <w:rFonts w:hint="eastAsia"/>
                <w:kern w:val="21"/>
              </w:rPr>
              <w:t>8栋建设项目，项目总占地面积</w:t>
            </w:r>
            <w:r>
              <w:rPr>
                <w:rFonts w:hint="eastAsia"/>
                <w:color w:val="000000"/>
              </w:rPr>
              <w:t>10368.36</w:t>
            </w:r>
            <w:r>
              <w:rPr>
                <w:color w:val="000000"/>
              </w:rPr>
              <w:t>m</w:t>
            </w:r>
            <w:r>
              <w:rPr>
                <w:color w:val="000000"/>
                <w:vertAlign w:val="superscript"/>
              </w:rPr>
              <w:t>2</w:t>
            </w:r>
            <w:r>
              <w:rPr>
                <w:rFonts w:hint="eastAsia"/>
                <w:color w:val="000000"/>
              </w:rPr>
              <w:t>，为钢结构厂房</w:t>
            </w:r>
            <w:r>
              <w:rPr>
                <w:rFonts w:hint="eastAsia"/>
                <w:kern w:val="21"/>
              </w:rPr>
              <w:t>。具体工程内容见下表：</w:t>
            </w:r>
          </w:p>
          <w:p w14:paraId="291FC141">
            <w:pPr>
              <w:adjustRightInd w:val="0"/>
              <w:snapToGrid w:val="0"/>
              <w:jc w:val="center"/>
              <w:rPr>
                <w:rFonts w:hint="eastAsia" w:ascii="宋体" w:hAnsi="宋体" w:cs="宋体"/>
                <w:b/>
                <w:bCs/>
                <w:color w:val="000000" w:themeColor="text1"/>
                <w:szCs w:val="21"/>
                <w14:textFill>
                  <w14:solidFill>
                    <w14:schemeClr w14:val="tx1"/>
                  </w14:solidFill>
                </w14:textFill>
              </w:rPr>
            </w:pPr>
            <w:r>
              <w:rPr>
                <w:b/>
                <w:bCs/>
                <w:color w:val="000000" w:themeColor="text1"/>
                <w:kern w:val="0"/>
                <w14:textFill>
                  <w14:solidFill>
                    <w14:schemeClr w14:val="tx1"/>
                  </w14:solidFill>
                </w14:textFill>
              </w:rPr>
              <w:t xml:space="preserve">表2-1  </w:t>
            </w:r>
            <w:r>
              <w:rPr>
                <w:b/>
                <w:bCs/>
                <w:color w:val="000000" w:themeColor="text1"/>
                <w:szCs w:val="21"/>
                <w14:textFill>
                  <w14:solidFill>
                    <w14:schemeClr w14:val="tx1"/>
                  </w14:solidFill>
                </w14:textFill>
              </w:rPr>
              <w:t>建设项目组成一览表</w:t>
            </w:r>
          </w:p>
          <w:tbl>
            <w:tblPr>
              <w:tblStyle w:val="2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248"/>
              <w:gridCol w:w="4204"/>
              <w:gridCol w:w="1226"/>
            </w:tblGrid>
            <w:tr w14:paraId="5F5A3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l2br w:val="nil"/>
                    <w:tr2bl w:val="nil"/>
                  </w:tcBorders>
                  <w:vAlign w:val="center"/>
                </w:tcPr>
                <w:p w14:paraId="4245A3AB">
                  <w:pPr>
                    <w:tabs>
                      <w:tab w:val="left" w:pos="0"/>
                      <w:tab w:val="left" w:pos="5940"/>
                    </w:tabs>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名称</w:t>
                  </w:r>
                </w:p>
              </w:tc>
              <w:tc>
                <w:tcPr>
                  <w:tcW w:w="3490" w:type="pct"/>
                  <w:gridSpan w:val="2"/>
                  <w:tcBorders>
                    <w:tl2br w:val="nil"/>
                    <w:tr2bl w:val="nil"/>
                  </w:tcBorders>
                  <w:vAlign w:val="center"/>
                </w:tcPr>
                <w:p w14:paraId="04A4B4C9">
                  <w:pPr>
                    <w:tabs>
                      <w:tab w:val="left" w:pos="0"/>
                      <w:tab w:val="left" w:pos="5940"/>
                    </w:tabs>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建设内容及规模</w:t>
                  </w:r>
                </w:p>
              </w:tc>
              <w:tc>
                <w:tcPr>
                  <w:tcW w:w="785" w:type="pct"/>
                  <w:tcBorders>
                    <w:tl2br w:val="nil"/>
                    <w:tr2bl w:val="nil"/>
                  </w:tcBorders>
                  <w:vAlign w:val="center"/>
                </w:tcPr>
                <w:p w14:paraId="3DB83872">
                  <w:pPr>
                    <w:tabs>
                      <w:tab w:val="left" w:pos="0"/>
                      <w:tab w:val="left" w:pos="5940"/>
                    </w:tabs>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备注</w:t>
                  </w:r>
                </w:p>
              </w:tc>
            </w:tr>
            <w:tr w14:paraId="632E0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restart"/>
                  <w:tcBorders>
                    <w:tl2br w:val="nil"/>
                    <w:tr2bl w:val="nil"/>
                  </w:tcBorders>
                  <w:vAlign w:val="center"/>
                </w:tcPr>
                <w:p w14:paraId="229ADABF">
                  <w:pPr>
                    <w:tabs>
                      <w:tab w:val="left" w:pos="0"/>
                      <w:tab w:val="left" w:pos="5940"/>
                    </w:tabs>
                    <w:rPr>
                      <w:b/>
                      <w:bCs/>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主体工程</w:t>
                  </w:r>
                </w:p>
              </w:tc>
              <w:tc>
                <w:tcPr>
                  <w:tcW w:w="799" w:type="pct"/>
                  <w:tcBorders>
                    <w:tl2br w:val="nil"/>
                    <w:tr2bl w:val="nil"/>
                  </w:tcBorders>
                  <w:vAlign w:val="center"/>
                </w:tcPr>
                <w:p w14:paraId="29C6A95B">
                  <w:pPr>
                    <w:adjustRightInd w:val="0"/>
                    <w:snapToGrid w:val="0"/>
                    <w:jc w:val="center"/>
                    <w:rPr>
                      <w:b/>
                      <w:bCs/>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钢结构加焊区</w:t>
                  </w:r>
                </w:p>
              </w:tc>
              <w:tc>
                <w:tcPr>
                  <w:tcW w:w="2691" w:type="pct"/>
                  <w:tcBorders>
                    <w:tl2br w:val="nil"/>
                    <w:tr2bl w:val="nil"/>
                  </w:tcBorders>
                  <w:vAlign w:val="center"/>
                </w:tcPr>
                <w:p w14:paraId="455BC4FA">
                  <w:pPr>
                    <w:adjustRightInd w:val="0"/>
                    <w:snapToGrid w:val="0"/>
                    <w:jc w:val="center"/>
                    <w:rPr>
                      <w:b/>
                      <w:bCs/>
                      <w:color w:val="FF0000"/>
                      <w:sz w:val="21"/>
                      <w:szCs w:val="21"/>
                      <w:u w:val="single"/>
                    </w:rPr>
                  </w:pPr>
                  <w:r>
                    <w:rPr>
                      <w:rFonts w:hint="eastAsia"/>
                      <w:color w:val="000000" w:themeColor="text1"/>
                      <w:sz w:val="21"/>
                      <w:szCs w:val="21"/>
                      <w:u w:val="single"/>
                      <w14:textFill>
                        <w14:solidFill>
                          <w14:schemeClr w14:val="tx1"/>
                        </w14:solidFill>
                      </w14:textFill>
                    </w:rPr>
                    <w:t>1F，位于厂区东北侧，占地面积约1012.5m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w:t>
                  </w:r>
                  <w:r>
                    <w:rPr>
                      <w:color w:val="000000" w:themeColor="text1"/>
                      <w:sz w:val="21"/>
                      <w:szCs w:val="21"/>
                      <w:u w:val="single"/>
                      <w14:textFill>
                        <w14:solidFill>
                          <w14:schemeClr w14:val="tx1"/>
                        </w14:solidFill>
                      </w14:textFill>
                    </w:rPr>
                    <w:t>门型自动埋弧焊机</w:t>
                  </w:r>
                  <w:r>
                    <w:rPr>
                      <w:rFonts w:hint="eastAsia"/>
                      <w:color w:val="000000" w:themeColor="text1"/>
                      <w:sz w:val="21"/>
                      <w:szCs w:val="21"/>
                      <w:u w:val="single"/>
                      <w14:textFill>
                        <w14:solidFill>
                          <w14:schemeClr w14:val="tx1"/>
                        </w14:solidFill>
                      </w14:textFill>
                    </w:rPr>
                    <w:t>和手工电焊机等生产设施</w:t>
                  </w:r>
                </w:p>
              </w:tc>
              <w:tc>
                <w:tcPr>
                  <w:tcW w:w="785" w:type="pct"/>
                  <w:vMerge w:val="restart"/>
                  <w:tcBorders>
                    <w:tl2br w:val="nil"/>
                    <w:tr2bl w:val="nil"/>
                  </w:tcBorders>
                  <w:vAlign w:val="center"/>
                </w:tcPr>
                <w:p w14:paraId="6CA07825">
                  <w:pPr>
                    <w:adjustRightInd w:val="0"/>
                    <w:snapToGrid w:val="0"/>
                    <w:jc w:val="center"/>
                    <w:rPr>
                      <w:b/>
                      <w:bCs/>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新建</w:t>
                  </w:r>
                </w:p>
              </w:tc>
            </w:tr>
            <w:tr w14:paraId="63BD7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continue"/>
                  <w:tcBorders>
                    <w:tl2br w:val="nil"/>
                    <w:tr2bl w:val="nil"/>
                  </w:tcBorders>
                  <w:vAlign w:val="center"/>
                </w:tcPr>
                <w:p w14:paraId="78F566E5">
                  <w:pPr>
                    <w:adjustRightInd w:val="0"/>
                    <w:snapToGrid w:val="0"/>
                    <w:jc w:val="center"/>
                    <w:rPr>
                      <w:u w:val="single"/>
                    </w:rPr>
                  </w:pPr>
                </w:p>
              </w:tc>
              <w:tc>
                <w:tcPr>
                  <w:tcW w:w="799" w:type="pct"/>
                  <w:tcBorders>
                    <w:tl2br w:val="nil"/>
                    <w:tr2bl w:val="nil"/>
                  </w:tcBorders>
                  <w:vAlign w:val="center"/>
                </w:tcPr>
                <w:p w14:paraId="797968E8">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钢结构制造区</w:t>
                  </w:r>
                </w:p>
              </w:tc>
              <w:tc>
                <w:tcPr>
                  <w:tcW w:w="2691" w:type="pct"/>
                  <w:tcBorders>
                    <w:tl2br w:val="nil"/>
                    <w:tr2bl w:val="nil"/>
                  </w:tcBorders>
                  <w:vAlign w:val="center"/>
                </w:tcPr>
                <w:p w14:paraId="41BA8717">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1F，位于厂区中部北侧，占地约900m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，布设切割机等设施</w:t>
                  </w:r>
                </w:p>
              </w:tc>
              <w:tc>
                <w:tcPr>
                  <w:tcW w:w="785" w:type="pct"/>
                  <w:vMerge w:val="continue"/>
                  <w:tcBorders>
                    <w:tl2br w:val="nil"/>
                    <w:tr2bl w:val="nil"/>
                  </w:tcBorders>
                  <w:vAlign w:val="center"/>
                </w:tcPr>
                <w:p w14:paraId="2BDD4C1B">
                  <w:pPr>
                    <w:adjustRightInd w:val="0"/>
                    <w:snapToGrid w:val="0"/>
                    <w:jc w:val="center"/>
                    <w:rPr>
                      <w:color w:val="000000" w:themeColor="text1"/>
                      <w:sz w:val="21"/>
                      <w:szCs w:val="21"/>
                      <w:u w:val="single"/>
                      <w14:textFill>
                        <w14:solidFill>
                          <w14:schemeClr w14:val="tx1"/>
                        </w14:solidFill>
                      </w14:textFill>
                    </w:rPr>
                  </w:pPr>
                </w:p>
              </w:tc>
            </w:tr>
            <w:tr w14:paraId="4846F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continue"/>
                  <w:tcBorders>
                    <w:tl2br w:val="nil"/>
                    <w:tr2bl w:val="nil"/>
                  </w:tcBorders>
                  <w:vAlign w:val="center"/>
                </w:tcPr>
                <w:p w14:paraId="7796B54F">
                  <w:pPr>
                    <w:adjustRightInd w:val="0"/>
                    <w:snapToGrid w:val="0"/>
                    <w:jc w:val="center"/>
                    <w:rPr>
                      <w:u w:val="single"/>
                    </w:rPr>
                  </w:pPr>
                </w:p>
              </w:tc>
              <w:tc>
                <w:tcPr>
                  <w:tcW w:w="799" w:type="pct"/>
                  <w:tcBorders>
                    <w:tl2br w:val="nil"/>
                    <w:tr2bl w:val="nil"/>
                  </w:tcBorders>
                  <w:vAlign w:val="center"/>
                </w:tcPr>
                <w:p w14:paraId="6BB6A191">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钢结构生产一车间</w:t>
                  </w:r>
                </w:p>
              </w:tc>
              <w:tc>
                <w:tcPr>
                  <w:tcW w:w="2691" w:type="pct"/>
                  <w:tcBorders>
                    <w:tl2br w:val="nil"/>
                    <w:tr2bl w:val="nil"/>
                  </w:tcBorders>
                  <w:vAlign w:val="center"/>
                </w:tcPr>
                <w:p w14:paraId="586119E8">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1F，位于厂区中部，占地面积约840m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w:t>
                  </w:r>
                  <w:r>
                    <w:rPr>
                      <w:sz w:val="21"/>
                      <w:szCs w:val="21"/>
                      <w:u w:val="single"/>
                    </w:rPr>
                    <w:t>H型钢组立机</w:t>
                  </w:r>
                  <w:r>
                    <w:rPr>
                      <w:rFonts w:hint="eastAsia"/>
                      <w:sz w:val="21"/>
                      <w:szCs w:val="21"/>
                      <w:u w:val="single"/>
                    </w:rPr>
                    <w:t>等设施</w:t>
                  </w:r>
                </w:p>
              </w:tc>
              <w:tc>
                <w:tcPr>
                  <w:tcW w:w="785" w:type="pct"/>
                  <w:vMerge w:val="continue"/>
                  <w:tcBorders>
                    <w:tl2br w:val="nil"/>
                    <w:tr2bl w:val="nil"/>
                  </w:tcBorders>
                  <w:vAlign w:val="center"/>
                </w:tcPr>
                <w:p w14:paraId="202BB838">
                  <w:pPr>
                    <w:adjustRightInd w:val="0"/>
                    <w:snapToGrid w:val="0"/>
                    <w:jc w:val="center"/>
                    <w:rPr>
                      <w:color w:val="000000" w:themeColor="text1"/>
                      <w:sz w:val="21"/>
                      <w:szCs w:val="21"/>
                      <w:u w:val="single"/>
                      <w14:textFill>
                        <w14:solidFill>
                          <w14:schemeClr w14:val="tx1"/>
                        </w14:solidFill>
                      </w14:textFill>
                    </w:rPr>
                  </w:pPr>
                </w:p>
              </w:tc>
            </w:tr>
            <w:tr w14:paraId="463EC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continue"/>
                  <w:tcBorders>
                    <w:tl2br w:val="nil"/>
                    <w:tr2bl w:val="nil"/>
                  </w:tcBorders>
                  <w:vAlign w:val="center"/>
                </w:tcPr>
                <w:p w14:paraId="653733C7">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11CA40FF">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钢结构生产二车间</w:t>
                  </w:r>
                </w:p>
              </w:tc>
              <w:tc>
                <w:tcPr>
                  <w:tcW w:w="2691" w:type="pct"/>
                  <w:tcBorders>
                    <w:tl2br w:val="nil"/>
                    <w:tr2bl w:val="nil"/>
                  </w:tcBorders>
                  <w:vAlign w:val="center"/>
                </w:tcPr>
                <w:p w14:paraId="172C391A">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1F，位于加焊区的南侧，占地面积约675m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w:t>
                  </w:r>
                  <w:r>
                    <w:rPr>
                      <w:sz w:val="21"/>
                      <w:szCs w:val="21"/>
                      <w:u w:val="single"/>
                    </w:rPr>
                    <w:t>H型</w:t>
                  </w:r>
                  <w:r>
                    <w:rPr>
                      <w:rFonts w:hint="eastAsia"/>
                      <w:sz w:val="21"/>
                      <w:szCs w:val="21"/>
                      <w:u w:val="single"/>
                    </w:rPr>
                    <w:t>钢</w:t>
                  </w:r>
                  <w:r>
                    <w:rPr>
                      <w:sz w:val="21"/>
                      <w:szCs w:val="21"/>
                      <w:u w:val="single"/>
                    </w:rPr>
                    <w:t>液压矫正机</w:t>
                  </w:r>
                  <w:r>
                    <w:rPr>
                      <w:rFonts w:hint="eastAsia"/>
                      <w:sz w:val="21"/>
                      <w:szCs w:val="21"/>
                      <w:u w:val="single"/>
                    </w:rPr>
                    <w:t>等设施</w:t>
                  </w:r>
                </w:p>
              </w:tc>
              <w:tc>
                <w:tcPr>
                  <w:tcW w:w="785" w:type="pct"/>
                  <w:vMerge w:val="continue"/>
                  <w:tcBorders>
                    <w:tl2br w:val="nil"/>
                    <w:tr2bl w:val="nil"/>
                  </w:tcBorders>
                  <w:vAlign w:val="center"/>
                </w:tcPr>
                <w:p w14:paraId="16975258">
                  <w:pPr>
                    <w:adjustRightInd w:val="0"/>
                    <w:snapToGrid w:val="0"/>
                    <w:jc w:val="center"/>
                    <w:rPr>
                      <w:color w:val="000000" w:themeColor="text1"/>
                      <w:sz w:val="21"/>
                      <w:szCs w:val="21"/>
                      <w:u w:val="single"/>
                      <w14:textFill>
                        <w14:solidFill>
                          <w14:schemeClr w14:val="tx1"/>
                        </w14:solidFill>
                      </w14:textFill>
                    </w:rPr>
                  </w:pPr>
                </w:p>
              </w:tc>
            </w:tr>
            <w:tr w14:paraId="27941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continue"/>
                  <w:tcBorders>
                    <w:tl2br w:val="nil"/>
                    <w:tr2bl w:val="nil"/>
                  </w:tcBorders>
                  <w:vAlign w:val="center"/>
                </w:tcPr>
                <w:p w14:paraId="70765EB8">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081C9D2D">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喷漆房</w:t>
                  </w:r>
                </w:p>
              </w:tc>
              <w:tc>
                <w:tcPr>
                  <w:tcW w:w="2691" w:type="pct"/>
                  <w:tcBorders>
                    <w:tl2br w:val="nil"/>
                    <w:tr2bl w:val="nil"/>
                  </w:tcBorders>
                  <w:vAlign w:val="center"/>
                </w:tcPr>
                <w:p w14:paraId="4CC68337">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1F，位于厂区西侧，占地面积约500m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，布设喷漆房等设备</w:t>
                  </w:r>
                </w:p>
              </w:tc>
              <w:tc>
                <w:tcPr>
                  <w:tcW w:w="785" w:type="pct"/>
                  <w:vMerge w:val="continue"/>
                  <w:tcBorders>
                    <w:tl2br w:val="nil"/>
                    <w:tr2bl w:val="nil"/>
                  </w:tcBorders>
                  <w:vAlign w:val="center"/>
                </w:tcPr>
                <w:p w14:paraId="76A4B3D6">
                  <w:pPr>
                    <w:adjustRightInd w:val="0"/>
                    <w:snapToGrid w:val="0"/>
                    <w:jc w:val="center"/>
                    <w:rPr>
                      <w:color w:val="000000" w:themeColor="text1"/>
                      <w:sz w:val="21"/>
                      <w:szCs w:val="21"/>
                      <w:u w:val="single"/>
                      <w14:textFill>
                        <w14:solidFill>
                          <w14:schemeClr w14:val="tx1"/>
                        </w14:solidFill>
                      </w14:textFill>
                    </w:rPr>
                  </w:pPr>
                </w:p>
              </w:tc>
            </w:tr>
            <w:tr w14:paraId="781BD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continue"/>
                  <w:tcBorders>
                    <w:tl2br w:val="nil"/>
                    <w:tr2bl w:val="nil"/>
                  </w:tcBorders>
                  <w:vAlign w:val="center"/>
                </w:tcPr>
                <w:p w14:paraId="774E9081">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1C0A9329">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网架生产车间</w:t>
                  </w:r>
                </w:p>
              </w:tc>
              <w:tc>
                <w:tcPr>
                  <w:tcW w:w="2691" w:type="pct"/>
                  <w:tcBorders>
                    <w:tl2br w:val="nil"/>
                    <w:tr2bl w:val="nil"/>
                  </w:tcBorders>
                  <w:vAlign w:val="center"/>
                </w:tcPr>
                <w:p w14:paraId="5CBC4DC1">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1F，位于厂区东侧，占地面积约840m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，布设手工焊机等设施</w:t>
                  </w:r>
                </w:p>
              </w:tc>
              <w:tc>
                <w:tcPr>
                  <w:tcW w:w="785" w:type="pct"/>
                  <w:vMerge w:val="continue"/>
                  <w:tcBorders>
                    <w:tl2br w:val="nil"/>
                    <w:tr2bl w:val="nil"/>
                  </w:tcBorders>
                  <w:vAlign w:val="center"/>
                </w:tcPr>
                <w:p w14:paraId="3EFFD85A">
                  <w:pPr>
                    <w:adjustRightInd w:val="0"/>
                    <w:snapToGrid w:val="0"/>
                    <w:jc w:val="center"/>
                    <w:rPr>
                      <w:color w:val="000000" w:themeColor="text1"/>
                      <w:sz w:val="21"/>
                      <w:szCs w:val="21"/>
                      <w:u w:val="single"/>
                      <w14:textFill>
                        <w14:solidFill>
                          <w14:schemeClr w14:val="tx1"/>
                        </w14:solidFill>
                      </w14:textFill>
                    </w:rPr>
                  </w:pPr>
                </w:p>
              </w:tc>
            </w:tr>
            <w:tr w14:paraId="3F316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pct"/>
                  <w:vMerge w:val="continue"/>
                  <w:tcBorders>
                    <w:tl2br w:val="nil"/>
                    <w:tr2bl w:val="nil"/>
                  </w:tcBorders>
                  <w:vAlign w:val="center"/>
                </w:tcPr>
                <w:p w14:paraId="5FE5D763">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0F84CB1B">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钢结构成型车间</w:t>
                  </w:r>
                </w:p>
              </w:tc>
              <w:tc>
                <w:tcPr>
                  <w:tcW w:w="2691" w:type="pct"/>
                  <w:tcBorders>
                    <w:tl2br w:val="nil"/>
                    <w:tr2bl w:val="nil"/>
                  </w:tcBorders>
                  <w:vAlign w:val="center"/>
                </w:tcPr>
                <w:p w14:paraId="747091FD">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1F，位于厂区中部南侧，占地面积约890m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，布设抛丸机等设施</w:t>
                  </w:r>
                </w:p>
              </w:tc>
              <w:tc>
                <w:tcPr>
                  <w:tcW w:w="785" w:type="pct"/>
                  <w:vMerge w:val="continue"/>
                  <w:tcBorders>
                    <w:tl2br w:val="nil"/>
                    <w:tr2bl w:val="nil"/>
                  </w:tcBorders>
                  <w:vAlign w:val="center"/>
                </w:tcPr>
                <w:p w14:paraId="1D9D862E">
                  <w:pPr>
                    <w:adjustRightInd w:val="0"/>
                    <w:snapToGrid w:val="0"/>
                    <w:jc w:val="center"/>
                    <w:rPr>
                      <w:color w:val="000000" w:themeColor="text1"/>
                      <w:sz w:val="21"/>
                      <w:szCs w:val="21"/>
                      <w:u w:val="single"/>
                      <w14:textFill>
                        <w14:solidFill>
                          <w14:schemeClr w14:val="tx1"/>
                        </w14:solidFill>
                      </w14:textFill>
                    </w:rPr>
                  </w:pPr>
                </w:p>
              </w:tc>
            </w:tr>
            <w:tr w14:paraId="5929B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5" w:type="pct"/>
                  <w:tcBorders>
                    <w:tl2br w:val="nil"/>
                    <w:tr2bl w:val="nil"/>
                  </w:tcBorders>
                  <w:vAlign w:val="center"/>
                </w:tcPr>
                <w:p w14:paraId="649D0039">
                  <w:pPr>
                    <w:tabs>
                      <w:tab w:val="left" w:pos="0"/>
                      <w:tab w:val="left" w:pos="5940"/>
                    </w:tabs>
                    <w:jc w:val="center"/>
                    <w:rPr>
                      <w:b/>
                      <w:bCs/>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辅助工程</w:t>
                  </w:r>
                </w:p>
              </w:tc>
              <w:tc>
                <w:tcPr>
                  <w:tcW w:w="799" w:type="pct"/>
                  <w:tcBorders>
                    <w:tl2br w:val="nil"/>
                    <w:tr2bl w:val="nil"/>
                  </w:tcBorders>
                  <w:vAlign w:val="center"/>
                </w:tcPr>
                <w:p w14:paraId="761E733B">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办公区</w:t>
                  </w:r>
                </w:p>
              </w:tc>
              <w:tc>
                <w:tcPr>
                  <w:tcW w:w="2691" w:type="pct"/>
                  <w:tcBorders>
                    <w:tl2br w:val="nil"/>
                    <w:tr2bl w:val="nil"/>
                  </w:tcBorders>
                  <w:vAlign w:val="center"/>
                </w:tcPr>
                <w:p w14:paraId="09378730">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1F，位于厂区东北侧，占地面积约189m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，设有各类办公设备</w:t>
                  </w:r>
                </w:p>
              </w:tc>
              <w:tc>
                <w:tcPr>
                  <w:tcW w:w="785" w:type="pct"/>
                  <w:tcBorders>
                    <w:tl2br w:val="nil"/>
                    <w:tr2bl w:val="nil"/>
                  </w:tcBorders>
                  <w:vAlign w:val="center"/>
                </w:tcPr>
                <w:p w14:paraId="3249ED84">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新建</w:t>
                  </w:r>
                </w:p>
              </w:tc>
            </w:tr>
            <w:tr w14:paraId="61F39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5" w:type="pct"/>
                  <w:vMerge w:val="restart"/>
                  <w:tcBorders>
                    <w:tl2br w:val="nil"/>
                    <w:tr2bl w:val="nil"/>
                  </w:tcBorders>
                  <w:vAlign w:val="center"/>
                </w:tcPr>
                <w:p w14:paraId="30CA711A">
                  <w:pPr>
                    <w:tabs>
                      <w:tab w:val="left" w:pos="0"/>
                      <w:tab w:val="left" w:pos="5940"/>
                    </w:tabs>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储运工程</w:t>
                  </w:r>
                </w:p>
              </w:tc>
              <w:tc>
                <w:tcPr>
                  <w:tcW w:w="799" w:type="pct"/>
                  <w:tcBorders>
                    <w:tl2br w:val="nil"/>
                    <w:tr2bl w:val="nil"/>
                  </w:tcBorders>
                  <w:vAlign w:val="center"/>
                </w:tcPr>
                <w:p w14:paraId="6161B4AE">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成品</w:t>
                  </w:r>
                  <w:r>
                    <w:rPr>
                      <w:rFonts w:hint="eastAsia"/>
                      <w:color w:val="000000" w:themeColor="text1"/>
                      <w:sz w:val="21"/>
                      <w:szCs w:val="21"/>
                      <w:u w:val="single"/>
                      <w14:textFill>
                        <w14:solidFill>
                          <w14:schemeClr w14:val="tx1"/>
                        </w14:solidFill>
                      </w14:textFill>
                    </w:rPr>
                    <w:t>堆放</w:t>
                  </w:r>
                  <w:r>
                    <w:rPr>
                      <w:color w:val="000000" w:themeColor="text1"/>
                      <w:sz w:val="21"/>
                      <w:szCs w:val="21"/>
                      <w:u w:val="single"/>
                      <w14:textFill>
                        <w14:solidFill>
                          <w14:schemeClr w14:val="tx1"/>
                        </w14:solidFill>
                      </w14:textFill>
                    </w:rPr>
                    <w:t>区</w:t>
                  </w:r>
                </w:p>
              </w:tc>
              <w:tc>
                <w:tcPr>
                  <w:tcW w:w="2691" w:type="pct"/>
                  <w:tcBorders>
                    <w:tl2br w:val="nil"/>
                    <w:tr2bl w:val="nil"/>
                  </w:tcBorders>
                  <w:vAlign w:val="center"/>
                </w:tcPr>
                <w:p w14:paraId="7C5D66ED">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1F，位于厂区西南侧，占地面积约989m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，用于暂存成品</w:t>
                  </w:r>
                </w:p>
              </w:tc>
              <w:tc>
                <w:tcPr>
                  <w:tcW w:w="785" w:type="pct"/>
                  <w:vMerge w:val="restart"/>
                  <w:tcBorders>
                    <w:tl2br w:val="nil"/>
                    <w:tr2bl w:val="nil"/>
                  </w:tcBorders>
                  <w:vAlign w:val="center"/>
                </w:tcPr>
                <w:p w14:paraId="26428BA2">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新建</w:t>
                  </w:r>
                </w:p>
              </w:tc>
            </w:tr>
            <w:tr w14:paraId="23C8A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5" w:type="pct"/>
                  <w:vMerge w:val="continue"/>
                  <w:tcBorders>
                    <w:tl2br w:val="nil"/>
                    <w:tr2bl w:val="nil"/>
                  </w:tcBorders>
                  <w:vAlign w:val="center"/>
                </w:tcPr>
                <w:p w14:paraId="581A33CD">
                  <w:pPr>
                    <w:adjustRightInd w:val="0"/>
                    <w:snapToGrid w:val="0"/>
                    <w:jc w:val="center"/>
                    <w:rPr>
                      <w:sz w:val="21"/>
                      <w:szCs w:val="21"/>
                      <w:u w:val="single"/>
                    </w:rPr>
                  </w:pPr>
                </w:p>
              </w:tc>
              <w:tc>
                <w:tcPr>
                  <w:tcW w:w="799" w:type="pct"/>
                  <w:tcBorders>
                    <w:tl2br w:val="nil"/>
                    <w:tr2bl w:val="nil"/>
                  </w:tcBorders>
                  <w:vAlign w:val="center"/>
                </w:tcPr>
                <w:p w14:paraId="004230D8">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原料</w:t>
                  </w:r>
                  <w:r>
                    <w:rPr>
                      <w:rFonts w:hint="eastAsia"/>
                      <w:color w:val="000000" w:themeColor="text1"/>
                      <w:sz w:val="21"/>
                      <w:szCs w:val="21"/>
                      <w:u w:val="single"/>
                      <w14:textFill>
                        <w14:solidFill>
                          <w14:schemeClr w14:val="tx1"/>
                        </w14:solidFill>
                      </w14:textFill>
                    </w:rPr>
                    <w:t>堆放</w:t>
                  </w:r>
                  <w:r>
                    <w:rPr>
                      <w:color w:val="000000" w:themeColor="text1"/>
                      <w:sz w:val="21"/>
                      <w:szCs w:val="21"/>
                      <w:u w:val="single"/>
                      <w14:textFill>
                        <w14:solidFill>
                          <w14:schemeClr w14:val="tx1"/>
                        </w14:solidFill>
                      </w14:textFill>
                    </w:rPr>
                    <w:t>区</w:t>
                  </w:r>
                </w:p>
              </w:tc>
              <w:tc>
                <w:tcPr>
                  <w:tcW w:w="2691" w:type="pct"/>
                  <w:tcBorders>
                    <w:tl2br w:val="nil"/>
                    <w:tr2bl w:val="nil"/>
                  </w:tcBorders>
                  <w:vAlign w:val="center"/>
                </w:tcPr>
                <w:p w14:paraId="06587B21">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1F，办公区的南侧，占地面积约880m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，用于存放原料</w:t>
                  </w:r>
                </w:p>
              </w:tc>
              <w:tc>
                <w:tcPr>
                  <w:tcW w:w="785" w:type="pct"/>
                  <w:vMerge w:val="continue"/>
                  <w:tcBorders>
                    <w:tl2br w:val="nil"/>
                    <w:tr2bl w:val="nil"/>
                  </w:tcBorders>
                  <w:vAlign w:val="center"/>
                </w:tcPr>
                <w:p w14:paraId="0B785E5C">
                  <w:pPr>
                    <w:adjustRightInd w:val="0"/>
                    <w:snapToGrid w:val="0"/>
                    <w:jc w:val="center"/>
                    <w:rPr>
                      <w:color w:val="000000" w:themeColor="text1"/>
                      <w:sz w:val="21"/>
                      <w:szCs w:val="21"/>
                      <w:u w:val="single"/>
                      <w14:textFill>
                        <w14:solidFill>
                          <w14:schemeClr w14:val="tx1"/>
                        </w14:solidFill>
                      </w14:textFill>
                    </w:rPr>
                  </w:pPr>
                </w:p>
              </w:tc>
            </w:tr>
            <w:tr w14:paraId="11923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25" w:type="pct"/>
                  <w:vMerge w:val="continue"/>
                  <w:tcBorders>
                    <w:tl2br w:val="nil"/>
                    <w:tr2bl w:val="nil"/>
                  </w:tcBorders>
                  <w:vAlign w:val="center"/>
                </w:tcPr>
                <w:p w14:paraId="63E9B010">
                  <w:pPr>
                    <w:adjustRightInd w:val="0"/>
                    <w:snapToGrid w:val="0"/>
                    <w:jc w:val="center"/>
                    <w:rPr>
                      <w:sz w:val="21"/>
                      <w:szCs w:val="21"/>
                      <w:u w:val="single"/>
                    </w:rPr>
                  </w:pPr>
                </w:p>
              </w:tc>
              <w:tc>
                <w:tcPr>
                  <w:tcW w:w="799" w:type="pct"/>
                  <w:tcBorders>
                    <w:tl2br w:val="nil"/>
                    <w:tr2bl w:val="nil"/>
                  </w:tcBorders>
                  <w:vAlign w:val="center"/>
                </w:tcPr>
                <w:p w14:paraId="17143DDA">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运输</w:t>
                  </w:r>
                </w:p>
              </w:tc>
              <w:tc>
                <w:tcPr>
                  <w:tcW w:w="2691" w:type="pct"/>
                  <w:tcBorders>
                    <w:tl2br w:val="nil"/>
                    <w:tr2bl w:val="nil"/>
                  </w:tcBorders>
                  <w:vAlign w:val="center"/>
                </w:tcPr>
                <w:p w14:paraId="7E95A2DE">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厂内采用行车、铲车等，厂外采用汽车运输</w:t>
                  </w:r>
                </w:p>
              </w:tc>
              <w:tc>
                <w:tcPr>
                  <w:tcW w:w="785" w:type="pct"/>
                  <w:tcBorders>
                    <w:tl2br w:val="nil"/>
                    <w:tr2bl w:val="nil"/>
                  </w:tcBorders>
                  <w:vAlign w:val="center"/>
                </w:tcPr>
                <w:p w14:paraId="4D961436">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新建</w:t>
                  </w:r>
                </w:p>
              </w:tc>
            </w:tr>
            <w:tr w14:paraId="7AB2D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5" w:type="pct"/>
                  <w:vMerge w:val="restart"/>
                  <w:tcBorders>
                    <w:tl2br w:val="nil"/>
                    <w:tr2bl w:val="nil"/>
                  </w:tcBorders>
                  <w:vAlign w:val="center"/>
                </w:tcPr>
                <w:p w14:paraId="3113DB70">
                  <w:pPr>
                    <w:tabs>
                      <w:tab w:val="left" w:pos="0"/>
                      <w:tab w:val="left" w:pos="5940"/>
                    </w:tabs>
                    <w:jc w:val="center"/>
                    <w:rPr>
                      <w:b/>
                      <w:bCs/>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公用工程</w:t>
                  </w:r>
                </w:p>
              </w:tc>
              <w:tc>
                <w:tcPr>
                  <w:tcW w:w="799" w:type="pct"/>
                  <w:tcBorders>
                    <w:tl2br w:val="nil"/>
                    <w:tr2bl w:val="nil"/>
                  </w:tcBorders>
                  <w:vAlign w:val="center"/>
                </w:tcPr>
                <w:p w14:paraId="61D612F4">
                  <w:pPr>
                    <w:tabs>
                      <w:tab w:val="left" w:pos="0"/>
                      <w:tab w:val="left" w:pos="5940"/>
                    </w:tabs>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供电工程</w:t>
                  </w:r>
                </w:p>
              </w:tc>
              <w:tc>
                <w:tcPr>
                  <w:tcW w:w="2691" w:type="pct"/>
                  <w:tcBorders>
                    <w:tl2br w:val="nil"/>
                    <w:tr2bl w:val="nil"/>
                  </w:tcBorders>
                  <w:vAlign w:val="center"/>
                </w:tcPr>
                <w:p w14:paraId="6CA20E7A">
                  <w:pPr>
                    <w:tabs>
                      <w:tab w:val="left" w:pos="0"/>
                      <w:tab w:val="left" w:pos="5940"/>
                    </w:tabs>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园区供电系统</w:t>
                  </w:r>
                </w:p>
              </w:tc>
              <w:tc>
                <w:tcPr>
                  <w:tcW w:w="785" w:type="pct"/>
                  <w:vMerge w:val="restart"/>
                  <w:tcBorders>
                    <w:tl2br w:val="nil"/>
                    <w:tr2bl w:val="nil"/>
                  </w:tcBorders>
                  <w:vAlign w:val="center"/>
                </w:tcPr>
                <w:p w14:paraId="2012577B">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依托工业园基础设施</w:t>
                  </w:r>
                </w:p>
              </w:tc>
            </w:tr>
            <w:tr w14:paraId="34D0D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25" w:type="pct"/>
                  <w:vMerge w:val="continue"/>
                  <w:tcBorders>
                    <w:tl2br w:val="nil"/>
                    <w:tr2bl w:val="nil"/>
                  </w:tcBorders>
                  <w:vAlign w:val="center"/>
                </w:tcPr>
                <w:p w14:paraId="3A2BB03C">
                  <w:pPr>
                    <w:adjustRightInd w:val="0"/>
                    <w:snapToGrid w:val="0"/>
                    <w:jc w:val="center"/>
                    <w:rPr>
                      <w:sz w:val="21"/>
                      <w:szCs w:val="21"/>
                      <w:u w:val="single"/>
                    </w:rPr>
                  </w:pPr>
                </w:p>
              </w:tc>
              <w:tc>
                <w:tcPr>
                  <w:tcW w:w="799" w:type="pct"/>
                  <w:tcBorders>
                    <w:tl2br w:val="nil"/>
                    <w:tr2bl w:val="nil"/>
                  </w:tcBorders>
                  <w:vAlign w:val="center"/>
                </w:tcPr>
                <w:p w14:paraId="3914BB0C">
                  <w:pPr>
                    <w:tabs>
                      <w:tab w:val="left" w:pos="0"/>
                      <w:tab w:val="left" w:pos="5940"/>
                    </w:tabs>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给水工程</w:t>
                  </w:r>
                </w:p>
              </w:tc>
              <w:tc>
                <w:tcPr>
                  <w:tcW w:w="2691" w:type="pct"/>
                  <w:tcBorders>
                    <w:tl2br w:val="nil"/>
                    <w:tr2bl w:val="nil"/>
                  </w:tcBorders>
                  <w:vAlign w:val="center"/>
                </w:tcPr>
                <w:p w14:paraId="6B589F9C">
                  <w:pPr>
                    <w:tabs>
                      <w:tab w:val="left" w:pos="0"/>
                      <w:tab w:val="left" w:pos="5940"/>
                    </w:tabs>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园区市政给水管网</w:t>
                  </w:r>
                </w:p>
              </w:tc>
              <w:tc>
                <w:tcPr>
                  <w:tcW w:w="785" w:type="pct"/>
                  <w:vMerge w:val="continue"/>
                  <w:tcBorders>
                    <w:tl2br w:val="nil"/>
                    <w:tr2bl w:val="nil"/>
                  </w:tcBorders>
                  <w:vAlign w:val="center"/>
                </w:tcPr>
                <w:p w14:paraId="41F02539">
                  <w:pPr>
                    <w:adjustRightInd w:val="0"/>
                    <w:snapToGrid w:val="0"/>
                    <w:jc w:val="center"/>
                    <w:rPr>
                      <w:color w:val="000000" w:themeColor="text1"/>
                      <w:sz w:val="21"/>
                      <w:szCs w:val="21"/>
                      <w:u w:val="single"/>
                      <w14:textFill>
                        <w14:solidFill>
                          <w14:schemeClr w14:val="tx1"/>
                        </w14:solidFill>
                      </w14:textFill>
                    </w:rPr>
                  </w:pPr>
                </w:p>
              </w:tc>
            </w:tr>
            <w:tr w14:paraId="4C73D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725" w:type="pct"/>
                  <w:vMerge w:val="continue"/>
                  <w:tcBorders>
                    <w:tl2br w:val="nil"/>
                    <w:tr2bl w:val="nil"/>
                  </w:tcBorders>
                  <w:vAlign w:val="center"/>
                </w:tcPr>
                <w:p w14:paraId="4AF369A7">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7728FC83">
                  <w:pPr>
                    <w:tabs>
                      <w:tab w:val="left" w:pos="0"/>
                      <w:tab w:val="left" w:pos="5940"/>
                    </w:tabs>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排水工程</w:t>
                  </w:r>
                </w:p>
              </w:tc>
              <w:tc>
                <w:tcPr>
                  <w:tcW w:w="2691" w:type="pct"/>
                  <w:tcBorders>
                    <w:tl2br w:val="nil"/>
                    <w:tr2bl w:val="nil"/>
                  </w:tcBorders>
                  <w:vAlign w:val="center"/>
                </w:tcPr>
                <w:p w14:paraId="7A6C2D6A">
                  <w:pPr>
                    <w:tabs>
                      <w:tab w:val="left" w:pos="0"/>
                      <w:tab w:val="left" w:pos="5940"/>
                    </w:tabs>
                    <w:jc w:val="center"/>
                    <w:rPr>
                      <w:bCs/>
                      <w:color w:val="000000" w:themeColor="text1"/>
                      <w:sz w:val="21"/>
                      <w:szCs w:val="21"/>
                      <w:u w:val="single"/>
                      <w:lang w:bidi="ar"/>
                      <w14:textFill>
                        <w14:solidFill>
                          <w14:schemeClr w14:val="tx1"/>
                        </w14:solidFill>
                      </w14:textFill>
                    </w:rPr>
                  </w:pPr>
                  <w:r>
                    <w:rPr>
                      <w:rFonts w:hint="eastAsia"/>
                      <w:bCs/>
                      <w:color w:val="000000" w:themeColor="text1"/>
                      <w:sz w:val="21"/>
                      <w:szCs w:val="21"/>
                      <w:u w:val="single"/>
                      <w:lang w:bidi="ar"/>
                      <w14:textFill>
                        <w14:solidFill>
                          <w14:schemeClr w14:val="tx1"/>
                        </w14:solidFill>
                      </w14:textFill>
                    </w:rPr>
                    <w:t>园区排水实行雨污分流制，雨水依托园区雨水管道排至市政雨水管网。</w:t>
                  </w:r>
                </w:p>
                <w:p w14:paraId="23173737">
                  <w:pPr>
                    <w:tabs>
                      <w:tab w:val="left" w:pos="0"/>
                      <w:tab w:val="left" w:pos="5940"/>
                    </w:tabs>
                    <w:jc w:val="center"/>
                    <w:rPr>
                      <w:color w:val="000000" w:themeColor="text1"/>
                      <w:sz w:val="21"/>
                      <w:szCs w:val="21"/>
                      <w:u w:val="single"/>
                      <w14:textFill>
                        <w14:solidFill>
                          <w14:schemeClr w14:val="tx1"/>
                        </w14:solidFill>
                      </w14:textFill>
                    </w:rPr>
                  </w:pPr>
                  <w:r>
                    <w:rPr>
                      <w:rFonts w:hint="eastAsia"/>
                      <w:bCs/>
                      <w:color w:val="000000" w:themeColor="text1"/>
                      <w:sz w:val="21"/>
                      <w:szCs w:val="21"/>
                      <w:u w:val="single"/>
                      <w:lang w:bidi="ar"/>
                      <w14:textFill>
                        <w14:solidFill>
                          <w14:schemeClr w14:val="tx1"/>
                        </w14:solidFill>
                      </w14:textFill>
                    </w:rPr>
                    <w:t>生活污水：</w:t>
                  </w:r>
                  <w:r>
                    <w:rPr>
                      <w:bCs/>
                      <w:color w:val="000000" w:themeColor="text1"/>
                      <w:sz w:val="21"/>
                      <w:szCs w:val="21"/>
                      <w:u w:val="single"/>
                      <w:lang w:bidi="ar"/>
                      <w14:textFill>
                        <w14:solidFill>
                          <w14:schemeClr w14:val="tx1"/>
                        </w14:solidFill>
                      </w14:textFill>
                    </w:rPr>
                    <w:t>经</w:t>
                  </w:r>
                  <w:r>
                    <w:rPr>
                      <w:rFonts w:hint="eastAsia"/>
                      <w:bCs/>
                      <w:color w:val="000000" w:themeColor="text1"/>
                      <w:sz w:val="21"/>
                      <w:szCs w:val="21"/>
                      <w:u w:val="single"/>
                      <w:lang w:bidi="ar"/>
                      <w14:textFill>
                        <w14:solidFill>
                          <w14:schemeClr w14:val="tx1"/>
                        </w14:solidFill>
                      </w14:textFill>
                    </w:rPr>
                    <w:t>厂房已建</w:t>
                  </w:r>
                  <w:r>
                    <w:rPr>
                      <w:bCs/>
                      <w:color w:val="000000" w:themeColor="text1"/>
                      <w:sz w:val="21"/>
                      <w:szCs w:val="21"/>
                      <w:u w:val="single"/>
                      <w:lang w:bidi="ar"/>
                      <w14:textFill>
                        <w14:solidFill>
                          <w14:schemeClr w14:val="tx1"/>
                        </w14:solidFill>
                      </w14:textFill>
                    </w:rPr>
                    <w:t>化粪池预处理后经污水管网</w:t>
                  </w:r>
                  <w:r>
                    <w:rPr>
                      <w:rFonts w:hint="eastAsia"/>
                      <w:bCs/>
                      <w:color w:val="000000" w:themeColor="text1"/>
                      <w:sz w:val="21"/>
                      <w:szCs w:val="21"/>
                      <w:u w:val="single"/>
                      <w:lang w:bidi="ar"/>
                      <w14:textFill>
                        <w14:solidFill>
                          <w14:schemeClr w14:val="tx1"/>
                        </w14:solidFill>
                      </w14:textFill>
                    </w:rPr>
                    <w:t>进</w:t>
                  </w:r>
                  <w:r>
                    <w:rPr>
                      <w:bCs/>
                      <w:color w:val="000000" w:themeColor="text1"/>
                      <w:sz w:val="21"/>
                      <w:szCs w:val="21"/>
                      <w:u w:val="single"/>
                      <w:lang w:bidi="ar"/>
                      <w14:textFill>
                        <w14:solidFill>
                          <w14:schemeClr w14:val="tx1"/>
                        </w14:solidFill>
                      </w14:textFill>
                    </w:rPr>
                    <w:t>入</w:t>
                  </w:r>
                  <w:r>
                    <w:rPr>
                      <w:rFonts w:hint="eastAsia"/>
                      <w:color w:val="000000"/>
                      <w:sz w:val="21"/>
                      <w:szCs w:val="21"/>
                      <w:u w:val="single"/>
                    </w:rPr>
                    <w:t>衡龙新区污水处理厂</w:t>
                  </w:r>
                  <w:r>
                    <w:rPr>
                      <w:rFonts w:hint="eastAsia"/>
                      <w:bCs/>
                      <w:color w:val="000000" w:themeColor="text1"/>
                      <w:sz w:val="21"/>
                      <w:szCs w:val="21"/>
                      <w:u w:val="single"/>
                      <w:lang w:bidi="ar"/>
                      <w14:textFill>
                        <w14:solidFill>
                          <w14:schemeClr w14:val="tx1"/>
                        </w14:solidFill>
                      </w14:textFill>
                    </w:rPr>
                    <w:t>处理达标后排入泉交河。</w:t>
                  </w:r>
                </w:p>
              </w:tc>
              <w:tc>
                <w:tcPr>
                  <w:tcW w:w="785" w:type="pct"/>
                  <w:vMerge w:val="continue"/>
                  <w:tcBorders>
                    <w:tl2br w:val="nil"/>
                    <w:tr2bl w:val="nil"/>
                  </w:tcBorders>
                  <w:vAlign w:val="center"/>
                </w:tcPr>
                <w:p w14:paraId="4CAE0EA0">
                  <w:pPr>
                    <w:adjustRightInd w:val="0"/>
                    <w:snapToGrid w:val="0"/>
                    <w:jc w:val="center"/>
                    <w:rPr>
                      <w:color w:val="000000" w:themeColor="text1"/>
                      <w:sz w:val="21"/>
                      <w:szCs w:val="21"/>
                      <w:u w:val="single"/>
                      <w14:textFill>
                        <w14:solidFill>
                          <w14:schemeClr w14:val="tx1"/>
                        </w14:solidFill>
                      </w14:textFill>
                    </w:rPr>
                  </w:pPr>
                </w:p>
              </w:tc>
            </w:tr>
            <w:tr w14:paraId="4AB05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pct"/>
                  <w:vMerge w:val="restart"/>
                  <w:tcBorders>
                    <w:tl2br w:val="nil"/>
                    <w:tr2bl w:val="nil"/>
                  </w:tcBorders>
                  <w:vAlign w:val="center"/>
                </w:tcPr>
                <w:p w14:paraId="13AD33E2">
                  <w:pPr>
                    <w:tabs>
                      <w:tab w:val="left" w:pos="0"/>
                      <w:tab w:val="left" w:pos="5940"/>
                    </w:tabs>
                    <w:jc w:val="center"/>
                    <w:rPr>
                      <w:b/>
                      <w:bCs/>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环保工程</w:t>
                  </w:r>
                </w:p>
              </w:tc>
              <w:tc>
                <w:tcPr>
                  <w:tcW w:w="799" w:type="pct"/>
                  <w:vMerge w:val="restart"/>
                  <w:tcBorders>
                    <w:tl2br w:val="nil"/>
                    <w:tr2bl w:val="nil"/>
                  </w:tcBorders>
                  <w:vAlign w:val="center"/>
                </w:tcPr>
                <w:p w14:paraId="76AC1E58">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废气</w:t>
                  </w:r>
                </w:p>
              </w:tc>
              <w:tc>
                <w:tcPr>
                  <w:tcW w:w="2691" w:type="pct"/>
                  <w:tcBorders>
                    <w:tl2br w:val="nil"/>
                    <w:tr2bl w:val="nil"/>
                  </w:tcBorders>
                  <w:vAlign w:val="center"/>
                </w:tcPr>
                <w:p w14:paraId="44150D7B">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下料、焊接废气：本项目下料、焊接工序均布置于封闭的厂房内，产生的下料废气、焊接烟尘采用移动式袋式除尘器处理后，在厂房内自然沉降。</w:t>
                  </w:r>
                </w:p>
              </w:tc>
              <w:tc>
                <w:tcPr>
                  <w:tcW w:w="785" w:type="pct"/>
                  <w:tcBorders>
                    <w:tl2br w:val="nil"/>
                    <w:tr2bl w:val="nil"/>
                  </w:tcBorders>
                  <w:vAlign w:val="center"/>
                </w:tcPr>
                <w:p w14:paraId="76B2F6BB">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新建</w:t>
                  </w:r>
                </w:p>
              </w:tc>
            </w:tr>
            <w:tr w14:paraId="18BEA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25" w:type="pct"/>
                  <w:vMerge w:val="continue"/>
                  <w:tcBorders>
                    <w:tl2br w:val="nil"/>
                    <w:tr2bl w:val="nil"/>
                  </w:tcBorders>
                  <w:vAlign w:val="center"/>
                </w:tcPr>
                <w:p w14:paraId="69DF1CFA">
                  <w:pPr>
                    <w:adjustRightInd w:val="0"/>
                    <w:snapToGrid w:val="0"/>
                    <w:jc w:val="center"/>
                    <w:rPr>
                      <w:u w:val="single"/>
                    </w:rPr>
                  </w:pPr>
                </w:p>
              </w:tc>
              <w:tc>
                <w:tcPr>
                  <w:tcW w:w="799" w:type="pct"/>
                  <w:vMerge w:val="continue"/>
                  <w:tcBorders>
                    <w:tl2br w:val="nil"/>
                    <w:tr2bl w:val="nil"/>
                  </w:tcBorders>
                  <w:vAlign w:val="center"/>
                </w:tcPr>
                <w:p w14:paraId="2F6795C3">
                  <w:pPr>
                    <w:adjustRightInd w:val="0"/>
                    <w:snapToGrid w:val="0"/>
                    <w:jc w:val="center"/>
                    <w:rPr>
                      <w:u w:val="single"/>
                    </w:rPr>
                  </w:pPr>
                </w:p>
              </w:tc>
              <w:tc>
                <w:tcPr>
                  <w:tcW w:w="2691" w:type="pct"/>
                  <w:tcBorders>
                    <w:tl2br w:val="nil"/>
                    <w:tr2bl w:val="nil"/>
                  </w:tcBorders>
                  <w:vAlign w:val="center"/>
                </w:tcPr>
                <w:p w14:paraId="33E925BE">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抛丸废气：在抛丸机进出口设有遮挡门帘，内部设置粉尘收集装置，经自带除尘设施处理后无组织排放。</w:t>
                  </w:r>
                </w:p>
              </w:tc>
              <w:tc>
                <w:tcPr>
                  <w:tcW w:w="785" w:type="pct"/>
                  <w:tcBorders>
                    <w:tl2br w:val="nil"/>
                    <w:tr2bl w:val="nil"/>
                  </w:tcBorders>
                  <w:vAlign w:val="center"/>
                </w:tcPr>
                <w:p w14:paraId="1259C3F1">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搬迁现有设备</w:t>
                  </w:r>
                </w:p>
              </w:tc>
            </w:tr>
            <w:tr w14:paraId="3EA07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25" w:type="pct"/>
                  <w:vMerge w:val="continue"/>
                  <w:tcBorders>
                    <w:tl2br w:val="nil"/>
                    <w:tr2bl w:val="nil"/>
                  </w:tcBorders>
                  <w:vAlign w:val="center"/>
                </w:tcPr>
                <w:p w14:paraId="6512E848">
                  <w:pPr>
                    <w:adjustRightInd w:val="0"/>
                    <w:snapToGrid w:val="0"/>
                    <w:jc w:val="center"/>
                    <w:rPr>
                      <w:u w:val="single"/>
                    </w:rPr>
                  </w:pPr>
                </w:p>
              </w:tc>
              <w:tc>
                <w:tcPr>
                  <w:tcW w:w="799" w:type="pct"/>
                  <w:vMerge w:val="continue"/>
                  <w:tcBorders>
                    <w:tl2br w:val="nil"/>
                    <w:tr2bl w:val="nil"/>
                  </w:tcBorders>
                  <w:vAlign w:val="center"/>
                </w:tcPr>
                <w:p w14:paraId="2166071F">
                  <w:pPr>
                    <w:adjustRightInd w:val="0"/>
                    <w:snapToGrid w:val="0"/>
                    <w:jc w:val="center"/>
                    <w:rPr>
                      <w:u w:val="single"/>
                    </w:rPr>
                  </w:pPr>
                </w:p>
              </w:tc>
              <w:tc>
                <w:tcPr>
                  <w:tcW w:w="2691" w:type="pct"/>
                  <w:tcBorders>
                    <w:tl2br w:val="nil"/>
                    <w:tr2bl w:val="nil"/>
                  </w:tcBorders>
                  <w:vAlign w:val="center"/>
                </w:tcPr>
                <w:p w14:paraId="622BF87E">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喷漆废气：喷漆房密闭，喷漆、晾干工产废气采取负压收集，经1套“干式过滤棉+三级活性炭吸附装置”处理后，于15m高排气筒DA001排放。</w:t>
                  </w:r>
                </w:p>
              </w:tc>
              <w:tc>
                <w:tcPr>
                  <w:tcW w:w="785" w:type="pct"/>
                  <w:tcBorders>
                    <w:tl2br w:val="nil"/>
                    <w:tr2bl w:val="nil"/>
                  </w:tcBorders>
                  <w:vAlign w:val="center"/>
                </w:tcPr>
                <w:p w14:paraId="4BE8D782">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新建</w:t>
                  </w:r>
                </w:p>
              </w:tc>
            </w:tr>
            <w:tr w14:paraId="4E474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5" w:type="pct"/>
                  <w:vMerge w:val="continue"/>
                  <w:tcBorders>
                    <w:tl2br w:val="nil"/>
                    <w:tr2bl w:val="nil"/>
                  </w:tcBorders>
                  <w:vAlign w:val="center"/>
                </w:tcPr>
                <w:p w14:paraId="2D4E1E76">
                  <w:pPr>
                    <w:adjustRightInd w:val="0"/>
                    <w:snapToGrid w:val="0"/>
                    <w:jc w:val="center"/>
                    <w:rPr>
                      <w:sz w:val="21"/>
                      <w:szCs w:val="21"/>
                      <w:u w:val="single"/>
                    </w:rPr>
                  </w:pPr>
                </w:p>
              </w:tc>
              <w:tc>
                <w:tcPr>
                  <w:tcW w:w="799" w:type="pct"/>
                  <w:vMerge w:val="restart"/>
                  <w:tcBorders>
                    <w:tl2br w:val="nil"/>
                    <w:tr2bl w:val="nil"/>
                  </w:tcBorders>
                  <w:vAlign w:val="center"/>
                </w:tcPr>
                <w:p w14:paraId="28F35036">
                  <w:pPr>
                    <w:pStyle w:val="31"/>
                    <w:rPr>
                      <w:u w:val="single"/>
                    </w:rPr>
                  </w:pPr>
                  <w:r>
                    <w:rPr>
                      <w:u w:val="single"/>
                    </w:rPr>
                    <w:t>废水</w:t>
                  </w:r>
                </w:p>
              </w:tc>
              <w:tc>
                <w:tcPr>
                  <w:tcW w:w="2691" w:type="pct"/>
                  <w:tcBorders>
                    <w:tl2br w:val="nil"/>
                    <w:tr2bl w:val="nil"/>
                  </w:tcBorders>
                  <w:vAlign w:val="center"/>
                </w:tcPr>
                <w:p w14:paraId="1958FC10">
                  <w:pPr>
                    <w:pStyle w:val="31"/>
                    <w:rPr>
                      <w:bCs/>
                      <w:color w:val="000000" w:themeColor="text1"/>
                      <w:u w:val="single"/>
                      <w:lang w:bidi="ar"/>
                      <w14:textFill>
                        <w14:solidFill>
                          <w14:schemeClr w14:val="tx1"/>
                        </w14:solidFill>
                      </w14:textFill>
                    </w:rPr>
                  </w:pPr>
                  <w:r>
                    <w:rPr>
                      <w:bCs/>
                      <w:color w:val="000000" w:themeColor="text1"/>
                      <w:u w:val="single"/>
                      <w:lang w:bidi="ar"/>
                      <w14:textFill>
                        <w14:solidFill>
                          <w14:schemeClr w14:val="tx1"/>
                        </w14:solidFill>
                      </w14:textFill>
                    </w:rPr>
                    <w:t>生活污水：经</w:t>
                  </w:r>
                  <w:r>
                    <w:rPr>
                      <w:rFonts w:hint="eastAsia"/>
                      <w:bCs/>
                      <w:color w:val="000000" w:themeColor="text1"/>
                      <w:u w:val="single"/>
                      <w:lang w:bidi="ar"/>
                      <w14:textFill>
                        <w14:solidFill>
                          <w14:schemeClr w14:val="tx1"/>
                        </w14:solidFill>
                      </w14:textFill>
                    </w:rPr>
                    <w:t>厂房已建</w:t>
                  </w:r>
                  <w:r>
                    <w:rPr>
                      <w:bCs/>
                      <w:color w:val="000000" w:themeColor="text1"/>
                      <w:u w:val="single"/>
                      <w:lang w:bidi="ar"/>
                      <w14:textFill>
                        <w14:solidFill>
                          <w14:schemeClr w14:val="tx1"/>
                        </w14:solidFill>
                      </w14:textFill>
                    </w:rPr>
                    <w:t>化粪池预处理后经污水管网</w:t>
                  </w:r>
                  <w:r>
                    <w:rPr>
                      <w:rFonts w:hint="eastAsia"/>
                      <w:bCs/>
                      <w:color w:val="000000" w:themeColor="text1"/>
                      <w:u w:val="single"/>
                      <w:lang w:bidi="ar"/>
                      <w14:textFill>
                        <w14:solidFill>
                          <w14:schemeClr w14:val="tx1"/>
                        </w14:solidFill>
                      </w14:textFill>
                    </w:rPr>
                    <w:t>进</w:t>
                  </w:r>
                  <w:r>
                    <w:rPr>
                      <w:bCs/>
                      <w:color w:val="000000" w:themeColor="text1"/>
                      <w:u w:val="single"/>
                      <w:lang w:bidi="ar"/>
                      <w14:textFill>
                        <w14:solidFill>
                          <w14:schemeClr w14:val="tx1"/>
                        </w14:solidFill>
                      </w14:textFill>
                    </w:rPr>
                    <w:t>入</w:t>
                  </w:r>
                  <w:r>
                    <w:rPr>
                      <w:rFonts w:hint="eastAsia"/>
                      <w:bCs/>
                      <w:color w:val="000000" w:themeColor="text1"/>
                      <w:u w:val="single"/>
                      <w:lang w:bidi="ar"/>
                      <w14:textFill>
                        <w14:solidFill>
                          <w14:schemeClr w14:val="tx1"/>
                        </w14:solidFill>
                      </w14:textFill>
                    </w:rPr>
                    <w:t>衡龙新区污水处理厂处理达标后排入泉交河。</w:t>
                  </w:r>
                </w:p>
              </w:tc>
              <w:tc>
                <w:tcPr>
                  <w:tcW w:w="785" w:type="pct"/>
                  <w:tcBorders>
                    <w:tl2br w:val="nil"/>
                    <w:tr2bl w:val="nil"/>
                  </w:tcBorders>
                  <w:vAlign w:val="center"/>
                </w:tcPr>
                <w:p w14:paraId="05CAC07E">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依托</w:t>
                  </w:r>
                  <w:r>
                    <w:rPr>
                      <w:rFonts w:hint="eastAsia"/>
                      <w:color w:val="000000" w:themeColor="text1"/>
                      <w:sz w:val="21"/>
                      <w:szCs w:val="21"/>
                      <w:u w:val="single"/>
                      <w14:textFill>
                        <w14:solidFill>
                          <w14:schemeClr w14:val="tx1"/>
                        </w14:solidFill>
                      </w14:textFill>
                    </w:rPr>
                    <w:t>园区标准厂房已建</w:t>
                  </w:r>
                  <w:r>
                    <w:rPr>
                      <w:color w:val="000000" w:themeColor="text1"/>
                      <w:sz w:val="21"/>
                      <w:szCs w:val="21"/>
                      <w:u w:val="single"/>
                      <w14:textFill>
                        <w14:solidFill>
                          <w14:schemeClr w14:val="tx1"/>
                        </w14:solidFill>
                      </w14:textFill>
                    </w:rPr>
                    <w:t>化粪池</w:t>
                  </w:r>
                </w:p>
              </w:tc>
            </w:tr>
            <w:tr w14:paraId="40C7C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5" w:type="pct"/>
                  <w:vMerge w:val="continue"/>
                  <w:tcBorders>
                    <w:tl2br w:val="nil"/>
                    <w:tr2bl w:val="nil"/>
                  </w:tcBorders>
                  <w:vAlign w:val="center"/>
                </w:tcPr>
                <w:p w14:paraId="20061C4A">
                  <w:pPr>
                    <w:pStyle w:val="31"/>
                    <w:rPr>
                      <w:u w:val="single"/>
                    </w:rPr>
                  </w:pPr>
                </w:p>
              </w:tc>
              <w:tc>
                <w:tcPr>
                  <w:tcW w:w="799" w:type="pct"/>
                  <w:vMerge w:val="continue"/>
                  <w:tcBorders>
                    <w:tl2br w:val="nil"/>
                    <w:tr2bl w:val="nil"/>
                  </w:tcBorders>
                  <w:vAlign w:val="center"/>
                </w:tcPr>
                <w:p w14:paraId="2577FFA7">
                  <w:pPr>
                    <w:pStyle w:val="31"/>
                    <w:rPr>
                      <w:u w:val="single"/>
                    </w:rPr>
                  </w:pPr>
                </w:p>
              </w:tc>
              <w:tc>
                <w:tcPr>
                  <w:tcW w:w="2691" w:type="pct"/>
                  <w:tcBorders>
                    <w:tl2br w:val="nil"/>
                    <w:tr2bl w:val="nil"/>
                  </w:tcBorders>
                  <w:vAlign w:val="center"/>
                </w:tcPr>
                <w:p w14:paraId="07976910">
                  <w:pPr>
                    <w:pStyle w:val="31"/>
                    <w:rPr>
                      <w:bCs/>
                      <w:color w:val="000000" w:themeColor="text1"/>
                      <w:u w:val="single"/>
                      <w:lang w:bidi="ar"/>
                      <w14:textFill>
                        <w14:solidFill>
                          <w14:schemeClr w14:val="tx1"/>
                        </w14:solidFill>
                      </w14:textFill>
                    </w:rPr>
                  </w:pPr>
                  <w:r>
                    <w:rPr>
                      <w:bCs/>
                      <w:color w:val="000000" w:themeColor="text1"/>
                      <w:u w:val="single"/>
                      <w:lang w:bidi="ar"/>
                      <w14:textFill>
                        <w14:solidFill>
                          <w14:schemeClr w14:val="tx1"/>
                        </w14:solidFill>
                      </w14:textFill>
                    </w:rPr>
                    <w:t>喷枪清洗废</w:t>
                  </w:r>
                  <w:r>
                    <w:rPr>
                      <w:rFonts w:hint="eastAsia"/>
                      <w:bCs/>
                      <w:color w:val="000000" w:themeColor="text1"/>
                      <w:u w:val="single"/>
                      <w:lang w:bidi="ar"/>
                      <w14:textFill>
                        <w14:solidFill>
                          <w14:schemeClr w14:val="tx1"/>
                        </w14:solidFill>
                      </w14:textFill>
                    </w:rPr>
                    <w:t>水：</w:t>
                  </w:r>
                  <w:r>
                    <w:rPr>
                      <w:bCs/>
                      <w:color w:val="000000" w:themeColor="text1"/>
                      <w:u w:val="single"/>
                      <w:lang w:bidi="ar"/>
                      <w14:textFill>
                        <w14:solidFill>
                          <w14:schemeClr w14:val="tx1"/>
                        </w14:solidFill>
                      </w14:textFill>
                    </w:rPr>
                    <w:t>项目水性漆喷涂后需用清水清洗枪头，产生的</w:t>
                  </w:r>
                  <w:r>
                    <w:rPr>
                      <w:rFonts w:hint="eastAsia"/>
                      <w:bCs/>
                      <w:color w:val="000000" w:themeColor="text1"/>
                      <w:u w:val="single"/>
                      <w:lang w:bidi="ar"/>
                      <w14:textFill>
                        <w14:solidFill>
                          <w14:schemeClr w14:val="tx1"/>
                        </w14:solidFill>
                      </w14:textFill>
                    </w:rPr>
                    <w:t>废水不外排回用于配置水性漆</w:t>
                  </w:r>
                  <w:r>
                    <w:rPr>
                      <w:bCs/>
                      <w:color w:val="000000" w:themeColor="text1"/>
                      <w:u w:val="single"/>
                      <w:lang w:bidi="ar"/>
                      <w14:textFill>
                        <w14:solidFill>
                          <w14:schemeClr w14:val="tx1"/>
                        </w14:solidFill>
                      </w14:textFill>
                    </w:rPr>
                    <w:t>。</w:t>
                  </w:r>
                </w:p>
              </w:tc>
              <w:tc>
                <w:tcPr>
                  <w:tcW w:w="785" w:type="pct"/>
                  <w:tcBorders>
                    <w:tl2br w:val="nil"/>
                    <w:tr2bl w:val="nil"/>
                  </w:tcBorders>
                  <w:vAlign w:val="center"/>
                </w:tcPr>
                <w:p w14:paraId="56A6318D">
                  <w:pPr>
                    <w:pStyle w:val="31"/>
                    <w:rPr>
                      <w:bCs/>
                      <w:color w:val="000000" w:themeColor="text1"/>
                      <w:u w:val="single"/>
                      <w:lang w:bidi="ar"/>
                      <w14:textFill>
                        <w14:solidFill>
                          <w14:schemeClr w14:val="tx1"/>
                        </w14:solidFill>
                      </w14:textFill>
                    </w:rPr>
                  </w:pPr>
                  <w:r>
                    <w:rPr>
                      <w:rFonts w:hint="eastAsia"/>
                      <w:bCs/>
                      <w:color w:val="000000" w:themeColor="text1"/>
                      <w:u w:val="single"/>
                      <w:lang w:bidi="ar"/>
                      <w14:textFill>
                        <w14:solidFill>
                          <w14:schemeClr w14:val="tx1"/>
                        </w14:solidFill>
                      </w14:textFill>
                    </w:rPr>
                    <w:t>/</w:t>
                  </w:r>
                </w:p>
              </w:tc>
            </w:tr>
            <w:tr w14:paraId="4D55A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5" w:type="pct"/>
                  <w:vMerge w:val="continue"/>
                  <w:tcBorders>
                    <w:tl2br w:val="nil"/>
                    <w:tr2bl w:val="nil"/>
                  </w:tcBorders>
                  <w:vAlign w:val="center"/>
                </w:tcPr>
                <w:p w14:paraId="4ACBC590">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06670094">
                  <w:pPr>
                    <w:adjustRightInd w:val="0"/>
                    <w:snapToGrid w:val="0"/>
                    <w:jc w:val="center"/>
                    <w:rPr>
                      <w:sz w:val="21"/>
                      <w:szCs w:val="21"/>
                      <w:u w:val="single"/>
                    </w:rPr>
                  </w:pPr>
                  <w:r>
                    <w:rPr>
                      <w:sz w:val="21"/>
                      <w:szCs w:val="21"/>
                      <w:u w:val="single"/>
                    </w:rPr>
                    <w:t>噪声</w:t>
                  </w:r>
                </w:p>
              </w:tc>
              <w:tc>
                <w:tcPr>
                  <w:tcW w:w="2691" w:type="pct"/>
                  <w:tcBorders>
                    <w:tl2br w:val="nil"/>
                    <w:tr2bl w:val="nil"/>
                  </w:tcBorders>
                  <w:vAlign w:val="center"/>
                </w:tcPr>
                <w:p w14:paraId="388DEA62">
                  <w:pPr>
                    <w:adjustRightInd w:val="0"/>
                    <w:snapToGrid w:val="0"/>
                    <w:jc w:val="center"/>
                    <w:rPr>
                      <w:color w:val="000000" w:themeColor="text1"/>
                      <w:sz w:val="21"/>
                      <w:szCs w:val="21"/>
                      <w:u w:val="single"/>
                      <w14:textFill>
                        <w14:solidFill>
                          <w14:schemeClr w14:val="tx1"/>
                        </w14:solidFill>
                      </w14:textFill>
                    </w:rPr>
                  </w:pPr>
                  <w:r>
                    <w:rPr>
                      <w:bCs/>
                      <w:color w:val="000000" w:themeColor="text1"/>
                      <w:sz w:val="21"/>
                      <w:szCs w:val="21"/>
                      <w:u w:val="single"/>
                      <w14:textFill>
                        <w14:solidFill>
                          <w14:schemeClr w14:val="tx1"/>
                        </w14:solidFill>
                      </w14:textFill>
                    </w:rPr>
                    <w:t>合理布置、选用低噪声设备，安装减震垫、车间隔音</w:t>
                  </w:r>
                </w:p>
              </w:tc>
              <w:tc>
                <w:tcPr>
                  <w:tcW w:w="785" w:type="pct"/>
                  <w:tcBorders>
                    <w:tl2br w:val="nil"/>
                    <w:tr2bl w:val="nil"/>
                  </w:tcBorders>
                  <w:vAlign w:val="center"/>
                </w:tcPr>
                <w:p w14:paraId="3765896B">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w:t>
                  </w:r>
                </w:p>
              </w:tc>
            </w:tr>
            <w:tr w14:paraId="22253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25" w:type="pct"/>
                  <w:vMerge w:val="continue"/>
                  <w:tcBorders>
                    <w:tl2br w:val="nil"/>
                    <w:tr2bl w:val="nil"/>
                  </w:tcBorders>
                  <w:vAlign w:val="center"/>
                </w:tcPr>
                <w:p w14:paraId="69634A8C">
                  <w:pPr>
                    <w:adjustRightInd w:val="0"/>
                    <w:snapToGrid w:val="0"/>
                    <w:jc w:val="center"/>
                    <w:rPr>
                      <w:color w:val="000000" w:themeColor="text1"/>
                      <w:sz w:val="21"/>
                      <w:szCs w:val="21"/>
                      <w:u w:val="single"/>
                      <w14:textFill>
                        <w14:solidFill>
                          <w14:schemeClr w14:val="tx1"/>
                        </w14:solidFill>
                      </w14:textFill>
                    </w:rPr>
                  </w:pPr>
                </w:p>
              </w:tc>
              <w:tc>
                <w:tcPr>
                  <w:tcW w:w="799" w:type="pct"/>
                  <w:tcBorders>
                    <w:tl2br w:val="nil"/>
                    <w:tr2bl w:val="nil"/>
                  </w:tcBorders>
                  <w:vAlign w:val="center"/>
                </w:tcPr>
                <w:p w14:paraId="212FC756">
                  <w:pPr>
                    <w:adjustRightInd w:val="0"/>
                    <w:snapToGrid w:val="0"/>
                    <w:jc w:val="center"/>
                    <w:rPr>
                      <w:color w:val="000000" w:themeColor="text1"/>
                      <w:sz w:val="21"/>
                      <w:szCs w:val="21"/>
                      <w:u w:val="single"/>
                      <w14:textFill>
                        <w14:solidFill>
                          <w14:schemeClr w14:val="tx1"/>
                        </w14:solidFill>
                      </w14:textFill>
                    </w:rPr>
                  </w:pPr>
                  <w:r>
                    <w:rPr>
                      <w:sz w:val="21"/>
                      <w:szCs w:val="21"/>
                      <w:u w:val="single"/>
                    </w:rPr>
                    <w:t>一般固废</w:t>
                  </w:r>
                  <w:r>
                    <w:rPr>
                      <w:rFonts w:hint="eastAsia"/>
                      <w:sz w:val="21"/>
                      <w:szCs w:val="21"/>
                      <w:u w:val="single"/>
                    </w:rPr>
                    <w:t>暂存间</w:t>
                  </w:r>
                </w:p>
              </w:tc>
              <w:tc>
                <w:tcPr>
                  <w:tcW w:w="2691" w:type="pct"/>
                  <w:tcBorders>
                    <w:tl2br w:val="nil"/>
                    <w:tr2bl w:val="nil"/>
                  </w:tcBorders>
                  <w:vAlign w:val="center"/>
                </w:tcPr>
                <w:p w14:paraId="40FEE5FD">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一般固废暂存于一般固废暂存间（约30m</w:t>
                  </w:r>
                  <w:r>
                    <w:rPr>
                      <w:rFonts w:hint="eastAsia"/>
                      <w:color w:val="000000" w:themeColor="text1"/>
                      <w:sz w:val="21"/>
                      <w:szCs w:val="21"/>
                      <w:u w:val="single"/>
                      <w:vertAlign w:val="superscript"/>
                      <w14:textFill>
                        <w14:solidFill>
                          <w14:schemeClr w14:val="tx1"/>
                        </w14:solidFill>
                      </w14:textFill>
                    </w:rPr>
                    <w:t>2</w:t>
                  </w:r>
                  <w:r>
                    <w:rPr>
                      <w:rFonts w:hint="eastAsia"/>
                      <w:color w:val="000000" w:themeColor="text1"/>
                      <w:sz w:val="21"/>
                      <w:szCs w:val="21"/>
                      <w:u w:val="single"/>
                      <w14:textFill>
                        <w14:solidFill>
                          <w14:schemeClr w14:val="tx1"/>
                        </w14:solidFill>
                      </w14:textFill>
                    </w:rPr>
                    <w:t>）</w:t>
                  </w:r>
                  <w:r>
                    <w:rPr>
                      <w:color w:val="000000" w:themeColor="text1"/>
                      <w:sz w:val="21"/>
                      <w:szCs w:val="21"/>
                      <w:u w:val="single"/>
                      <w14:textFill>
                        <w14:solidFill>
                          <w14:schemeClr w14:val="tx1"/>
                        </w14:solidFill>
                      </w14:textFill>
                    </w:rPr>
                    <w:t>收集外售资源回收企业综合利用</w:t>
                  </w:r>
                  <w:r>
                    <w:rPr>
                      <w:rFonts w:hint="eastAsia"/>
                      <w:color w:val="000000" w:themeColor="text1"/>
                      <w:sz w:val="21"/>
                      <w:szCs w:val="21"/>
                      <w:u w:val="single"/>
                      <w14:textFill>
                        <w14:solidFill>
                          <w14:schemeClr w14:val="tx1"/>
                        </w14:solidFill>
                      </w14:textFill>
                    </w:rPr>
                    <w:t>。</w:t>
                  </w:r>
                </w:p>
                <w:p w14:paraId="0DC9FA26">
                  <w:pPr>
                    <w:adjustRightInd w:val="0"/>
                    <w:snapToGrid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生活垃圾收集后交由园区环卫部门清运处置。</w:t>
                  </w:r>
                </w:p>
              </w:tc>
              <w:tc>
                <w:tcPr>
                  <w:tcW w:w="785" w:type="pct"/>
                  <w:vMerge w:val="restart"/>
                  <w:tcBorders>
                    <w:tl2br w:val="nil"/>
                    <w:tr2bl w:val="nil"/>
                  </w:tcBorders>
                  <w:vAlign w:val="center"/>
                </w:tcPr>
                <w:p w14:paraId="188E321D">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新建</w:t>
                  </w:r>
                </w:p>
              </w:tc>
            </w:tr>
            <w:tr w14:paraId="0A76E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25" w:type="pct"/>
                  <w:vMerge w:val="continue"/>
                  <w:tcBorders>
                    <w:tl2br w:val="nil"/>
                    <w:tr2bl w:val="nil"/>
                  </w:tcBorders>
                  <w:vAlign w:val="center"/>
                </w:tcPr>
                <w:p w14:paraId="0A0B91F4">
                  <w:pPr>
                    <w:adjustRightInd w:val="0"/>
                    <w:snapToGrid w:val="0"/>
                    <w:jc w:val="center"/>
                    <w:rPr>
                      <w:u w:val="single"/>
                    </w:rPr>
                  </w:pPr>
                </w:p>
              </w:tc>
              <w:tc>
                <w:tcPr>
                  <w:tcW w:w="799" w:type="pct"/>
                  <w:tcBorders>
                    <w:tl2br w:val="nil"/>
                    <w:tr2bl w:val="nil"/>
                  </w:tcBorders>
                  <w:vAlign w:val="center"/>
                </w:tcPr>
                <w:p w14:paraId="78EAF203">
                  <w:pPr>
                    <w:adjustRightInd w:val="0"/>
                    <w:snapToGrid w:val="0"/>
                    <w:jc w:val="center"/>
                    <w:rPr>
                      <w:sz w:val="21"/>
                      <w:szCs w:val="21"/>
                      <w:u w:val="single"/>
                    </w:rPr>
                  </w:pPr>
                  <w:r>
                    <w:rPr>
                      <w:rFonts w:hint="eastAsia"/>
                      <w:sz w:val="21"/>
                      <w:szCs w:val="21"/>
                      <w:u w:val="single"/>
                    </w:rPr>
                    <w:t>危废间</w:t>
                  </w:r>
                </w:p>
              </w:tc>
              <w:tc>
                <w:tcPr>
                  <w:tcW w:w="2691" w:type="pct"/>
                  <w:tcBorders>
                    <w:tl2br w:val="nil"/>
                    <w:tr2bl w:val="nil"/>
                  </w:tcBorders>
                  <w:vAlign w:val="center"/>
                </w:tcPr>
                <w:p w14:paraId="68535C04">
                  <w:pPr>
                    <w:adjustRightInd w:val="0"/>
                    <w:snapToGrid w:val="0"/>
                    <w:jc w:val="center"/>
                    <w:rPr>
                      <w:sz w:val="21"/>
                      <w:szCs w:val="21"/>
                      <w:u w:val="single"/>
                    </w:rPr>
                  </w:pPr>
                  <w:r>
                    <w:rPr>
                      <w:rFonts w:hint="eastAsia"/>
                      <w:color w:val="000000" w:themeColor="text1"/>
                      <w:sz w:val="21"/>
                      <w:szCs w:val="21"/>
                      <w:u w:val="single"/>
                      <w14:textFill>
                        <w14:solidFill>
                          <w14:schemeClr w14:val="tx1"/>
                        </w14:solidFill>
                      </w14:textFill>
                    </w:rPr>
                    <w:t>废活性炭等危险废物暂存于</w:t>
                  </w:r>
                  <w:r>
                    <w:rPr>
                      <w:color w:val="000000" w:themeColor="text1"/>
                      <w:sz w:val="21"/>
                      <w:szCs w:val="21"/>
                      <w:u w:val="single"/>
                      <w14:textFill>
                        <w14:solidFill>
                          <w14:schemeClr w14:val="tx1"/>
                        </w14:solidFill>
                      </w14:textFill>
                    </w:rPr>
                    <w:t>危废暂存间（</w:t>
                  </w:r>
                  <w:r>
                    <w:rPr>
                      <w:rFonts w:hint="eastAsia"/>
                      <w:color w:val="000000" w:themeColor="text1"/>
                      <w:sz w:val="21"/>
                      <w:szCs w:val="21"/>
                      <w:u w:val="single"/>
                      <w14:textFill>
                        <w14:solidFill>
                          <w14:schemeClr w14:val="tx1"/>
                        </w14:solidFill>
                      </w14:textFill>
                    </w:rPr>
                    <w:t>约30</w:t>
                  </w:r>
                  <w:r>
                    <w:rPr>
                      <w:color w:val="000000" w:themeColor="text1"/>
                      <w:sz w:val="21"/>
                      <w:szCs w:val="21"/>
                      <w:u w:val="single"/>
                      <w14:textFill>
                        <w14:solidFill>
                          <w14:schemeClr w14:val="tx1"/>
                        </w14:solidFill>
                      </w14:textFill>
                    </w:rPr>
                    <w:t>m</w:t>
                  </w:r>
                  <w:r>
                    <w:rPr>
                      <w:color w:val="000000" w:themeColor="text1"/>
                      <w:sz w:val="21"/>
                      <w:szCs w:val="21"/>
                      <w:u w:val="single"/>
                      <w:vertAlign w:val="superscript"/>
                      <w14:textFill>
                        <w14:solidFill>
                          <w14:schemeClr w14:val="tx1"/>
                        </w14:solidFill>
                      </w14:textFill>
                    </w:rPr>
                    <w:t>2</w:t>
                  </w:r>
                  <w:r>
                    <w:rPr>
                      <w:color w:val="000000" w:themeColor="text1"/>
                      <w:sz w:val="21"/>
                      <w:szCs w:val="21"/>
                      <w:u w:val="single"/>
                      <w14:textFill>
                        <w14:solidFill>
                          <w14:schemeClr w14:val="tx1"/>
                        </w14:solidFill>
                      </w14:textFill>
                    </w:rPr>
                    <w:t>），危废间采取防雨、防风、防</w:t>
                  </w:r>
                  <w:r>
                    <w:rPr>
                      <w:rFonts w:hint="eastAsia"/>
                      <w:color w:val="000000" w:themeColor="text1"/>
                      <w:sz w:val="21"/>
                      <w:szCs w:val="21"/>
                      <w:u w:val="single"/>
                      <w14:textFill>
                        <w14:solidFill>
                          <w14:schemeClr w14:val="tx1"/>
                        </w14:solidFill>
                      </w14:textFill>
                    </w:rPr>
                    <w:t>渗漏</w:t>
                  </w:r>
                  <w:r>
                    <w:rPr>
                      <w:color w:val="000000" w:themeColor="text1"/>
                      <w:sz w:val="21"/>
                      <w:szCs w:val="21"/>
                      <w:u w:val="single"/>
                      <w14:textFill>
                        <w14:solidFill>
                          <w14:schemeClr w14:val="tx1"/>
                        </w14:solidFill>
                      </w14:textFill>
                    </w:rPr>
                    <w:t>、防流失措施，收集</w:t>
                  </w:r>
                  <w:r>
                    <w:rPr>
                      <w:rFonts w:hint="eastAsia"/>
                      <w:color w:val="000000" w:themeColor="text1"/>
                      <w:sz w:val="21"/>
                      <w:szCs w:val="21"/>
                      <w:u w:val="single"/>
                      <w14:textFill>
                        <w14:solidFill>
                          <w14:schemeClr w14:val="tx1"/>
                        </w14:solidFill>
                      </w14:textFill>
                    </w:rPr>
                    <w:t>后</w:t>
                  </w:r>
                  <w:r>
                    <w:rPr>
                      <w:color w:val="000000" w:themeColor="text1"/>
                      <w:sz w:val="21"/>
                      <w:szCs w:val="21"/>
                      <w:u w:val="single"/>
                      <w14:textFill>
                        <w14:solidFill>
                          <w14:schemeClr w14:val="tx1"/>
                        </w14:solidFill>
                      </w14:textFill>
                    </w:rPr>
                    <w:t>交由有危废处理资质单位处置</w:t>
                  </w:r>
                  <w:r>
                    <w:rPr>
                      <w:rFonts w:hint="eastAsia"/>
                      <w:color w:val="000000" w:themeColor="text1"/>
                      <w:sz w:val="21"/>
                      <w:szCs w:val="21"/>
                      <w:u w:val="single"/>
                      <w14:textFill>
                        <w14:solidFill>
                          <w14:schemeClr w14:val="tx1"/>
                        </w14:solidFill>
                      </w14:textFill>
                    </w:rPr>
                    <w:t>。</w:t>
                  </w:r>
                </w:p>
              </w:tc>
              <w:tc>
                <w:tcPr>
                  <w:tcW w:w="785" w:type="pct"/>
                  <w:vMerge w:val="continue"/>
                  <w:tcBorders>
                    <w:tl2br w:val="nil"/>
                    <w:tr2bl w:val="nil"/>
                  </w:tcBorders>
                  <w:vAlign w:val="center"/>
                </w:tcPr>
                <w:p w14:paraId="60FDFA44">
                  <w:pPr>
                    <w:adjustRightInd w:val="0"/>
                    <w:snapToGrid w:val="0"/>
                    <w:jc w:val="center"/>
                    <w:rPr>
                      <w:sz w:val="21"/>
                      <w:szCs w:val="21"/>
                      <w:u w:val="single"/>
                    </w:rPr>
                  </w:pPr>
                </w:p>
              </w:tc>
            </w:tr>
            <w:tr w14:paraId="2AF9C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5" w:type="pct"/>
                  <w:tcBorders>
                    <w:tl2br w:val="nil"/>
                    <w:tr2bl w:val="nil"/>
                  </w:tcBorders>
                  <w:vAlign w:val="center"/>
                </w:tcPr>
                <w:p w14:paraId="0108B511">
                  <w:pPr>
                    <w:adjustRightInd w:val="0"/>
                    <w:snapToGrid w:val="0"/>
                    <w:jc w:val="center"/>
                    <w:rPr>
                      <w:u w:val="single"/>
                    </w:rPr>
                  </w:pPr>
                  <w:r>
                    <w:rPr>
                      <w:rFonts w:hint="eastAsia"/>
                      <w:u w:val="single"/>
                    </w:rPr>
                    <w:t>依托工程</w:t>
                  </w:r>
                </w:p>
              </w:tc>
              <w:tc>
                <w:tcPr>
                  <w:tcW w:w="799" w:type="pct"/>
                  <w:tcBorders>
                    <w:tl2br w:val="nil"/>
                    <w:tr2bl w:val="nil"/>
                  </w:tcBorders>
                  <w:vAlign w:val="center"/>
                </w:tcPr>
                <w:p w14:paraId="4616F5B6">
                  <w:pPr>
                    <w:adjustRightInd w:val="0"/>
                    <w:snapToGrid w:val="0"/>
                    <w:jc w:val="center"/>
                    <w:rPr>
                      <w:sz w:val="21"/>
                      <w:szCs w:val="21"/>
                      <w:u w:val="single"/>
                    </w:rPr>
                  </w:pPr>
                  <w:r>
                    <w:rPr>
                      <w:rFonts w:hint="eastAsia"/>
                      <w:sz w:val="21"/>
                      <w:szCs w:val="21"/>
                      <w:u w:val="single"/>
                    </w:rPr>
                    <w:t>衡龙新区污水处理厂</w:t>
                  </w:r>
                </w:p>
              </w:tc>
              <w:tc>
                <w:tcPr>
                  <w:tcW w:w="2691" w:type="pct"/>
                  <w:tcBorders>
                    <w:tl2br w:val="nil"/>
                    <w:tr2bl w:val="nil"/>
                  </w:tcBorders>
                  <w:vAlign w:val="center"/>
                </w:tcPr>
                <w:p w14:paraId="79DD2B38">
                  <w:pPr>
                    <w:adjustRightInd w:val="0"/>
                    <w:snapToGrid w:val="0"/>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污水处理厂处理规模为1万m</w:t>
                  </w:r>
                  <w:r>
                    <w:rPr>
                      <w:color w:val="000000" w:themeColor="text1"/>
                      <w:sz w:val="21"/>
                      <w:szCs w:val="21"/>
                      <w:u w:val="single"/>
                      <w:vertAlign w:val="superscript"/>
                      <w14:textFill>
                        <w14:solidFill>
                          <w14:schemeClr w14:val="tx1"/>
                        </w14:solidFill>
                      </w14:textFill>
                    </w:rPr>
                    <w:t>3</w:t>
                  </w:r>
                  <w:r>
                    <w:rPr>
                      <w:color w:val="000000" w:themeColor="text1"/>
                      <w:sz w:val="21"/>
                      <w:szCs w:val="21"/>
                      <w:u w:val="single"/>
                      <w14:textFill>
                        <w14:solidFill>
                          <w14:schemeClr w14:val="tx1"/>
                        </w14:solidFill>
                      </w14:textFill>
                    </w:rPr>
                    <w:t>/d，现实际处理规模约0.4万m</w:t>
                  </w:r>
                  <w:r>
                    <w:rPr>
                      <w:color w:val="000000" w:themeColor="text1"/>
                      <w:sz w:val="21"/>
                      <w:szCs w:val="21"/>
                      <w:u w:val="single"/>
                      <w:vertAlign w:val="superscript"/>
                      <w14:textFill>
                        <w14:solidFill>
                          <w14:schemeClr w14:val="tx1"/>
                        </w14:solidFill>
                      </w14:textFill>
                    </w:rPr>
                    <w:t>3</w:t>
                  </w:r>
                  <w:r>
                    <w:rPr>
                      <w:color w:val="000000" w:themeColor="text1"/>
                      <w:sz w:val="21"/>
                      <w:szCs w:val="21"/>
                      <w:u w:val="single"/>
                      <w14:textFill>
                        <w14:solidFill>
                          <w14:schemeClr w14:val="tx1"/>
                        </w14:solidFill>
                      </w14:textFill>
                    </w:rPr>
                    <w:t>/d，服务范围镇区划建设范围内产生的全部生活污水与工业废水。</w:t>
                  </w:r>
                </w:p>
              </w:tc>
              <w:tc>
                <w:tcPr>
                  <w:tcW w:w="785" w:type="pct"/>
                  <w:tcBorders>
                    <w:tl2br w:val="nil"/>
                    <w:tr2bl w:val="nil"/>
                  </w:tcBorders>
                  <w:vAlign w:val="center"/>
                </w:tcPr>
                <w:p w14:paraId="34D0026C">
                  <w:pPr>
                    <w:adjustRightInd w:val="0"/>
                    <w:snapToGrid w:val="0"/>
                    <w:jc w:val="center"/>
                    <w:rPr>
                      <w:sz w:val="21"/>
                      <w:szCs w:val="21"/>
                      <w:u w:val="single"/>
                    </w:rPr>
                  </w:pPr>
                  <w:r>
                    <w:rPr>
                      <w:rFonts w:hint="eastAsia"/>
                      <w:color w:val="000000" w:themeColor="text1"/>
                      <w:sz w:val="21"/>
                      <w:szCs w:val="21"/>
                      <w:u w:val="single"/>
                      <w14:textFill>
                        <w14:solidFill>
                          <w14:schemeClr w14:val="tx1"/>
                        </w14:solidFill>
                      </w14:textFill>
                    </w:rPr>
                    <w:t>依托</w:t>
                  </w:r>
                </w:p>
              </w:tc>
            </w:tr>
          </w:tbl>
          <w:p w14:paraId="0DFD2667">
            <w:pPr>
              <w:kinsoku w:val="0"/>
              <w:wordWrap w:val="0"/>
              <w:autoSpaceDE w:val="0"/>
              <w:autoSpaceDN w:val="0"/>
              <w:adjustRightInd w:val="0"/>
              <w:snapToGrid w:val="0"/>
              <w:spacing w:line="360" w:lineRule="auto"/>
              <w:rPr>
                <w:b/>
                <w:bCs/>
                <w:color w:val="000000"/>
              </w:rPr>
            </w:pPr>
            <w:r>
              <w:rPr>
                <w:rFonts w:hint="eastAsia"/>
                <w:b/>
                <w:bCs/>
                <w:color w:val="000000"/>
              </w:rPr>
              <w:t>三、主要产品及产能</w:t>
            </w:r>
          </w:p>
          <w:p w14:paraId="43B6F910">
            <w:pPr>
              <w:kinsoku w:val="0"/>
              <w:wordWrap w:val="0"/>
              <w:adjustRightInd w:val="0"/>
              <w:snapToGrid w:val="0"/>
              <w:spacing w:line="360" w:lineRule="auto"/>
              <w:ind w:firstLine="480" w:firstLineChars="200"/>
              <w:textAlignment w:val="baseline"/>
              <w:rPr>
                <w:snapToGrid w:val="0"/>
                <w:color w:val="000000"/>
              </w:rPr>
            </w:pPr>
            <w:r>
              <w:rPr>
                <w:rFonts w:hint="eastAsia"/>
                <w:snapToGrid w:val="0"/>
                <w:color w:val="000000"/>
              </w:rPr>
              <w:t>项目产品方案详见表2-2。</w:t>
            </w:r>
          </w:p>
          <w:p w14:paraId="5D7DA4C4">
            <w:pPr>
              <w:kinsoku w:val="0"/>
              <w:overflowPunct w:val="0"/>
              <w:autoSpaceDE w:val="0"/>
              <w:autoSpaceDN w:val="0"/>
              <w:adjustRightInd w:val="0"/>
              <w:snapToGrid w:val="0"/>
              <w:jc w:val="center"/>
              <w:rPr>
                <w:b/>
                <w:bCs/>
                <w:color w:val="000000"/>
              </w:rPr>
            </w:pPr>
            <w:r>
              <w:rPr>
                <w:b/>
                <w:bCs/>
                <w:color w:val="000000"/>
              </w:rPr>
              <w:t>表2-2  产品方案一览表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813"/>
              <w:gridCol w:w="1420"/>
              <w:gridCol w:w="2124"/>
              <w:gridCol w:w="1132"/>
              <w:gridCol w:w="987"/>
              <w:gridCol w:w="781"/>
            </w:tblGrid>
            <w:tr w14:paraId="39845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60" w:type="pct"/>
                  <w:tcBorders>
                    <w:tl2br w:val="nil"/>
                    <w:tr2bl w:val="nil"/>
                  </w:tcBorders>
                  <w:vAlign w:val="center"/>
                </w:tcPr>
                <w:p w14:paraId="3826D7C2">
                  <w:pPr>
                    <w:jc w:val="center"/>
                    <w:rPr>
                      <w:rFonts w:hint="eastAsia" w:ascii="宋体" w:hAnsi="宋体" w:cs="宋体"/>
                      <w:b/>
                      <w:bCs/>
                      <w:color w:val="000000"/>
                      <w:sz w:val="21"/>
                      <w:szCs w:val="21"/>
                      <w:u w:val="single"/>
                    </w:rPr>
                  </w:pPr>
                  <w:r>
                    <w:rPr>
                      <w:rFonts w:hint="eastAsia" w:ascii="宋体" w:hAnsi="宋体" w:cs="宋体"/>
                      <w:b/>
                      <w:bCs/>
                      <w:color w:val="000000"/>
                      <w:sz w:val="21"/>
                      <w:szCs w:val="21"/>
                      <w:u w:val="single"/>
                    </w:rPr>
                    <w:t>序号</w:t>
                  </w:r>
                </w:p>
              </w:tc>
              <w:tc>
                <w:tcPr>
                  <w:tcW w:w="520" w:type="pct"/>
                  <w:tcBorders>
                    <w:tl2br w:val="nil"/>
                    <w:tr2bl w:val="nil"/>
                  </w:tcBorders>
                  <w:vAlign w:val="center"/>
                </w:tcPr>
                <w:p w14:paraId="452FFE2D">
                  <w:pPr>
                    <w:jc w:val="center"/>
                    <w:rPr>
                      <w:rFonts w:hint="eastAsia" w:ascii="宋体" w:hAnsi="宋体" w:cs="宋体"/>
                      <w:b/>
                      <w:bCs/>
                      <w:color w:val="000000"/>
                      <w:sz w:val="21"/>
                      <w:szCs w:val="21"/>
                      <w:u w:val="single"/>
                    </w:rPr>
                  </w:pPr>
                  <w:r>
                    <w:rPr>
                      <w:rFonts w:hint="eastAsia" w:ascii="宋体" w:hAnsi="宋体" w:cs="宋体"/>
                      <w:b/>
                      <w:bCs/>
                      <w:color w:val="000000"/>
                      <w:sz w:val="21"/>
                      <w:szCs w:val="21"/>
                      <w:u w:val="single"/>
                    </w:rPr>
                    <w:t>产品名称</w:t>
                  </w:r>
                </w:p>
              </w:tc>
              <w:tc>
                <w:tcPr>
                  <w:tcW w:w="908" w:type="pct"/>
                  <w:tcBorders>
                    <w:tl2br w:val="nil"/>
                    <w:tr2bl w:val="nil"/>
                  </w:tcBorders>
                  <w:vAlign w:val="center"/>
                </w:tcPr>
                <w:p w14:paraId="5D36CFE0">
                  <w:pPr>
                    <w:jc w:val="center"/>
                    <w:rPr>
                      <w:rFonts w:hint="eastAsia" w:ascii="宋体" w:hAnsi="宋体" w:cs="宋体"/>
                      <w:b/>
                      <w:bCs/>
                      <w:color w:val="000000"/>
                      <w:sz w:val="21"/>
                      <w:szCs w:val="21"/>
                      <w:u w:val="single"/>
                    </w:rPr>
                  </w:pPr>
                  <w:r>
                    <w:rPr>
                      <w:rFonts w:hint="eastAsia" w:ascii="宋体" w:hAnsi="宋体" w:cs="宋体"/>
                      <w:b/>
                      <w:bCs/>
                      <w:color w:val="000000" w:themeColor="text1"/>
                      <w:sz w:val="21"/>
                      <w:szCs w:val="21"/>
                      <w:u w:val="single"/>
                      <w14:textFill>
                        <w14:solidFill>
                          <w14:schemeClr w14:val="tx1"/>
                        </w14:solidFill>
                      </w14:textFill>
                    </w:rPr>
                    <w:t>类别</w:t>
                  </w:r>
                </w:p>
              </w:tc>
              <w:tc>
                <w:tcPr>
                  <w:tcW w:w="1358" w:type="pct"/>
                  <w:vAlign w:val="center"/>
                </w:tcPr>
                <w:p w14:paraId="469A2A8B">
                  <w:pPr>
                    <w:jc w:val="center"/>
                    <w:rPr>
                      <w:rFonts w:hint="eastAsia" w:ascii="宋体" w:hAnsi="宋体" w:cs="宋体"/>
                      <w:b/>
                      <w:bCs/>
                      <w:color w:val="000000"/>
                      <w:sz w:val="21"/>
                      <w:szCs w:val="21"/>
                      <w:u w:val="single"/>
                    </w:rPr>
                  </w:pPr>
                  <w:r>
                    <w:rPr>
                      <w:rFonts w:hint="eastAsia" w:ascii="宋体" w:hAnsi="宋体" w:cs="宋体"/>
                      <w:b/>
                      <w:bCs/>
                      <w:color w:val="000000"/>
                      <w:sz w:val="21"/>
                      <w:szCs w:val="21"/>
                      <w:u w:val="single"/>
                    </w:rPr>
                    <w:t>规格/尺寸</w:t>
                  </w:r>
                </w:p>
              </w:tc>
              <w:tc>
                <w:tcPr>
                  <w:tcW w:w="724" w:type="pct"/>
                  <w:tcBorders>
                    <w:tl2br w:val="nil"/>
                    <w:tr2bl w:val="nil"/>
                  </w:tcBorders>
                  <w:vAlign w:val="center"/>
                </w:tcPr>
                <w:p w14:paraId="1AD1A1D0">
                  <w:pPr>
                    <w:jc w:val="center"/>
                    <w:rPr>
                      <w:rFonts w:hint="eastAsia" w:ascii="宋体" w:hAnsi="宋体" w:cs="宋体"/>
                      <w:b/>
                      <w:bCs/>
                      <w:color w:val="000000"/>
                      <w:sz w:val="21"/>
                      <w:szCs w:val="21"/>
                      <w:u w:val="single"/>
                    </w:rPr>
                  </w:pPr>
                  <w:r>
                    <w:rPr>
                      <w:rFonts w:hint="eastAsia" w:ascii="宋体" w:hAnsi="宋体" w:cs="宋体"/>
                      <w:b/>
                      <w:bCs/>
                      <w:color w:val="000000"/>
                      <w:sz w:val="21"/>
                      <w:szCs w:val="21"/>
                      <w:u w:val="single"/>
                    </w:rPr>
                    <w:t>搬迁前年产量</w:t>
                  </w:r>
                </w:p>
              </w:tc>
              <w:tc>
                <w:tcPr>
                  <w:tcW w:w="631" w:type="pct"/>
                  <w:tcBorders>
                    <w:tl2br w:val="nil"/>
                    <w:tr2bl w:val="nil"/>
                  </w:tcBorders>
                  <w:vAlign w:val="center"/>
                </w:tcPr>
                <w:p w14:paraId="77396F71">
                  <w:pPr>
                    <w:jc w:val="center"/>
                    <w:rPr>
                      <w:rFonts w:hint="eastAsia" w:ascii="宋体" w:hAnsi="宋体" w:cs="宋体"/>
                      <w:b/>
                      <w:bCs/>
                      <w:color w:val="000000"/>
                      <w:sz w:val="21"/>
                      <w:szCs w:val="21"/>
                      <w:u w:val="single"/>
                    </w:rPr>
                  </w:pPr>
                  <w:r>
                    <w:rPr>
                      <w:rFonts w:hint="eastAsia" w:ascii="宋体" w:hAnsi="宋体" w:cs="宋体"/>
                      <w:b/>
                      <w:bCs/>
                      <w:color w:val="000000"/>
                      <w:sz w:val="21"/>
                      <w:szCs w:val="21"/>
                      <w:u w:val="single"/>
                    </w:rPr>
                    <w:t>搬迁后年产量</w:t>
                  </w:r>
                </w:p>
              </w:tc>
              <w:tc>
                <w:tcPr>
                  <w:tcW w:w="499" w:type="pct"/>
                  <w:tcBorders>
                    <w:tl2br w:val="nil"/>
                    <w:tr2bl w:val="nil"/>
                  </w:tcBorders>
                  <w:vAlign w:val="center"/>
                </w:tcPr>
                <w:p w14:paraId="71753BCE">
                  <w:pPr>
                    <w:jc w:val="center"/>
                    <w:rPr>
                      <w:rFonts w:hint="eastAsia" w:ascii="宋体" w:hAnsi="宋体" w:cs="宋体"/>
                      <w:b/>
                      <w:bCs/>
                      <w:color w:val="000000"/>
                      <w:sz w:val="21"/>
                      <w:szCs w:val="21"/>
                      <w:u w:val="single"/>
                    </w:rPr>
                  </w:pPr>
                  <w:r>
                    <w:rPr>
                      <w:rFonts w:hint="eastAsia" w:ascii="宋体" w:hAnsi="宋体" w:cs="宋体"/>
                      <w:b/>
                      <w:bCs/>
                      <w:color w:val="000000"/>
                      <w:sz w:val="21"/>
                      <w:szCs w:val="21"/>
                      <w:u w:val="single"/>
                    </w:rPr>
                    <w:t>变化量</w:t>
                  </w:r>
                </w:p>
              </w:tc>
            </w:tr>
            <w:tr w14:paraId="37388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0" w:type="pct"/>
                  <w:vMerge w:val="restart"/>
                  <w:tcBorders>
                    <w:tl2br w:val="nil"/>
                    <w:tr2bl w:val="nil"/>
                  </w:tcBorders>
                  <w:vAlign w:val="center"/>
                </w:tcPr>
                <w:p w14:paraId="24A9DC42">
                  <w:pPr>
                    <w:jc w:val="center"/>
                    <w:rPr>
                      <w:rFonts w:hint="eastAsia" w:ascii="宋体" w:hAnsi="宋体" w:cs="宋体"/>
                      <w:color w:val="000000"/>
                      <w:sz w:val="21"/>
                      <w:szCs w:val="21"/>
                      <w:u w:val="single"/>
                    </w:rPr>
                  </w:pPr>
                  <w:r>
                    <w:rPr>
                      <w:rFonts w:hint="eastAsia" w:ascii="宋体" w:hAnsi="宋体" w:cs="宋体"/>
                      <w:color w:val="000000"/>
                      <w:sz w:val="21"/>
                      <w:szCs w:val="21"/>
                      <w:u w:val="single"/>
                    </w:rPr>
                    <w:t>1</w:t>
                  </w:r>
                </w:p>
              </w:tc>
              <w:tc>
                <w:tcPr>
                  <w:tcW w:w="520" w:type="pct"/>
                  <w:vMerge w:val="restart"/>
                  <w:tcBorders>
                    <w:tl2br w:val="nil"/>
                    <w:tr2bl w:val="nil"/>
                  </w:tcBorders>
                  <w:vAlign w:val="center"/>
                </w:tcPr>
                <w:p w14:paraId="2373A732">
                  <w:pPr>
                    <w:jc w:val="center"/>
                    <w:rPr>
                      <w:rFonts w:hint="eastAsia" w:ascii="宋体" w:hAnsi="宋体" w:cs="宋体"/>
                      <w:color w:val="000000"/>
                      <w:sz w:val="21"/>
                      <w:szCs w:val="21"/>
                      <w:u w:val="single"/>
                    </w:rPr>
                  </w:pPr>
                  <w:r>
                    <w:rPr>
                      <w:rFonts w:hint="eastAsia"/>
                      <w:color w:val="000000"/>
                      <w:sz w:val="21"/>
                      <w:szCs w:val="21"/>
                      <w:u w:val="single"/>
                    </w:rPr>
                    <w:t>钢结构</w:t>
                  </w:r>
                </w:p>
              </w:tc>
              <w:tc>
                <w:tcPr>
                  <w:tcW w:w="908" w:type="pct"/>
                  <w:tcBorders>
                    <w:tl2br w:val="nil"/>
                    <w:tr2bl w:val="nil"/>
                  </w:tcBorders>
                  <w:vAlign w:val="center"/>
                </w:tcPr>
                <w:p w14:paraId="449AC118">
                  <w:pPr>
                    <w:jc w:val="center"/>
                    <w:rPr>
                      <w:color w:val="000000"/>
                      <w:sz w:val="21"/>
                      <w:szCs w:val="21"/>
                      <w:u w:val="single"/>
                    </w:rPr>
                  </w:pPr>
                  <w:r>
                    <w:rPr>
                      <w:rFonts w:hint="eastAsia"/>
                      <w:color w:val="000000"/>
                      <w:sz w:val="21"/>
                      <w:szCs w:val="21"/>
                      <w:u w:val="single"/>
                    </w:rPr>
                    <w:t>H型钢结构</w:t>
                  </w:r>
                </w:p>
              </w:tc>
              <w:tc>
                <w:tcPr>
                  <w:tcW w:w="1358" w:type="pct"/>
                  <w:tcBorders>
                    <w:tl2br w:val="nil"/>
                    <w:tr2bl w:val="nil"/>
                  </w:tcBorders>
                  <w:vAlign w:val="center"/>
                </w:tcPr>
                <w:p w14:paraId="0D9E34C0">
                  <w:pPr>
                    <w:jc w:val="center"/>
                    <w:rPr>
                      <w:color w:val="000000"/>
                      <w:sz w:val="21"/>
                      <w:szCs w:val="21"/>
                      <w:u w:val="single"/>
                    </w:rPr>
                  </w:pPr>
                  <w:r>
                    <w:rPr>
                      <w:rFonts w:hint="eastAsia"/>
                      <w:color w:val="000000"/>
                      <w:sz w:val="21"/>
                      <w:szCs w:val="21"/>
                      <w:u w:val="single"/>
                    </w:rPr>
                    <w:t>长6-12m、宽0.1-0.5m、高0.1-0.5m</w:t>
                  </w:r>
                </w:p>
              </w:tc>
              <w:tc>
                <w:tcPr>
                  <w:tcW w:w="724" w:type="pct"/>
                  <w:vMerge w:val="restart"/>
                  <w:tcBorders>
                    <w:tl2br w:val="nil"/>
                    <w:tr2bl w:val="nil"/>
                  </w:tcBorders>
                  <w:vAlign w:val="center"/>
                </w:tcPr>
                <w:p w14:paraId="4452B4CC">
                  <w:pPr>
                    <w:jc w:val="center"/>
                    <w:rPr>
                      <w:rFonts w:hint="eastAsia" w:ascii="宋体" w:hAnsi="宋体" w:cs="宋体"/>
                      <w:color w:val="000000"/>
                      <w:sz w:val="21"/>
                      <w:szCs w:val="21"/>
                      <w:u w:val="single"/>
                    </w:rPr>
                  </w:pPr>
                  <w:r>
                    <w:rPr>
                      <w:rFonts w:hint="eastAsia"/>
                      <w:color w:val="000000"/>
                      <w:sz w:val="21"/>
                      <w:szCs w:val="21"/>
                      <w:u w:val="single"/>
                    </w:rPr>
                    <w:t>5000</w:t>
                  </w:r>
                  <w:r>
                    <w:rPr>
                      <w:color w:val="000000"/>
                      <w:sz w:val="21"/>
                      <w:szCs w:val="21"/>
                      <w:u w:val="single"/>
                    </w:rPr>
                    <w:t>t</w:t>
                  </w:r>
                </w:p>
              </w:tc>
              <w:tc>
                <w:tcPr>
                  <w:tcW w:w="631" w:type="pct"/>
                  <w:vMerge w:val="restart"/>
                  <w:tcBorders>
                    <w:tl2br w:val="nil"/>
                    <w:tr2bl w:val="nil"/>
                  </w:tcBorders>
                  <w:vAlign w:val="center"/>
                </w:tcPr>
                <w:p w14:paraId="33EEDD96">
                  <w:pPr>
                    <w:jc w:val="center"/>
                    <w:rPr>
                      <w:color w:val="000000"/>
                      <w:sz w:val="21"/>
                      <w:szCs w:val="21"/>
                      <w:u w:val="single"/>
                    </w:rPr>
                  </w:pPr>
                  <w:r>
                    <w:rPr>
                      <w:rFonts w:hint="eastAsia"/>
                      <w:color w:val="000000"/>
                      <w:sz w:val="21"/>
                      <w:szCs w:val="21"/>
                      <w:u w:val="single"/>
                    </w:rPr>
                    <w:t>5000</w:t>
                  </w:r>
                  <w:r>
                    <w:rPr>
                      <w:color w:val="000000"/>
                      <w:sz w:val="21"/>
                      <w:szCs w:val="21"/>
                      <w:u w:val="single"/>
                    </w:rPr>
                    <w:t>t</w:t>
                  </w:r>
                </w:p>
              </w:tc>
              <w:tc>
                <w:tcPr>
                  <w:tcW w:w="499" w:type="pct"/>
                  <w:vMerge w:val="restart"/>
                  <w:tcBorders>
                    <w:tl2br w:val="nil"/>
                    <w:tr2bl w:val="nil"/>
                  </w:tcBorders>
                  <w:vAlign w:val="center"/>
                </w:tcPr>
                <w:p w14:paraId="6DB79769">
                  <w:pPr>
                    <w:jc w:val="center"/>
                    <w:rPr>
                      <w:color w:val="000000"/>
                      <w:sz w:val="21"/>
                      <w:szCs w:val="21"/>
                      <w:u w:val="single"/>
                    </w:rPr>
                  </w:pPr>
                  <w:r>
                    <w:rPr>
                      <w:rFonts w:hint="eastAsia"/>
                      <w:color w:val="000000"/>
                      <w:sz w:val="21"/>
                      <w:szCs w:val="21"/>
                      <w:u w:val="single"/>
                    </w:rPr>
                    <w:t>0</w:t>
                  </w:r>
                </w:p>
              </w:tc>
            </w:tr>
            <w:tr w14:paraId="01E09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60" w:type="pct"/>
                  <w:vMerge w:val="continue"/>
                  <w:tcBorders>
                    <w:tl2br w:val="nil"/>
                    <w:tr2bl w:val="nil"/>
                  </w:tcBorders>
                  <w:vAlign w:val="center"/>
                </w:tcPr>
                <w:p w14:paraId="10E8174E">
                  <w:pPr>
                    <w:jc w:val="center"/>
                    <w:rPr>
                      <w:rFonts w:hint="eastAsia" w:ascii="宋体" w:hAnsi="宋体" w:cs="宋体"/>
                      <w:color w:val="000000"/>
                      <w:sz w:val="21"/>
                      <w:szCs w:val="21"/>
                    </w:rPr>
                  </w:pPr>
                </w:p>
              </w:tc>
              <w:tc>
                <w:tcPr>
                  <w:tcW w:w="520" w:type="pct"/>
                  <w:vMerge w:val="continue"/>
                  <w:tcBorders>
                    <w:tl2br w:val="nil"/>
                    <w:tr2bl w:val="nil"/>
                  </w:tcBorders>
                  <w:vAlign w:val="center"/>
                </w:tcPr>
                <w:p w14:paraId="32D2CCAD">
                  <w:pPr>
                    <w:jc w:val="center"/>
                    <w:rPr>
                      <w:color w:val="000000"/>
                      <w:sz w:val="21"/>
                      <w:szCs w:val="21"/>
                    </w:rPr>
                  </w:pPr>
                </w:p>
              </w:tc>
              <w:tc>
                <w:tcPr>
                  <w:tcW w:w="908" w:type="pct"/>
                  <w:tcBorders>
                    <w:tl2br w:val="nil"/>
                    <w:tr2bl w:val="nil"/>
                  </w:tcBorders>
                  <w:vAlign w:val="center"/>
                </w:tcPr>
                <w:p w14:paraId="393B03A4">
                  <w:pPr>
                    <w:jc w:val="center"/>
                    <w:rPr>
                      <w:color w:val="000000"/>
                      <w:sz w:val="21"/>
                      <w:szCs w:val="21"/>
                      <w:u w:val="single"/>
                    </w:rPr>
                  </w:pPr>
                  <w:r>
                    <w:rPr>
                      <w:rFonts w:hint="eastAsia"/>
                      <w:color w:val="000000"/>
                      <w:sz w:val="21"/>
                      <w:szCs w:val="21"/>
                      <w:u w:val="single"/>
                    </w:rPr>
                    <w:t>网架钢结构</w:t>
                  </w:r>
                </w:p>
              </w:tc>
              <w:tc>
                <w:tcPr>
                  <w:tcW w:w="1358" w:type="pct"/>
                  <w:tcBorders>
                    <w:tl2br w:val="nil"/>
                    <w:tr2bl w:val="nil"/>
                  </w:tcBorders>
                  <w:vAlign w:val="center"/>
                </w:tcPr>
                <w:p w14:paraId="5C02CB4F">
                  <w:pPr>
                    <w:jc w:val="center"/>
                    <w:rPr>
                      <w:color w:val="000000"/>
                      <w:sz w:val="21"/>
                      <w:szCs w:val="21"/>
                      <w:u w:val="single"/>
                    </w:rPr>
                  </w:pPr>
                  <w:r>
                    <w:rPr>
                      <w:rFonts w:hint="eastAsia"/>
                      <w:color w:val="000000"/>
                      <w:sz w:val="21"/>
                      <w:szCs w:val="21"/>
                      <w:u w:val="single"/>
                    </w:rPr>
                    <w:t>2m×2m、2.5m×2.5m、3m×3m</w:t>
                  </w:r>
                </w:p>
              </w:tc>
              <w:tc>
                <w:tcPr>
                  <w:tcW w:w="724" w:type="pct"/>
                  <w:vMerge w:val="continue"/>
                  <w:tcBorders>
                    <w:tl2br w:val="nil"/>
                    <w:tr2bl w:val="nil"/>
                  </w:tcBorders>
                  <w:vAlign w:val="center"/>
                </w:tcPr>
                <w:p w14:paraId="723E73F5">
                  <w:pPr>
                    <w:jc w:val="center"/>
                    <w:rPr>
                      <w:color w:val="000000"/>
                      <w:sz w:val="21"/>
                      <w:szCs w:val="21"/>
                    </w:rPr>
                  </w:pPr>
                </w:p>
              </w:tc>
              <w:tc>
                <w:tcPr>
                  <w:tcW w:w="631" w:type="pct"/>
                  <w:vMerge w:val="continue"/>
                  <w:tcBorders>
                    <w:tl2br w:val="nil"/>
                    <w:tr2bl w:val="nil"/>
                  </w:tcBorders>
                  <w:vAlign w:val="center"/>
                </w:tcPr>
                <w:p w14:paraId="60F36B2C">
                  <w:pPr>
                    <w:jc w:val="center"/>
                    <w:rPr>
                      <w:color w:val="000000"/>
                      <w:sz w:val="21"/>
                      <w:szCs w:val="21"/>
                    </w:rPr>
                  </w:pPr>
                </w:p>
              </w:tc>
              <w:tc>
                <w:tcPr>
                  <w:tcW w:w="499" w:type="pct"/>
                  <w:vMerge w:val="continue"/>
                  <w:tcBorders>
                    <w:tl2br w:val="nil"/>
                    <w:tr2bl w:val="nil"/>
                  </w:tcBorders>
                  <w:vAlign w:val="center"/>
                </w:tcPr>
                <w:p w14:paraId="756369D9">
                  <w:pPr>
                    <w:jc w:val="center"/>
                    <w:rPr>
                      <w:color w:val="000000"/>
                      <w:sz w:val="21"/>
                      <w:szCs w:val="21"/>
                    </w:rPr>
                  </w:pPr>
                </w:p>
              </w:tc>
            </w:tr>
          </w:tbl>
          <w:p w14:paraId="0DD72854">
            <w:pPr>
              <w:kinsoku w:val="0"/>
              <w:wordWrap w:val="0"/>
              <w:autoSpaceDE w:val="0"/>
              <w:autoSpaceDN w:val="0"/>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四、主要原辅材料/</w:t>
            </w:r>
          </w:p>
          <w:p w14:paraId="1232D61E">
            <w:pPr>
              <w:kinsoku w:val="0"/>
              <w:wordWrap w:val="0"/>
              <w:adjustRightInd w:val="0"/>
              <w:snapToGrid w:val="0"/>
              <w:spacing w:line="360" w:lineRule="auto"/>
              <w:ind w:firstLine="480" w:firstLineChars="200"/>
              <w:textAlignment w:val="baseline"/>
              <w:rPr>
                <w:snapToGrid w:val="0"/>
                <w:color w:val="000000"/>
              </w:rPr>
            </w:pPr>
            <w:r>
              <w:rPr>
                <w:rFonts w:hint="eastAsia"/>
                <w:snapToGrid w:val="0"/>
                <w:color w:val="000000"/>
              </w:rPr>
              <w:t>全厂主要原辅材料及年用量见下表2-3。</w:t>
            </w:r>
          </w:p>
          <w:p w14:paraId="434CE7D5">
            <w:pPr>
              <w:keepNext/>
              <w:keepLines/>
              <w:widowControl/>
              <w:jc w:val="center"/>
              <w:rPr>
                <w:b/>
                <w:bCs/>
                <w:color w:val="000000"/>
              </w:rPr>
            </w:pPr>
            <w:r>
              <w:rPr>
                <w:b/>
                <w:bCs/>
                <w:color w:val="000000"/>
              </w:rPr>
              <w:t>表2-3   项目原辅材料及能源消耗情况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589"/>
              <w:gridCol w:w="1054"/>
              <w:gridCol w:w="1056"/>
              <w:gridCol w:w="1201"/>
              <w:gridCol w:w="1120"/>
              <w:gridCol w:w="1126"/>
            </w:tblGrid>
            <w:tr w14:paraId="4CA6D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9" w:type="pct"/>
                  <w:tcBorders>
                    <w:tl2br w:val="nil"/>
                    <w:tr2bl w:val="nil"/>
                  </w:tcBorders>
                  <w:vAlign w:val="center"/>
                </w:tcPr>
                <w:p w14:paraId="7866B349">
                  <w:pPr>
                    <w:keepNext/>
                    <w:keepLines/>
                    <w:widowControl/>
                    <w:jc w:val="center"/>
                    <w:rPr>
                      <w:b/>
                      <w:bCs/>
                      <w:color w:val="000000"/>
                      <w:sz w:val="21"/>
                      <w:szCs w:val="21"/>
                    </w:rPr>
                  </w:pPr>
                  <w:r>
                    <w:rPr>
                      <w:b/>
                      <w:bCs/>
                      <w:color w:val="000000"/>
                      <w:sz w:val="21"/>
                      <w:szCs w:val="21"/>
                    </w:rPr>
                    <w:t>序号</w:t>
                  </w:r>
                </w:p>
              </w:tc>
              <w:tc>
                <w:tcPr>
                  <w:tcW w:w="1016" w:type="pct"/>
                  <w:tcBorders>
                    <w:tl2br w:val="nil"/>
                    <w:tr2bl w:val="nil"/>
                  </w:tcBorders>
                  <w:vAlign w:val="center"/>
                </w:tcPr>
                <w:p w14:paraId="16F900B7">
                  <w:pPr>
                    <w:keepNext/>
                    <w:keepLines/>
                    <w:widowControl/>
                    <w:jc w:val="center"/>
                    <w:rPr>
                      <w:b/>
                      <w:bCs/>
                      <w:color w:val="000000"/>
                      <w:sz w:val="21"/>
                      <w:szCs w:val="21"/>
                    </w:rPr>
                  </w:pPr>
                  <w:r>
                    <w:rPr>
                      <w:b/>
                      <w:bCs/>
                      <w:color w:val="000000"/>
                      <w:sz w:val="21"/>
                      <w:szCs w:val="21"/>
                    </w:rPr>
                    <w:t>名称</w:t>
                  </w:r>
                </w:p>
              </w:tc>
              <w:tc>
                <w:tcPr>
                  <w:tcW w:w="673" w:type="pct"/>
                  <w:tcBorders>
                    <w:tl2br w:val="nil"/>
                    <w:tr2bl w:val="nil"/>
                  </w:tcBorders>
                  <w:vAlign w:val="center"/>
                </w:tcPr>
                <w:p w14:paraId="699D366F">
                  <w:pPr>
                    <w:keepNext/>
                    <w:keepLines/>
                    <w:widowControl/>
                    <w:jc w:val="center"/>
                    <w:rPr>
                      <w:b/>
                      <w:bCs/>
                      <w:color w:val="000000"/>
                      <w:sz w:val="21"/>
                      <w:szCs w:val="21"/>
                    </w:rPr>
                  </w:pPr>
                  <w:r>
                    <w:rPr>
                      <w:rFonts w:hint="eastAsia"/>
                      <w:b/>
                      <w:bCs/>
                      <w:color w:val="000000"/>
                      <w:sz w:val="21"/>
                      <w:szCs w:val="21"/>
                    </w:rPr>
                    <w:t>搬迁前</w:t>
                  </w:r>
                  <w:r>
                    <w:rPr>
                      <w:b/>
                      <w:bCs/>
                      <w:color w:val="000000"/>
                      <w:sz w:val="21"/>
                      <w:szCs w:val="21"/>
                    </w:rPr>
                    <w:t>年用量</w:t>
                  </w:r>
                </w:p>
              </w:tc>
              <w:tc>
                <w:tcPr>
                  <w:tcW w:w="675" w:type="pct"/>
                  <w:tcBorders>
                    <w:tl2br w:val="nil"/>
                    <w:tr2bl w:val="nil"/>
                  </w:tcBorders>
                  <w:vAlign w:val="center"/>
                </w:tcPr>
                <w:p w14:paraId="4F3E24E1">
                  <w:pPr>
                    <w:keepNext/>
                    <w:keepLines/>
                    <w:widowControl/>
                    <w:jc w:val="center"/>
                    <w:rPr>
                      <w:b/>
                      <w:bCs/>
                      <w:color w:val="000000"/>
                      <w:sz w:val="21"/>
                      <w:szCs w:val="21"/>
                    </w:rPr>
                  </w:pPr>
                  <w:r>
                    <w:rPr>
                      <w:rFonts w:hint="eastAsia"/>
                      <w:b/>
                      <w:bCs/>
                      <w:color w:val="000000"/>
                      <w:sz w:val="21"/>
                      <w:szCs w:val="21"/>
                    </w:rPr>
                    <w:t>搬迁后年用量</w:t>
                  </w:r>
                </w:p>
              </w:tc>
              <w:tc>
                <w:tcPr>
                  <w:tcW w:w="768" w:type="pct"/>
                  <w:tcBorders>
                    <w:tl2br w:val="nil"/>
                    <w:tr2bl w:val="nil"/>
                  </w:tcBorders>
                  <w:vAlign w:val="center"/>
                </w:tcPr>
                <w:p w14:paraId="1E199C70">
                  <w:pPr>
                    <w:keepNext/>
                    <w:keepLines/>
                    <w:widowControl/>
                    <w:jc w:val="center"/>
                    <w:rPr>
                      <w:b/>
                      <w:bCs/>
                      <w:color w:val="000000"/>
                      <w:sz w:val="21"/>
                      <w:szCs w:val="21"/>
                    </w:rPr>
                  </w:pPr>
                  <w:r>
                    <w:rPr>
                      <w:rFonts w:hint="eastAsia"/>
                      <w:b/>
                      <w:bCs/>
                      <w:color w:val="000000"/>
                      <w:sz w:val="21"/>
                      <w:szCs w:val="21"/>
                    </w:rPr>
                    <w:t>变化量</w:t>
                  </w:r>
                </w:p>
              </w:tc>
              <w:tc>
                <w:tcPr>
                  <w:tcW w:w="716" w:type="pct"/>
                  <w:tcBorders>
                    <w:tl2br w:val="nil"/>
                    <w:tr2bl w:val="nil"/>
                  </w:tcBorders>
                  <w:vAlign w:val="center"/>
                </w:tcPr>
                <w:p w14:paraId="57934037">
                  <w:pPr>
                    <w:keepNext/>
                    <w:keepLines/>
                    <w:widowControl/>
                    <w:jc w:val="center"/>
                    <w:rPr>
                      <w:b/>
                      <w:bCs/>
                      <w:color w:val="000000"/>
                      <w:sz w:val="21"/>
                      <w:szCs w:val="21"/>
                    </w:rPr>
                  </w:pPr>
                  <w:r>
                    <w:rPr>
                      <w:rFonts w:hint="eastAsia"/>
                      <w:b/>
                      <w:bCs/>
                      <w:color w:val="000000"/>
                      <w:sz w:val="21"/>
                      <w:szCs w:val="21"/>
                    </w:rPr>
                    <w:t>单位</w:t>
                  </w:r>
                </w:p>
              </w:tc>
              <w:tc>
                <w:tcPr>
                  <w:tcW w:w="720" w:type="pct"/>
                  <w:tcBorders>
                    <w:tl2br w:val="nil"/>
                    <w:tr2bl w:val="nil"/>
                  </w:tcBorders>
                  <w:vAlign w:val="center"/>
                </w:tcPr>
                <w:p w14:paraId="47135B6A">
                  <w:pPr>
                    <w:keepNext/>
                    <w:keepLines/>
                    <w:widowControl/>
                    <w:jc w:val="center"/>
                    <w:rPr>
                      <w:b/>
                      <w:bCs/>
                      <w:color w:val="000000"/>
                      <w:sz w:val="21"/>
                      <w:szCs w:val="21"/>
                    </w:rPr>
                  </w:pPr>
                  <w:r>
                    <w:rPr>
                      <w:b/>
                      <w:bCs/>
                      <w:color w:val="000000"/>
                      <w:sz w:val="21"/>
                      <w:szCs w:val="21"/>
                    </w:rPr>
                    <w:t>最大储存量</w:t>
                  </w:r>
                </w:p>
              </w:tc>
            </w:tr>
            <w:tr w14:paraId="6BB7A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38BC6582">
                  <w:pPr>
                    <w:jc w:val="center"/>
                    <w:rPr>
                      <w:color w:val="000000" w:themeColor="text1"/>
                      <w:sz w:val="21"/>
                      <w:szCs w:val="21"/>
                      <w14:textFill>
                        <w14:solidFill>
                          <w14:schemeClr w14:val="tx1"/>
                        </w14:solidFill>
                      </w14:textFill>
                    </w:rPr>
                  </w:pPr>
                  <w:r>
                    <w:rPr>
                      <w:sz w:val="21"/>
                      <w:szCs w:val="21"/>
                    </w:rPr>
                    <w:t>1</w:t>
                  </w:r>
                </w:p>
              </w:tc>
              <w:tc>
                <w:tcPr>
                  <w:tcW w:w="1016" w:type="pct"/>
                  <w:tcBorders>
                    <w:tl2br w:val="nil"/>
                    <w:tr2bl w:val="nil"/>
                  </w:tcBorders>
                  <w:vAlign w:val="center"/>
                </w:tcPr>
                <w:p w14:paraId="2E8F0C70">
                  <w:pPr>
                    <w:jc w:val="center"/>
                    <w:rPr>
                      <w:color w:val="000000" w:themeColor="text1"/>
                      <w:sz w:val="21"/>
                      <w:szCs w:val="21"/>
                      <w14:textFill>
                        <w14:solidFill>
                          <w14:schemeClr w14:val="tx1"/>
                        </w14:solidFill>
                      </w14:textFill>
                    </w:rPr>
                  </w:pPr>
                  <w:r>
                    <w:rPr>
                      <w:sz w:val="21"/>
                      <w:szCs w:val="21"/>
                    </w:rPr>
                    <w:t>钢铁</w:t>
                  </w:r>
                </w:p>
              </w:tc>
              <w:tc>
                <w:tcPr>
                  <w:tcW w:w="673" w:type="pct"/>
                  <w:tcBorders>
                    <w:tl2br w:val="nil"/>
                    <w:tr2bl w:val="nil"/>
                  </w:tcBorders>
                  <w:vAlign w:val="center"/>
                </w:tcPr>
                <w:p w14:paraId="40DCE0DB">
                  <w:pPr>
                    <w:jc w:val="center"/>
                    <w:rPr>
                      <w:color w:val="000000" w:themeColor="text1"/>
                      <w:sz w:val="21"/>
                      <w:szCs w:val="21"/>
                      <w14:textFill>
                        <w14:solidFill>
                          <w14:schemeClr w14:val="tx1"/>
                        </w14:solidFill>
                      </w14:textFill>
                    </w:rPr>
                  </w:pPr>
                  <w:r>
                    <w:rPr>
                      <w:rFonts w:hint="eastAsia"/>
                      <w:sz w:val="21"/>
                      <w:szCs w:val="21"/>
                    </w:rPr>
                    <w:t>5050</w:t>
                  </w:r>
                </w:p>
              </w:tc>
              <w:tc>
                <w:tcPr>
                  <w:tcW w:w="675" w:type="pct"/>
                  <w:tcBorders>
                    <w:tl2br w:val="nil"/>
                    <w:tr2bl w:val="nil"/>
                  </w:tcBorders>
                  <w:vAlign w:val="center"/>
                </w:tcPr>
                <w:p w14:paraId="74AB05ED">
                  <w:pPr>
                    <w:jc w:val="center"/>
                    <w:rPr>
                      <w:color w:val="000000" w:themeColor="text1"/>
                      <w:sz w:val="21"/>
                      <w:szCs w:val="21"/>
                      <w14:textFill>
                        <w14:solidFill>
                          <w14:schemeClr w14:val="tx1"/>
                        </w14:solidFill>
                      </w14:textFill>
                    </w:rPr>
                  </w:pPr>
                  <w:r>
                    <w:rPr>
                      <w:rFonts w:hint="eastAsia"/>
                      <w:sz w:val="21"/>
                      <w:szCs w:val="21"/>
                    </w:rPr>
                    <w:t>5050</w:t>
                  </w:r>
                </w:p>
              </w:tc>
              <w:tc>
                <w:tcPr>
                  <w:tcW w:w="768" w:type="pct"/>
                  <w:tcBorders>
                    <w:tl2br w:val="nil"/>
                    <w:tr2bl w:val="nil"/>
                  </w:tcBorders>
                  <w:vAlign w:val="center"/>
                </w:tcPr>
                <w:p w14:paraId="600F432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16" w:type="pct"/>
                  <w:tcBorders>
                    <w:tl2br w:val="nil"/>
                    <w:tr2bl w:val="nil"/>
                  </w:tcBorders>
                  <w:vAlign w:val="center"/>
                </w:tcPr>
                <w:p w14:paraId="44909C04">
                  <w:pPr>
                    <w:jc w:val="center"/>
                    <w:rPr>
                      <w:color w:val="000000" w:themeColor="text1"/>
                      <w:sz w:val="21"/>
                      <w:szCs w:val="21"/>
                      <w14:textFill>
                        <w14:solidFill>
                          <w14:schemeClr w14:val="tx1"/>
                        </w14:solidFill>
                      </w14:textFill>
                    </w:rPr>
                  </w:pPr>
                  <w:r>
                    <w:rPr>
                      <w:rFonts w:hint="eastAsia"/>
                      <w:sz w:val="21"/>
                      <w:szCs w:val="21"/>
                    </w:rPr>
                    <w:t>t</w:t>
                  </w:r>
                </w:p>
              </w:tc>
              <w:tc>
                <w:tcPr>
                  <w:tcW w:w="720" w:type="pct"/>
                  <w:tcBorders>
                    <w:tl2br w:val="nil"/>
                    <w:tr2bl w:val="nil"/>
                  </w:tcBorders>
                  <w:vAlign w:val="center"/>
                </w:tcPr>
                <w:p w14:paraId="7ABE25A8">
                  <w:pPr>
                    <w:jc w:val="center"/>
                    <w:rPr>
                      <w:sz w:val="21"/>
                      <w:szCs w:val="21"/>
                    </w:rPr>
                  </w:pPr>
                  <w:r>
                    <w:rPr>
                      <w:rFonts w:hint="eastAsia"/>
                      <w:sz w:val="21"/>
                      <w:szCs w:val="21"/>
                    </w:rPr>
                    <w:t>100</w:t>
                  </w:r>
                </w:p>
              </w:tc>
            </w:tr>
            <w:tr w14:paraId="7986B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29" w:type="pct"/>
                  <w:tcBorders>
                    <w:tl2br w:val="nil"/>
                    <w:tr2bl w:val="nil"/>
                  </w:tcBorders>
                  <w:vAlign w:val="center"/>
                </w:tcPr>
                <w:p w14:paraId="7F8BA68A">
                  <w:pPr>
                    <w:jc w:val="center"/>
                    <w:rPr>
                      <w:color w:val="000000" w:themeColor="text1"/>
                      <w:sz w:val="21"/>
                      <w:szCs w:val="21"/>
                      <w14:textFill>
                        <w14:solidFill>
                          <w14:schemeClr w14:val="tx1"/>
                        </w14:solidFill>
                      </w14:textFill>
                    </w:rPr>
                  </w:pPr>
                  <w:r>
                    <w:rPr>
                      <w:sz w:val="21"/>
                      <w:szCs w:val="21"/>
                    </w:rPr>
                    <w:t>2</w:t>
                  </w:r>
                </w:p>
              </w:tc>
              <w:tc>
                <w:tcPr>
                  <w:tcW w:w="1016" w:type="pct"/>
                  <w:tcBorders>
                    <w:tl2br w:val="nil"/>
                    <w:tr2bl w:val="nil"/>
                  </w:tcBorders>
                  <w:vAlign w:val="center"/>
                </w:tcPr>
                <w:p w14:paraId="2B80F13F">
                  <w:pPr>
                    <w:jc w:val="center"/>
                    <w:rPr>
                      <w:color w:val="000000" w:themeColor="text1"/>
                      <w:sz w:val="21"/>
                      <w:szCs w:val="21"/>
                      <w14:textFill>
                        <w14:solidFill>
                          <w14:schemeClr w14:val="tx1"/>
                        </w14:solidFill>
                      </w14:textFill>
                    </w:rPr>
                  </w:pPr>
                  <w:r>
                    <w:rPr>
                      <w:sz w:val="21"/>
                      <w:szCs w:val="21"/>
                    </w:rPr>
                    <w:t>5mm实芯焊丝</w:t>
                  </w:r>
                </w:p>
              </w:tc>
              <w:tc>
                <w:tcPr>
                  <w:tcW w:w="674" w:type="pct"/>
                  <w:tcBorders>
                    <w:tl2br w:val="nil"/>
                    <w:tr2bl w:val="nil"/>
                  </w:tcBorders>
                  <w:vAlign w:val="center"/>
                </w:tcPr>
                <w:p w14:paraId="0CB3D422">
                  <w:pPr>
                    <w:jc w:val="center"/>
                    <w:rPr>
                      <w:color w:val="000000" w:themeColor="text1"/>
                      <w:sz w:val="21"/>
                      <w:szCs w:val="21"/>
                      <w14:textFill>
                        <w14:solidFill>
                          <w14:schemeClr w14:val="tx1"/>
                        </w14:solidFill>
                      </w14:textFill>
                    </w:rPr>
                  </w:pPr>
                  <w:r>
                    <w:rPr>
                      <w:rFonts w:hint="eastAsia"/>
                      <w:sz w:val="21"/>
                      <w:szCs w:val="21"/>
                    </w:rPr>
                    <w:t>39</w:t>
                  </w:r>
                </w:p>
              </w:tc>
              <w:tc>
                <w:tcPr>
                  <w:tcW w:w="674" w:type="pct"/>
                  <w:tcBorders>
                    <w:tl2br w:val="nil"/>
                    <w:tr2bl w:val="nil"/>
                  </w:tcBorders>
                  <w:vAlign w:val="center"/>
                </w:tcPr>
                <w:p w14:paraId="69DDD273">
                  <w:pPr>
                    <w:jc w:val="center"/>
                    <w:rPr>
                      <w:color w:val="000000" w:themeColor="text1"/>
                      <w:sz w:val="21"/>
                      <w:szCs w:val="21"/>
                      <w14:textFill>
                        <w14:solidFill>
                          <w14:schemeClr w14:val="tx1"/>
                        </w14:solidFill>
                      </w14:textFill>
                    </w:rPr>
                  </w:pPr>
                  <w:r>
                    <w:rPr>
                      <w:rFonts w:hint="eastAsia"/>
                      <w:sz w:val="21"/>
                      <w:szCs w:val="21"/>
                    </w:rPr>
                    <w:t>39</w:t>
                  </w:r>
                </w:p>
              </w:tc>
              <w:tc>
                <w:tcPr>
                  <w:tcW w:w="768" w:type="pct"/>
                  <w:tcBorders>
                    <w:tl2br w:val="nil"/>
                    <w:tr2bl w:val="nil"/>
                  </w:tcBorders>
                  <w:vAlign w:val="center"/>
                </w:tcPr>
                <w:p w14:paraId="7DDF6528">
                  <w:pPr>
                    <w:jc w:val="center"/>
                    <w:rPr>
                      <w:color w:val="000000" w:themeColor="text1"/>
                      <w:sz w:val="21"/>
                      <w:szCs w:val="21"/>
                      <w14:textFill>
                        <w14:solidFill>
                          <w14:schemeClr w14:val="tx1"/>
                        </w14:solidFill>
                      </w14:textFill>
                    </w:rPr>
                  </w:pPr>
                  <w:r>
                    <w:rPr>
                      <w:rFonts w:hint="eastAsia"/>
                      <w:sz w:val="21"/>
                      <w:szCs w:val="21"/>
                    </w:rPr>
                    <w:t>/</w:t>
                  </w:r>
                </w:p>
              </w:tc>
              <w:tc>
                <w:tcPr>
                  <w:tcW w:w="716" w:type="pct"/>
                  <w:tcBorders>
                    <w:tl2br w:val="nil"/>
                    <w:tr2bl w:val="nil"/>
                  </w:tcBorders>
                  <w:vAlign w:val="center"/>
                </w:tcPr>
                <w:p w14:paraId="7E38B87F">
                  <w:pPr>
                    <w:jc w:val="center"/>
                    <w:rPr>
                      <w:color w:val="000000" w:themeColor="text1"/>
                      <w:sz w:val="21"/>
                      <w:szCs w:val="21"/>
                      <w14:textFill>
                        <w14:solidFill>
                          <w14:schemeClr w14:val="tx1"/>
                        </w14:solidFill>
                      </w14:textFill>
                    </w:rPr>
                  </w:pPr>
                  <w:r>
                    <w:rPr>
                      <w:rFonts w:hint="eastAsia"/>
                      <w:sz w:val="21"/>
                      <w:szCs w:val="21"/>
                    </w:rPr>
                    <w:t>t</w:t>
                  </w:r>
                </w:p>
              </w:tc>
              <w:tc>
                <w:tcPr>
                  <w:tcW w:w="720" w:type="pct"/>
                  <w:tcBorders>
                    <w:tl2br w:val="nil"/>
                    <w:tr2bl w:val="nil"/>
                  </w:tcBorders>
                  <w:vAlign w:val="center"/>
                </w:tcPr>
                <w:p w14:paraId="610AE1D6">
                  <w:pPr>
                    <w:jc w:val="center"/>
                    <w:rPr>
                      <w:sz w:val="21"/>
                      <w:szCs w:val="21"/>
                    </w:rPr>
                  </w:pPr>
                  <w:r>
                    <w:rPr>
                      <w:rFonts w:hint="eastAsia"/>
                      <w:sz w:val="21"/>
                      <w:szCs w:val="21"/>
                    </w:rPr>
                    <w:t>8</w:t>
                  </w:r>
                </w:p>
              </w:tc>
            </w:tr>
            <w:tr w14:paraId="2550E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29" w:type="pct"/>
                  <w:tcBorders>
                    <w:tl2br w:val="nil"/>
                    <w:tr2bl w:val="nil"/>
                  </w:tcBorders>
                  <w:vAlign w:val="center"/>
                </w:tcPr>
                <w:p w14:paraId="406B11DE">
                  <w:pPr>
                    <w:jc w:val="center"/>
                    <w:rPr>
                      <w:color w:val="000000" w:themeColor="text1"/>
                      <w:sz w:val="21"/>
                      <w:szCs w:val="21"/>
                      <w14:textFill>
                        <w14:solidFill>
                          <w14:schemeClr w14:val="tx1"/>
                        </w14:solidFill>
                      </w14:textFill>
                    </w:rPr>
                  </w:pPr>
                  <w:r>
                    <w:rPr>
                      <w:sz w:val="21"/>
                      <w:szCs w:val="21"/>
                    </w:rPr>
                    <w:t>3</w:t>
                  </w:r>
                </w:p>
              </w:tc>
              <w:tc>
                <w:tcPr>
                  <w:tcW w:w="1016" w:type="pct"/>
                  <w:tcBorders>
                    <w:tl2br w:val="nil"/>
                    <w:tr2bl w:val="nil"/>
                  </w:tcBorders>
                  <w:vAlign w:val="center"/>
                </w:tcPr>
                <w:p w14:paraId="66994365">
                  <w:pPr>
                    <w:jc w:val="center"/>
                    <w:rPr>
                      <w:sz w:val="21"/>
                      <w:szCs w:val="21"/>
                    </w:rPr>
                  </w:pPr>
                  <w:r>
                    <w:rPr>
                      <w:rFonts w:hint="eastAsia"/>
                      <w:sz w:val="21"/>
                      <w:szCs w:val="21"/>
                    </w:rPr>
                    <w:t>水性漆</w:t>
                  </w:r>
                </w:p>
              </w:tc>
              <w:tc>
                <w:tcPr>
                  <w:tcW w:w="674" w:type="pct"/>
                  <w:tcBorders>
                    <w:tl2br w:val="nil"/>
                    <w:tr2bl w:val="nil"/>
                  </w:tcBorders>
                  <w:vAlign w:val="center"/>
                </w:tcPr>
                <w:p w14:paraId="20BB5A0D">
                  <w:pPr>
                    <w:jc w:val="center"/>
                    <w:rPr>
                      <w:sz w:val="21"/>
                      <w:szCs w:val="21"/>
                    </w:rPr>
                  </w:pPr>
                  <w:r>
                    <w:rPr>
                      <w:rFonts w:hint="eastAsia"/>
                      <w:sz w:val="21"/>
                      <w:szCs w:val="21"/>
                    </w:rPr>
                    <w:t>14.27</w:t>
                  </w:r>
                </w:p>
              </w:tc>
              <w:tc>
                <w:tcPr>
                  <w:tcW w:w="674" w:type="pct"/>
                  <w:tcBorders>
                    <w:tl2br w:val="nil"/>
                    <w:tr2bl w:val="nil"/>
                  </w:tcBorders>
                  <w:vAlign w:val="center"/>
                </w:tcPr>
                <w:p w14:paraId="4E7A6ED4">
                  <w:pPr>
                    <w:jc w:val="center"/>
                    <w:rPr>
                      <w:sz w:val="21"/>
                      <w:szCs w:val="21"/>
                    </w:rPr>
                  </w:pPr>
                  <w:r>
                    <w:rPr>
                      <w:rFonts w:hint="eastAsia"/>
                      <w:sz w:val="21"/>
                      <w:szCs w:val="21"/>
                    </w:rPr>
                    <w:t>14.27</w:t>
                  </w:r>
                </w:p>
              </w:tc>
              <w:tc>
                <w:tcPr>
                  <w:tcW w:w="768" w:type="pct"/>
                  <w:tcBorders>
                    <w:tl2br w:val="nil"/>
                    <w:tr2bl w:val="nil"/>
                  </w:tcBorders>
                  <w:vAlign w:val="center"/>
                </w:tcPr>
                <w:p w14:paraId="49FA8724">
                  <w:pPr>
                    <w:jc w:val="center"/>
                    <w:rPr>
                      <w:sz w:val="21"/>
                      <w:szCs w:val="21"/>
                    </w:rPr>
                  </w:pPr>
                  <w:r>
                    <w:rPr>
                      <w:sz w:val="21"/>
                      <w:szCs w:val="21"/>
                    </w:rPr>
                    <w:t>/</w:t>
                  </w:r>
                </w:p>
              </w:tc>
              <w:tc>
                <w:tcPr>
                  <w:tcW w:w="716" w:type="pct"/>
                  <w:tcBorders>
                    <w:tl2br w:val="nil"/>
                    <w:tr2bl w:val="nil"/>
                  </w:tcBorders>
                  <w:vAlign w:val="center"/>
                </w:tcPr>
                <w:p w14:paraId="2B1F5EE6">
                  <w:pPr>
                    <w:jc w:val="center"/>
                    <w:rPr>
                      <w:sz w:val="21"/>
                      <w:szCs w:val="21"/>
                    </w:rPr>
                  </w:pPr>
                  <w:r>
                    <w:rPr>
                      <w:rFonts w:hint="eastAsia"/>
                      <w:sz w:val="21"/>
                      <w:szCs w:val="21"/>
                    </w:rPr>
                    <w:t>t</w:t>
                  </w:r>
                </w:p>
              </w:tc>
              <w:tc>
                <w:tcPr>
                  <w:tcW w:w="720" w:type="pct"/>
                  <w:tcBorders>
                    <w:tl2br w:val="nil"/>
                    <w:tr2bl w:val="nil"/>
                  </w:tcBorders>
                  <w:vAlign w:val="center"/>
                </w:tcPr>
                <w:p w14:paraId="6D8869D4">
                  <w:pPr>
                    <w:jc w:val="center"/>
                    <w:rPr>
                      <w:sz w:val="21"/>
                      <w:szCs w:val="21"/>
                    </w:rPr>
                  </w:pPr>
                  <w:r>
                    <w:rPr>
                      <w:rFonts w:hint="eastAsia"/>
                      <w:sz w:val="21"/>
                      <w:szCs w:val="21"/>
                    </w:rPr>
                    <w:t>3.5</w:t>
                  </w:r>
                </w:p>
              </w:tc>
            </w:tr>
            <w:tr w14:paraId="4B63B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2BB1FE0B">
                  <w:pPr>
                    <w:jc w:val="center"/>
                    <w:rPr>
                      <w:color w:val="000000" w:themeColor="text1"/>
                      <w:sz w:val="21"/>
                      <w:szCs w:val="21"/>
                      <w14:textFill>
                        <w14:solidFill>
                          <w14:schemeClr w14:val="tx1"/>
                        </w14:solidFill>
                      </w14:textFill>
                    </w:rPr>
                  </w:pPr>
                  <w:r>
                    <w:rPr>
                      <w:sz w:val="21"/>
                      <w:szCs w:val="21"/>
                    </w:rPr>
                    <w:t>4</w:t>
                  </w:r>
                </w:p>
              </w:tc>
              <w:tc>
                <w:tcPr>
                  <w:tcW w:w="1016" w:type="pct"/>
                  <w:tcBorders>
                    <w:tl2br w:val="nil"/>
                    <w:tr2bl w:val="nil"/>
                  </w:tcBorders>
                  <w:vAlign w:val="center"/>
                </w:tcPr>
                <w:p w14:paraId="666BA3BE">
                  <w:pPr>
                    <w:jc w:val="center"/>
                    <w:rPr>
                      <w:color w:val="000000" w:themeColor="text1"/>
                      <w:sz w:val="21"/>
                      <w:szCs w:val="21"/>
                      <w14:textFill>
                        <w14:solidFill>
                          <w14:schemeClr w14:val="tx1"/>
                        </w14:solidFill>
                      </w14:textFill>
                    </w:rPr>
                  </w:pPr>
                  <w:r>
                    <w:rPr>
                      <w:sz w:val="21"/>
                      <w:szCs w:val="21"/>
                    </w:rPr>
                    <w:t>钢丸</w:t>
                  </w:r>
                </w:p>
              </w:tc>
              <w:tc>
                <w:tcPr>
                  <w:tcW w:w="674" w:type="pct"/>
                  <w:tcBorders>
                    <w:tl2br w:val="nil"/>
                    <w:tr2bl w:val="nil"/>
                  </w:tcBorders>
                  <w:vAlign w:val="center"/>
                </w:tcPr>
                <w:p w14:paraId="4A758F42">
                  <w:pPr>
                    <w:jc w:val="center"/>
                    <w:rPr>
                      <w:color w:val="000000"/>
                      <w:sz w:val="21"/>
                      <w:szCs w:val="21"/>
                    </w:rPr>
                  </w:pPr>
                  <w:r>
                    <w:rPr>
                      <w:rFonts w:hint="eastAsia"/>
                      <w:sz w:val="21"/>
                      <w:szCs w:val="21"/>
                    </w:rPr>
                    <w:t>6</w:t>
                  </w:r>
                </w:p>
              </w:tc>
              <w:tc>
                <w:tcPr>
                  <w:tcW w:w="674" w:type="pct"/>
                  <w:tcBorders>
                    <w:tl2br w:val="nil"/>
                    <w:tr2bl w:val="nil"/>
                  </w:tcBorders>
                  <w:vAlign w:val="center"/>
                </w:tcPr>
                <w:p w14:paraId="1B05ABA6">
                  <w:pPr>
                    <w:jc w:val="center"/>
                    <w:rPr>
                      <w:color w:val="000000" w:themeColor="text1"/>
                      <w:sz w:val="21"/>
                      <w:szCs w:val="21"/>
                      <w14:textFill>
                        <w14:solidFill>
                          <w14:schemeClr w14:val="tx1"/>
                        </w14:solidFill>
                      </w14:textFill>
                    </w:rPr>
                  </w:pPr>
                  <w:r>
                    <w:rPr>
                      <w:rFonts w:hint="eastAsia"/>
                      <w:sz w:val="21"/>
                      <w:szCs w:val="21"/>
                    </w:rPr>
                    <w:t>6</w:t>
                  </w:r>
                </w:p>
              </w:tc>
              <w:tc>
                <w:tcPr>
                  <w:tcW w:w="768" w:type="pct"/>
                  <w:tcBorders>
                    <w:tl2br w:val="nil"/>
                    <w:tr2bl w:val="nil"/>
                  </w:tcBorders>
                  <w:vAlign w:val="center"/>
                </w:tcPr>
                <w:p w14:paraId="4396BC85">
                  <w:pPr>
                    <w:jc w:val="center"/>
                    <w:rPr>
                      <w:color w:val="000000" w:themeColor="text1"/>
                      <w:sz w:val="21"/>
                      <w:szCs w:val="21"/>
                      <w14:textFill>
                        <w14:solidFill>
                          <w14:schemeClr w14:val="tx1"/>
                        </w14:solidFill>
                      </w14:textFill>
                    </w:rPr>
                  </w:pPr>
                  <w:r>
                    <w:rPr>
                      <w:rFonts w:hint="eastAsia"/>
                      <w:sz w:val="21"/>
                      <w:szCs w:val="21"/>
                    </w:rPr>
                    <w:t>/</w:t>
                  </w:r>
                </w:p>
              </w:tc>
              <w:tc>
                <w:tcPr>
                  <w:tcW w:w="716" w:type="pct"/>
                  <w:tcBorders>
                    <w:tl2br w:val="nil"/>
                    <w:tr2bl w:val="nil"/>
                  </w:tcBorders>
                  <w:vAlign w:val="center"/>
                </w:tcPr>
                <w:p w14:paraId="08CB2385">
                  <w:pPr>
                    <w:jc w:val="center"/>
                    <w:rPr>
                      <w:color w:val="000000" w:themeColor="text1"/>
                      <w:sz w:val="21"/>
                      <w:szCs w:val="21"/>
                      <w14:textFill>
                        <w14:solidFill>
                          <w14:schemeClr w14:val="tx1"/>
                        </w14:solidFill>
                      </w14:textFill>
                    </w:rPr>
                  </w:pPr>
                  <w:r>
                    <w:rPr>
                      <w:rFonts w:hint="eastAsia"/>
                      <w:sz w:val="21"/>
                      <w:szCs w:val="21"/>
                    </w:rPr>
                    <w:t>t</w:t>
                  </w:r>
                </w:p>
              </w:tc>
              <w:tc>
                <w:tcPr>
                  <w:tcW w:w="720" w:type="pct"/>
                  <w:tcBorders>
                    <w:tl2br w:val="nil"/>
                    <w:tr2bl w:val="nil"/>
                  </w:tcBorders>
                  <w:vAlign w:val="center"/>
                </w:tcPr>
                <w:p w14:paraId="741E59B0">
                  <w:pPr>
                    <w:jc w:val="center"/>
                    <w:rPr>
                      <w:sz w:val="21"/>
                      <w:szCs w:val="21"/>
                    </w:rPr>
                  </w:pPr>
                  <w:r>
                    <w:rPr>
                      <w:rFonts w:hint="eastAsia"/>
                      <w:sz w:val="21"/>
                      <w:szCs w:val="21"/>
                    </w:rPr>
                    <w:t>2</w:t>
                  </w:r>
                </w:p>
              </w:tc>
            </w:tr>
            <w:tr w14:paraId="34549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4AF81A19">
                  <w:pPr>
                    <w:jc w:val="center"/>
                    <w:rPr>
                      <w:color w:val="000000" w:themeColor="text1"/>
                      <w:sz w:val="21"/>
                      <w:szCs w:val="21"/>
                      <w14:textFill>
                        <w14:solidFill>
                          <w14:schemeClr w14:val="tx1"/>
                        </w14:solidFill>
                      </w14:textFill>
                    </w:rPr>
                  </w:pPr>
                  <w:r>
                    <w:rPr>
                      <w:sz w:val="21"/>
                      <w:szCs w:val="21"/>
                    </w:rPr>
                    <w:t>5</w:t>
                  </w:r>
                </w:p>
              </w:tc>
              <w:tc>
                <w:tcPr>
                  <w:tcW w:w="1016" w:type="pct"/>
                  <w:tcBorders>
                    <w:tl2br w:val="nil"/>
                    <w:tr2bl w:val="nil"/>
                  </w:tcBorders>
                  <w:vAlign w:val="center"/>
                </w:tcPr>
                <w:p w14:paraId="2B0E11BE">
                  <w:pPr>
                    <w:jc w:val="center"/>
                    <w:rPr>
                      <w:color w:val="000000" w:themeColor="text1"/>
                      <w:sz w:val="21"/>
                      <w:szCs w:val="21"/>
                      <w14:textFill>
                        <w14:solidFill>
                          <w14:schemeClr w14:val="tx1"/>
                        </w14:solidFill>
                      </w14:textFill>
                    </w:rPr>
                  </w:pPr>
                  <w:r>
                    <w:rPr>
                      <w:sz w:val="21"/>
                      <w:szCs w:val="21"/>
                    </w:rPr>
                    <w:t>氧气</w:t>
                  </w:r>
                  <w:r>
                    <w:rPr>
                      <w:rFonts w:hint="eastAsia"/>
                      <w:sz w:val="21"/>
                      <w:szCs w:val="21"/>
                    </w:rPr>
                    <w:t>（30kg/瓶）</w:t>
                  </w:r>
                </w:p>
              </w:tc>
              <w:tc>
                <w:tcPr>
                  <w:tcW w:w="674" w:type="pct"/>
                  <w:tcBorders>
                    <w:tl2br w:val="nil"/>
                    <w:tr2bl w:val="nil"/>
                  </w:tcBorders>
                  <w:vAlign w:val="center"/>
                </w:tcPr>
                <w:p w14:paraId="55CB65A3">
                  <w:pPr>
                    <w:jc w:val="center"/>
                    <w:rPr>
                      <w:color w:val="000000"/>
                      <w:sz w:val="21"/>
                      <w:szCs w:val="21"/>
                    </w:rPr>
                  </w:pPr>
                  <w:r>
                    <w:rPr>
                      <w:rFonts w:hint="eastAsia"/>
                      <w:sz w:val="21"/>
                      <w:szCs w:val="21"/>
                    </w:rPr>
                    <w:t>200</w:t>
                  </w:r>
                </w:p>
              </w:tc>
              <w:tc>
                <w:tcPr>
                  <w:tcW w:w="674" w:type="pct"/>
                  <w:tcBorders>
                    <w:tl2br w:val="nil"/>
                    <w:tr2bl w:val="nil"/>
                  </w:tcBorders>
                  <w:vAlign w:val="center"/>
                </w:tcPr>
                <w:p w14:paraId="77070038">
                  <w:pPr>
                    <w:jc w:val="center"/>
                    <w:rPr>
                      <w:color w:val="000000" w:themeColor="text1"/>
                      <w:sz w:val="21"/>
                      <w:szCs w:val="21"/>
                      <w14:textFill>
                        <w14:solidFill>
                          <w14:schemeClr w14:val="tx1"/>
                        </w14:solidFill>
                      </w14:textFill>
                    </w:rPr>
                  </w:pPr>
                  <w:r>
                    <w:rPr>
                      <w:rFonts w:hint="eastAsia"/>
                      <w:sz w:val="21"/>
                      <w:szCs w:val="21"/>
                    </w:rPr>
                    <w:t>200</w:t>
                  </w:r>
                </w:p>
              </w:tc>
              <w:tc>
                <w:tcPr>
                  <w:tcW w:w="768" w:type="pct"/>
                  <w:tcBorders>
                    <w:tl2br w:val="nil"/>
                    <w:tr2bl w:val="nil"/>
                  </w:tcBorders>
                  <w:vAlign w:val="center"/>
                </w:tcPr>
                <w:p w14:paraId="62A054A9">
                  <w:pPr>
                    <w:jc w:val="center"/>
                    <w:rPr>
                      <w:color w:val="000000" w:themeColor="text1"/>
                      <w:sz w:val="21"/>
                      <w:szCs w:val="21"/>
                      <w14:textFill>
                        <w14:solidFill>
                          <w14:schemeClr w14:val="tx1"/>
                        </w14:solidFill>
                      </w14:textFill>
                    </w:rPr>
                  </w:pPr>
                  <w:r>
                    <w:rPr>
                      <w:rFonts w:hint="eastAsia"/>
                      <w:sz w:val="21"/>
                      <w:szCs w:val="21"/>
                    </w:rPr>
                    <w:t>/</w:t>
                  </w:r>
                </w:p>
              </w:tc>
              <w:tc>
                <w:tcPr>
                  <w:tcW w:w="716" w:type="pct"/>
                  <w:tcBorders>
                    <w:tl2br w:val="nil"/>
                    <w:tr2bl w:val="nil"/>
                  </w:tcBorders>
                  <w:vAlign w:val="center"/>
                </w:tcPr>
                <w:p w14:paraId="3BDCBC06">
                  <w:pPr>
                    <w:jc w:val="center"/>
                    <w:rPr>
                      <w:color w:val="000000" w:themeColor="text1"/>
                      <w:sz w:val="21"/>
                      <w:szCs w:val="21"/>
                      <w14:textFill>
                        <w14:solidFill>
                          <w14:schemeClr w14:val="tx1"/>
                        </w14:solidFill>
                      </w14:textFill>
                    </w:rPr>
                  </w:pPr>
                  <w:r>
                    <w:rPr>
                      <w:sz w:val="21"/>
                      <w:szCs w:val="21"/>
                    </w:rPr>
                    <w:t>瓶</w:t>
                  </w:r>
                </w:p>
              </w:tc>
              <w:tc>
                <w:tcPr>
                  <w:tcW w:w="720" w:type="pct"/>
                  <w:tcBorders>
                    <w:tl2br w:val="nil"/>
                    <w:tr2bl w:val="nil"/>
                  </w:tcBorders>
                  <w:vAlign w:val="center"/>
                </w:tcPr>
                <w:p w14:paraId="1E2609D9">
                  <w:pPr>
                    <w:jc w:val="center"/>
                    <w:rPr>
                      <w:sz w:val="21"/>
                      <w:szCs w:val="21"/>
                    </w:rPr>
                  </w:pPr>
                  <w:r>
                    <w:rPr>
                      <w:rFonts w:hint="eastAsia"/>
                      <w:sz w:val="21"/>
                      <w:szCs w:val="21"/>
                    </w:rPr>
                    <w:t>20</w:t>
                  </w:r>
                </w:p>
              </w:tc>
            </w:tr>
            <w:tr w14:paraId="7CB48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2B54AEF9">
                  <w:pPr>
                    <w:jc w:val="center"/>
                    <w:rPr>
                      <w:color w:val="000000" w:themeColor="text1"/>
                      <w:sz w:val="21"/>
                      <w:szCs w:val="21"/>
                      <w14:textFill>
                        <w14:solidFill>
                          <w14:schemeClr w14:val="tx1"/>
                        </w14:solidFill>
                      </w14:textFill>
                    </w:rPr>
                  </w:pPr>
                  <w:r>
                    <w:rPr>
                      <w:sz w:val="21"/>
                      <w:szCs w:val="21"/>
                    </w:rPr>
                    <w:t>6</w:t>
                  </w:r>
                </w:p>
              </w:tc>
              <w:tc>
                <w:tcPr>
                  <w:tcW w:w="1016" w:type="pct"/>
                  <w:tcBorders>
                    <w:tl2br w:val="nil"/>
                    <w:tr2bl w:val="nil"/>
                  </w:tcBorders>
                  <w:vAlign w:val="center"/>
                </w:tcPr>
                <w:p w14:paraId="6AC949D1">
                  <w:pPr>
                    <w:jc w:val="center"/>
                    <w:rPr>
                      <w:color w:val="000000" w:themeColor="text1"/>
                      <w:sz w:val="21"/>
                      <w:szCs w:val="21"/>
                      <w14:textFill>
                        <w14:solidFill>
                          <w14:schemeClr w14:val="tx1"/>
                        </w14:solidFill>
                      </w14:textFill>
                    </w:rPr>
                  </w:pPr>
                  <w:r>
                    <w:rPr>
                      <w:sz w:val="21"/>
                      <w:szCs w:val="21"/>
                    </w:rPr>
                    <w:t>丙烷</w:t>
                  </w:r>
                  <w:r>
                    <w:rPr>
                      <w:rFonts w:hint="eastAsia"/>
                      <w:sz w:val="21"/>
                      <w:szCs w:val="21"/>
                    </w:rPr>
                    <w:t>（</w:t>
                  </w:r>
                  <w:r>
                    <w:rPr>
                      <w:sz w:val="21"/>
                      <w:szCs w:val="21"/>
                    </w:rPr>
                    <w:t>30kg/瓶</w:t>
                  </w:r>
                  <w:r>
                    <w:rPr>
                      <w:rFonts w:hint="eastAsia"/>
                      <w:sz w:val="21"/>
                      <w:szCs w:val="21"/>
                    </w:rPr>
                    <w:t>）</w:t>
                  </w:r>
                </w:p>
              </w:tc>
              <w:tc>
                <w:tcPr>
                  <w:tcW w:w="674" w:type="pct"/>
                  <w:tcBorders>
                    <w:tl2br w:val="nil"/>
                    <w:tr2bl w:val="nil"/>
                  </w:tcBorders>
                  <w:vAlign w:val="center"/>
                </w:tcPr>
                <w:p w14:paraId="4721BC14">
                  <w:pPr>
                    <w:jc w:val="center"/>
                    <w:rPr>
                      <w:color w:val="000000"/>
                      <w:sz w:val="21"/>
                      <w:szCs w:val="21"/>
                    </w:rPr>
                  </w:pPr>
                  <w:r>
                    <w:rPr>
                      <w:rFonts w:hint="eastAsia"/>
                      <w:sz w:val="21"/>
                      <w:szCs w:val="21"/>
                    </w:rPr>
                    <w:t>50</w:t>
                  </w:r>
                </w:p>
              </w:tc>
              <w:tc>
                <w:tcPr>
                  <w:tcW w:w="674" w:type="pct"/>
                  <w:tcBorders>
                    <w:tl2br w:val="nil"/>
                    <w:tr2bl w:val="nil"/>
                  </w:tcBorders>
                  <w:vAlign w:val="center"/>
                </w:tcPr>
                <w:p w14:paraId="74392D7E">
                  <w:pPr>
                    <w:jc w:val="center"/>
                    <w:rPr>
                      <w:color w:val="000000" w:themeColor="text1"/>
                      <w:sz w:val="21"/>
                      <w:szCs w:val="21"/>
                      <w14:textFill>
                        <w14:solidFill>
                          <w14:schemeClr w14:val="tx1"/>
                        </w14:solidFill>
                      </w14:textFill>
                    </w:rPr>
                  </w:pPr>
                  <w:r>
                    <w:rPr>
                      <w:rFonts w:hint="eastAsia"/>
                      <w:sz w:val="21"/>
                      <w:szCs w:val="21"/>
                    </w:rPr>
                    <w:t>50</w:t>
                  </w:r>
                </w:p>
              </w:tc>
              <w:tc>
                <w:tcPr>
                  <w:tcW w:w="768" w:type="pct"/>
                  <w:tcBorders>
                    <w:tl2br w:val="nil"/>
                    <w:tr2bl w:val="nil"/>
                  </w:tcBorders>
                  <w:vAlign w:val="center"/>
                </w:tcPr>
                <w:p w14:paraId="50933FFF">
                  <w:pPr>
                    <w:jc w:val="center"/>
                    <w:rPr>
                      <w:color w:val="000000" w:themeColor="text1"/>
                      <w:sz w:val="21"/>
                      <w:szCs w:val="21"/>
                      <w14:textFill>
                        <w14:solidFill>
                          <w14:schemeClr w14:val="tx1"/>
                        </w14:solidFill>
                      </w14:textFill>
                    </w:rPr>
                  </w:pPr>
                  <w:r>
                    <w:rPr>
                      <w:rFonts w:hint="eastAsia"/>
                      <w:sz w:val="21"/>
                      <w:szCs w:val="21"/>
                    </w:rPr>
                    <w:t>/</w:t>
                  </w:r>
                </w:p>
              </w:tc>
              <w:tc>
                <w:tcPr>
                  <w:tcW w:w="716" w:type="pct"/>
                  <w:tcBorders>
                    <w:tl2br w:val="nil"/>
                    <w:tr2bl w:val="nil"/>
                  </w:tcBorders>
                  <w:vAlign w:val="center"/>
                </w:tcPr>
                <w:p w14:paraId="3C0AF1FA">
                  <w:pPr>
                    <w:jc w:val="center"/>
                    <w:rPr>
                      <w:color w:val="000000" w:themeColor="text1"/>
                      <w:sz w:val="21"/>
                      <w:szCs w:val="21"/>
                      <w14:textFill>
                        <w14:solidFill>
                          <w14:schemeClr w14:val="tx1"/>
                        </w14:solidFill>
                      </w14:textFill>
                    </w:rPr>
                  </w:pPr>
                  <w:r>
                    <w:rPr>
                      <w:sz w:val="21"/>
                      <w:szCs w:val="21"/>
                    </w:rPr>
                    <w:t>瓶</w:t>
                  </w:r>
                </w:p>
              </w:tc>
              <w:tc>
                <w:tcPr>
                  <w:tcW w:w="720" w:type="pct"/>
                  <w:tcBorders>
                    <w:tl2br w:val="nil"/>
                    <w:tr2bl w:val="nil"/>
                  </w:tcBorders>
                  <w:vAlign w:val="center"/>
                </w:tcPr>
                <w:p w14:paraId="0AF1E395">
                  <w:pPr>
                    <w:jc w:val="center"/>
                    <w:rPr>
                      <w:sz w:val="21"/>
                      <w:szCs w:val="21"/>
                    </w:rPr>
                  </w:pPr>
                  <w:r>
                    <w:rPr>
                      <w:rFonts w:hint="eastAsia"/>
                      <w:sz w:val="21"/>
                      <w:szCs w:val="21"/>
                    </w:rPr>
                    <w:t>10</w:t>
                  </w:r>
                </w:p>
              </w:tc>
            </w:tr>
            <w:tr w14:paraId="18AB0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343308EE">
                  <w:pPr>
                    <w:jc w:val="center"/>
                    <w:rPr>
                      <w:sz w:val="21"/>
                      <w:szCs w:val="21"/>
                    </w:rPr>
                  </w:pPr>
                  <w:r>
                    <w:rPr>
                      <w:rFonts w:hint="eastAsia"/>
                      <w:sz w:val="21"/>
                      <w:szCs w:val="21"/>
                    </w:rPr>
                    <w:t>7</w:t>
                  </w:r>
                </w:p>
              </w:tc>
              <w:tc>
                <w:tcPr>
                  <w:tcW w:w="1016" w:type="pct"/>
                  <w:tcBorders>
                    <w:tl2br w:val="nil"/>
                    <w:tr2bl w:val="nil"/>
                  </w:tcBorders>
                  <w:vAlign w:val="center"/>
                </w:tcPr>
                <w:p w14:paraId="24EA57EC">
                  <w:pPr>
                    <w:jc w:val="center"/>
                    <w:rPr>
                      <w:sz w:val="21"/>
                      <w:szCs w:val="21"/>
                    </w:rPr>
                  </w:pPr>
                  <w:r>
                    <w:rPr>
                      <w:rFonts w:hint="eastAsia"/>
                      <w:sz w:val="21"/>
                      <w:szCs w:val="21"/>
                    </w:rPr>
                    <w:t>焊条（20kg）</w:t>
                  </w:r>
                </w:p>
              </w:tc>
              <w:tc>
                <w:tcPr>
                  <w:tcW w:w="674" w:type="pct"/>
                  <w:tcBorders>
                    <w:tl2br w:val="nil"/>
                    <w:tr2bl w:val="nil"/>
                  </w:tcBorders>
                  <w:vAlign w:val="center"/>
                </w:tcPr>
                <w:p w14:paraId="4D3BBAD2">
                  <w:pPr>
                    <w:jc w:val="center"/>
                    <w:rPr>
                      <w:sz w:val="21"/>
                      <w:szCs w:val="21"/>
                    </w:rPr>
                  </w:pPr>
                  <w:r>
                    <w:rPr>
                      <w:rFonts w:hint="eastAsia"/>
                      <w:sz w:val="21"/>
                      <w:szCs w:val="21"/>
                    </w:rPr>
                    <w:t>80</w:t>
                  </w:r>
                </w:p>
              </w:tc>
              <w:tc>
                <w:tcPr>
                  <w:tcW w:w="674" w:type="pct"/>
                  <w:tcBorders>
                    <w:tl2br w:val="nil"/>
                    <w:tr2bl w:val="nil"/>
                  </w:tcBorders>
                  <w:vAlign w:val="center"/>
                </w:tcPr>
                <w:p w14:paraId="077AEC13">
                  <w:pPr>
                    <w:jc w:val="center"/>
                    <w:rPr>
                      <w:color w:val="000000" w:themeColor="text1"/>
                      <w:sz w:val="21"/>
                      <w:szCs w:val="21"/>
                      <w14:textFill>
                        <w14:solidFill>
                          <w14:schemeClr w14:val="tx1"/>
                        </w14:solidFill>
                      </w14:textFill>
                    </w:rPr>
                  </w:pPr>
                  <w:r>
                    <w:rPr>
                      <w:rFonts w:hint="eastAsia"/>
                      <w:sz w:val="21"/>
                      <w:szCs w:val="21"/>
                    </w:rPr>
                    <w:t>80</w:t>
                  </w:r>
                </w:p>
              </w:tc>
              <w:tc>
                <w:tcPr>
                  <w:tcW w:w="768" w:type="pct"/>
                  <w:tcBorders>
                    <w:tl2br w:val="nil"/>
                    <w:tr2bl w:val="nil"/>
                  </w:tcBorders>
                  <w:vAlign w:val="center"/>
                </w:tcPr>
                <w:p w14:paraId="11BF49F4">
                  <w:pPr>
                    <w:jc w:val="center"/>
                    <w:rPr>
                      <w:sz w:val="21"/>
                      <w:szCs w:val="21"/>
                    </w:rPr>
                  </w:pPr>
                  <w:r>
                    <w:rPr>
                      <w:rFonts w:hint="eastAsia"/>
                      <w:sz w:val="21"/>
                      <w:szCs w:val="21"/>
                    </w:rPr>
                    <w:t>/</w:t>
                  </w:r>
                </w:p>
              </w:tc>
              <w:tc>
                <w:tcPr>
                  <w:tcW w:w="716" w:type="pct"/>
                  <w:tcBorders>
                    <w:tl2br w:val="nil"/>
                    <w:tr2bl w:val="nil"/>
                  </w:tcBorders>
                  <w:vAlign w:val="center"/>
                </w:tcPr>
                <w:p w14:paraId="7284E031">
                  <w:pPr>
                    <w:jc w:val="center"/>
                    <w:rPr>
                      <w:sz w:val="21"/>
                      <w:szCs w:val="21"/>
                    </w:rPr>
                  </w:pPr>
                  <w:r>
                    <w:rPr>
                      <w:rFonts w:hint="eastAsia"/>
                      <w:sz w:val="21"/>
                      <w:szCs w:val="21"/>
                    </w:rPr>
                    <w:t>包</w:t>
                  </w:r>
                </w:p>
              </w:tc>
              <w:tc>
                <w:tcPr>
                  <w:tcW w:w="720" w:type="pct"/>
                  <w:tcBorders>
                    <w:tl2br w:val="nil"/>
                    <w:tr2bl w:val="nil"/>
                  </w:tcBorders>
                  <w:vAlign w:val="center"/>
                </w:tcPr>
                <w:p w14:paraId="6E99ADBC">
                  <w:pPr>
                    <w:jc w:val="center"/>
                    <w:rPr>
                      <w:sz w:val="21"/>
                      <w:szCs w:val="21"/>
                    </w:rPr>
                  </w:pPr>
                  <w:r>
                    <w:rPr>
                      <w:rFonts w:hint="eastAsia"/>
                      <w:sz w:val="21"/>
                      <w:szCs w:val="21"/>
                    </w:rPr>
                    <w:t>20</w:t>
                  </w:r>
                </w:p>
              </w:tc>
            </w:tr>
            <w:tr w14:paraId="722E5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7374D774">
                  <w:pPr>
                    <w:jc w:val="center"/>
                    <w:rPr>
                      <w:sz w:val="21"/>
                      <w:szCs w:val="21"/>
                    </w:rPr>
                  </w:pPr>
                  <w:r>
                    <w:rPr>
                      <w:rFonts w:hint="eastAsia"/>
                      <w:sz w:val="21"/>
                      <w:szCs w:val="21"/>
                    </w:rPr>
                    <w:t>8</w:t>
                  </w:r>
                </w:p>
              </w:tc>
              <w:tc>
                <w:tcPr>
                  <w:tcW w:w="1016" w:type="pct"/>
                  <w:tcBorders>
                    <w:tl2br w:val="nil"/>
                    <w:tr2bl w:val="nil"/>
                  </w:tcBorders>
                  <w:vAlign w:val="center"/>
                </w:tcPr>
                <w:p w14:paraId="647A637E">
                  <w:pPr>
                    <w:jc w:val="center"/>
                    <w:rPr>
                      <w:sz w:val="21"/>
                      <w:szCs w:val="21"/>
                    </w:rPr>
                  </w:pPr>
                  <w:r>
                    <w:rPr>
                      <w:rFonts w:hint="eastAsia"/>
                      <w:sz w:val="21"/>
                      <w:szCs w:val="21"/>
                    </w:rPr>
                    <w:t>润滑油</w:t>
                  </w:r>
                </w:p>
              </w:tc>
              <w:tc>
                <w:tcPr>
                  <w:tcW w:w="674" w:type="pct"/>
                  <w:tcBorders>
                    <w:tl2br w:val="nil"/>
                    <w:tr2bl w:val="nil"/>
                  </w:tcBorders>
                  <w:vAlign w:val="center"/>
                </w:tcPr>
                <w:p w14:paraId="4647B768">
                  <w:pPr>
                    <w:jc w:val="center"/>
                    <w:rPr>
                      <w:sz w:val="21"/>
                      <w:szCs w:val="21"/>
                    </w:rPr>
                  </w:pPr>
                  <w:r>
                    <w:rPr>
                      <w:rFonts w:hint="eastAsia"/>
                      <w:sz w:val="21"/>
                      <w:szCs w:val="21"/>
                    </w:rPr>
                    <w:t>1</w:t>
                  </w:r>
                </w:p>
              </w:tc>
              <w:tc>
                <w:tcPr>
                  <w:tcW w:w="674" w:type="pct"/>
                  <w:tcBorders>
                    <w:tl2br w:val="nil"/>
                    <w:tr2bl w:val="nil"/>
                  </w:tcBorders>
                  <w:vAlign w:val="center"/>
                </w:tcPr>
                <w:p w14:paraId="4853FA6E">
                  <w:pPr>
                    <w:jc w:val="center"/>
                    <w:rPr>
                      <w:sz w:val="21"/>
                      <w:szCs w:val="21"/>
                    </w:rPr>
                  </w:pPr>
                  <w:r>
                    <w:rPr>
                      <w:rFonts w:hint="eastAsia"/>
                      <w:sz w:val="21"/>
                      <w:szCs w:val="21"/>
                    </w:rPr>
                    <w:t>1</w:t>
                  </w:r>
                </w:p>
              </w:tc>
              <w:tc>
                <w:tcPr>
                  <w:tcW w:w="768" w:type="pct"/>
                  <w:tcBorders>
                    <w:tl2br w:val="nil"/>
                    <w:tr2bl w:val="nil"/>
                  </w:tcBorders>
                  <w:vAlign w:val="center"/>
                </w:tcPr>
                <w:p w14:paraId="58BB2C25">
                  <w:pPr>
                    <w:jc w:val="center"/>
                    <w:rPr>
                      <w:sz w:val="21"/>
                      <w:szCs w:val="21"/>
                    </w:rPr>
                  </w:pPr>
                  <w:r>
                    <w:rPr>
                      <w:rFonts w:hint="eastAsia"/>
                      <w:sz w:val="21"/>
                      <w:szCs w:val="21"/>
                    </w:rPr>
                    <w:t>/</w:t>
                  </w:r>
                </w:p>
              </w:tc>
              <w:tc>
                <w:tcPr>
                  <w:tcW w:w="716" w:type="pct"/>
                  <w:tcBorders>
                    <w:tl2br w:val="nil"/>
                    <w:tr2bl w:val="nil"/>
                  </w:tcBorders>
                  <w:vAlign w:val="center"/>
                </w:tcPr>
                <w:p w14:paraId="1F996DA5">
                  <w:pPr>
                    <w:jc w:val="center"/>
                    <w:rPr>
                      <w:sz w:val="21"/>
                      <w:szCs w:val="21"/>
                    </w:rPr>
                  </w:pPr>
                  <w:r>
                    <w:rPr>
                      <w:rFonts w:hint="eastAsia"/>
                      <w:sz w:val="21"/>
                      <w:szCs w:val="21"/>
                    </w:rPr>
                    <w:t>t</w:t>
                  </w:r>
                </w:p>
              </w:tc>
              <w:tc>
                <w:tcPr>
                  <w:tcW w:w="720" w:type="pct"/>
                  <w:tcBorders>
                    <w:tl2br w:val="nil"/>
                    <w:tr2bl w:val="nil"/>
                  </w:tcBorders>
                  <w:vAlign w:val="center"/>
                </w:tcPr>
                <w:p w14:paraId="5C10237D">
                  <w:pPr>
                    <w:jc w:val="center"/>
                    <w:rPr>
                      <w:sz w:val="21"/>
                      <w:szCs w:val="21"/>
                    </w:rPr>
                  </w:pPr>
                  <w:r>
                    <w:rPr>
                      <w:rFonts w:hint="eastAsia"/>
                      <w:sz w:val="21"/>
                      <w:szCs w:val="21"/>
                    </w:rPr>
                    <w:t>0.2</w:t>
                  </w:r>
                </w:p>
              </w:tc>
            </w:tr>
            <w:tr w14:paraId="32D7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76B41376">
                  <w:pPr>
                    <w:jc w:val="center"/>
                    <w:rPr>
                      <w:sz w:val="21"/>
                      <w:szCs w:val="21"/>
                    </w:rPr>
                  </w:pPr>
                  <w:r>
                    <w:rPr>
                      <w:rFonts w:hint="eastAsia"/>
                      <w:sz w:val="21"/>
                      <w:szCs w:val="21"/>
                    </w:rPr>
                    <w:t>9</w:t>
                  </w:r>
                </w:p>
              </w:tc>
              <w:tc>
                <w:tcPr>
                  <w:tcW w:w="1016" w:type="pct"/>
                  <w:tcBorders>
                    <w:tl2br w:val="nil"/>
                    <w:tr2bl w:val="nil"/>
                  </w:tcBorders>
                  <w:vAlign w:val="center"/>
                </w:tcPr>
                <w:p w14:paraId="755B826F">
                  <w:pPr>
                    <w:jc w:val="center"/>
                    <w:rPr>
                      <w:sz w:val="21"/>
                      <w:szCs w:val="21"/>
                    </w:rPr>
                  </w:pPr>
                  <w:r>
                    <w:rPr>
                      <w:rFonts w:hint="eastAsia"/>
                      <w:sz w:val="21"/>
                      <w:szCs w:val="21"/>
                    </w:rPr>
                    <w:t>水</w:t>
                  </w:r>
                </w:p>
              </w:tc>
              <w:tc>
                <w:tcPr>
                  <w:tcW w:w="674" w:type="pct"/>
                  <w:tcBorders>
                    <w:tl2br w:val="nil"/>
                    <w:tr2bl w:val="nil"/>
                  </w:tcBorders>
                  <w:vAlign w:val="center"/>
                </w:tcPr>
                <w:p w14:paraId="52A7E42B">
                  <w:pPr>
                    <w:jc w:val="center"/>
                    <w:rPr>
                      <w:sz w:val="21"/>
                      <w:szCs w:val="21"/>
                    </w:rPr>
                  </w:pPr>
                  <w:r>
                    <w:rPr>
                      <w:rFonts w:hint="eastAsia"/>
                      <w:sz w:val="21"/>
                      <w:szCs w:val="21"/>
                    </w:rPr>
                    <w:t>1141.427</w:t>
                  </w:r>
                </w:p>
              </w:tc>
              <w:tc>
                <w:tcPr>
                  <w:tcW w:w="674" w:type="pct"/>
                  <w:tcBorders>
                    <w:tl2br w:val="nil"/>
                    <w:tr2bl w:val="nil"/>
                  </w:tcBorders>
                  <w:vAlign w:val="center"/>
                </w:tcPr>
                <w:p w14:paraId="0DE92B9A">
                  <w:pPr>
                    <w:jc w:val="center"/>
                    <w:rPr>
                      <w:color w:val="000000" w:themeColor="text1"/>
                      <w:sz w:val="21"/>
                      <w:szCs w:val="21"/>
                      <w14:textFill>
                        <w14:solidFill>
                          <w14:schemeClr w14:val="tx1"/>
                        </w14:solidFill>
                      </w14:textFill>
                    </w:rPr>
                  </w:pPr>
                  <w:r>
                    <w:rPr>
                      <w:rFonts w:hint="eastAsia"/>
                      <w:sz w:val="21"/>
                      <w:szCs w:val="21"/>
                    </w:rPr>
                    <w:t>1141.427</w:t>
                  </w:r>
                </w:p>
              </w:tc>
              <w:tc>
                <w:tcPr>
                  <w:tcW w:w="768" w:type="pct"/>
                  <w:tcBorders>
                    <w:tl2br w:val="nil"/>
                    <w:tr2bl w:val="nil"/>
                  </w:tcBorders>
                  <w:vAlign w:val="center"/>
                </w:tcPr>
                <w:p w14:paraId="453A6E97">
                  <w:pPr>
                    <w:jc w:val="center"/>
                    <w:rPr>
                      <w:sz w:val="21"/>
                      <w:szCs w:val="21"/>
                    </w:rPr>
                  </w:pPr>
                  <w:r>
                    <w:rPr>
                      <w:rFonts w:hint="eastAsia"/>
                      <w:sz w:val="21"/>
                      <w:szCs w:val="21"/>
                    </w:rPr>
                    <w:t>/</w:t>
                  </w:r>
                </w:p>
              </w:tc>
              <w:tc>
                <w:tcPr>
                  <w:tcW w:w="716" w:type="pct"/>
                  <w:tcBorders>
                    <w:tl2br w:val="nil"/>
                    <w:tr2bl w:val="nil"/>
                  </w:tcBorders>
                  <w:vAlign w:val="center"/>
                </w:tcPr>
                <w:p w14:paraId="6DB160CF">
                  <w:pPr>
                    <w:jc w:val="center"/>
                    <w:rPr>
                      <w:sz w:val="21"/>
                      <w:szCs w:val="21"/>
                    </w:rPr>
                  </w:pPr>
                  <w:r>
                    <w:rPr>
                      <w:rFonts w:hint="eastAsia"/>
                      <w:sz w:val="21"/>
                      <w:szCs w:val="21"/>
                    </w:rPr>
                    <w:t>t</w:t>
                  </w:r>
                </w:p>
              </w:tc>
              <w:tc>
                <w:tcPr>
                  <w:tcW w:w="720" w:type="pct"/>
                  <w:tcBorders>
                    <w:tl2br w:val="nil"/>
                    <w:tr2bl w:val="nil"/>
                  </w:tcBorders>
                  <w:vAlign w:val="center"/>
                </w:tcPr>
                <w:p w14:paraId="48DBC9C1">
                  <w:pPr>
                    <w:jc w:val="center"/>
                    <w:rPr>
                      <w:sz w:val="21"/>
                      <w:szCs w:val="21"/>
                    </w:rPr>
                  </w:pPr>
                  <w:r>
                    <w:rPr>
                      <w:rFonts w:hint="eastAsia"/>
                      <w:sz w:val="21"/>
                      <w:szCs w:val="21"/>
                    </w:rPr>
                    <w:t>/</w:t>
                  </w:r>
                </w:p>
              </w:tc>
            </w:tr>
            <w:tr w14:paraId="2A479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9" w:type="pct"/>
                  <w:tcBorders>
                    <w:tl2br w:val="nil"/>
                    <w:tr2bl w:val="nil"/>
                  </w:tcBorders>
                  <w:vAlign w:val="center"/>
                </w:tcPr>
                <w:p w14:paraId="1A38D3D6">
                  <w:pPr>
                    <w:jc w:val="center"/>
                    <w:rPr>
                      <w:sz w:val="21"/>
                      <w:szCs w:val="21"/>
                    </w:rPr>
                  </w:pPr>
                  <w:r>
                    <w:rPr>
                      <w:rFonts w:hint="eastAsia"/>
                      <w:sz w:val="21"/>
                      <w:szCs w:val="21"/>
                    </w:rPr>
                    <w:t>10</w:t>
                  </w:r>
                </w:p>
              </w:tc>
              <w:tc>
                <w:tcPr>
                  <w:tcW w:w="1016" w:type="pct"/>
                  <w:tcBorders>
                    <w:tl2br w:val="nil"/>
                    <w:tr2bl w:val="nil"/>
                  </w:tcBorders>
                  <w:vAlign w:val="center"/>
                </w:tcPr>
                <w:p w14:paraId="11236793">
                  <w:pPr>
                    <w:jc w:val="center"/>
                    <w:rPr>
                      <w:sz w:val="21"/>
                      <w:szCs w:val="21"/>
                    </w:rPr>
                  </w:pPr>
                  <w:r>
                    <w:rPr>
                      <w:rFonts w:hint="eastAsia"/>
                      <w:color w:val="000000" w:themeColor="text1"/>
                      <w:sz w:val="21"/>
                      <w:szCs w:val="21"/>
                      <w14:textFill>
                        <w14:solidFill>
                          <w14:schemeClr w14:val="tx1"/>
                        </w14:solidFill>
                      </w14:textFill>
                    </w:rPr>
                    <w:t>电</w:t>
                  </w:r>
                </w:p>
              </w:tc>
              <w:tc>
                <w:tcPr>
                  <w:tcW w:w="674" w:type="pct"/>
                  <w:tcBorders>
                    <w:tl2br w:val="nil"/>
                    <w:tr2bl w:val="nil"/>
                  </w:tcBorders>
                  <w:vAlign w:val="center"/>
                </w:tcPr>
                <w:p w14:paraId="16493A09">
                  <w:pPr>
                    <w:jc w:val="center"/>
                    <w:rPr>
                      <w:sz w:val="21"/>
                      <w:szCs w:val="21"/>
                    </w:rPr>
                  </w:pPr>
                  <w:r>
                    <w:rPr>
                      <w:rFonts w:hint="eastAsia"/>
                      <w:sz w:val="21"/>
                      <w:szCs w:val="21"/>
                    </w:rPr>
                    <w:t>4.7万</w:t>
                  </w:r>
                </w:p>
              </w:tc>
              <w:tc>
                <w:tcPr>
                  <w:tcW w:w="674" w:type="pct"/>
                  <w:tcBorders>
                    <w:tl2br w:val="nil"/>
                    <w:tr2bl w:val="nil"/>
                  </w:tcBorders>
                  <w:vAlign w:val="center"/>
                </w:tcPr>
                <w:p w14:paraId="124437A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5.1万</w:t>
                  </w:r>
                </w:p>
              </w:tc>
              <w:tc>
                <w:tcPr>
                  <w:tcW w:w="768" w:type="pct"/>
                  <w:tcBorders>
                    <w:tl2br w:val="nil"/>
                    <w:tr2bl w:val="nil"/>
                  </w:tcBorders>
                  <w:vAlign w:val="center"/>
                </w:tcPr>
                <w:p w14:paraId="5E16AC1F">
                  <w:pPr>
                    <w:jc w:val="center"/>
                    <w:rPr>
                      <w:sz w:val="21"/>
                      <w:szCs w:val="21"/>
                    </w:rPr>
                  </w:pPr>
                  <w:r>
                    <w:rPr>
                      <w:rFonts w:hint="eastAsia"/>
                      <w:sz w:val="21"/>
                      <w:szCs w:val="21"/>
                    </w:rPr>
                    <w:t>+0.4万</w:t>
                  </w:r>
                </w:p>
              </w:tc>
              <w:tc>
                <w:tcPr>
                  <w:tcW w:w="716" w:type="pct"/>
                  <w:tcBorders>
                    <w:tl2br w:val="nil"/>
                    <w:tr2bl w:val="nil"/>
                  </w:tcBorders>
                  <w:vAlign w:val="center"/>
                </w:tcPr>
                <w:p w14:paraId="26D6078A">
                  <w:pPr>
                    <w:jc w:val="center"/>
                    <w:rPr>
                      <w:sz w:val="21"/>
                      <w:szCs w:val="21"/>
                    </w:rPr>
                  </w:pPr>
                  <w:r>
                    <w:rPr>
                      <w:rFonts w:hint="eastAsia"/>
                      <w:sz w:val="21"/>
                      <w:szCs w:val="21"/>
                    </w:rPr>
                    <w:t>度</w:t>
                  </w:r>
                </w:p>
              </w:tc>
              <w:tc>
                <w:tcPr>
                  <w:tcW w:w="720" w:type="pct"/>
                  <w:tcBorders>
                    <w:tl2br w:val="nil"/>
                    <w:tr2bl w:val="nil"/>
                  </w:tcBorders>
                  <w:vAlign w:val="center"/>
                </w:tcPr>
                <w:p w14:paraId="7BEC10A5">
                  <w:pPr>
                    <w:jc w:val="center"/>
                    <w:rPr>
                      <w:sz w:val="21"/>
                      <w:szCs w:val="21"/>
                    </w:rPr>
                  </w:pPr>
                  <w:r>
                    <w:rPr>
                      <w:rFonts w:hint="eastAsia"/>
                      <w:sz w:val="21"/>
                      <w:szCs w:val="21"/>
                    </w:rPr>
                    <w:t>/</w:t>
                  </w:r>
                </w:p>
              </w:tc>
            </w:tr>
          </w:tbl>
          <w:p w14:paraId="167174D8">
            <w:pPr>
              <w:kinsoku w:val="0"/>
              <w:wordWrap w:val="0"/>
              <w:autoSpaceDE w:val="0"/>
              <w:autoSpaceDN w:val="0"/>
              <w:spacing w:line="360" w:lineRule="auto"/>
              <w:ind w:firstLine="482" w:firstLineChars="200"/>
              <w:rPr>
                <w:rFonts w:hint="eastAsia" w:ascii="宋体" w:hAnsi="宋体" w:cs="宋体"/>
                <w:b/>
                <w:bCs/>
                <w:color w:val="000000"/>
              </w:rPr>
            </w:pPr>
            <w:r>
              <w:rPr>
                <w:rFonts w:hint="eastAsia" w:ascii="宋体" w:hAnsi="宋体" w:cs="宋体"/>
                <w:b/>
                <w:bCs/>
                <w:color w:val="000000"/>
              </w:rPr>
              <w:t>原辅材料理化性质：</w:t>
            </w:r>
          </w:p>
          <w:p w14:paraId="199C4C0D">
            <w:pPr>
              <w:kinsoku w:val="0"/>
              <w:wordWrap w:val="0"/>
              <w:autoSpaceDE w:val="0"/>
              <w:autoSpaceDN w:val="0"/>
              <w:spacing w:line="360" w:lineRule="auto"/>
              <w:ind w:firstLine="480" w:firstLineChars="200"/>
              <w:rPr>
                <w:rFonts w:hint="eastAsia" w:ascii="宋体" w:hAnsi="宋体" w:cs="宋体"/>
                <w:color w:val="000000"/>
              </w:rPr>
            </w:pPr>
            <w:r>
              <w:rPr>
                <w:rFonts w:hint="eastAsia" w:ascii="宋体" w:hAnsi="宋体" w:cs="宋体"/>
                <w:color w:val="000000"/>
              </w:rPr>
              <w:t>丙烷：化学式为</w:t>
            </w:r>
            <w:r>
              <w:rPr>
                <w:color w:val="000000"/>
              </w:rPr>
              <w:t>C</w:t>
            </w:r>
            <w:r>
              <w:rPr>
                <w:color w:val="000000"/>
                <w:vertAlign w:val="subscript"/>
              </w:rPr>
              <w:t>3</w:t>
            </w:r>
            <w:r>
              <w:rPr>
                <w:color w:val="000000"/>
              </w:rPr>
              <w:t>H</w:t>
            </w:r>
            <w:r>
              <w:rPr>
                <w:color w:val="000000"/>
                <w:vertAlign w:val="subscript"/>
              </w:rPr>
              <w:t>8</w:t>
            </w:r>
            <w:r>
              <w:rPr>
                <w:rFonts w:hint="eastAsia" w:ascii="宋体" w:hAnsi="宋体" w:cs="宋体"/>
                <w:color w:val="000000"/>
              </w:rPr>
              <w:t>，通常为气态，但一般经过压缩成液态后运输。无色气体，纯品无臭。熔点(℃)：</w:t>
            </w:r>
            <w:r>
              <w:rPr>
                <w:color w:val="000000"/>
              </w:rPr>
              <w:t>-187.6</w:t>
            </w:r>
            <w:r>
              <w:rPr>
                <w:rFonts w:hint="eastAsia" w:ascii="宋体" w:hAnsi="宋体" w:cs="宋体"/>
                <w:color w:val="000000"/>
              </w:rPr>
              <w:t>(</w:t>
            </w:r>
            <w:r>
              <w:rPr>
                <w:color w:val="000000"/>
              </w:rPr>
              <w:t>85.5K</w:t>
            </w:r>
            <w:r>
              <w:rPr>
                <w:rFonts w:hint="eastAsia" w:ascii="宋体" w:hAnsi="宋体" w:cs="宋体"/>
                <w:color w:val="000000"/>
              </w:rPr>
              <w:t>)，沸点(℃)：</w:t>
            </w:r>
            <w:r>
              <w:rPr>
                <w:color w:val="000000"/>
              </w:rPr>
              <w:t>-42.09</w:t>
            </w:r>
            <w:r>
              <w:rPr>
                <w:rFonts w:hint="eastAsia" w:ascii="宋体" w:hAnsi="宋体" w:cs="宋体"/>
                <w:color w:val="000000"/>
              </w:rPr>
              <w:t>(</w:t>
            </w:r>
            <w:r>
              <w:rPr>
                <w:color w:val="000000"/>
              </w:rPr>
              <w:t>231.1K</w:t>
            </w:r>
            <w:r>
              <w:rPr>
                <w:rFonts w:hint="eastAsia" w:ascii="宋体" w:hAnsi="宋体" w:cs="宋体"/>
                <w:color w:val="000000"/>
              </w:rPr>
              <w:t>)，相对密度：</w:t>
            </w:r>
            <w:r>
              <w:rPr>
                <w:color w:val="000000"/>
              </w:rPr>
              <w:t>0.5005</w:t>
            </w:r>
            <w:r>
              <w:rPr>
                <w:rFonts w:hint="eastAsia" w:ascii="宋体" w:hAnsi="宋体" w:cs="宋体"/>
                <w:color w:val="000000"/>
              </w:rPr>
              <w:t>，燃点(℃)：</w:t>
            </w:r>
            <w:r>
              <w:rPr>
                <w:color w:val="000000"/>
              </w:rPr>
              <w:t>450</w:t>
            </w:r>
            <w:r>
              <w:rPr>
                <w:rFonts w:hint="eastAsia" w:ascii="宋体" w:hAnsi="宋体" w:cs="宋体"/>
                <w:color w:val="000000"/>
              </w:rPr>
              <w:t>，易燃，微溶于水，溶于乙醇、乙醚。</w:t>
            </w:r>
          </w:p>
          <w:p w14:paraId="1C1E5070">
            <w:pPr>
              <w:kinsoku w:val="0"/>
              <w:wordWrap w:val="0"/>
              <w:autoSpaceDE w:val="0"/>
              <w:autoSpaceDN w:val="0"/>
              <w:spacing w:line="360" w:lineRule="auto"/>
              <w:ind w:firstLine="480" w:firstLineChars="200"/>
              <w:rPr>
                <w:color w:val="000000"/>
              </w:rPr>
            </w:pPr>
            <w:r>
              <w:rPr>
                <w:rFonts w:hint="eastAsia" w:ascii="宋体" w:hAnsi="宋体" w:cs="宋体"/>
                <w:color w:val="000000"/>
              </w:rPr>
              <w:t>水性丙烯酸钢构漆：主要成分为水（</w:t>
            </w:r>
            <w:r>
              <w:rPr>
                <w:color w:val="000000"/>
              </w:rPr>
              <w:t>20%</w:t>
            </w:r>
            <w:r>
              <w:rPr>
                <w:rFonts w:hint="eastAsia" w:ascii="宋体" w:hAnsi="宋体" w:cs="宋体"/>
                <w:color w:val="000000"/>
              </w:rPr>
              <w:t>）、助剂（</w:t>
            </w:r>
            <w:r>
              <w:rPr>
                <w:color w:val="000000"/>
              </w:rPr>
              <w:t>10%</w:t>
            </w:r>
            <w:r>
              <w:rPr>
                <w:rFonts w:hint="eastAsia" w:ascii="宋体" w:hAnsi="宋体" w:cs="宋体"/>
                <w:color w:val="000000"/>
              </w:rPr>
              <w:t>）、水性树脂（</w:t>
            </w:r>
            <w:r>
              <w:rPr>
                <w:color w:val="000000"/>
              </w:rPr>
              <w:t>60%</w:t>
            </w:r>
            <w:r>
              <w:rPr>
                <w:rFonts w:hint="eastAsia" w:ascii="宋体" w:hAnsi="宋体" w:cs="宋体"/>
                <w:color w:val="000000"/>
              </w:rPr>
              <w:t>）、颜料（</w:t>
            </w:r>
            <w:r>
              <w:rPr>
                <w:color w:val="000000"/>
              </w:rPr>
              <w:t>10%</w:t>
            </w:r>
            <w:r>
              <w:rPr>
                <w:rFonts w:hint="eastAsia" w:ascii="宋体" w:hAnsi="宋体" w:cs="宋体"/>
                <w:color w:val="000000"/>
              </w:rPr>
              <w:t>）。物理状态：不易燃液态。外观：液体。气味：氨味。</w:t>
            </w:r>
            <w:r>
              <w:rPr>
                <w:color w:val="000000"/>
              </w:rPr>
              <w:t>PH：9.0-1.0</w:t>
            </w:r>
            <w:r>
              <w:rPr>
                <w:rFonts w:hint="eastAsia" w:ascii="宋体" w:hAnsi="宋体" w:cs="宋体"/>
                <w:color w:val="000000"/>
              </w:rPr>
              <w:t>。沸点：</w:t>
            </w:r>
            <w:r>
              <w:rPr>
                <w:rFonts w:hint="eastAsia"/>
                <w:color w:val="000000"/>
              </w:rPr>
              <w:t>＞</w:t>
            </w:r>
            <w:r>
              <w:rPr>
                <w:color w:val="000000"/>
              </w:rPr>
              <w:t>100</w:t>
            </w:r>
            <w:r>
              <w:rPr>
                <w:rFonts w:hint="eastAsia" w:ascii="宋体" w:hAnsi="宋体" w:cs="宋体"/>
                <w:color w:val="000000"/>
              </w:rPr>
              <w:t>℃。密度：</w:t>
            </w:r>
            <w:r>
              <w:rPr>
                <w:color w:val="000000"/>
              </w:rPr>
              <w:t>1.3-1.4g/ml。</w:t>
            </w:r>
          </w:p>
          <w:p w14:paraId="520097A0">
            <w:pPr>
              <w:kinsoku w:val="0"/>
              <w:wordWrap w:val="0"/>
              <w:autoSpaceDE w:val="0"/>
              <w:autoSpaceDN w:val="0"/>
              <w:spacing w:line="360" w:lineRule="auto"/>
              <w:ind w:firstLine="480" w:firstLineChars="200"/>
              <w:rPr>
                <w:color w:val="000000"/>
              </w:rPr>
            </w:pPr>
            <w:r>
              <w:rPr>
                <w:rFonts w:hint="eastAsia"/>
                <w:color w:val="000000"/>
              </w:rPr>
              <w:t>焊条：气焊或电焊是熔化填充在焊接工件的接合处的金属条。</w:t>
            </w:r>
          </w:p>
          <w:p w14:paraId="7BC5C524">
            <w:pPr>
              <w:kinsoku w:val="0"/>
              <w:wordWrap w:val="0"/>
              <w:autoSpaceDE w:val="0"/>
              <w:autoSpaceDN w:val="0"/>
              <w:spacing w:line="360" w:lineRule="auto"/>
              <w:ind w:firstLine="480" w:firstLineChars="200"/>
              <w:rPr>
                <w:color w:val="000000"/>
              </w:rPr>
            </w:pPr>
            <w:r>
              <w:rPr>
                <w:rFonts w:hint="eastAsia"/>
                <w:color w:val="000000"/>
              </w:rPr>
              <w:t>焊丝：本项目采用的是实芯焊丝，主要成分有C、Si、Mn、Cr、Mo 等。用于焊接较重要的低碳钢结构和强度等级低的低合金钢，一般用于焊接钢结构和普通钢管道的焊接。具有优良的焊接工艺性能和力学性能，电弧稳定，飞溅少，脱渣容易，焊缝成型美观。</w:t>
            </w:r>
          </w:p>
          <w:p w14:paraId="6D28E51F">
            <w:pPr>
              <w:kinsoku w:val="0"/>
              <w:wordWrap w:val="0"/>
              <w:autoSpaceDE w:val="0"/>
              <w:autoSpaceDN w:val="0"/>
              <w:spacing w:line="360" w:lineRule="auto"/>
              <w:ind w:firstLine="482" w:firstLineChars="200"/>
              <w:rPr>
                <w:rFonts w:hint="eastAsia" w:ascii="宋体" w:hAnsi="宋体" w:cs="宋体"/>
                <w:b/>
                <w:bCs/>
                <w:color w:val="000000"/>
              </w:rPr>
            </w:pPr>
            <w:r>
              <w:rPr>
                <w:rFonts w:hint="eastAsia" w:ascii="宋体" w:hAnsi="宋体" w:cs="宋体"/>
                <w:b/>
                <w:bCs/>
                <w:color w:val="000000"/>
              </w:rPr>
              <w:t>涂料分析：</w:t>
            </w:r>
          </w:p>
          <w:p w14:paraId="54EAB798">
            <w:pPr>
              <w:kinsoku w:val="0"/>
              <w:wordWrap w:val="0"/>
              <w:autoSpaceDE w:val="0"/>
              <w:autoSpaceDN w:val="0"/>
              <w:spacing w:line="360" w:lineRule="auto"/>
              <w:ind w:firstLine="480" w:firstLineChars="200"/>
              <w:rPr>
                <w:rFonts w:hint="eastAsia" w:ascii="宋体" w:hAnsi="宋体" w:cs="宋体"/>
                <w:color w:val="000000"/>
              </w:rPr>
            </w:pPr>
            <w:r>
              <w:rPr>
                <w:rFonts w:hint="eastAsia" w:ascii="宋体" w:hAnsi="宋体" w:cs="宋体"/>
                <w:color w:val="000000"/>
              </w:rPr>
              <w:t>（1）涂料成分分析</w:t>
            </w:r>
          </w:p>
          <w:p w14:paraId="4B921A42">
            <w:pPr>
              <w:kinsoku w:val="0"/>
              <w:wordWrap w:val="0"/>
              <w:autoSpaceDE w:val="0"/>
              <w:autoSpaceDN w:val="0"/>
              <w:adjustRightInd w:val="0"/>
              <w:snapToGrid w:val="0"/>
              <w:jc w:val="center"/>
              <w:rPr>
                <w:b/>
                <w:bCs/>
                <w:snapToGrid w:val="0"/>
                <w:color w:val="000000"/>
              </w:rPr>
            </w:pPr>
            <w:r>
              <w:rPr>
                <w:rFonts w:hint="eastAsia"/>
                <w:b/>
                <w:bCs/>
                <w:snapToGrid w:val="0"/>
                <w:color w:val="000000"/>
              </w:rPr>
              <w:t>表2-4  项目漆料成分一览表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892"/>
              <w:gridCol w:w="2233"/>
              <w:gridCol w:w="1667"/>
              <w:gridCol w:w="1309"/>
            </w:tblGrid>
            <w:tr w14:paraId="41BFD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0" w:type="pct"/>
                  <w:tcBorders>
                    <w:tl2br w:val="nil"/>
                    <w:tr2bl w:val="nil"/>
                  </w:tcBorders>
                  <w:vAlign w:val="center"/>
                </w:tcPr>
                <w:p w14:paraId="3F06403A">
                  <w:pPr>
                    <w:adjustRightInd w:val="0"/>
                    <w:snapToGrid w:val="0"/>
                    <w:jc w:val="center"/>
                    <w:rPr>
                      <w:b/>
                      <w:bCs/>
                      <w:color w:val="000000"/>
                      <w:sz w:val="21"/>
                      <w:szCs w:val="21"/>
                    </w:rPr>
                  </w:pPr>
                  <w:r>
                    <w:rPr>
                      <w:rFonts w:hint="eastAsia"/>
                      <w:b/>
                      <w:bCs/>
                      <w:color w:val="000000"/>
                      <w:sz w:val="21"/>
                      <w:szCs w:val="21"/>
                    </w:rPr>
                    <w:t>序号</w:t>
                  </w:r>
                </w:p>
              </w:tc>
              <w:tc>
                <w:tcPr>
                  <w:tcW w:w="1210" w:type="pct"/>
                  <w:tcBorders>
                    <w:tl2br w:val="nil"/>
                    <w:tr2bl w:val="nil"/>
                  </w:tcBorders>
                  <w:vAlign w:val="center"/>
                </w:tcPr>
                <w:p w14:paraId="6DDABA46">
                  <w:pPr>
                    <w:adjustRightInd w:val="0"/>
                    <w:snapToGrid w:val="0"/>
                    <w:jc w:val="center"/>
                    <w:rPr>
                      <w:b/>
                      <w:bCs/>
                      <w:color w:val="000000"/>
                      <w:sz w:val="21"/>
                      <w:szCs w:val="21"/>
                    </w:rPr>
                  </w:pPr>
                  <w:r>
                    <w:rPr>
                      <w:rFonts w:hint="eastAsia"/>
                      <w:b/>
                      <w:bCs/>
                      <w:color w:val="000000"/>
                      <w:sz w:val="21"/>
                      <w:szCs w:val="21"/>
                    </w:rPr>
                    <w:t>名称</w:t>
                  </w:r>
                </w:p>
              </w:tc>
              <w:tc>
                <w:tcPr>
                  <w:tcW w:w="1428" w:type="pct"/>
                  <w:tcBorders>
                    <w:tl2br w:val="nil"/>
                    <w:tr2bl w:val="nil"/>
                  </w:tcBorders>
                  <w:vAlign w:val="center"/>
                </w:tcPr>
                <w:p w14:paraId="7B28FB06">
                  <w:pPr>
                    <w:adjustRightInd w:val="0"/>
                    <w:snapToGrid w:val="0"/>
                    <w:jc w:val="center"/>
                    <w:rPr>
                      <w:b/>
                      <w:bCs/>
                      <w:color w:val="000000"/>
                      <w:sz w:val="21"/>
                      <w:szCs w:val="21"/>
                    </w:rPr>
                  </w:pPr>
                  <w:r>
                    <w:rPr>
                      <w:rFonts w:hint="eastAsia"/>
                      <w:b/>
                      <w:bCs/>
                      <w:color w:val="000000"/>
                      <w:sz w:val="21"/>
                      <w:szCs w:val="21"/>
                    </w:rPr>
                    <w:t>主要成分</w:t>
                  </w:r>
                </w:p>
              </w:tc>
              <w:tc>
                <w:tcPr>
                  <w:tcW w:w="1066" w:type="pct"/>
                  <w:tcBorders>
                    <w:tl2br w:val="nil"/>
                    <w:tr2bl w:val="nil"/>
                  </w:tcBorders>
                  <w:vAlign w:val="center"/>
                </w:tcPr>
                <w:p w14:paraId="6E330F16">
                  <w:pPr>
                    <w:adjustRightInd w:val="0"/>
                    <w:snapToGrid w:val="0"/>
                    <w:jc w:val="center"/>
                    <w:rPr>
                      <w:b/>
                      <w:bCs/>
                      <w:color w:val="000000"/>
                      <w:sz w:val="21"/>
                      <w:szCs w:val="21"/>
                    </w:rPr>
                  </w:pPr>
                  <w:r>
                    <w:rPr>
                      <w:rFonts w:hint="eastAsia"/>
                      <w:b/>
                      <w:bCs/>
                      <w:color w:val="000000"/>
                      <w:sz w:val="21"/>
                      <w:szCs w:val="21"/>
                    </w:rPr>
                    <w:t>类别</w:t>
                  </w:r>
                </w:p>
              </w:tc>
              <w:tc>
                <w:tcPr>
                  <w:tcW w:w="836" w:type="pct"/>
                  <w:tcBorders>
                    <w:tl2br w:val="nil"/>
                    <w:tr2bl w:val="nil"/>
                  </w:tcBorders>
                  <w:vAlign w:val="center"/>
                </w:tcPr>
                <w:p w14:paraId="37D6AD36">
                  <w:pPr>
                    <w:adjustRightInd w:val="0"/>
                    <w:snapToGrid w:val="0"/>
                    <w:jc w:val="center"/>
                    <w:rPr>
                      <w:b/>
                      <w:bCs/>
                      <w:color w:val="000000"/>
                      <w:sz w:val="21"/>
                      <w:szCs w:val="21"/>
                    </w:rPr>
                  </w:pPr>
                  <w:r>
                    <w:rPr>
                      <w:rFonts w:hint="eastAsia"/>
                      <w:b/>
                      <w:bCs/>
                      <w:color w:val="000000"/>
                      <w:sz w:val="21"/>
                      <w:szCs w:val="21"/>
                    </w:rPr>
                    <w:t>比例</w:t>
                  </w:r>
                </w:p>
              </w:tc>
            </w:tr>
            <w:tr w14:paraId="5C83A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Merge w:val="restart"/>
                  <w:tcBorders>
                    <w:tl2br w:val="nil"/>
                    <w:tr2bl w:val="nil"/>
                  </w:tcBorders>
                  <w:vAlign w:val="center"/>
                </w:tcPr>
                <w:p w14:paraId="76E62F3D">
                  <w:pPr>
                    <w:adjustRightInd w:val="0"/>
                    <w:snapToGrid w:val="0"/>
                    <w:jc w:val="center"/>
                    <w:rPr>
                      <w:color w:val="000000"/>
                      <w:sz w:val="21"/>
                      <w:szCs w:val="21"/>
                    </w:rPr>
                  </w:pPr>
                  <w:r>
                    <w:rPr>
                      <w:rFonts w:hint="eastAsia"/>
                      <w:color w:val="000000"/>
                      <w:sz w:val="21"/>
                      <w:szCs w:val="21"/>
                    </w:rPr>
                    <w:t>1</w:t>
                  </w:r>
                </w:p>
              </w:tc>
              <w:tc>
                <w:tcPr>
                  <w:tcW w:w="1210" w:type="pct"/>
                  <w:vMerge w:val="restart"/>
                  <w:tcBorders>
                    <w:tl2br w:val="nil"/>
                    <w:tr2bl w:val="nil"/>
                  </w:tcBorders>
                  <w:vAlign w:val="center"/>
                </w:tcPr>
                <w:p w14:paraId="77AF40CD">
                  <w:pPr>
                    <w:adjustRightInd w:val="0"/>
                    <w:snapToGrid w:val="0"/>
                    <w:jc w:val="center"/>
                    <w:rPr>
                      <w:color w:val="000000"/>
                      <w:sz w:val="21"/>
                      <w:szCs w:val="21"/>
                    </w:rPr>
                  </w:pPr>
                  <w:r>
                    <w:rPr>
                      <w:rFonts w:hint="eastAsia"/>
                      <w:color w:val="000000"/>
                      <w:sz w:val="21"/>
                      <w:szCs w:val="21"/>
                    </w:rPr>
                    <w:t>水性丙烯酸钢结构漆</w:t>
                  </w:r>
                </w:p>
              </w:tc>
              <w:tc>
                <w:tcPr>
                  <w:tcW w:w="1428" w:type="pct"/>
                  <w:vMerge w:val="restart"/>
                  <w:tcBorders>
                    <w:tl2br w:val="nil"/>
                    <w:tr2bl w:val="nil"/>
                  </w:tcBorders>
                  <w:vAlign w:val="center"/>
                </w:tcPr>
                <w:p w14:paraId="1955EC3D">
                  <w:pPr>
                    <w:adjustRightInd w:val="0"/>
                    <w:snapToGrid w:val="0"/>
                    <w:jc w:val="center"/>
                    <w:rPr>
                      <w:color w:val="000000"/>
                      <w:sz w:val="21"/>
                      <w:szCs w:val="21"/>
                    </w:rPr>
                  </w:pPr>
                  <w:r>
                    <w:rPr>
                      <w:rFonts w:hint="eastAsia"/>
                      <w:color w:val="000000"/>
                      <w:sz w:val="21"/>
                      <w:szCs w:val="21"/>
                    </w:rPr>
                    <w:t>水（</w:t>
                  </w:r>
                  <w:r>
                    <w:rPr>
                      <w:color w:val="000000"/>
                      <w:sz w:val="21"/>
                      <w:szCs w:val="21"/>
                    </w:rPr>
                    <w:t>20%</w:t>
                  </w:r>
                  <w:r>
                    <w:rPr>
                      <w:rFonts w:hint="eastAsia"/>
                      <w:color w:val="000000"/>
                      <w:sz w:val="21"/>
                      <w:szCs w:val="21"/>
                    </w:rPr>
                    <w:t>）、助剂（</w:t>
                  </w:r>
                  <w:r>
                    <w:rPr>
                      <w:color w:val="000000"/>
                      <w:sz w:val="21"/>
                      <w:szCs w:val="21"/>
                    </w:rPr>
                    <w:t>10%</w:t>
                  </w:r>
                  <w:r>
                    <w:rPr>
                      <w:rFonts w:hint="eastAsia"/>
                      <w:color w:val="000000"/>
                      <w:sz w:val="21"/>
                      <w:szCs w:val="21"/>
                    </w:rPr>
                    <w:t>）、水性树脂（</w:t>
                  </w:r>
                  <w:r>
                    <w:rPr>
                      <w:color w:val="000000"/>
                      <w:sz w:val="21"/>
                      <w:szCs w:val="21"/>
                    </w:rPr>
                    <w:t>60%</w:t>
                  </w:r>
                  <w:r>
                    <w:rPr>
                      <w:rFonts w:hint="eastAsia"/>
                      <w:color w:val="000000"/>
                      <w:sz w:val="21"/>
                      <w:szCs w:val="21"/>
                    </w:rPr>
                    <w:t>）、颜料（</w:t>
                  </w:r>
                  <w:r>
                    <w:rPr>
                      <w:color w:val="000000"/>
                      <w:sz w:val="21"/>
                      <w:szCs w:val="21"/>
                    </w:rPr>
                    <w:t>10%</w:t>
                  </w:r>
                  <w:r>
                    <w:rPr>
                      <w:rFonts w:hint="eastAsia"/>
                      <w:color w:val="000000"/>
                      <w:sz w:val="21"/>
                      <w:szCs w:val="21"/>
                    </w:rPr>
                    <w:t>）</w:t>
                  </w:r>
                </w:p>
              </w:tc>
              <w:tc>
                <w:tcPr>
                  <w:tcW w:w="1066" w:type="pct"/>
                  <w:tcBorders>
                    <w:tl2br w:val="nil"/>
                    <w:tr2bl w:val="nil"/>
                  </w:tcBorders>
                  <w:vAlign w:val="center"/>
                </w:tcPr>
                <w:p w14:paraId="1054AC11">
                  <w:pPr>
                    <w:adjustRightInd w:val="0"/>
                    <w:snapToGrid w:val="0"/>
                    <w:jc w:val="center"/>
                    <w:rPr>
                      <w:color w:val="000000"/>
                      <w:sz w:val="21"/>
                      <w:szCs w:val="21"/>
                    </w:rPr>
                  </w:pPr>
                  <w:r>
                    <w:rPr>
                      <w:rFonts w:hint="eastAsia"/>
                      <w:color w:val="000000"/>
                      <w:sz w:val="21"/>
                      <w:szCs w:val="21"/>
                    </w:rPr>
                    <w:t>固含量</w:t>
                  </w:r>
                </w:p>
              </w:tc>
              <w:tc>
                <w:tcPr>
                  <w:tcW w:w="836" w:type="pct"/>
                  <w:tcBorders>
                    <w:tl2br w:val="nil"/>
                    <w:tr2bl w:val="nil"/>
                  </w:tcBorders>
                  <w:vAlign w:val="center"/>
                </w:tcPr>
                <w:p w14:paraId="1B59BBBB">
                  <w:pPr>
                    <w:adjustRightInd w:val="0"/>
                    <w:snapToGrid w:val="0"/>
                    <w:jc w:val="center"/>
                    <w:rPr>
                      <w:color w:val="000000"/>
                      <w:sz w:val="21"/>
                      <w:szCs w:val="21"/>
                    </w:rPr>
                  </w:pPr>
                  <w:r>
                    <w:rPr>
                      <w:rFonts w:hint="eastAsia"/>
                      <w:color w:val="000000"/>
                      <w:sz w:val="21"/>
                      <w:szCs w:val="21"/>
                    </w:rPr>
                    <w:t>70%</w:t>
                  </w:r>
                </w:p>
              </w:tc>
            </w:tr>
            <w:tr w14:paraId="26C4C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Merge w:val="continue"/>
                  <w:tcBorders>
                    <w:tl2br w:val="nil"/>
                    <w:tr2bl w:val="nil"/>
                  </w:tcBorders>
                  <w:vAlign w:val="center"/>
                </w:tcPr>
                <w:p w14:paraId="41B297E3">
                  <w:pPr>
                    <w:adjustRightInd w:val="0"/>
                    <w:snapToGrid w:val="0"/>
                    <w:jc w:val="center"/>
                    <w:rPr>
                      <w:color w:val="000000"/>
                      <w:sz w:val="21"/>
                      <w:szCs w:val="21"/>
                    </w:rPr>
                  </w:pPr>
                </w:p>
              </w:tc>
              <w:tc>
                <w:tcPr>
                  <w:tcW w:w="1210" w:type="pct"/>
                  <w:vMerge w:val="continue"/>
                  <w:tcBorders>
                    <w:tl2br w:val="nil"/>
                    <w:tr2bl w:val="nil"/>
                  </w:tcBorders>
                  <w:vAlign w:val="center"/>
                </w:tcPr>
                <w:p w14:paraId="7B79AE10">
                  <w:pPr>
                    <w:adjustRightInd w:val="0"/>
                    <w:snapToGrid w:val="0"/>
                    <w:jc w:val="center"/>
                    <w:rPr>
                      <w:color w:val="000000"/>
                      <w:sz w:val="21"/>
                      <w:szCs w:val="21"/>
                    </w:rPr>
                  </w:pPr>
                </w:p>
              </w:tc>
              <w:tc>
                <w:tcPr>
                  <w:tcW w:w="1428" w:type="pct"/>
                  <w:vMerge w:val="continue"/>
                  <w:tcBorders>
                    <w:tl2br w:val="nil"/>
                    <w:tr2bl w:val="nil"/>
                  </w:tcBorders>
                  <w:vAlign w:val="center"/>
                </w:tcPr>
                <w:p w14:paraId="06178A69">
                  <w:pPr>
                    <w:adjustRightInd w:val="0"/>
                    <w:snapToGrid w:val="0"/>
                    <w:jc w:val="center"/>
                    <w:rPr>
                      <w:color w:val="000000"/>
                      <w:sz w:val="21"/>
                      <w:szCs w:val="21"/>
                    </w:rPr>
                  </w:pPr>
                </w:p>
              </w:tc>
              <w:tc>
                <w:tcPr>
                  <w:tcW w:w="1066" w:type="pct"/>
                  <w:tcBorders>
                    <w:tl2br w:val="nil"/>
                    <w:tr2bl w:val="nil"/>
                  </w:tcBorders>
                  <w:vAlign w:val="center"/>
                </w:tcPr>
                <w:p w14:paraId="50259584">
                  <w:pPr>
                    <w:adjustRightInd w:val="0"/>
                    <w:snapToGrid w:val="0"/>
                    <w:jc w:val="center"/>
                    <w:rPr>
                      <w:color w:val="000000"/>
                      <w:sz w:val="21"/>
                      <w:szCs w:val="21"/>
                    </w:rPr>
                  </w:pPr>
                  <w:r>
                    <w:rPr>
                      <w:rFonts w:hint="eastAsia"/>
                      <w:color w:val="000000"/>
                      <w:sz w:val="21"/>
                      <w:szCs w:val="21"/>
                    </w:rPr>
                    <w:t>挥发份（助剂）</w:t>
                  </w:r>
                </w:p>
              </w:tc>
              <w:tc>
                <w:tcPr>
                  <w:tcW w:w="836" w:type="pct"/>
                  <w:tcBorders>
                    <w:tl2br w:val="nil"/>
                    <w:tr2bl w:val="nil"/>
                  </w:tcBorders>
                  <w:vAlign w:val="center"/>
                </w:tcPr>
                <w:p w14:paraId="4CE5CBB5">
                  <w:pPr>
                    <w:adjustRightInd w:val="0"/>
                    <w:snapToGrid w:val="0"/>
                    <w:jc w:val="center"/>
                    <w:rPr>
                      <w:color w:val="000000"/>
                      <w:sz w:val="21"/>
                      <w:szCs w:val="21"/>
                    </w:rPr>
                  </w:pPr>
                  <w:r>
                    <w:rPr>
                      <w:rFonts w:hint="eastAsia"/>
                      <w:color w:val="000000"/>
                      <w:sz w:val="21"/>
                      <w:szCs w:val="21"/>
                    </w:rPr>
                    <w:t>10%</w:t>
                  </w:r>
                </w:p>
              </w:tc>
            </w:tr>
            <w:tr w14:paraId="393C0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 w:type="pct"/>
                  <w:vMerge w:val="continue"/>
                  <w:tcBorders>
                    <w:tl2br w:val="nil"/>
                    <w:tr2bl w:val="nil"/>
                  </w:tcBorders>
                  <w:vAlign w:val="center"/>
                </w:tcPr>
                <w:p w14:paraId="663A963F">
                  <w:pPr>
                    <w:adjustRightInd w:val="0"/>
                    <w:snapToGrid w:val="0"/>
                    <w:jc w:val="center"/>
                    <w:rPr>
                      <w:color w:val="000000"/>
                      <w:sz w:val="21"/>
                      <w:szCs w:val="21"/>
                    </w:rPr>
                  </w:pPr>
                </w:p>
              </w:tc>
              <w:tc>
                <w:tcPr>
                  <w:tcW w:w="1210" w:type="pct"/>
                  <w:vMerge w:val="continue"/>
                  <w:tcBorders>
                    <w:tl2br w:val="nil"/>
                    <w:tr2bl w:val="nil"/>
                  </w:tcBorders>
                  <w:vAlign w:val="center"/>
                </w:tcPr>
                <w:p w14:paraId="70A2E9B1">
                  <w:pPr>
                    <w:adjustRightInd w:val="0"/>
                    <w:snapToGrid w:val="0"/>
                    <w:jc w:val="center"/>
                    <w:rPr>
                      <w:color w:val="000000"/>
                      <w:sz w:val="21"/>
                      <w:szCs w:val="21"/>
                    </w:rPr>
                  </w:pPr>
                </w:p>
              </w:tc>
              <w:tc>
                <w:tcPr>
                  <w:tcW w:w="1428" w:type="pct"/>
                  <w:vMerge w:val="continue"/>
                  <w:tcBorders>
                    <w:tl2br w:val="nil"/>
                    <w:tr2bl w:val="nil"/>
                  </w:tcBorders>
                  <w:vAlign w:val="center"/>
                </w:tcPr>
                <w:p w14:paraId="34EC2057">
                  <w:pPr>
                    <w:adjustRightInd w:val="0"/>
                    <w:snapToGrid w:val="0"/>
                    <w:jc w:val="center"/>
                    <w:rPr>
                      <w:color w:val="000000"/>
                      <w:sz w:val="21"/>
                      <w:szCs w:val="21"/>
                    </w:rPr>
                  </w:pPr>
                </w:p>
              </w:tc>
              <w:tc>
                <w:tcPr>
                  <w:tcW w:w="1066" w:type="pct"/>
                  <w:tcBorders>
                    <w:tl2br w:val="nil"/>
                    <w:tr2bl w:val="nil"/>
                  </w:tcBorders>
                  <w:vAlign w:val="center"/>
                </w:tcPr>
                <w:p w14:paraId="61A178F4">
                  <w:pPr>
                    <w:adjustRightInd w:val="0"/>
                    <w:snapToGrid w:val="0"/>
                    <w:jc w:val="center"/>
                    <w:rPr>
                      <w:color w:val="000000"/>
                      <w:sz w:val="21"/>
                      <w:szCs w:val="21"/>
                    </w:rPr>
                  </w:pPr>
                  <w:r>
                    <w:rPr>
                      <w:rFonts w:hint="eastAsia"/>
                      <w:color w:val="000000"/>
                      <w:sz w:val="21"/>
                      <w:szCs w:val="21"/>
                    </w:rPr>
                    <w:t>水</w:t>
                  </w:r>
                </w:p>
              </w:tc>
              <w:tc>
                <w:tcPr>
                  <w:tcW w:w="836" w:type="pct"/>
                  <w:tcBorders>
                    <w:tl2br w:val="nil"/>
                    <w:tr2bl w:val="nil"/>
                  </w:tcBorders>
                  <w:vAlign w:val="center"/>
                </w:tcPr>
                <w:p w14:paraId="0AAA1032">
                  <w:pPr>
                    <w:adjustRightInd w:val="0"/>
                    <w:snapToGrid w:val="0"/>
                    <w:jc w:val="center"/>
                    <w:rPr>
                      <w:color w:val="000000"/>
                      <w:sz w:val="21"/>
                      <w:szCs w:val="21"/>
                    </w:rPr>
                  </w:pPr>
                  <w:r>
                    <w:rPr>
                      <w:rFonts w:hint="eastAsia"/>
                      <w:color w:val="000000"/>
                      <w:sz w:val="21"/>
                      <w:szCs w:val="21"/>
                    </w:rPr>
                    <w:t>20%</w:t>
                  </w:r>
                </w:p>
              </w:tc>
            </w:tr>
          </w:tbl>
          <w:p w14:paraId="4E400070">
            <w:pPr>
              <w:kinsoku w:val="0"/>
              <w:autoSpaceDE w:val="0"/>
              <w:autoSpaceDN w:val="0"/>
              <w:spacing w:line="360" w:lineRule="auto"/>
              <w:ind w:firstLine="480" w:firstLineChars="200"/>
              <w:rPr>
                <w:snapToGrid w:val="0"/>
                <w:color w:val="000000"/>
              </w:rPr>
            </w:pPr>
            <w:r>
              <w:rPr>
                <w:rFonts w:hint="eastAsia"/>
                <w:snapToGrid w:val="0"/>
                <w:color w:val="000000"/>
              </w:rPr>
              <w:t>（2）涂料挥发性有机化合物含量</w:t>
            </w:r>
          </w:p>
          <w:p w14:paraId="085DB51D">
            <w:pPr>
              <w:kinsoku w:val="0"/>
              <w:autoSpaceDE w:val="0"/>
              <w:autoSpaceDN w:val="0"/>
              <w:spacing w:line="360" w:lineRule="auto"/>
              <w:ind w:firstLine="480" w:firstLineChars="200"/>
              <w:rPr>
                <w:snapToGrid w:val="0"/>
                <w:color w:val="000000"/>
              </w:rPr>
            </w:pPr>
            <w:r>
              <w:rPr>
                <w:rFonts w:hint="eastAsia"/>
                <w:snapToGrid w:val="0"/>
                <w:color w:val="000000"/>
              </w:rPr>
              <w:t>根据建设单位提供的水性漆检测报告，本项目所用水性漆的挥发性有机化合物含量为3.5g/cm</w:t>
            </w:r>
            <w:r>
              <w:rPr>
                <w:rFonts w:hint="eastAsia"/>
                <w:snapToGrid w:val="0"/>
                <w:color w:val="000000"/>
                <w:vertAlign w:val="superscript"/>
              </w:rPr>
              <w:t>3</w:t>
            </w:r>
            <w:r>
              <w:rPr>
                <w:rFonts w:hint="eastAsia"/>
                <w:snapToGrid w:val="0"/>
                <w:color w:val="000000"/>
              </w:rPr>
              <w:t>，因此本项目漆料挥发性有机化合物含量符合《低挥发性有机化合物含量涂料产品技术要求》（GB/T38597-2020）的相关限值。</w:t>
            </w:r>
          </w:p>
          <w:p w14:paraId="0DF9C6A5">
            <w:pPr>
              <w:kinsoku w:val="0"/>
              <w:autoSpaceDE w:val="0"/>
              <w:autoSpaceDN w:val="0"/>
              <w:spacing w:line="360" w:lineRule="auto"/>
              <w:ind w:firstLine="480" w:firstLineChars="200"/>
              <w:rPr>
                <w:snapToGrid w:val="0"/>
                <w:color w:val="000000"/>
              </w:rPr>
            </w:pPr>
            <w:r>
              <w:rPr>
                <w:rFonts w:hint="eastAsia"/>
                <w:snapToGrid w:val="0"/>
                <w:color w:val="000000"/>
              </w:rPr>
              <w:t>（3）涂料用量核算</w:t>
            </w:r>
          </w:p>
          <w:p w14:paraId="424668C1">
            <w:pPr>
              <w:kinsoku w:val="0"/>
              <w:autoSpaceDE w:val="0"/>
              <w:autoSpaceDN w:val="0"/>
              <w:spacing w:line="360" w:lineRule="auto"/>
              <w:ind w:firstLine="480" w:firstLineChars="200"/>
              <w:rPr>
                <w:snapToGrid w:val="0"/>
                <w:color w:val="000000"/>
              </w:rPr>
            </w:pPr>
            <w:r>
              <w:rPr>
                <w:rFonts w:hint="eastAsia"/>
                <w:snapToGrid w:val="0"/>
                <w:color w:val="000000"/>
              </w:rPr>
              <w:t>根据企业提供资料，本项目所用的水性钢结构漆密度为1.3-1.4g/cm</w:t>
            </w:r>
            <w:r>
              <w:rPr>
                <w:rFonts w:hint="eastAsia"/>
                <w:snapToGrid w:val="0"/>
                <w:color w:val="000000"/>
                <w:vertAlign w:val="superscript"/>
              </w:rPr>
              <w:t>3</w:t>
            </w:r>
            <w:r>
              <w:rPr>
                <w:rFonts w:hint="eastAsia"/>
                <w:snapToGrid w:val="0"/>
                <w:color w:val="000000"/>
              </w:rPr>
              <w:t>（取1.35g/cm</w:t>
            </w:r>
            <w:r>
              <w:rPr>
                <w:rFonts w:hint="eastAsia"/>
                <w:snapToGrid w:val="0"/>
                <w:color w:val="000000"/>
                <w:vertAlign w:val="superscript"/>
              </w:rPr>
              <w:t>3</w:t>
            </w:r>
            <w:r>
              <w:rPr>
                <w:rFonts w:hint="eastAsia"/>
                <w:snapToGrid w:val="0"/>
                <w:color w:val="000000"/>
              </w:rPr>
              <w:t>），本项目采用人工自动喷漆枪高压无气喷涂方式，漆料利用率可达到55%-65%（取60%）。根据建设单位提供资料及类比现有项目，H型钢结构的喷涂用量约为20.49m</w:t>
            </w:r>
            <w:r>
              <w:rPr>
                <w:rFonts w:hint="eastAsia"/>
                <w:snapToGrid w:val="0"/>
                <w:color w:val="000000"/>
                <w:vertAlign w:val="superscript"/>
              </w:rPr>
              <w:t>2</w:t>
            </w:r>
            <w:r>
              <w:rPr>
                <w:rFonts w:hint="eastAsia"/>
                <w:snapToGrid w:val="0"/>
                <w:color w:val="000000"/>
              </w:rPr>
              <w:t>/t，桁架钢结构的喷涂用量约为14.08m</w:t>
            </w:r>
            <w:r>
              <w:rPr>
                <w:rFonts w:hint="eastAsia"/>
                <w:snapToGrid w:val="0"/>
                <w:color w:val="000000"/>
                <w:vertAlign w:val="superscript"/>
              </w:rPr>
              <w:t>2</w:t>
            </w:r>
            <w:r>
              <w:rPr>
                <w:rFonts w:hint="eastAsia"/>
                <w:snapToGrid w:val="0"/>
                <w:color w:val="000000"/>
              </w:rPr>
              <w:t>/t，因此本项目涂装系数为（20.49+14.08）/2=17.285m</w:t>
            </w:r>
            <w:r>
              <w:rPr>
                <w:rFonts w:hint="eastAsia"/>
                <w:snapToGrid w:val="0"/>
                <w:color w:val="000000"/>
                <w:vertAlign w:val="superscript"/>
              </w:rPr>
              <w:t>2</w:t>
            </w:r>
            <w:r>
              <w:rPr>
                <w:rFonts w:hint="eastAsia"/>
                <w:snapToGrid w:val="0"/>
                <w:color w:val="000000"/>
              </w:rPr>
              <w:t>/t，经计算本项目涂装总面积为86425m</w:t>
            </w:r>
            <w:r>
              <w:rPr>
                <w:rFonts w:hint="eastAsia"/>
                <w:snapToGrid w:val="0"/>
                <w:color w:val="000000"/>
                <w:vertAlign w:val="superscript"/>
              </w:rPr>
              <w:t>2</w:t>
            </w:r>
            <w:r>
              <w:rPr>
                <w:rFonts w:hint="eastAsia"/>
                <w:snapToGrid w:val="0"/>
                <w:color w:val="000000"/>
              </w:rPr>
              <w:t>/a。</w:t>
            </w:r>
          </w:p>
          <w:p w14:paraId="222D9286">
            <w:pPr>
              <w:pStyle w:val="22"/>
              <w:kinsoku w:val="0"/>
              <w:spacing w:after="0" w:line="360" w:lineRule="auto"/>
              <w:ind w:left="0" w:leftChars="0" w:firstLine="480" w:firstLineChars="200"/>
              <w:rPr>
                <w:snapToGrid w:val="0"/>
                <w:color w:val="000000"/>
                <w:sz w:val="24"/>
              </w:rPr>
            </w:pPr>
            <w:r>
              <w:rPr>
                <w:rFonts w:hint="eastAsia"/>
                <w:snapToGrid w:val="0"/>
                <w:color w:val="000000"/>
                <w:sz w:val="24"/>
              </w:rPr>
              <w:t>根据《涂料工艺与设备手册》（叶扬详主编，机械工业出版社出版）中单位面积涂料消耗量计算公式进行估算，具体计算公式如下：</w:t>
            </w:r>
          </w:p>
          <w:p w14:paraId="495AF36C">
            <w:pPr>
              <w:pStyle w:val="22"/>
              <w:kinsoku w:val="0"/>
              <w:spacing w:after="0" w:line="360" w:lineRule="auto"/>
              <w:ind w:left="0" w:leftChars="0" w:firstLine="0"/>
              <w:jc w:val="center"/>
            </w:pPr>
            <w:r>
              <w:rPr>
                <w:rFonts w:hint="eastAsia"/>
                <w:snapToGrid w:val="0"/>
                <w:color w:val="000000"/>
                <w:sz w:val="24"/>
              </w:rPr>
              <w:t>m=</w:t>
            </w:r>
            <w:r>
              <w:rPr>
                <w:snapToGrid w:val="0"/>
                <w:color w:val="000000"/>
                <w:sz w:val="24"/>
              </w:rPr>
              <w:t>ρδ</w:t>
            </w:r>
            <w:r>
              <w:rPr>
                <w:rFonts w:hint="eastAsia"/>
                <w:snapToGrid w:val="0"/>
                <w:color w:val="000000"/>
                <w:sz w:val="24"/>
              </w:rPr>
              <w:t>s</w:t>
            </w:r>
            <w:r>
              <w:rPr>
                <w:rFonts w:hint="eastAsia"/>
                <w:snapToGrid w:val="0"/>
                <w:color w:val="000000"/>
                <w:sz w:val="24"/>
              </w:rPr>
              <w:sym w:font="Symbol" w:char="00B4"/>
            </w:r>
            <w:r>
              <w:rPr>
                <w:rFonts w:hint="eastAsia"/>
                <w:snapToGrid w:val="0"/>
                <w:color w:val="000000"/>
                <w:sz w:val="24"/>
              </w:rPr>
              <w:t>10</w:t>
            </w:r>
            <w:r>
              <w:rPr>
                <w:rFonts w:hint="eastAsia"/>
                <w:snapToGrid w:val="0"/>
                <w:color w:val="000000"/>
                <w:sz w:val="24"/>
                <w:vertAlign w:val="superscript"/>
              </w:rPr>
              <w:t>-6</w:t>
            </w:r>
            <w:r>
              <w:rPr>
                <w:rFonts w:hint="eastAsia"/>
                <w:snapToGrid w:val="0"/>
                <w:color w:val="000000"/>
                <w:sz w:val="24"/>
              </w:rPr>
              <w:t>/（NV</w:t>
            </w:r>
            <w:r>
              <w:rPr>
                <w:snapToGrid w:val="0"/>
                <w:color w:val="000000"/>
                <w:sz w:val="24"/>
              </w:rPr>
              <w:t>Ɛ</w:t>
            </w:r>
            <w:r>
              <w:rPr>
                <w:rFonts w:hint="eastAsia"/>
                <w:snapToGrid w:val="0"/>
                <w:color w:val="000000"/>
                <w:sz w:val="24"/>
              </w:rPr>
              <w:t>）</w:t>
            </w:r>
          </w:p>
          <w:p w14:paraId="413960C8">
            <w:pPr>
              <w:keepNext/>
              <w:keepLines/>
              <w:widowControl/>
              <w:spacing w:line="360" w:lineRule="auto"/>
              <w:ind w:firstLine="480" w:firstLineChars="200"/>
              <w:rPr>
                <w:color w:val="000000"/>
              </w:rPr>
            </w:pPr>
            <w:r>
              <w:rPr>
                <w:rFonts w:hint="eastAsia"/>
                <w:color w:val="000000"/>
              </w:rPr>
              <w:t>m-漆料总用量（t/a）；</w:t>
            </w:r>
          </w:p>
          <w:p w14:paraId="5142BDBC">
            <w:pPr>
              <w:keepNext/>
              <w:keepLines/>
              <w:widowControl/>
              <w:spacing w:line="360" w:lineRule="auto"/>
              <w:ind w:firstLine="480" w:firstLineChars="200"/>
              <w:rPr>
                <w:snapToGrid w:val="0"/>
                <w:color w:val="000000"/>
              </w:rPr>
            </w:pPr>
            <w:r>
              <w:rPr>
                <w:snapToGrid w:val="0"/>
                <w:color w:val="000000"/>
              </w:rPr>
              <w:t>Ρ</w:t>
            </w:r>
            <w:r>
              <w:rPr>
                <w:rFonts w:hint="eastAsia"/>
                <w:snapToGrid w:val="0"/>
                <w:color w:val="000000"/>
              </w:rPr>
              <w:t>-漆料密度（g/cm</w:t>
            </w:r>
            <w:r>
              <w:rPr>
                <w:rFonts w:hint="eastAsia"/>
                <w:snapToGrid w:val="0"/>
                <w:color w:val="000000"/>
                <w:vertAlign w:val="superscript"/>
              </w:rPr>
              <w:t>3</w:t>
            </w:r>
            <w:r>
              <w:rPr>
                <w:rFonts w:hint="eastAsia"/>
                <w:snapToGrid w:val="0"/>
                <w:color w:val="000000"/>
              </w:rPr>
              <w:t>）；</w:t>
            </w:r>
          </w:p>
          <w:p w14:paraId="0875B06A">
            <w:pPr>
              <w:keepNext/>
              <w:keepLines/>
              <w:widowControl/>
              <w:spacing w:line="360" w:lineRule="auto"/>
              <w:ind w:firstLine="480" w:firstLineChars="200"/>
              <w:rPr>
                <w:snapToGrid w:val="0"/>
                <w:color w:val="000000"/>
              </w:rPr>
            </w:pPr>
            <w:r>
              <w:rPr>
                <w:snapToGrid w:val="0"/>
                <w:color w:val="000000"/>
              </w:rPr>
              <w:t>δ</w:t>
            </w:r>
            <w:r>
              <w:rPr>
                <w:rFonts w:hint="eastAsia"/>
                <w:snapToGrid w:val="0"/>
                <w:color w:val="000000"/>
              </w:rPr>
              <w:t>-涂层厚度（</w:t>
            </w:r>
            <w:r>
              <w:rPr>
                <w:rFonts w:eastAsia="微软雅黑"/>
                <w:snapToGrid w:val="0"/>
                <w:color w:val="000000"/>
              </w:rPr>
              <w:t>μ</w:t>
            </w:r>
            <w:r>
              <w:rPr>
                <w:snapToGrid w:val="0"/>
                <w:color w:val="000000"/>
              </w:rPr>
              <w:t>m</w:t>
            </w:r>
            <w:r>
              <w:rPr>
                <w:rFonts w:hint="eastAsia"/>
                <w:snapToGrid w:val="0"/>
                <w:color w:val="000000"/>
              </w:rPr>
              <w:t>）；</w:t>
            </w:r>
          </w:p>
          <w:p w14:paraId="25FD8131">
            <w:pPr>
              <w:keepNext/>
              <w:keepLines/>
              <w:widowControl/>
              <w:spacing w:line="360" w:lineRule="auto"/>
              <w:ind w:firstLine="480" w:firstLineChars="200"/>
              <w:rPr>
                <w:snapToGrid w:val="0"/>
                <w:color w:val="000000"/>
              </w:rPr>
            </w:pPr>
            <w:r>
              <w:rPr>
                <w:rFonts w:hint="eastAsia"/>
                <w:snapToGrid w:val="0"/>
                <w:color w:val="000000"/>
              </w:rPr>
              <w:t>s-涂装总面积（m</w:t>
            </w:r>
            <w:r>
              <w:rPr>
                <w:rFonts w:hint="eastAsia"/>
                <w:snapToGrid w:val="0"/>
                <w:color w:val="000000"/>
                <w:vertAlign w:val="superscript"/>
              </w:rPr>
              <w:t>2</w:t>
            </w:r>
            <w:r>
              <w:rPr>
                <w:rFonts w:hint="eastAsia"/>
                <w:snapToGrid w:val="0"/>
                <w:color w:val="000000"/>
              </w:rPr>
              <w:t>/年）；</w:t>
            </w:r>
          </w:p>
          <w:p w14:paraId="0951EE80">
            <w:pPr>
              <w:keepNext/>
              <w:keepLines/>
              <w:widowControl/>
              <w:spacing w:line="360" w:lineRule="auto"/>
              <w:ind w:firstLine="480" w:firstLineChars="200"/>
              <w:rPr>
                <w:snapToGrid w:val="0"/>
                <w:color w:val="000000"/>
              </w:rPr>
            </w:pPr>
            <w:r>
              <w:rPr>
                <w:snapToGrid w:val="0"/>
                <w:color w:val="000000"/>
              </w:rPr>
              <w:t>Ɛ</w:t>
            </w:r>
            <w:r>
              <w:rPr>
                <w:rFonts w:hint="eastAsia"/>
                <w:snapToGrid w:val="0"/>
                <w:color w:val="000000"/>
              </w:rPr>
              <w:t>-上漆率；</w:t>
            </w:r>
          </w:p>
          <w:p w14:paraId="273752BC">
            <w:pPr>
              <w:keepNext/>
              <w:keepLines/>
              <w:widowControl/>
              <w:spacing w:line="360" w:lineRule="auto"/>
              <w:ind w:firstLine="480" w:firstLineChars="200"/>
              <w:rPr>
                <w:snapToGrid w:val="0"/>
                <w:color w:val="000000"/>
              </w:rPr>
            </w:pPr>
            <w:r>
              <w:rPr>
                <w:rFonts w:hint="eastAsia"/>
                <w:snapToGrid w:val="0"/>
                <w:color w:val="000000"/>
              </w:rPr>
              <w:t>NV-油漆中的体积固体份（%）；</w:t>
            </w:r>
          </w:p>
          <w:p w14:paraId="106DAC8C">
            <w:pPr>
              <w:keepNext/>
              <w:keepLines/>
              <w:widowControl/>
              <w:adjustRightInd w:val="0"/>
              <w:snapToGrid w:val="0"/>
              <w:jc w:val="center"/>
              <w:rPr>
                <w:b/>
                <w:bCs/>
                <w:color w:val="000000"/>
              </w:rPr>
            </w:pPr>
            <w:r>
              <w:rPr>
                <w:rFonts w:hint="eastAsia"/>
                <w:b/>
                <w:bCs/>
                <w:color w:val="000000"/>
              </w:rPr>
              <w:t>表2-5  项目漆料使用量一览表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117"/>
              <w:gridCol w:w="1117"/>
              <w:gridCol w:w="1225"/>
              <w:gridCol w:w="1192"/>
              <w:gridCol w:w="1026"/>
              <w:gridCol w:w="1026"/>
            </w:tblGrid>
            <w:tr w14:paraId="4F84D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4" w:type="dxa"/>
                  <w:vMerge w:val="restart"/>
                  <w:tcBorders>
                    <w:tl2br w:val="nil"/>
                    <w:tr2bl w:val="nil"/>
                  </w:tcBorders>
                  <w:vAlign w:val="center"/>
                </w:tcPr>
                <w:p w14:paraId="5A813DD1">
                  <w:pPr>
                    <w:adjustRightInd w:val="0"/>
                    <w:snapToGrid w:val="0"/>
                    <w:jc w:val="center"/>
                    <w:rPr>
                      <w:b/>
                      <w:bCs/>
                      <w:color w:val="000000"/>
                      <w:sz w:val="21"/>
                      <w:szCs w:val="21"/>
                    </w:rPr>
                  </w:pPr>
                  <w:r>
                    <w:rPr>
                      <w:rFonts w:hint="eastAsia"/>
                      <w:b/>
                      <w:bCs/>
                      <w:color w:val="000000"/>
                      <w:sz w:val="21"/>
                      <w:szCs w:val="21"/>
                    </w:rPr>
                    <w:t>产品</w:t>
                  </w:r>
                </w:p>
              </w:tc>
              <w:tc>
                <w:tcPr>
                  <w:tcW w:w="1117" w:type="dxa"/>
                  <w:tcBorders>
                    <w:tl2br w:val="nil"/>
                    <w:tr2bl w:val="nil"/>
                  </w:tcBorders>
                  <w:vAlign w:val="center"/>
                </w:tcPr>
                <w:p w14:paraId="2B2D554A">
                  <w:pPr>
                    <w:adjustRightInd w:val="0"/>
                    <w:snapToGrid w:val="0"/>
                    <w:jc w:val="center"/>
                    <w:rPr>
                      <w:b/>
                      <w:bCs/>
                      <w:color w:val="000000"/>
                      <w:sz w:val="21"/>
                      <w:szCs w:val="21"/>
                    </w:rPr>
                  </w:pPr>
                  <w:r>
                    <w:rPr>
                      <w:rFonts w:hint="eastAsia"/>
                      <w:b/>
                      <w:bCs/>
                      <w:color w:val="000000"/>
                      <w:sz w:val="21"/>
                      <w:szCs w:val="21"/>
                    </w:rPr>
                    <w:t>漆料密度</w:t>
                  </w:r>
                </w:p>
              </w:tc>
              <w:tc>
                <w:tcPr>
                  <w:tcW w:w="1117" w:type="dxa"/>
                  <w:tcBorders>
                    <w:tl2br w:val="nil"/>
                    <w:tr2bl w:val="nil"/>
                  </w:tcBorders>
                  <w:vAlign w:val="center"/>
                </w:tcPr>
                <w:p w14:paraId="052DD3F9">
                  <w:pPr>
                    <w:adjustRightInd w:val="0"/>
                    <w:snapToGrid w:val="0"/>
                    <w:jc w:val="center"/>
                    <w:rPr>
                      <w:b/>
                      <w:bCs/>
                      <w:color w:val="000000"/>
                      <w:sz w:val="21"/>
                      <w:szCs w:val="21"/>
                    </w:rPr>
                  </w:pPr>
                  <w:r>
                    <w:rPr>
                      <w:rFonts w:hint="eastAsia"/>
                      <w:b/>
                      <w:bCs/>
                      <w:color w:val="000000"/>
                      <w:sz w:val="21"/>
                      <w:szCs w:val="21"/>
                    </w:rPr>
                    <w:t>涂装面积</w:t>
                  </w:r>
                </w:p>
              </w:tc>
              <w:tc>
                <w:tcPr>
                  <w:tcW w:w="1225" w:type="dxa"/>
                  <w:tcBorders>
                    <w:tl2br w:val="nil"/>
                    <w:tr2bl w:val="nil"/>
                  </w:tcBorders>
                  <w:vAlign w:val="center"/>
                </w:tcPr>
                <w:p w14:paraId="4A29B400">
                  <w:pPr>
                    <w:adjustRightInd w:val="0"/>
                    <w:snapToGrid w:val="0"/>
                    <w:jc w:val="center"/>
                    <w:rPr>
                      <w:b/>
                      <w:bCs/>
                      <w:color w:val="000000"/>
                      <w:sz w:val="21"/>
                      <w:szCs w:val="21"/>
                    </w:rPr>
                  </w:pPr>
                  <w:r>
                    <w:rPr>
                      <w:rFonts w:hint="eastAsia"/>
                      <w:b/>
                      <w:bCs/>
                      <w:color w:val="000000"/>
                      <w:sz w:val="21"/>
                      <w:szCs w:val="21"/>
                    </w:rPr>
                    <w:t>漆膜厚度（干）</w:t>
                  </w:r>
                </w:p>
              </w:tc>
              <w:tc>
                <w:tcPr>
                  <w:tcW w:w="1192" w:type="dxa"/>
                  <w:tcBorders>
                    <w:tl2br w:val="nil"/>
                    <w:tr2bl w:val="nil"/>
                  </w:tcBorders>
                  <w:vAlign w:val="center"/>
                </w:tcPr>
                <w:p w14:paraId="3CEB34D9">
                  <w:pPr>
                    <w:adjustRightInd w:val="0"/>
                    <w:snapToGrid w:val="0"/>
                    <w:jc w:val="center"/>
                    <w:rPr>
                      <w:b/>
                      <w:bCs/>
                      <w:color w:val="000000"/>
                      <w:sz w:val="21"/>
                      <w:szCs w:val="21"/>
                    </w:rPr>
                  </w:pPr>
                  <w:r>
                    <w:rPr>
                      <w:rFonts w:hint="eastAsia"/>
                      <w:b/>
                      <w:bCs/>
                      <w:color w:val="000000"/>
                      <w:sz w:val="21"/>
                      <w:szCs w:val="21"/>
                    </w:rPr>
                    <w:t>上漆率</w:t>
                  </w:r>
                </w:p>
              </w:tc>
              <w:tc>
                <w:tcPr>
                  <w:tcW w:w="1026" w:type="dxa"/>
                  <w:tcBorders>
                    <w:tl2br w:val="nil"/>
                    <w:tr2bl w:val="nil"/>
                  </w:tcBorders>
                  <w:vAlign w:val="center"/>
                </w:tcPr>
                <w:p w14:paraId="2657424C">
                  <w:pPr>
                    <w:adjustRightInd w:val="0"/>
                    <w:snapToGrid w:val="0"/>
                    <w:jc w:val="center"/>
                    <w:rPr>
                      <w:b/>
                      <w:bCs/>
                      <w:color w:val="000000"/>
                      <w:sz w:val="21"/>
                      <w:szCs w:val="21"/>
                    </w:rPr>
                  </w:pPr>
                  <w:r>
                    <w:rPr>
                      <w:rFonts w:hint="eastAsia"/>
                      <w:b/>
                      <w:bCs/>
                      <w:color w:val="000000"/>
                      <w:sz w:val="21"/>
                      <w:szCs w:val="21"/>
                    </w:rPr>
                    <w:t>固体份</w:t>
                  </w:r>
                </w:p>
              </w:tc>
              <w:tc>
                <w:tcPr>
                  <w:tcW w:w="1026" w:type="dxa"/>
                  <w:tcBorders>
                    <w:tl2br w:val="nil"/>
                    <w:tr2bl w:val="nil"/>
                  </w:tcBorders>
                  <w:vAlign w:val="center"/>
                </w:tcPr>
                <w:p w14:paraId="7C9732CD">
                  <w:pPr>
                    <w:adjustRightInd w:val="0"/>
                    <w:snapToGrid w:val="0"/>
                    <w:jc w:val="center"/>
                    <w:rPr>
                      <w:b/>
                      <w:bCs/>
                      <w:color w:val="000000"/>
                      <w:sz w:val="21"/>
                      <w:szCs w:val="21"/>
                    </w:rPr>
                  </w:pPr>
                  <w:r>
                    <w:rPr>
                      <w:rFonts w:hint="eastAsia"/>
                      <w:b/>
                      <w:bCs/>
                      <w:color w:val="000000"/>
                      <w:sz w:val="21"/>
                      <w:szCs w:val="21"/>
                    </w:rPr>
                    <w:t>用漆量</w:t>
                  </w:r>
                </w:p>
              </w:tc>
            </w:tr>
            <w:tr w14:paraId="30D62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l2br w:val="nil"/>
                    <w:tr2bl w:val="nil"/>
                  </w:tcBorders>
                  <w:vAlign w:val="center"/>
                </w:tcPr>
                <w:p w14:paraId="353E57F2">
                  <w:pPr>
                    <w:adjustRightInd w:val="0"/>
                    <w:snapToGrid w:val="0"/>
                    <w:jc w:val="center"/>
                    <w:rPr>
                      <w:sz w:val="21"/>
                      <w:szCs w:val="21"/>
                    </w:rPr>
                  </w:pPr>
                </w:p>
              </w:tc>
              <w:tc>
                <w:tcPr>
                  <w:tcW w:w="1117" w:type="dxa"/>
                  <w:tcBorders>
                    <w:tl2br w:val="nil"/>
                    <w:tr2bl w:val="nil"/>
                  </w:tcBorders>
                  <w:vAlign w:val="center"/>
                </w:tcPr>
                <w:p w14:paraId="33C0BC47">
                  <w:pPr>
                    <w:adjustRightInd w:val="0"/>
                    <w:snapToGrid w:val="0"/>
                    <w:jc w:val="center"/>
                    <w:rPr>
                      <w:b/>
                      <w:bCs/>
                      <w:color w:val="000000"/>
                      <w:sz w:val="21"/>
                      <w:szCs w:val="21"/>
                    </w:rPr>
                  </w:pPr>
                  <w:r>
                    <w:rPr>
                      <w:rFonts w:hint="eastAsia"/>
                      <w:snapToGrid w:val="0"/>
                      <w:color w:val="000000"/>
                    </w:rPr>
                    <w:t>g/cm</w:t>
                  </w:r>
                  <w:r>
                    <w:rPr>
                      <w:rFonts w:hint="eastAsia"/>
                      <w:snapToGrid w:val="0"/>
                      <w:color w:val="000000"/>
                      <w:vertAlign w:val="superscript"/>
                    </w:rPr>
                    <w:t>3</w:t>
                  </w:r>
                </w:p>
              </w:tc>
              <w:tc>
                <w:tcPr>
                  <w:tcW w:w="1117" w:type="dxa"/>
                  <w:tcBorders>
                    <w:tl2br w:val="nil"/>
                    <w:tr2bl w:val="nil"/>
                  </w:tcBorders>
                  <w:vAlign w:val="center"/>
                </w:tcPr>
                <w:p w14:paraId="0403AFB6">
                  <w:pPr>
                    <w:adjustRightInd w:val="0"/>
                    <w:snapToGrid w:val="0"/>
                    <w:jc w:val="center"/>
                    <w:rPr>
                      <w:b/>
                      <w:bCs/>
                      <w:color w:val="000000"/>
                      <w:sz w:val="21"/>
                      <w:szCs w:val="21"/>
                    </w:rPr>
                  </w:pPr>
                  <w:r>
                    <w:rPr>
                      <w:rFonts w:hint="eastAsia"/>
                      <w:b/>
                      <w:bCs/>
                      <w:color w:val="000000"/>
                      <w:sz w:val="21"/>
                      <w:szCs w:val="21"/>
                    </w:rPr>
                    <w:t>m</w:t>
                  </w:r>
                  <w:r>
                    <w:rPr>
                      <w:rFonts w:hint="eastAsia"/>
                      <w:b/>
                      <w:bCs/>
                      <w:color w:val="000000"/>
                      <w:sz w:val="21"/>
                      <w:szCs w:val="21"/>
                      <w:vertAlign w:val="superscript"/>
                    </w:rPr>
                    <w:t>2</w:t>
                  </w:r>
                  <w:r>
                    <w:rPr>
                      <w:rFonts w:hint="eastAsia"/>
                      <w:b/>
                      <w:bCs/>
                      <w:color w:val="000000"/>
                      <w:sz w:val="21"/>
                      <w:szCs w:val="21"/>
                    </w:rPr>
                    <w:t>/年</w:t>
                  </w:r>
                </w:p>
              </w:tc>
              <w:tc>
                <w:tcPr>
                  <w:tcW w:w="1225" w:type="dxa"/>
                  <w:tcBorders>
                    <w:tl2br w:val="nil"/>
                    <w:tr2bl w:val="nil"/>
                  </w:tcBorders>
                  <w:vAlign w:val="center"/>
                </w:tcPr>
                <w:p w14:paraId="1C788A46">
                  <w:pPr>
                    <w:adjustRightInd w:val="0"/>
                    <w:snapToGrid w:val="0"/>
                    <w:jc w:val="center"/>
                    <w:rPr>
                      <w:b/>
                      <w:bCs/>
                      <w:color w:val="000000"/>
                      <w:sz w:val="21"/>
                      <w:szCs w:val="21"/>
                    </w:rPr>
                  </w:pPr>
                  <w:r>
                    <w:rPr>
                      <w:rFonts w:eastAsia="微软雅黑"/>
                      <w:snapToGrid w:val="0"/>
                      <w:color w:val="000000"/>
                    </w:rPr>
                    <w:t>μ</w:t>
                  </w:r>
                  <w:r>
                    <w:rPr>
                      <w:snapToGrid w:val="0"/>
                      <w:color w:val="000000"/>
                    </w:rPr>
                    <w:t>m</w:t>
                  </w:r>
                </w:p>
              </w:tc>
              <w:tc>
                <w:tcPr>
                  <w:tcW w:w="1192" w:type="dxa"/>
                  <w:tcBorders>
                    <w:tl2br w:val="nil"/>
                    <w:tr2bl w:val="nil"/>
                  </w:tcBorders>
                  <w:vAlign w:val="center"/>
                </w:tcPr>
                <w:p w14:paraId="575D58E6">
                  <w:pPr>
                    <w:adjustRightInd w:val="0"/>
                    <w:snapToGrid w:val="0"/>
                    <w:jc w:val="center"/>
                    <w:rPr>
                      <w:b/>
                      <w:bCs/>
                      <w:color w:val="000000"/>
                      <w:sz w:val="21"/>
                      <w:szCs w:val="21"/>
                    </w:rPr>
                  </w:pPr>
                  <w:r>
                    <w:rPr>
                      <w:rFonts w:hint="eastAsia"/>
                      <w:b/>
                      <w:bCs/>
                      <w:color w:val="000000"/>
                      <w:sz w:val="21"/>
                      <w:szCs w:val="21"/>
                    </w:rPr>
                    <w:t>%</w:t>
                  </w:r>
                </w:p>
              </w:tc>
              <w:tc>
                <w:tcPr>
                  <w:tcW w:w="1026" w:type="dxa"/>
                  <w:tcBorders>
                    <w:tl2br w:val="nil"/>
                    <w:tr2bl w:val="nil"/>
                  </w:tcBorders>
                  <w:vAlign w:val="center"/>
                </w:tcPr>
                <w:p w14:paraId="3328559C">
                  <w:pPr>
                    <w:adjustRightInd w:val="0"/>
                    <w:snapToGrid w:val="0"/>
                    <w:jc w:val="center"/>
                    <w:rPr>
                      <w:b/>
                      <w:bCs/>
                      <w:color w:val="000000"/>
                      <w:sz w:val="21"/>
                      <w:szCs w:val="21"/>
                    </w:rPr>
                  </w:pPr>
                  <w:r>
                    <w:rPr>
                      <w:rFonts w:hint="eastAsia"/>
                      <w:b/>
                      <w:bCs/>
                      <w:color w:val="000000"/>
                      <w:sz w:val="21"/>
                      <w:szCs w:val="21"/>
                    </w:rPr>
                    <w:t>%</w:t>
                  </w:r>
                </w:p>
              </w:tc>
              <w:tc>
                <w:tcPr>
                  <w:tcW w:w="1026" w:type="dxa"/>
                  <w:tcBorders>
                    <w:tl2br w:val="nil"/>
                    <w:tr2bl w:val="nil"/>
                  </w:tcBorders>
                  <w:vAlign w:val="center"/>
                </w:tcPr>
                <w:p w14:paraId="2D690449">
                  <w:pPr>
                    <w:adjustRightInd w:val="0"/>
                    <w:snapToGrid w:val="0"/>
                    <w:jc w:val="center"/>
                    <w:rPr>
                      <w:b/>
                      <w:bCs/>
                      <w:color w:val="000000"/>
                      <w:sz w:val="21"/>
                      <w:szCs w:val="21"/>
                    </w:rPr>
                  </w:pPr>
                  <w:r>
                    <w:rPr>
                      <w:rFonts w:hint="eastAsia"/>
                      <w:b/>
                      <w:bCs/>
                      <w:color w:val="000000"/>
                      <w:sz w:val="21"/>
                      <w:szCs w:val="21"/>
                    </w:rPr>
                    <w:t>t</w:t>
                  </w:r>
                </w:p>
              </w:tc>
            </w:tr>
            <w:tr w14:paraId="527DF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Borders>
                    <w:tl2br w:val="nil"/>
                    <w:tr2bl w:val="nil"/>
                  </w:tcBorders>
                  <w:vAlign w:val="center"/>
                </w:tcPr>
                <w:p w14:paraId="2323A3A0">
                  <w:pPr>
                    <w:adjustRightInd w:val="0"/>
                    <w:snapToGrid w:val="0"/>
                    <w:jc w:val="center"/>
                    <w:rPr>
                      <w:color w:val="000000"/>
                      <w:sz w:val="21"/>
                      <w:szCs w:val="21"/>
                    </w:rPr>
                  </w:pPr>
                  <w:r>
                    <w:rPr>
                      <w:rFonts w:hint="eastAsia"/>
                      <w:color w:val="000000"/>
                      <w:sz w:val="21"/>
                      <w:szCs w:val="21"/>
                    </w:rPr>
                    <w:t>钢结构</w:t>
                  </w:r>
                </w:p>
              </w:tc>
              <w:tc>
                <w:tcPr>
                  <w:tcW w:w="1117" w:type="dxa"/>
                  <w:tcBorders>
                    <w:tl2br w:val="nil"/>
                    <w:tr2bl w:val="nil"/>
                  </w:tcBorders>
                  <w:vAlign w:val="center"/>
                </w:tcPr>
                <w:p w14:paraId="2948FE4E">
                  <w:pPr>
                    <w:adjustRightInd w:val="0"/>
                    <w:snapToGrid w:val="0"/>
                    <w:jc w:val="center"/>
                    <w:rPr>
                      <w:color w:val="000000"/>
                      <w:sz w:val="21"/>
                      <w:szCs w:val="21"/>
                    </w:rPr>
                  </w:pPr>
                  <w:r>
                    <w:rPr>
                      <w:rFonts w:hint="eastAsia"/>
                      <w:color w:val="000000"/>
                      <w:sz w:val="21"/>
                      <w:szCs w:val="21"/>
                    </w:rPr>
                    <w:t>1.35</w:t>
                  </w:r>
                </w:p>
              </w:tc>
              <w:tc>
                <w:tcPr>
                  <w:tcW w:w="1117" w:type="dxa"/>
                  <w:tcBorders>
                    <w:tl2br w:val="nil"/>
                    <w:tr2bl w:val="nil"/>
                  </w:tcBorders>
                  <w:vAlign w:val="center"/>
                </w:tcPr>
                <w:p w14:paraId="7050AD41">
                  <w:pPr>
                    <w:adjustRightInd w:val="0"/>
                    <w:snapToGrid w:val="0"/>
                    <w:jc w:val="center"/>
                    <w:rPr>
                      <w:color w:val="000000"/>
                      <w:sz w:val="21"/>
                      <w:szCs w:val="21"/>
                    </w:rPr>
                  </w:pPr>
                  <w:r>
                    <w:rPr>
                      <w:rFonts w:hint="eastAsia"/>
                      <w:color w:val="000000"/>
                      <w:sz w:val="21"/>
                      <w:szCs w:val="21"/>
                    </w:rPr>
                    <w:t>86425</w:t>
                  </w:r>
                </w:p>
              </w:tc>
              <w:tc>
                <w:tcPr>
                  <w:tcW w:w="1225" w:type="dxa"/>
                  <w:tcBorders>
                    <w:tl2br w:val="nil"/>
                    <w:tr2bl w:val="nil"/>
                  </w:tcBorders>
                  <w:vAlign w:val="center"/>
                </w:tcPr>
                <w:p w14:paraId="62139C49">
                  <w:pPr>
                    <w:adjustRightInd w:val="0"/>
                    <w:snapToGrid w:val="0"/>
                    <w:jc w:val="center"/>
                    <w:rPr>
                      <w:color w:val="000000"/>
                      <w:sz w:val="21"/>
                      <w:szCs w:val="21"/>
                    </w:rPr>
                  </w:pPr>
                  <w:r>
                    <w:rPr>
                      <w:rFonts w:hint="eastAsia"/>
                      <w:color w:val="000000"/>
                      <w:sz w:val="21"/>
                      <w:szCs w:val="21"/>
                    </w:rPr>
                    <w:t>60</w:t>
                  </w:r>
                </w:p>
              </w:tc>
              <w:tc>
                <w:tcPr>
                  <w:tcW w:w="1192" w:type="dxa"/>
                  <w:tcBorders>
                    <w:tl2br w:val="nil"/>
                    <w:tr2bl w:val="nil"/>
                  </w:tcBorders>
                  <w:vAlign w:val="center"/>
                </w:tcPr>
                <w:p w14:paraId="255F7829">
                  <w:pPr>
                    <w:adjustRightInd w:val="0"/>
                    <w:snapToGrid w:val="0"/>
                    <w:jc w:val="center"/>
                    <w:rPr>
                      <w:color w:val="000000"/>
                      <w:sz w:val="21"/>
                      <w:szCs w:val="21"/>
                    </w:rPr>
                  </w:pPr>
                  <w:r>
                    <w:rPr>
                      <w:rFonts w:hint="eastAsia"/>
                      <w:color w:val="000000"/>
                      <w:sz w:val="21"/>
                      <w:szCs w:val="21"/>
                    </w:rPr>
                    <w:t>70</w:t>
                  </w:r>
                </w:p>
              </w:tc>
              <w:tc>
                <w:tcPr>
                  <w:tcW w:w="1026" w:type="dxa"/>
                  <w:tcBorders>
                    <w:tl2br w:val="nil"/>
                    <w:tr2bl w:val="nil"/>
                  </w:tcBorders>
                  <w:vAlign w:val="center"/>
                </w:tcPr>
                <w:p w14:paraId="5A9175FD">
                  <w:pPr>
                    <w:adjustRightInd w:val="0"/>
                    <w:snapToGrid w:val="0"/>
                    <w:jc w:val="center"/>
                    <w:rPr>
                      <w:color w:val="000000"/>
                      <w:sz w:val="21"/>
                      <w:szCs w:val="21"/>
                    </w:rPr>
                  </w:pPr>
                  <w:r>
                    <w:rPr>
                      <w:rFonts w:hint="eastAsia"/>
                      <w:color w:val="000000"/>
                      <w:sz w:val="21"/>
                      <w:szCs w:val="21"/>
                    </w:rPr>
                    <w:t>70</w:t>
                  </w:r>
                </w:p>
              </w:tc>
              <w:tc>
                <w:tcPr>
                  <w:tcW w:w="1026" w:type="dxa"/>
                  <w:tcBorders>
                    <w:tl2br w:val="nil"/>
                    <w:tr2bl w:val="nil"/>
                  </w:tcBorders>
                  <w:vAlign w:val="center"/>
                </w:tcPr>
                <w:p w14:paraId="1968547D">
                  <w:pPr>
                    <w:adjustRightInd w:val="0"/>
                    <w:snapToGrid w:val="0"/>
                    <w:jc w:val="center"/>
                    <w:rPr>
                      <w:color w:val="000000"/>
                      <w:sz w:val="21"/>
                      <w:szCs w:val="21"/>
                    </w:rPr>
                  </w:pPr>
                  <w:r>
                    <w:rPr>
                      <w:rFonts w:hint="eastAsia"/>
                      <w:color w:val="000000"/>
                      <w:sz w:val="21"/>
                      <w:szCs w:val="21"/>
                    </w:rPr>
                    <w:t>14.27</w:t>
                  </w:r>
                </w:p>
              </w:tc>
            </w:tr>
          </w:tbl>
          <w:p w14:paraId="077DC3C0">
            <w:pPr>
              <w:autoSpaceDE w:val="0"/>
              <w:autoSpaceDN w:val="0"/>
              <w:spacing w:line="360" w:lineRule="auto"/>
              <w:ind w:firstLine="480" w:firstLineChars="200"/>
              <w:rPr>
                <w:rFonts w:eastAsiaTheme="minorEastAsia"/>
                <w:color w:val="000000"/>
              </w:rPr>
            </w:pPr>
            <w:r>
              <w:rPr>
                <w:rFonts w:hint="eastAsia" w:eastAsiaTheme="minorEastAsia"/>
                <w:color w:val="000000"/>
              </w:rPr>
              <w:t>根据建设单位提供的油漆成分（MSDS）可知，本项目喷涂工序所使用的漆料主要成分为固体分、挥发分及水。其中挥发分主要为挥发性有机物；项目喷涂为人工喷涂，根据现有项目喷涂经验喷涂过程中油漆上漆率约70%，即漆料固体份中约70%在喷漆过程中附着在工件表面</w:t>
            </w:r>
          </w:p>
          <w:p w14:paraId="7ECB3FAA">
            <w:pPr>
              <w:autoSpaceDE w:val="0"/>
              <w:autoSpaceDN w:val="0"/>
              <w:spacing w:line="360" w:lineRule="auto"/>
              <w:ind w:firstLine="480" w:firstLineChars="200"/>
            </w:pPr>
            <w:r>
              <w:rPr>
                <w:rFonts w:hint="eastAsia" w:eastAsiaTheme="minorEastAsia"/>
                <w:color w:val="000000"/>
              </w:rPr>
              <w:t>其余28%损失形成漆雾，2%形成漆渣。漆料中有机物挥发在喷漆工序占40%，晾干工序占60%。本项目喷漆房为封闭式喷漆房：喷漆和晾干工序均在喷漆房内进行</w:t>
            </w:r>
            <w:r>
              <w:rPr>
                <w:rFonts w:hint="eastAsia"/>
              </w:rPr>
              <w:t>。参考《主要污染物总量减排核算技术指南（2022修订）》中表2-3VOCs废气收集率和治理设施去除率通用系数-密闭空间负压废气收集率90%，本项目封闭式喷涂房四面封闭，仅设置材料进出口，喷涂作业时关闭进入口形成密闭环境，喷漆房内设置抽风装置，从而形成密闭工作空间，其密闭性能良好，故按最不利考虑废气收集效率按80%计</w:t>
            </w:r>
            <w:r>
              <w:rPr>
                <w:rFonts w:hint="eastAsia"/>
                <w:snapToGrid w:val="0"/>
                <w:color w:val="000000"/>
              </w:rPr>
              <w:t>；干式过滤器（过滤棉）对漆雾去除率可达90%以上；项目采用三级活性炭吸附装置处理有机废气。</w:t>
            </w:r>
            <w:r>
              <w:rPr>
                <w:rFonts w:hint="eastAsia"/>
                <w:color w:val="000000"/>
              </w:rPr>
              <w:t>参考</w:t>
            </w:r>
            <w:r>
              <w:rPr>
                <w:rFonts w:hint="eastAsia"/>
              </w:rPr>
              <w:t>《主要污染物总量减排核算技术指南（2022修订）》中表2-3VOCs废气收集率和治理设施去除率通用系数-吸附及其组合技术-一次性活性炭吸附-集中再生并活化VOCs去除率为50%</w:t>
            </w:r>
            <w:r>
              <w:rPr>
                <w:rFonts w:hint="eastAsia"/>
                <w:color w:val="000000"/>
              </w:rPr>
              <w:t>，本项目设置三级活性炭吸附，因此本项目处理设施对有机废气的处理效率为1-（1-50%）×（1-50%）×（1-50%）=87.5%。</w:t>
            </w:r>
          </w:p>
          <w:p w14:paraId="56564F52">
            <w:pPr>
              <w:keepNext/>
              <w:keepLines/>
              <w:widowControl/>
              <w:spacing w:line="360" w:lineRule="auto"/>
              <w:ind w:firstLine="480" w:firstLineChars="200"/>
              <w:rPr>
                <w:snapToGrid w:val="0"/>
                <w:color w:val="000000"/>
              </w:rPr>
            </w:pPr>
            <w:r>
              <w:rPr>
                <w:rFonts w:hint="eastAsia"/>
                <w:snapToGrid w:val="0"/>
                <w:color w:val="000000"/>
              </w:rPr>
              <w:t>本项目油漆平衡见下图。</w:t>
            </w:r>
          </w:p>
          <w:p w14:paraId="7E41E720">
            <w:pPr>
              <w:keepNext/>
              <w:keepLines/>
              <w:widowControl/>
              <w:spacing w:line="360" w:lineRule="auto"/>
              <w:jc w:val="center"/>
              <w:rPr>
                <w:snapToGrid w:val="0"/>
                <w:color w:val="000000"/>
              </w:rPr>
            </w:pPr>
            <w:r>
              <w:rPr>
                <w:rFonts w:hint="eastAsia"/>
              </w:rPr>
              <w:object>
                <v:shape id="_x0000_i1025" o:spt="75" type="#_x0000_t75" style="height:239.45pt;width:385.1pt;" o:ole="t" filled="f" o:preferrelative="t" stroked="f" coordsize="21600,21600">
                  <v:path/>
                  <v:fill on="f" focussize="0,0"/>
                  <v:stroke on="f" joinstyle="miter"/>
                  <v:imagedata r:id="rId19" o:title=""/>
                  <o:lock v:ext="edit" aspectratio="t"/>
                  <w10:wrap type="none"/>
                  <w10:anchorlock/>
                </v:shape>
                <o:OLEObject Type="Embed" ProgID="Visio.Drawing.11" ShapeID="_x0000_i1025" DrawAspect="Content" ObjectID="_1468075725" r:id="rId18">
                  <o:LockedField>false</o:LockedField>
                </o:OLEObject>
              </w:object>
            </w:r>
          </w:p>
          <w:p w14:paraId="25C2BFCB">
            <w:pPr>
              <w:pStyle w:val="22"/>
              <w:spacing w:after="0"/>
              <w:ind w:left="0" w:leftChars="0" w:firstLine="0"/>
              <w:jc w:val="center"/>
              <w:rPr>
                <w:b/>
                <w:bCs/>
                <w:color w:val="000000"/>
              </w:rPr>
            </w:pPr>
            <w:r>
              <w:rPr>
                <w:rFonts w:hint="eastAsia"/>
                <w:b/>
                <w:bCs/>
                <w:color w:val="000000"/>
                <w:sz w:val="24"/>
              </w:rPr>
              <w:t>图2-1  漆料平衡图 单位：t/a</w:t>
            </w:r>
          </w:p>
          <w:p w14:paraId="3B44A165">
            <w:pPr>
              <w:keepNext/>
              <w:keepLines/>
              <w:widowControl/>
              <w:adjustRightInd w:val="0"/>
              <w:snapToGrid w:val="0"/>
              <w:spacing w:line="360" w:lineRule="auto"/>
              <w:rPr>
                <w:b/>
                <w:bCs/>
                <w:color w:val="000000"/>
              </w:rPr>
            </w:pPr>
            <w:r>
              <w:rPr>
                <w:rFonts w:hint="eastAsia"/>
                <w:b/>
                <w:bCs/>
                <w:color w:val="000000"/>
              </w:rPr>
              <w:t>五、设备清单</w:t>
            </w:r>
          </w:p>
          <w:p w14:paraId="52F06094">
            <w:pPr>
              <w:pStyle w:val="35"/>
              <w:rPr>
                <w:rFonts w:ascii="Times New Roman" w:hAnsi="Times New Roman" w:cs="Times New Roman"/>
                <w:b/>
                <w:bCs/>
                <w:color w:val="000000" w:themeColor="text1"/>
                <w:kern w:val="0"/>
                <w:szCs w:val="21"/>
                <w:lang w:val="en-US" w:bidi="ar-SA"/>
                <w14:textFill>
                  <w14:solidFill>
                    <w14:schemeClr w14:val="tx1"/>
                  </w14:solidFill>
                </w14:textFill>
              </w:rPr>
            </w:pPr>
            <w:r>
              <w:rPr>
                <w:rFonts w:ascii="Times New Roman" w:hAnsi="Times New Roman" w:cs="Times New Roman"/>
                <w:b/>
                <w:bCs/>
                <w:color w:val="000000" w:themeColor="text1"/>
                <w:kern w:val="0"/>
                <w:szCs w:val="21"/>
                <w:lang w:val="en-US" w:bidi="ar-SA"/>
                <w14:textFill>
                  <w14:solidFill>
                    <w14:schemeClr w14:val="tx1"/>
                  </w14:solidFill>
                </w14:textFill>
              </w:rPr>
              <w:t>表2-</w:t>
            </w:r>
            <w:r>
              <w:rPr>
                <w:rFonts w:hint="eastAsia" w:ascii="Times New Roman" w:hAnsi="Times New Roman" w:cs="Times New Roman"/>
                <w:b/>
                <w:bCs/>
                <w:color w:val="000000" w:themeColor="text1"/>
                <w:kern w:val="0"/>
                <w:szCs w:val="21"/>
                <w:lang w:val="en-US" w:bidi="ar-SA"/>
                <w14:textFill>
                  <w14:solidFill>
                    <w14:schemeClr w14:val="tx1"/>
                  </w14:solidFill>
                </w14:textFill>
              </w:rPr>
              <w:t>6</w:t>
            </w:r>
            <w:r>
              <w:rPr>
                <w:rFonts w:ascii="Times New Roman" w:hAnsi="Times New Roman" w:cs="Times New Roman"/>
                <w:b/>
                <w:bCs/>
                <w:color w:val="000000" w:themeColor="text1"/>
                <w:kern w:val="0"/>
                <w:szCs w:val="21"/>
                <w:lang w:val="en-US" w:bidi="ar-SA"/>
                <w14:textFill>
                  <w14:solidFill>
                    <w14:schemeClr w14:val="tx1"/>
                  </w14:solidFill>
                </w14:textFill>
              </w:rPr>
              <w:t xml:space="preserve"> </w:t>
            </w:r>
            <w:r>
              <w:rPr>
                <w:rFonts w:hint="eastAsia" w:ascii="Times New Roman" w:hAnsi="Times New Roman" w:cs="Times New Roman"/>
                <w:b/>
                <w:bCs/>
                <w:color w:val="000000" w:themeColor="text1"/>
                <w:kern w:val="0"/>
                <w:szCs w:val="21"/>
                <w:lang w:val="en-US" w:bidi="ar-SA"/>
                <w14:textFill>
                  <w14:solidFill>
                    <w14:schemeClr w14:val="tx1"/>
                  </w14:solidFill>
                </w14:textFill>
              </w:rPr>
              <w:t xml:space="preserve"> </w:t>
            </w:r>
            <w:r>
              <w:rPr>
                <w:rFonts w:ascii="Times New Roman" w:hAnsi="Times New Roman" w:cs="Times New Roman"/>
                <w:b/>
                <w:bCs/>
                <w:color w:val="000000" w:themeColor="text1"/>
                <w:kern w:val="0"/>
                <w:szCs w:val="21"/>
                <w:lang w:val="en-US" w:bidi="ar-SA"/>
                <w14:textFill>
                  <w14:solidFill>
                    <w14:schemeClr w14:val="tx1"/>
                  </w14:solidFill>
                </w14:textFill>
              </w:rPr>
              <w:t>生产设备一览表</w:t>
            </w:r>
          </w:p>
          <w:tbl>
            <w:tblPr>
              <w:tblStyle w:val="36"/>
              <w:tblW w:w="4998"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1027"/>
              <w:gridCol w:w="1712"/>
              <w:gridCol w:w="1770"/>
              <w:gridCol w:w="974"/>
              <w:gridCol w:w="974"/>
              <w:gridCol w:w="1360"/>
            </w:tblGrid>
            <w:tr w14:paraId="45C72E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6AB5F324">
                  <w:pPr>
                    <w:spacing w:line="360" w:lineRule="auto"/>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序号</w:t>
                  </w:r>
                </w:p>
              </w:tc>
              <w:tc>
                <w:tcPr>
                  <w:tcW w:w="1095" w:type="pct"/>
                  <w:tcBorders>
                    <w:tl2br w:val="nil"/>
                    <w:tr2bl w:val="nil"/>
                  </w:tcBorders>
                  <w:vAlign w:val="center"/>
                </w:tcPr>
                <w:p w14:paraId="613DA310">
                  <w:pPr>
                    <w:spacing w:line="360" w:lineRule="auto"/>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设备名称</w:t>
                  </w:r>
                </w:p>
              </w:tc>
              <w:tc>
                <w:tcPr>
                  <w:tcW w:w="1132" w:type="pct"/>
                  <w:tcBorders>
                    <w:tl2br w:val="nil"/>
                    <w:tr2bl w:val="nil"/>
                  </w:tcBorders>
                  <w:vAlign w:val="center"/>
                </w:tcPr>
                <w:p w14:paraId="14A587BD">
                  <w:pPr>
                    <w:spacing w:line="360" w:lineRule="auto"/>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型号</w:t>
                  </w:r>
                </w:p>
              </w:tc>
              <w:tc>
                <w:tcPr>
                  <w:tcW w:w="623" w:type="pct"/>
                  <w:tcBorders>
                    <w:tl2br w:val="nil"/>
                    <w:tr2bl w:val="nil"/>
                  </w:tcBorders>
                  <w:vAlign w:val="center"/>
                </w:tcPr>
                <w:p w14:paraId="2D5518DB">
                  <w:pPr>
                    <w:spacing w:line="360" w:lineRule="auto"/>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数量</w:t>
                  </w:r>
                </w:p>
              </w:tc>
              <w:tc>
                <w:tcPr>
                  <w:tcW w:w="623" w:type="pct"/>
                  <w:tcBorders>
                    <w:tl2br w:val="nil"/>
                    <w:tr2bl w:val="nil"/>
                  </w:tcBorders>
                  <w:vAlign w:val="center"/>
                </w:tcPr>
                <w:p w14:paraId="34A75011">
                  <w:pPr>
                    <w:spacing w:line="360" w:lineRule="auto"/>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单位</w:t>
                  </w:r>
                </w:p>
              </w:tc>
              <w:tc>
                <w:tcPr>
                  <w:tcW w:w="871" w:type="pct"/>
                  <w:tcBorders>
                    <w:tl2br w:val="nil"/>
                    <w:tr2bl w:val="nil"/>
                  </w:tcBorders>
                  <w:vAlign w:val="center"/>
                </w:tcPr>
                <w:p w14:paraId="11B77319">
                  <w:pPr>
                    <w:spacing w:line="360" w:lineRule="auto"/>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备注</w:t>
                  </w:r>
                </w:p>
              </w:tc>
            </w:tr>
            <w:tr w14:paraId="2B3C5A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05430848">
                  <w:pPr>
                    <w:pStyle w:val="34"/>
                    <w:rPr>
                      <w:color w:val="000000" w:themeColor="text1"/>
                      <w:u w:val="single"/>
                      <w14:textFill>
                        <w14:solidFill>
                          <w14:schemeClr w14:val="tx1"/>
                        </w14:solidFill>
                      </w14:textFill>
                    </w:rPr>
                  </w:pPr>
                  <w:r>
                    <w:rPr>
                      <w:u w:val="single"/>
                    </w:rPr>
                    <w:t>1</w:t>
                  </w:r>
                </w:p>
              </w:tc>
              <w:tc>
                <w:tcPr>
                  <w:tcW w:w="1095" w:type="pct"/>
                  <w:tcBorders>
                    <w:tl2br w:val="nil"/>
                    <w:tr2bl w:val="nil"/>
                  </w:tcBorders>
                  <w:vAlign w:val="center"/>
                </w:tcPr>
                <w:p w14:paraId="77A171C4">
                  <w:pPr>
                    <w:pStyle w:val="34"/>
                    <w:rPr>
                      <w:color w:val="000000" w:themeColor="text1"/>
                      <w:u w:val="single"/>
                      <w14:textFill>
                        <w14:solidFill>
                          <w14:schemeClr w14:val="tx1"/>
                        </w14:solidFill>
                      </w14:textFill>
                    </w:rPr>
                  </w:pPr>
                  <w:r>
                    <w:rPr>
                      <w:u w:val="single"/>
                    </w:rPr>
                    <w:t>数控直条切割机</w:t>
                  </w:r>
                </w:p>
              </w:tc>
              <w:tc>
                <w:tcPr>
                  <w:tcW w:w="1132" w:type="pct"/>
                  <w:tcBorders>
                    <w:tl2br w:val="nil"/>
                    <w:tr2bl w:val="nil"/>
                  </w:tcBorders>
                  <w:vAlign w:val="center"/>
                </w:tcPr>
                <w:p w14:paraId="07967494">
                  <w:pPr>
                    <w:pStyle w:val="34"/>
                    <w:rPr>
                      <w:color w:val="000000" w:themeColor="text1"/>
                      <w:u w:val="single"/>
                      <w14:textFill>
                        <w14:solidFill>
                          <w14:schemeClr w14:val="tx1"/>
                        </w14:solidFill>
                      </w14:textFill>
                    </w:rPr>
                  </w:pPr>
                  <w:r>
                    <w:rPr>
                      <w:u w:val="single"/>
                    </w:rPr>
                    <w:t>CNC-5000</w:t>
                  </w:r>
                </w:p>
              </w:tc>
              <w:tc>
                <w:tcPr>
                  <w:tcW w:w="623" w:type="pct"/>
                  <w:tcBorders>
                    <w:tl2br w:val="nil"/>
                    <w:tr2bl w:val="nil"/>
                  </w:tcBorders>
                  <w:vAlign w:val="center"/>
                </w:tcPr>
                <w:p w14:paraId="3202F55C">
                  <w:pPr>
                    <w:pStyle w:val="34"/>
                    <w:rPr>
                      <w:color w:val="000000" w:themeColor="text1"/>
                      <w:u w:val="single"/>
                      <w14:textFill>
                        <w14:solidFill>
                          <w14:schemeClr w14:val="tx1"/>
                        </w14:solidFill>
                      </w14:textFill>
                    </w:rPr>
                  </w:pPr>
                  <w:r>
                    <w:rPr>
                      <w:rFonts w:hint="eastAsia"/>
                      <w:u w:val="single"/>
                    </w:rPr>
                    <w:t>2</w:t>
                  </w:r>
                </w:p>
              </w:tc>
              <w:tc>
                <w:tcPr>
                  <w:tcW w:w="623" w:type="pct"/>
                  <w:tcBorders>
                    <w:tl2br w:val="nil"/>
                    <w:tr2bl w:val="nil"/>
                  </w:tcBorders>
                  <w:vAlign w:val="center"/>
                </w:tcPr>
                <w:p w14:paraId="368B889D">
                  <w:pPr>
                    <w:pStyle w:val="34"/>
                    <w:rPr>
                      <w:color w:val="000000" w:themeColor="text1"/>
                      <w:u w:val="single"/>
                      <w14:textFill>
                        <w14:solidFill>
                          <w14:schemeClr w14:val="tx1"/>
                        </w14:solidFill>
                      </w14:textFill>
                    </w:rPr>
                  </w:pPr>
                  <w:r>
                    <w:rPr>
                      <w:u w:val="single"/>
                    </w:rPr>
                    <w:t>台</w:t>
                  </w:r>
                </w:p>
              </w:tc>
              <w:tc>
                <w:tcPr>
                  <w:tcW w:w="871" w:type="pct"/>
                  <w:tcBorders>
                    <w:tl2br w:val="nil"/>
                    <w:tr2bl w:val="nil"/>
                  </w:tcBorders>
                  <w:vAlign w:val="center"/>
                </w:tcPr>
                <w:p w14:paraId="2204BFBC">
                  <w:pPr>
                    <w:jc w:val="center"/>
                    <w:rPr>
                      <w:u w:val="single"/>
                    </w:rPr>
                  </w:pPr>
                  <w:r>
                    <w:rPr>
                      <w:rFonts w:hint="eastAsia"/>
                      <w:color w:val="000000"/>
                      <w:sz w:val="21"/>
                      <w:szCs w:val="21"/>
                      <w:u w:val="single"/>
                    </w:rPr>
                    <w:t>利旧</w:t>
                  </w:r>
                </w:p>
              </w:tc>
            </w:tr>
            <w:tr w14:paraId="03B220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00BB0091">
                  <w:pPr>
                    <w:pStyle w:val="34"/>
                    <w:rPr>
                      <w:u w:val="single"/>
                    </w:rPr>
                  </w:pPr>
                  <w:r>
                    <w:rPr>
                      <w:rFonts w:hint="eastAsia"/>
                      <w:u w:val="single"/>
                    </w:rPr>
                    <w:t>2</w:t>
                  </w:r>
                </w:p>
              </w:tc>
              <w:tc>
                <w:tcPr>
                  <w:tcW w:w="1095" w:type="pct"/>
                  <w:tcBorders>
                    <w:tl2br w:val="nil"/>
                    <w:tr2bl w:val="nil"/>
                  </w:tcBorders>
                  <w:vAlign w:val="center"/>
                </w:tcPr>
                <w:p w14:paraId="21115CFF">
                  <w:pPr>
                    <w:pStyle w:val="34"/>
                    <w:rPr>
                      <w:u w:val="single"/>
                    </w:rPr>
                  </w:pPr>
                  <w:r>
                    <w:rPr>
                      <w:rFonts w:hint="eastAsia"/>
                      <w:u w:val="single"/>
                    </w:rPr>
                    <w:t>激光切割机</w:t>
                  </w:r>
                </w:p>
              </w:tc>
              <w:tc>
                <w:tcPr>
                  <w:tcW w:w="1132" w:type="pct"/>
                  <w:tcBorders>
                    <w:tl2br w:val="nil"/>
                    <w:tr2bl w:val="nil"/>
                  </w:tcBorders>
                  <w:vAlign w:val="center"/>
                </w:tcPr>
                <w:p w14:paraId="32295D75">
                  <w:pPr>
                    <w:pStyle w:val="34"/>
                    <w:rPr>
                      <w:u w:val="single"/>
                    </w:rPr>
                  </w:pPr>
                  <w:r>
                    <w:rPr>
                      <w:rFonts w:hint="eastAsia"/>
                      <w:u w:val="single"/>
                    </w:rPr>
                    <w:t>/</w:t>
                  </w:r>
                </w:p>
              </w:tc>
              <w:tc>
                <w:tcPr>
                  <w:tcW w:w="623" w:type="pct"/>
                  <w:tcBorders>
                    <w:tl2br w:val="nil"/>
                    <w:tr2bl w:val="nil"/>
                  </w:tcBorders>
                  <w:vAlign w:val="center"/>
                </w:tcPr>
                <w:p w14:paraId="77F32708">
                  <w:pPr>
                    <w:pStyle w:val="34"/>
                    <w:rPr>
                      <w:u w:val="single"/>
                    </w:rPr>
                  </w:pPr>
                  <w:r>
                    <w:rPr>
                      <w:rFonts w:hint="eastAsia"/>
                      <w:u w:val="single"/>
                    </w:rPr>
                    <w:t>1</w:t>
                  </w:r>
                </w:p>
              </w:tc>
              <w:tc>
                <w:tcPr>
                  <w:tcW w:w="623" w:type="pct"/>
                  <w:tcBorders>
                    <w:tl2br w:val="nil"/>
                    <w:tr2bl w:val="nil"/>
                  </w:tcBorders>
                  <w:vAlign w:val="center"/>
                </w:tcPr>
                <w:p w14:paraId="462D5814">
                  <w:pPr>
                    <w:pStyle w:val="34"/>
                    <w:rPr>
                      <w:u w:val="single"/>
                    </w:rPr>
                  </w:pPr>
                  <w:r>
                    <w:rPr>
                      <w:u w:val="single"/>
                    </w:rPr>
                    <w:t>台</w:t>
                  </w:r>
                </w:p>
              </w:tc>
              <w:tc>
                <w:tcPr>
                  <w:tcW w:w="871" w:type="pct"/>
                  <w:tcBorders>
                    <w:tl2br w:val="nil"/>
                    <w:tr2bl w:val="nil"/>
                  </w:tcBorders>
                  <w:vAlign w:val="center"/>
                </w:tcPr>
                <w:p w14:paraId="5498C45E">
                  <w:pPr>
                    <w:jc w:val="center"/>
                    <w:rPr>
                      <w:color w:val="000000"/>
                      <w:sz w:val="21"/>
                      <w:szCs w:val="21"/>
                      <w:u w:val="single"/>
                    </w:rPr>
                  </w:pPr>
                  <w:r>
                    <w:rPr>
                      <w:rFonts w:hint="eastAsia"/>
                      <w:color w:val="000000"/>
                      <w:sz w:val="21"/>
                      <w:szCs w:val="21"/>
                      <w:u w:val="single"/>
                    </w:rPr>
                    <w:t>新增</w:t>
                  </w:r>
                </w:p>
              </w:tc>
            </w:tr>
            <w:tr w14:paraId="362495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45752E17">
                  <w:pPr>
                    <w:pStyle w:val="34"/>
                    <w:rPr>
                      <w:color w:val="000000" w:themeColor="text1"/>
                      <w:u w:val="single"/>
                      <w14:textFill>
                        <w14:solidFill>
                          <w14:schemeClr w14:val="tx1"/>
                        </w14:solidFill>
                      </w14:textFill>
                    </w:rPr>
                  </w:pPr>
                  <w:r>
                    <w:rPr>
                      <w:rFonts w:hint="eastAsia"/>
                      <w:u w:val="single"/>
                    </w:rPr>
                    <w:t>3</w:t>
                  </w:r>
                </w:p>
              </w:tc>
              <w:tc>
                <w:tcPr>
                  <w:tcW w:w="1095" w:type="pct"/>
                  <w:tcBorders>
                    <w:tl2br w:val="nil"/>
                    <w:tr2bl w:val="nil"/>
                  </w:tcBorders>
                  <w:vAlign w:val="center"/>
                </w:tcPr>
                <w:p w14:paraId="3B75EF3D">
                  <w:pPr>
                    <w:pStyle w:val="34"/>
                    <w:rPr>
                      <w:color w:val="000000" w:themeColor="text1"/>
                      <w:u w:val="single"/>
                      <w14:textFill>
                        <w14:solidFill>
                          <w14:schemeClr w14:val="tx1"/>
                        </w14:solidFill>
                      </w14:textFill>
                    </w:rPr>
                  </w:pPr>
                  <w:r>
                    <w:rPr>
                      <w:u w:val="single"/>
                    </w:rPr>
                    <w:t>H型钢组立机</w:t>
                  </w:r>
                </w:p>
              </w:tc>
              <w:tc>
                <w:tcPr>
                  <w:tcW w:w="1132" w:type="pct"/>
                  <w:tcBorders>
                    <w:tl2br w:val="nil"/>
                    <w:tr2bl w:val="nil"/>
                  </w:tcBorders>
                  <w:vAlign w:val="center"/>
                </w:tcPr>
                <w:p w14:paraId="3667CA8E">
                  <w:pPr>
                    <w:pStyle w:val="34"/>
                    <w:rPr>
                      <w:color w:val="000000" w:themeColor="text1"/>
                      <w:u w:val="single"/>
                      <w14:textFill>
                        <w14:solidFill>
                          <w14:schemeClr w14:val="tx1"/>
                        </w14:solidFill>
                      </w14:textFill>
                    </w:rPr>
                  </w:pPr>
                  <w:r>
                    <w:rPr>
                      <w:u w:val="single"/>
                    </w:rPr>
                    <w:t>HG-1800</w:t>
                  </w:r>
                </w:p>
              </w:tc>
              <w:tc>
                <w:tcPr>
                  <w:tcW w:w="623" w:type="pct"/>
                  <w:tcBorders>
                    <w:tl2br w:val="nil"/>
                    <w:tr2bl w:val="nil"/>
                  </w:tcBorders>
                  <w:vAlign w:val="center"/>
                </w:tcPr>
                <w:p w14:paraId="46D289CB">
                  <w:pPr>
                    <w:pStyle w:val="34"/>
                    <w:rPr>
                      <w:color w:val="000000" w:themeColor="text1"/>
                      <w:u w:val="single"/>
                      <w14:textFill>
                        <w14:solidFill>
                          <w14:schemeClr w14:val="tx1"/>
                        </w14:solidFill>
                      </w14:textFill>
                    </w:rPr>
                  </w:pPr>
                  <w:r>
                    <w:rPr>
                      <w:u w:val="single"/>
                    </w:rPr>
                    <w:t>1</w:t>
                  </w:r>
                </w:p>
              </w:tc>
              <w:tc>
                <w:tcPr>
                  <w:tcW w:w="623" w:type="pct"/>
                  <w:tcBorders>
                    <w:tl2br w:val="nil"/>
                    <w:tr2bl w:val="nil"/>
                  </w:tcBorders>
                  <w:vAlign w:val="center"/>
                </w:tcPr>
                <w:p w14:paraId="15FD1348">
                  <w:pPr>
                    <w:pStyle w:val="34"/>
                    <w:rPr>
                      <w:color w:val="000000" w:themeColor="text1"/>
                      <w:u w:val="single"/>
                      <w14:textFill>
                        <w14:solidFill>
                          <w14:schemeClr w14:val="tx1"/>
                        </w14:solidFill>
                      </w14:textFill>
                    </w:rPr>
                  </w:pPr>
                  <w:r>
                    <w:rPr>
                      <w:u w:val="single"/>
                    </w:rPr>
                    <w:t>台</w:t>
                  </w:r>
                </w:p>
              </w:tc>
              <w:tc>
                <w:tcPr>
                  <w:tcW w:w="871" w:type="pct"/>
                  <w:tcBorders>
                    <w:tl2br w:val="nil"/>
                    <w:tr2bl w:val="nil"/>
                  </w:tcBorders>
                  <w:vAlign w:val="center"/>
                </w:tcPr>
                <w:p w14:paraId="28D95F2A">
                  <w:pPr>
                    <w:jc w:val="center"/>
                    <w:rPr>
                      <w:u w:val="single"/>
                    </w:rPr>
                  </w:pPr>
                  <w:r>
                    <w:rPr>
                      <w:rFonts w:hint="eastAsia"/>
                      <w:color w:val="000000"/>
                      <w:sz w:val="21"/>
                      <w:szCs w:val="21"/>
                      <w:u w:val="single"/>
                    </w:rPr>
                    <w:t>利旧</w:t>
                  </w:r>
                </w:p>
              </w:tc>
            </w:tr>
            <w:tr w14:paraId="338037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3499F80D">
                  <w:pPr>
                    <w:pStyle w:val="34"/>
                    <w:rPr>
                      <w:color w:val="000000" w:themeColor="text1"/>
                      <w:u w:val="single"/>
                      <w14:textFill>
                        <w14:solidFill>
                          <w14:schemeClr w14:val="tx1"/>
                        </w14:solidFill>
                      </w14:textFill>
                    </w:rPr>
                  </w:pPr>
                  <w:r>
                    <w:rPr>
                      <w:rFonts w:hint="eastAsia"/>
                      <w:u w:val="single"/>
                    </w:rPr>
                    <w:t>4</w:t>
                  </w:r>
                </w:p>
              </w:tc>
              <w:tc>
                <w:tcPr>
                  <w:tcW w:w="1095" w:type="pct"/>
                  <w:tcBorders>
                    <w:tl2br w:val="nil"/>
                    <w:tr2bl w:val="nil"/>
                  </w:tcBorders>
                  <w:vAlign w:val="center"/>
                </w:tcPr>
                <w:p w14:paraId="11CDE3F7">
                  <w:pPr>
                    <w:pStyle w:val="34"/>
                    <w:rPr>
                      <w:color w:val="000000" w:themeColor="text1"/>
                      <w:u w:val="single"/>
                      <w14:textFill>
                        <w14:solidFill>
                          <w14:schemeClr w14:val="tx1"/>
                        </w14:solidFill>
                      </w14:textFill>
                    </w:rPr>
                  </w:pPr>
                  <w:r>
                    <w:rPr>
                      <w:u w:val="single"/>
                    </w:rPr>
                    <w:t>门型自动埋弧焊机</w:t>
                  </w:r>
                </w:p>
              </w:tc>
              <w:tc>
                <w:tcPr>
                  <w:tcW w:w="1132" w:type="pct"/>
                  <w:tcBorders>
                    <w:tl2br w:val="nil"/>
                    <w:tr2bl w:val="nil"/>
                  </w:tcBorders>
                  <w:vAlign w:val="center"/>
                </w:tcPr>
                <w:p w14:paraId="22AF3B05">
                  <w:pPr>
                    <w:pStyle w:val="34"/>
                    <w:rPr>
                      <w:color w:val="000000" w:themeColor="text1"/>
                      <w:u w:val="single"/>
                      <w14:textFill>
                        <w14:solidFill>
                          <w14:schemeClr w14:val="tx1"/>
                        </w14:solidFill>
                      </w14:textFill>
                    </w:rPr>
                  </w:pPr>
                  <w:r>
                    <w:rPr>
                      <w:u w:val="single"/>
                    </w:rPr>
                    <w:t>MZG-5000</w:t>
                  </w:r>
                </w:p>
              </w:tc>
              <w:tc>
                <w:tcPr>
                  <w:tcW w:w="623" w:type="pct"/>
                  <w:tcBorders>
                    <w:tl2br w:val="nil"/>
                    <w:tr2bl w:val="nil"/>
                  </w:tcBorders>
                  <w:vAlign w:val="center"/>
                </w:tcPr>
                <w:p w14:paraId="377802D0">
                  <w:pPr>
                    <w:pStyle w:val="34"/>
                    <w:rPr>
                      <w:color w:val="000000" w:themeColor="text1"/>
                      <w:u w:val="single"/>
                      <w14:textFill>
                        <w14:solidFill>
                          <w14:schemeClr w14:val="tx1"/>
                        </w14:solidFill>
                      </w14:textFill>
                    </w:rPr>
                  </w:pPr>
                  <w:r>
                    <w:rPr>
                      <w:u w:val="single"/>
                    </w:rPr>
                    <w:t>2</w:t>
                  </w:r>
                </w:p>
              </w:tc>
              <w:tc>
                <w:tcPr>
                  <w:tcW w:w="623" w:type="pct"/>
                  <w:tcBorders>
                    <w:tl2br w:val="nil"/>
                    <w:tr2bl w:val="nil"/>
                  </w:tcBorders>
                  <w:vAlign w:val="center"/>
                </w:tcPr>
                <w:p w14:paraId="1210B0CB">
                  <w:pPr>
                    <w:pStyle w:val="34"/>
                    <w:rPr>
                      <w:color w:val="000000" w:themeColor="text1"/>
                      <w:u w:val="single"/>
                      <w14:textFill>
                        <w14:solidFill>
                          <w14:schemeClr w14:val="tx1"/>
                        </w14:solidFill>
                      </w14:textFill>
                    </w:rPr>
                  </w:pPr>
                  <w:r>
                    <w:rPr>
                      <w:u w:val="single"/>
                    </w:rPr>
                    <w:t>台</w:t>
                  </w:r>
                </w:p>
              </w:tc>
              <w:tc>
                <w:tcPr>
                  <w:tcW w:w="871" w:type="pct"/>
                  <w:tcBorders>
                    <w:tl2br w:val="nil"/>
                    <w:tr2bl w:val="nil"/>
                  </w:tcBorders>
                  <w:vAlign w:val="center"/>
                </w:tcPr>
                <w:p w14:paraId="255B1D4F">
                  <w:pPr>
                    <w:jc w:val="center"/>
                    <w:rPr>
                      <w:u w:val="single"/>
                    </w:rPr>
                  </w:pPr>
                  <w:r>
                    <w:rPr>
                      <w:rFonts w:hint="eastAsia"/>
                      <w:color w:val="000000"/>
                      <w:sz w:val="21"/>
                      <w:szCs w:val="21"/>
                      <w:u w:val="single"/>
                    </w:rPr>
                    <w:t>利旧</w:t>
                  </w:r>
                </w:p>
              </w:tc>
            </w:tr>
            <w:tr w14:paraId="33BE05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58CD5912">
                  <w:pPr>
                    <w:pStyle w:val="34"/>
                    <w:rPr>
                      <w:color w:val="000000" w:themeColor="text1"/>
                      <w:u w:val="single"/>
                      <w14:textFill>
                        <w14:solidFill>
                          <w14:schemeClr w14:val="tx1"/>
                        </w14:solidFill>
                      </w14:textFill>
                    </w:rPr>
                  </w:pPr>
                  <w:r>
                    <w:rPr>
                      <w:rFonts w:hint="eastAsia"/>
                      <w:u w:val="single"/>
                    </w:rPr>
                    <w:t>5</w:t>
                  </w:r>
                </w:p>
              </w:tc>
              <w:tc>
                <w:tcPr>
                  <w:tcW w:w="1095" w:type="pct"/>
                  <w:tcBorders>
                    <w:tl2br w:val="nil"/>
                    <w:tr2bl w:val="nil"/>
                  </w:tcBorders>
                  <w:vAlign w:val="center"/>
                </w:tcPr>
                <w:p w14:paraId="58DEF5D5">
                  <w:pPr>
                    <w:pStyle w:val="34"/>
                    <w:rPr>
                      <w:color w:val="000000" w:themeColor="text1"/>
                      <w:u w:val="single"/>
                      <w14:textFill>
                        <w14:solidFill>
                          <w14:schemeClr w14:val="tx1"/>
                        </w14:solidFill>
                      </w14:textFill>
                    </w:rPr>
                  </w:pPr>
                  <w:r>
                    <w:rPr>
                      <w:u w:val="single"/>
                    </w:rPr>
                    <w:t>H型液压矫正机</w:t>
                  </w:r>
                </w:p>
              </w:tc>
              <w:tc>
                <w:tcPr>
                  <w:tcW w:w="1132" w:type="pct"/>
                  <w:tcBorders>
                    <w:tl2br w:val="nil"/>
                    <w:tr2bl w:val="nil"/>
                  </w:tcBorders>
                  <w:vAlign w:val="center"/>
                </w:tcPr>
                <w:p w14:paraId="7C89D49A">
                  <w:pPr>
                    <w:pStyle w:val="34"/>
                    <w:rPr>
                      <w:color w:val="000000" w:themeColor="text1"/>
                      <w:u w:val="single"/>
                      <w14:textFill>
                        <w14:solidFill>
                          <w14:schemeClr w14:val="tx1"/>
                        </w14:solidFill>
                      </w14:textFill>
                    </w:rPr>
                  </w:pPr>
                  <w:r>
                    <w:rPr>
                      <w:u w:val="single"/>
                    </w:rPr>
                    <w:t>YJ-60A</w:t>
                  </w:r>
                </w:p>
              </w:tc>
              <w:tc>
                <w:tcPr>
                  <w:tcW w:w="623" w:type="pct"/>
                  <w:tcBorders>
                    <w:tl2br w:val="nil"/>
                    <w:tr2bl w:val="nil"/>
                  </w:tcBorders>
                  <w:vAlign w:val="center"/>
                </w:tcPr>
                <w:p w14:paraId="4EAE0B2F">
                  <w:pPr>
                    <w:pStyle w:val="34"/>
                    <w:rPr>
                      <w:color w:val="000000" w:themeColor="text1"/>
                      <w:u w:val="single"/>
                      <w14:textFill>
                        <w14:solidFill>
                          <w14:schemeClr w14:val="tx1"/>
                        </w14:solidFill>
                      </w14:textFill>
                    </w:rPr>
                  </w:pPr>
                  <w:r>
                    <w:rPr>
                      <w:u w:val="single"/>
                    </w:rPr>
                    <w:t>1</w:t>
                  </w:r>
                </w:p>
              </w:tc>
              <w:tc>
                <w:tcPr>
                  <w:tcW w:w="623" w:type="pct"/>
                  <w:tcBorders>
                    <w:tl2br w:val="nil"/>
                    <w:tr2bl w:val="nil"/>
                  </w:tcBorders>
                  <w:vAlign w:val="center"/>
                </w:tcPr>
                <w:p w14:paraId="05EFF201">
                  <w:pPr>
                    <w:pStyle w:val="34"/>
                    <w:rPr>
                      <w:color w:val="000000" w:themeColor="text1"/>
                      <w:u w:val="single"/>
                      <w14:textFill>
                        <w14:solidFill>
                          <w14:schemeClr w14:val="tx1"/>
                        </w14:solidFill>
                      </w14:textFill>
                    </w:rPr>
                  </w:pPr>
                  <w:r>
                    <w:rPr>
                      <w:u w:val="single"/>
                    </w:rPr>
                    <w:t>台</w:t>
                  </w:r>
                </w:p>
              </w:tc>
              <w:tc>
                <w:tcPr>
                  <w:tcW w:w="871" w:type="pct"/>
                  <w:tcBorders>
                    <w:tl2br w:val="nil"/>
                    <w:tr2bl w:val="nil"/>
                  </w:tcBorders>
                  <w:vAlign w:val="center"/>
                </w:tcPr>
                <w:p w14:paraId="6123C15D">
                  <w:pPr>
                    <w:jc w:val="center"/>
                    <w:rPr>
                      <w:u w:val="single"/>
                    </w:rPr>
                  </w:pPr>
                  <w:r>
                    <w:rPr>
                      <w:rFonts w:hint="eastAsia"/>
                      <w:color w:val="000000"/>
                      <w:sz w:val="21"/>
                      <w:szCs w:val="21"/>
                      <w:u w:val="single"/>
                    </w:rPr>
                    <w:t>利旧</w:t>
                  </w:r>
                </w:p>
              </w:tc>
            </w:tr>
            <w:tr w14:paraId="2D8BB7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1BD4654B">
                  <w:pPr>
                    <w:pStyle w:val="34"/>
                    <w:rPr>
                      <w:color w:val="000000" w:themeColor="text1"/>
                      <w:u w:val="single"/>
                      <w14:textFill>
                        <w14:solidFill>
                          <w14:schemeClr w14:val="tx1"/>
                        </w14:solidFill>
                      </w14:textFill>
                    </w:rPr>
                  </w:pPr>
                  <w:r>
                    <w:rPr>
                      <w:rFonts w:hint="eastAsia"/>
                      <w:u w:val="single"/>
                    </w:rPr>
                    <w:t>6</w:t>
                  </w:r>
                </w:p>
              </w:tc>
              <w:tc>
                <w:tcPr>
                  <w:tcW w:w="1095" w:type="pct"/>
                  <w:tcBorders>
                    <w:tl2br w:val="nil"/>
                    <w:tr2bl w:val="nil"/>
                  </w:tcBorders>
                  <w:vAlign w:val="center"/>
                </w:tcPr>
                <w:p w14:paraId="3E3EB01C">
                  <w:pPr>
                    <w:pStyle w:val="34"/>
                    <w:rPr>
                      <w:color w:val="000000" w:themeColor="text1"/>
                      <w:u w:val="single"/>
                      <w14:textFill>
                        <w14:solidFill>
                          <w14:schemeClr w14:val="tx1"/>
                        </w14:solidFill>
                      </w14:textFill>
                    </w:rPr>
                  </w:pPr>
                  <w:r>
                    <w:rPr>
                      <w:u w:val="single"/>
                    </w:rPr>
                    <w:t>抛丸机</w:t>
                  </w:r>
                </w:p>
              </w:tc>
              <w:tc>
                <w:tcPr>
                  <w:tcW w:w="1132" w:type="pct"/>
                  <w:tcBorders>
                    <w:tl2br w:val="nil"/>
                    <w:tr2bl w:val="nil"/>
                  </w:tcBorders>
                  <w:vAlign w:val="center"/>
                </w:tcPr>
                <w:p w14:paraId="05F6EF0D">
                  <w:pPr>
                    <w:pStyle w:val="34"/>
                    <w:rPr>
                      <w:color w:val="000000" w:themeColor="text1"/>
                      <w:u w:val="single"/>
                      <w14:textFill>
                        <w14:solidFill>
                          <w14:schemeClr w14:val="tx1"/>
                        </w14:solidFill>
                      </w14:textFill>
                    </w:rPr>
                  </w:pPr>
                  <w:r>
                    <w:rPr>
                      <w:u w:val="single"/>
                    </w:rPr>
                    <w:t>/</w:t>
                  </w:r>
                </w:p>
              </w:tc>
              <w:tc>
                <w:tcPr>
                  <w:tcW w:w="623" w:type="pct"/>
                  <w:tcBorders>
                    <w:tl2br w:val="nil"/>
                    <w:tr2bl w:val="nil"/>
                  </w:tcBorders>
                  <w:vAlign w:val="center"/>
                </w:tcPr>
                <w:p w14:paraId="6D3D8722">
                  <w:pPr>
                    <w:pStyle w:val="34"/>
                    <w:rPr>
                      <w:color w:val="000000" w:themeColor="text1"/>
                      <w:u w:val="single"/>
                      <w14:textFill>
                        <w14:solidFill>
                          <w14:schemeClr w14:val="tx1"/>
                        </w14:solidFill>
                      </w14:textFill>
                    </w:rPr>
                  </w:pPr>
                  <w:r>
                    <w:rPr>
                      <w:rFonts w:hint="eastAsia"/>
                      <w:u w:val="single"/>
                    </w:rPr>
                    <w:t>2</w:t>
                  </w:r>
                </w:p>
              </w:tc>
              <w:tc>
                <w:tcPr>
                  <w:tcW w:w="623" w:type="pct"/>
                  <w:tcBorders>
                    <w:tl2br w:val="nil"/>
                    <w:tr2bl w:val="nil"/>
                  </w:tcBorders>
                  <w:vAlign w:val="center"/>
                </w:tcPr>
                <w:p w14:paraId="6C761324">
                  <w:pPr>
                    <w:pStyle w:val="34"/>
                    <w:rPr>
                      <w:color w:val="000000" w:themeColor="text1"/>
                      <w:u w:val="single"/>
                      <w14:textFill>
                        <w14:solidFill>
                          <w14:schemeClr w14:val="tx1"/>
                        </w14:solidFill>
                      </w14:textFill>
                    </w:rPr>
                  </w:pPr>
                  <w:r>
                    <w:rPr>
                      <w:u w:val="single"/>
                    </w:rPr>
                    <w:t>台</w:t>
                  </w:r>
                </w:p>
              </w:tc>
              <w:tc>
                <w:tcPr>
                  <w:tcW w:w="871" w:type="pct"/>
                  <w:tcBorders>
                    <w:tl2br w:val="nil"/>
                    <w:tr2bl w:val="nil"/>
                  </w:tcBorders>
                  <w:vAlign w:val="center"/>
                </w:tcPr>
                <w:p w14:paraId="08C94C95">
                  <w:pPr>
                    <w:jc w:val="center"/>
                    <w:rPr>
                      <w:u w:val="single"/>
                    </w:rPr>
                  </w:pPr>
                  <w:r>
                    <w:rPr>
                      <w:rFonts w:hint="eastAsia"/>
                      <w:color w:val="000000"/>
                      <w:sz w:val="21"/>
                      <w:szCs w:val="21"/>
                      <w:u w:val="single"/>
                    </w:rPr>
                    <w:t>利旧</w:t>
                  </w:r>
                </w:p>
              </w:tc>
            </w:tr>
            <w:tr w14:paraId="1EA10B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640720D6">
                  <w:pPr>
                    <w:pStyle w:val="34"/>
                    <w:rPr>
                      <w:color w:val="000000" w:themeColor="text1"/>
                      <w:u w:val="single"/>
                      <w14:textFill>
                        <w14:solidFill>
                          <w14:schemeClr w14:val="tx1"/>
                        </w14:solidFill>
                      </w14:textFill>
                    </w:rPr>
                  </w:pPr>
                  <w:r>
                    <w:rPr>
                      <w:rFonts w:hint="eastAsia"/>
                      <w:u w:val="single"/>
                    </w:rPr>
                    <w:t>7</w:t>
                  </w:r>
                </w:p>
              </w:tc>
              <w:tc>
                <w:tcPr>
                  <w:tcW w:w="1095" w:type="pct"/>
                  <w:tcBorders>
                    <w:tl2br w:val="nil"/>
                    <w:tr2bl w:val="nil"/>
                  </w:tcBorders>
                  <w:vAlign w:val="center"/>
                </w:tcPr>
                <w:p w14:paraId="0083A3B6">
                  <w:pPr>
                    <w:pStyle w:val="34"/>
                    <w:rPr>
                      <w:color w:val="000000" w:themeColor="text1"/>
                      <w:u w:val="single"/>
                      <w14:textFill>
                        <w14:solidFill>
                          <w14:schemeClr w14:val="tx1"/>
                        </w14:solidFill>
                      </w14:textFill>
                    </w:rPr>
                  </w:pPr>
                  <w:r>
                    <w:rPr>
                      <w:u w:val="single"/>
                    </w:rPr>
                    <w:t>行车</w:t>
                  </w:r>
                </w:p>
              </w:tc>
              <w:tc>
                <w:tcPr>
                  <w:tcW w:w="1132" w:type="pct"/>
                  <w:tcBorders>
                    <w:tl2br w:val="nil"/>
                    <w:tr2bl w:val="nil"/>
                  </w:tcBorders>
                  <w:vAlign w:val="center"/>
                </w:tcPr>
                <w:p w14:paraId="552C3B28">
                  <w:pPr>
                    <w:pStyle w:val="34"/>
                    <w:rPr>
                      <w:color w:val="000000" w:themeColor="text1"/>
                      <w:u w:val="single"/>
                      <w14:textFill>
                        <w14:solidFill>
                          <w14:schemeClr w14:val="tx1"/>
                        </w14:solidFill>
                      </w14:textFill>
                    </w:rPr>
                  </w:pPr>
                  <w:r>
                    <w:rPr>
                      <w:u w:val="single"/>
                    </w:rPr>
                    <w:t>5</w:t>
                  </w:r>
                  <w:r>
                    <w:rPr>
                      <w:rFonts w:hint="eastAsia"/>
                      <w:u w:val="single"/>
                    </w:rPr>
                    <w:t>吨</w:t>
                  </w:r>
                </w:p>
              </w:tc>
              <w:tc>
                <w:tcPr>
                  <w:tcW w:w="623" w:type="pct"/>
                  <w:tcBorders>
                    <w:tl2br w:val="nil"/>
                    <w:tr2bl w:val="nil"/>
                  </w:tcBorders>
                  <w:vAlign w:val="center"/>
                </w:tcPr>
                <w:p w14:paraId="1CE656A9">
                  <w:pPr>
                    <w:pStyle w:val="34"/>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3</w:t>
                  </w:r>
                </w:p>
              </w:tc>
              <w:tc>
                <w:tcPr>
                  <w:tcW w:w="623" w:type="pct"/>
                  <w:tcBorders>
                    <w:tl2br w:val="nil"/>
                    <w:tr2bl w:val="nil"/>
                  </w:tcBorders>
                  <w:vAlign w:val="center"/>
                </w:tcPr>
                <w:p w14:paraId="4B974A44">
                  <w:pPr>
                    <w:pStyle w:val="34"/>
                    <w:rPr>
                      <w:color w:val="000000" w:themeColor="text1"/>
                      <w:u w:val="single"/>
                      <w14:textFill>
                        <w14:solidFill>
                          <w14:schemeClr w14:val="tx1"/>
                        </w14:solidFill>
                      </w14:textFill>
                    </w:rPr>
                  </w:pPr>
                  <w:r>
                    <w:rPr>
                      <w:u w:val="single"/>
                    </w:rPr>
                    <w:t>台</w:t>
                  </w:r>
                </w:p>
              </w:tc>
              <w:tc>
                <w:tcPr>
                  <w:tcW w:w="871" w:type="pct"/>
                  <w:tcBorders>
                    <w:tl2br w:val="nil"/>
                    <w:tr2bl w:val="nil"/>
                  </w:tcBorders>
                  <w:vAlign w:val="center"/>
                </w:tcPr>
                <w:p w14:paraId="0608E760">
                  <w:pPr>
                    <w:jc w:val="center"/>
                    <w:rPr>
                      <w:u w:val="single"/>
                    </w:rPr>
                  </w:pPr>
                  <w:r>
                    <w:rPr>
                      <w:rFonts w:hint="eastAsia"/>
                      <w:color w:val="000000"/>
                      <w:sz w:val="21"/>
                      <w:szCs w:val="21"/>
                      <w:u w:val="single"/>
                    </w:rPr>
                    <w:t>利旧</w:t>
                  </w:r>
                </w:p>
              </w:tc>
            </w:tr>
            <w:tr w14:paraId="4185DF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23335A8F">
                  <w:pPr>
                    <w:pStyle w:val="34"/>
                    <w:rPr>
                      <w:u w:val="single"/>
                    </w:rPr>
                  </w:pPr>
                  <w:r>
                    <w:rPr>
                      <w:rFonts w:hint="eastAsia"/>
                      <w:u w:val="single"/>
                    </w:rPr>
                    <w:t>8</w:t>
                  </w:r>
                </w:p>
              </w:tc>
              <w:tc>
                <w:tcPr>
                  <w:tcW w:w="1095" w:type="pct"/>
                  <w:tcBorders>
                    <w:tl2br w:val="nil"/>
                    <w:tr2bl w:val="nil"/>
                  </w:tcBorders>
                  <w:vAlign w:val="center"/>
                </w:tcPr>
                <w:p w14:paraId="0425D454">
                  <w:pPr>
                    <w:pStyle w:val="34"/>
                    <w:rPr>
                      <w:u w:val="single"/>
                    </w:rPr>
                  </w:pPr>
                  <w:r>
                    <w:rPr>
                      <w:rFonts w:hint="eastAsia"/>
                      <w:u w:val="single"/>
                    </w:rPr>
                    <w:t>喷枪</w:t>
                  </w:r>
                </w:p>
              </w:tc>
              <w:tc>
                <w:tcPr>
                  <w:tcW w:w="1132" w:type="pct"/>
                  <w:tcBorders>
                    <w:tl2br w:val="nil"/>
                    <w:tr2bl w:val="nil"/>
                  </w:tcBorders>
                  <w:vAlign w:val="center"/>
                </w:tcPr>
                <w:p w14:paraId="3A4F4CB8">
                  <w:pPr>
                    <w:pStyle w:val="34"/>
                    <w:rPr>
                      <w:u w:val="single"/>
                    </w:rPr>
                  </w:pPr>
                  <w:r>
                    <w:rPr>
                      <w:rFonts w:hint="eastAsia"/>
                      <w:u w:val="single"/>
                    </w:rPr>
                    <w:t>/</w:t>
                  </w:r>
                </w:p>
              </w:tc>
              <w:tc>
                <w:tcPr>
                  <w:tcW w:w="623" w:type="pct"/>
                  <w:tcBorders>
                    <w:tl2br w:val="nil"/>
                    <w:tr2bl w:val="nil"/>
                  </w:tcBorders>
                  <w:vAlign w:val="center"/>
                </w:tcPr>
                <w:p w14:paraId="0F3EFD26">
                  <w:pPr>
                    <w:pStyle w:val="34"/>
                    <w:rPr>
                      <w:u w:val="single"/>
                    </w:rPr>
                  </w:pPr>
                  <w:r>
                    <w:rPr>
                      <w:rFonts w:hint="eastAsia"/>
                      <w:u w:val="single"/>
                    </w:rPr>
                    <w:t>2</w:t>
                  </w:r>
                </w:p>
              </w:tc>
              <w:tc>
                <w:tcPr>
                  <w:tcW w:w="623" w:type="pct"/>
                  <w:tcBorders>
                    <w:tl2br w:val="nil"/>
                    <w:tr2bl w:val="nil"/>
                  </w:tcBorders>
                  <w:vAlign w:val="center"/>
                </w:tcPr>
                <w:p w14:paraId="7E824729">
                  <w:pPr>
                    <w:pStyle w:val="34"/>
                    <w:rPr>
                      <w:u w:val="single"/>
                    </w:rPr>
                  </w:pPr>
                  <w:r>
                    <w:rPr>
                      <w:rFonts w:hint="eastAsia"/>
                      <w:u w:val="single"/>
                    </w:rPr>
                    <w:t>把</w:t>
                  </w:r>
                </w:p>
              </w:tc>
              <w:tc>
                <w:tcPr>
                  <w:tcW w:w="871" w:type="pct"/>
                  <w:tcBorders>
                    <w:tl2br w:val="nil"/>
                    <w:tr2bl w:val="nil"/>
                  </w:tcBorders>
                  <w:vAlign w:val="center"/>
                </w:tcPr>
                <w:p w14:paraId="66F0DE1D">
                  <w:pPr>
                    <w:jc w:val="center"/>
                    <w:rPr>
                      <w:u w:val="single"/>
                    </w:rPr>
                  </w:pPr>
                  <w:r>
                    <w:rPr>
                      <w:rFonts w:hint="eastAsia"/>
                      <w:color w:val="000000"/>
                      <w:sz w:val="21"/>
                      <w:szCs w:val="21"/>
                      <w:u w:val="single"/>
                    </w:rPr>
                    <w:t>利旧</w:t>
                  </w:r>
                </w:p>
              </w:tc>
            </w:tr>
            <w:tr w14:paraId="69D019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47EA1F9D">
                  <w:pPr>
                    <w:pStyle w:val="34"/>
                    <w:rPr>
                      <w:u w:val="single"/>
                    </w:rPr>
                  </w:pPr>
                  <w:r>
                    <w:rPr>
                      <w:rFonts w:hint="eastAsia"/>
                      <w:u w:val="single"/>
                    </w:rPr>
                    <w:t>9</w:t>
                  </w:r>
                </w:p>
              </w:tc>
              <w:tc>
                <w:tcPr>
                  <w:tcW w:w="1095" w:type="pct"/>
                  <w:tcBorders>
                    <w:tl2br w:val="nil"/>
                    <w:tr2bl w:val="nil"/>
                  </w:tcBorders>
                  <w:vAlign w:val="center"/>
                </w:tcPr>
                <w:p w14:paraId="7BCBAD50">
                  <w:pPr>
                    <w:pStyle w:val="34"/>
                    <w:rPr>
                      <w:u w:val="single"/>
                    </w:rPr>
                  </w:pPr>
                  <w:r>
                    <w:rPr>
                      <w:rFonts w:hint="eastAsia"/>
                      <w:u w:val="single"/>
                    </w:rPr>
                    <w:t>喷漆房室体</w:t>
                  </w:r>
                </w:p>
              </w:tc>
              <w:tc>
                <w:tcPr>
                  <w:tcW w:w="1132" w:type="pct"/>
                  <w:tcBorders>
                    <w:tl2br w:val="nil"/>
                    <w:tr2bl w:val="nil"/>
                  </w:tcBorders>
                  <w:vAlign w:val="center"/>
                </w:tcPr>
                <w:p w14:paraId="4FC4C9C0">
                  <w:pPr>
                    <w:pStyle w:val="34"/>
                    <w:rPr>
                      <w:u w:val="single"/>
                    </w:rPr>
                  </w:pPr>
                  <w:r>
                    <w:rPr>
                      <w:rFonts w:hint="eastAsia"/>
                      <w:u w:val="single"/>
                    </w:rPr>
                    <w:t>/</w:t>
                  </w:r>
                </w:p>
              </w:tc>
              <w:tc>
                <w:tcPr>
                  <w:tcW w:w="623" w:type="pct"/>
                  <w:tcBorders>
                    <w:tl2br w:val="nil"/>
                    <w:tr2bl w:val="nil"/>
                  </w:tcBorders>
                  <w:vAlign w:val="center"/>
                </w:tcPr>
                <w:p w14:paraId="4B7CB5F9">
                  <w:pPr>
                    <w:pStyle w:val="34"/>
                    <w:rPr>
                      <w:u w:val="single"/>
                    </w:rPr>
                  </w:pPr>
                  <w:r>
                    <w:rPr>
                      <w:rFonts w:hint="eastAsia"/>
                      <w:u w:val="single"/>
                    </w:rPr>
                    <w:t>1</w:t>
                  </w:r>
                </w:p>
              </w:tc>
              <w:tc>
                <w:tcPr>
                  <w:tcW w:w="623" w:type="pct"/>
                  <w:tcBorders>
                    <w:tl2br w:val="nil"/>
                    <w:tr2bl w:val="nil"/>
                  </w:tcBorders>
                  <w:vAlign w:val="center"/>
                </w:tcPr>
                <w:p w14:paraId="0A5DE887">
                  <w:pPr>
                    <w:pStyle w:val="34"/>
                    <w:rPr>
                      <w:u w:val="single"/>
                    </w:rPr>
                  </w:pPr>
                  <w:r>
                    <w:rPr>
                      <w:rFonts w:hint="eastAsia"/>
                      <w:u w:val="single"/>
                    </w:rPr>
                    <w:t>间</w:t>
                  </w:r>
                </w:p>
              </w:tc>
              <w:tc>
                <w:tcPr>
                  <w:tcW w:w="871" w:type="pct"/>
                  <w:tcBorders>
                    <w:tl2br w:val="nil"/>
                    <w:tr2bl w:val="nil"/>
                  </w:tcBorders>
                  <w:vAlign w:val="center"/>
                </w:tcPr>
                <w:p w14:paraId="4FAE3911">
                  <w:pPr>
                    <w:jc w:val="center"/>
                    <w:rPr>
                      <w:color w:val="000000"/>
                      <w:sz w:val="21"/>
                      <w:szCs w:val="21"/>
                      <w:u w:val="single"/>
                    </w:rPr>
                  </w:pPr>
                  <w:r>
                    <w:rPr>
                      <w:rFonts w:hint="eastAsia"/>
                      <w:color w:val="000000"/>
                      <w:sz w:val="21"/>
                      <w:szCs w:val="21"/>
                      <w:u w:val="single"/>
                    </w:rPr>
                    <w:t>新增</w:t>
                  </w:r>
                </w:p>
              </w:tc>
            </w:tr>
            <w:tr w14:paraId="617090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6F729C94">
                  <w:pPr>
                    <w:pStyle w:val="34"/>
                    <w:rPr>
                      <w:u w:val="single"/>
                    </w:rPr>
                  </w:pPr>
                  <w:r>
                    <w:rPr>
                      <w:rFonts w:hint="eastAsia"/>
                      <w:u w:val="single"/>
                    </w:rPr>
                    <w:t>10</w:t>
                  </w:r>
                </w:p>
              </w:tc>
              <w:tc>
                <w:tcPr>
                  <w:tcW w:w="1095" w:type="pct"/>
                  <w:tcBorders>
                    <w:tl2br w:val="nil"/>
                    <w:tr2bl w:val="nil"/>
                  </w:tcBorders>
                  <w:vAlign w:val="center"/>
                </w:tcPr>
                <w:p w14:paraId="1AEDDB18">
                  <w:pPr>
                    <w:pStyle w:val="34"/>
                    <w:rPr>
                      <w:u w:val="single"/>
                    </w:rPr>
                  </w:pPr>
                  <w:r>
                    <w:rPr>
                      <w:rFonts w:hint="eastAsia"/>
                      <w:u w:val="single"/>
                    </w:rPr>
                    <w:t>干式过滤器</w:t>
                  </w:r>
                </w:p>
              </w:tc>
              <w:tc>
                <w:tcPr>
                  <w:tcW w:w="1132" w:type="pct"/>
                  <w:tcBorders>
                    <w:tl2br w:val="nil"/>
                    <w:tr2bl w:val="nil"/>
                  </w:tcBorders>
                  <w:vAlign w:val="center"/>
                </w:tcPr>
                <w:p w14:paraId="31FAEEFA">
                  <w:pPr>
                    <w:pStyle w:val="34"/>
                    <w:rPr>
                      <w:u w:val="single"/>
                    </w:rPr>
                  </w:pPr>
                  <w:r>
                    <w:rPr>
                      <w:rFonts w:hint="eastAsia"/>
                      <w:u w:val="single"/>
                    </w:rPr>
                    <w:t>/</w:t>
                  </w:r>
                </w:p>
              </w:tc>
              <w:tc>
                <w:tcPr>
                  <w:tcW w:w="623" w:type="pct"/>
                  <w:tcBorders>
                    <w:tl2br w:val="nil"/>
                    <w:tr2bl w:val="nil"/>
                  </w:tcBorders>
                  <w:vAlign w:val="center"/>
                </w:tcPr>
                <w:p w14:paraId="02AEBCB3">
                  <w:pPr>
                    <w:pStyle w:val="34"/>
                    <w:rPr>
                      <w:u w:val="single"/>
                    </w:rPr>
                  </w:pPr>
                  <w:r>
                    <w:rPr>
                      <w:rFonts w:hint="eastAsia"/>
                      <w:u w:val="single"/>
                    </w:rPr>
                    <w:t>1</w:t>
                  </w:r>
                </w:p>
              </w:tc>
              <w:tc>
                <w:tcPr>
                  <w:tcW w:w="623" w:type="pct"/>
                  <w:tcBorders>
                    <w:tl2br w:val="nil"/>
                    <w:tr2bl w:val="nil"/>
                  </w:tcBorders>
                  <w:vAlign w:val="center"/>
                </w:tcPr>
                <w:p w14:paraId="0489C445">
                  <w:pPr>
                    <w:pStyle w:val="34"/>
                    <w:rPr>
                      <w:u w:val="single"/>
                    </w:rPr>
                  </w:pPr>
                  <w:r>
                    <w:rPr>
                      <w:rFonts w:hint="eastAsia"/>
                      <w:u w:val="single"/>
                    </w:rPr>
                    <w:t>台</w:t>
                  </w:r>
                </w:p>
              </w:tc>
              <w:tc>
                <w:tcPr>
                  <w:tcW w:w="871" w:type="pct"/>
                  <w:tcBorders>
                    <w:tl2br w:val="nil"/>
                    <w:tr2bl w:val="nil"/>
                  </w:tcBorders>
                  <w:vAlign w:val="center"/>
                </w:tcPr>
                <w:p w14:paraId="343B491C">
                  <w:pPr>
                    <w:jc w:val="center"/>
                    <w:rPr>
                      <w:color w:val="000000"/>
                      <w:sz w:val="21"/>
                      <w:szCs w:val="21"/>
                      <w:u w:val="single"/>
                    </w:rPr>
                  </w:pPr>
                  <w:r>
                    <w:rPr>
                      <w:rFonts w:hint="eastAsia"/>
                      <w:color w:val="000000"/>
                      <w:sz w:val="21"/>
                      <w:szCs w:val="21"/>
                      <w:u w:val="single"/>
                    </w:rPr>
                    <w:t>新增</w:t>
                  </w:r>
                </w:p>
              </w:tc>
            </w:tr>
            <w:tr w14:paraId="7829D3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57" w:type="pct"/>
                  <w:tcBorders>
                    <w:tl2br w:val="nil"/>
                    <w:tr2bl w:val="nil"/>
                  </w:tcBorders>
                  <w:vAlign w:val="center"/>
                </w:tcPr>
                <w:p w14:paraId="3674B5EB">
                  <w:pPr>
                    <w:pStyle w:val="34"/>
                    <w:rPr>
                      <w:u w:val="single"/>
                    </w:rPr>
                  </w:pPr>
                  <w:r>
                    <w:rPr>
                      <w:rFonts w:hint="eastAsia"/>
                      <w:u w:val="single"/>
                    </w:rPr>
                    <w:t>11</w:t>
                  </w:r>
                </w:p>
              </w:tc>
              <w:tc>
                <w:tcPr>
                  <w:tcW w:w="1095" w:type="pct"/>
                  <w:tcBorders>
                    <w:tl2br w:val="nil"/>
                    <w:tr2bl w:val="nil"/>
                  </w:tcBorders>
                  <w:vAlign w:val="center"/>
                </w:tcPr>
                <w:p w14:paraId="3673C40D">
                  <w:pPr>
                    <w:pStyle w:val="34"/>
                    <w:rPr>
                      <w:u w:val="single"/>
                    </w:rPr>
                  </w:pPr>
                  <w:r>
                    <w:rPr>
                      <w:rFonts w:hint="eastAsia"/>
                      <w:u w:val="single"/>
                    </w:rPr>
                    <w:t>三级活性炭吸附</w:t>
                  </w:r>
                </w:p>
              </w:tc>
              <w:tc>
                <w:tcPr>
                  <w:tcW w:w="1132" w:type="pct"/>
                  <w:tcBorders>
                    <w:tl2br w:val="nil"/>
                    <w:tr2bl w:val="nil"/>
                  </w:tcBorders>
                  <w:vAlign w:val="center"/>
                </w:tcPr>
                <w:p w14:paraId="1234EBBC">
                  <w:pPr>
                    <w:pStyle w:val="34"/>
                    <w:rPr>
                      <w:u w:val="single"/>
                    </w:rPr>
                  </w:pPr>
                  <w:r>
                    <w:rPr>
                      <w:rFonts w:hint="eastAsia"/>
                      <w:u w:val="single"/>
                    </w:rPr>
                    <w:t>/</w:t>
                  </w:r>
                </w:p>
              </w:tc>
              <w:tc>
                <w:tcPr>
                  <w:tcW w:w="623" w:type="pct"/>
                  <w:tcBorders>
                    <w:tl2br w:val="nil"/>
                    <w:tr2bl w:val="nil"/>
                  </w:tcBorders>
                  <w:vAlign w:val="center"/>
                </w:tcPr>
                <w:p w14:paraId="134449F1">
                  <w:pPr>
                    <w:pStyle w:val="34"/>
                    <w:rPr>
                      <w:u w:val="single"/>
                    </w:rPr>
                  </w:pPr>
                  <w:r>
                    <w:rPr>
                      <w:rFonts w:hint="eastAsia"/>
                      <w:u w:val="single"/>
                    </w:rPr>
                    <w:t>1</w:t>
                  </w:r>
                </w:p>
              </w:tc>
              <w:tc>
                <w:tcPr>
                  <w:tcW w:w="623" w:type="pct"/>
                  <w:tcBorders>
                    <w:tl2br w:val="nil"/>
                    <w:tr2bl w:val="nil"/>
                  </w:tcBorders>
                  <w:vAlign w:val="center"/>
                </w:tcPr>
                <w:p w14:paraId="3DD55055">
                  <w:pPr>
                    <w:pStyle w:val="34"/>
                    <w:rPr>
                      <w:u w:val="single"/>
                    </w:rPr>
                  </w:pPr>
                  <w:r>
                    <w:rPr>
                      <w:rFonts w:hint="eastAsia"/>
                      <w:u w:val="single"/>
                    </w:rPr>
                    <w:t>台</w:t>
                  </w:r>
                </w:p>
              </w:tc>
              <w:tc>
                <w:tcPr>
                  <w:tcW w:w="871" w:type="pct"/>
                  <w:tcBorders>
                    <w:tl2br w:val="nil"/>
                    <w:tr2bl w:val="nil"/>
                  </w:tcBorders>
                  <w:vAlign w:val="center"/>
                </w:tcPr>
                <w:p w14:paraId="3B77A60B">
                  <w:pPr>
                    <w:jc w:val="center"/>
                    <w:rPr>
                      <w:color w:val="000000"/>
                      <w:sz w:val="21"/>
                      <w:szCs w:val="21"/>
                      <w:u w:val="single"/>
                    </w:rPr>
                  </w:pPr>
                  <w:r>
                    <w:rPr>
                      <w:rFonts w:hint="eastAsia"/>
                      <w:color w:val="000000"/>
                      <w:sz w:val="21"/>
                      <w:szCs w:val="21"/>
                      <w:u w:val="single"/>
                    </w:rPr>
                    <w:t>新增</w:t>
                  </w:r>
                </w:p>
              </w:tc>
            </w:tr>
          </w:tbl>
          <w:p w14:paraId="77AA9253">
            <w:pPr>
              <w:keepNext/>
              <w:keepLines/>
              <w:widowControl/>
              <w:adjustRightInd w:val="0"/>
              <w:snapToGrid w:val="0"/>
              <w:spacing w:line="360" w:lineRule="auto"/>
              <w:rPr>
                <w:rFonts w:hint="eastAsia" w:ascii="宋体" w:hAnsi="宋体" w:cs="宋体"/>
                <w:b/>
                <w:bCs/>
                <w:color w:val="000000"/>
              </w:rPr>
            </w:pPr>
            <w:r>
              <w:rPr>
                <w:rFonts w:hint="eastAsia" w:ascii="宋体" w:hAnsi="宋体" w:cs="宋体"/>
                <w:b/>
                <w:bCs/>
                <w:color w:val="000000"/>
              </w:rPr>
              <w:t>六、劳动定员及工作制度</w:t>
            </w:r>
          </w:p>
          <w:p w14:paraId="032DDCA1">
            <w:pPr>
              <w:keepNext/>
              <w:keepLines/>
              <w:widowControl/>
              <w:adjustRightInd w:val="0"/>
              <w:snapToGrid w:val="0"/>
              <w:spacing w:line="360" w:lineRule="auto"/>
              <w:ind w:firstLine="480" w:firstLineChars="200"/>
              <w:rPr>
                <w:color w:val="000000"/>
              </w:rPr>
            </w:pPr>
            <w:r>
              <w:rPr>
                <w:color w:val="000000"/>
              </w:rPr>
              <w:t>本项目</w:t>
            </w:r>
            <w:r>
              <w:rPr>
                <w:rFonts w:hint="eastAsia"/>
                <w:color w:val="000000"/>
              </w:rPr>
              <w:t>劳动动员</w:t>
            </w:r>
            <w:r>
              <w:rPr>
                <w:color w:val="000000"/>
              </w:rPr>
              <w:t>30人，年实际工作天数为350天。采用二班制生产模式，每班工作8小时，夜班仅负责钢结构晾干工序。项目不设置员工食堂和宿舍配套设施。</w:t>
            </w:r>
          </w:p>
          <w:p w14:paraId="086FE0AD">
            <w:pPr>
              <w:keepNext/>
              <w:keepLines/>
              <w:widowControl/>
              <w:adjustRightInd w:val="0"/>
              <w:snapToGrid w:val="0"/>
              <w:spacing w:line="360" w:lineRule="auto"/>
              <w:rPr>
                <w:b/>
                <w:bCs/>
                <w:color w:val="000000"/>
              </w:rPr>
            </w:pPr>
            <w:r>
              <w:rPr>
                <w:rFonts w:hint="eastAsia"/>
                <w:b/>
                <w:bCs/>
                <w:color w:val="000000"/>
              </w:rPr>
              <w:t>七、公用工程</w:t>
            </w:r>
          </w:p>
          <w:p w14:paraId="470AF310">
            <w:pPr>
              <w:keepNext/>
              <w:keepLines/>
              <w:widowControl/>
              <w:adjustRightInd w:val="0"/>
              <w:snapToGrid w:val="0"/>
              <w:spacing w:line="360" w:lineRule="auto"/>
              <w:rPr>
                <w:b/>
                <w:bCs/>
              </w:rPr>
            </w:pPr>
            <w:r>
              <w:rPr>
                <w:rFonts w:hint="eastAsia"/>
                <w:b/>
                <w:bCs/>
              </w:rPr>
              <w:t>1、</w:t>
            </w:r>
            <w:r>
              <w:rPr>
                <w:b/>
                <w:bCs/>
              </w:rPr>
              <w:t>给水</w:t>
            </w:r>
          </w:p>
          <w:p w14:paraId="0A1B78B8">
            <w:pPr>
              <w:keepNext/>
              <w:keepLines/>
              <w:widowControl/>
              <w:adjustRightInd w:val="0"/>
              <w:snapToGrid w:val="0"/>
              <w:spacing w:line="360" w:lineRule="auto"/>
              <w:ind w:firstLine="480" w:firstLineChars="200"/>
            </w:pPr>
            <w:r>
              <w:t>本项目用水由工业园区管网供应，能够满足本项目生产、生活需要。</w:t>
            </w:r>
          </w:p>
          <w:p w14:paraId="7E257E5E">
            <w:pPr>
              <w:spacing w:line="360" w:lineRule="auto"/>
              <w:ind w:firstLine="480" w:firstLineChars="200"/>
              <w:rPr>
                <w:color w:val="000000"/>
              </w:rPr>
            </w:pPr>
            <w:r>
              <w:rPr>
                <w:rFonts w:hint="eastAsia"/>
              </w:rPr>
              <w:t>（1）</w:t>
            </w:r>
            <w:r>
              <w:t>生活用水：本项目员工</w:t>
            </w:r>
            <w:r>
              <w:rPr>
                <w:rFonts w:hint="eastAsia"/>
              </w:rPr>
              <w:t>30</w:t>
            </w:r>
            <w:r>
              <w:t>人，包食宿，</w:t>
            </w:r>
            <w:r>
              <w:rPr>
                <w:rFonts w:hint="eastAsia"/>
                <w:color w:val="000000"/>
              </w:rPr>
              <w:t>参考湖南省地方标准《用水定额 第3部分：生活、服务业及建筑业》（</w:t>
            </w:r>
            <w:r>
              <w:rPr>
                <w:color w:val="000000"/>
              </w:rPr>
              <w:t>DB43/T388</w:t>
            </w:r>
            <w:r>
              <w:rPr>
                <w:rFonts w:hint="eastAsia"/>
                <w:color w:val="000000"/>
              </w:rPr>
              <w:t>.3</w:t>
            </w:r>
            <w:r>
              <w:rPr>
                <w:color w:val="000000"/>
              </w:rPr>
              <w:t>-202</w:t>
            </w:r>
            <w:r>
              <w:rPr>
                <w:rFonts w:hint="eastAsia"/>
                <w:color w:val="000000"/>
              </w:rPr>
              <w:t>5）中机关用水量，按38m</w:t>
            </w:r>
            <w:r>
              <w:rPr>
                <w:rFonts w:hint="eastAsia"/>
                <w:color w:val="000000"/>
                <w:vertAlign w:val="superscript"/>
              </w:rPr>
              <w:t>3</w:t>
            </w:r>
            <w:r>
              <w:rPr>
                <w:rFonts w:hint="eastAsia"/>
                <w:color w:val="000000"/>
              </w:rPr>
              <w:t>/（人·a）计算，总用水量为1140m</w:t>
            </w:r>
            <w:r>
              <w:rPr>
                <w:rFonts w:hint="eastAsia"/>
                <w:color w:val="000000"/>
                <w:vertAlign w:val="superscript"/>
              </w:rPr>
              <w:t>3</w:t>
            </w:r>
            <w:r>
              <w:rPr>
                <w:rFonts w:hint="eastAsia"/>
                <w:color w:val="000000"/>
              </w:rPr>
              <w:t>/a（3.257m</w:t>
            </w:r>
            <w:r>
              <w:rPr>
                <w:rFonts w:hint="eastAsia"/>
                <w:color w:val="000000"/>
                <w:vertAlign w:val="superscript"/>
              </w:rPr>
              <w:t>3</w:t>
            </w:r>
            <w:r>
              <w:rPr>
                <w:rFonts w:hint="eastAsia"/>
                <w:color w:val="000000"/>
              </w:rPr>
              <w:t>/d）。</w:t>
            </w:r>
          </w:p>
          <w:p w14:paraId="324AA155">
            <w:pPr>
              <w:keepNext/>
              <w:keepLines/>
              <w:widowControl/>
              <w:adjustRightInd w:val="0"/>
              <w:snapToGrid w:val="0"/>
              <w:spacing w:line="360" w:lineRule="auto"/>
              <w:ind w:firstLine="480" w:firstLineChars="200"/>
            </w:pPr>
            <w:r>
              <w:rPr>
                <w:rFonts w:hint="eastAsia"/>
              </w:rPr>
              <w:t>（2）喷枪清洗用水：根据企业提供资料，项目水性漆喷涂后需用清水清洗喷枪头，用水量为4L/天，即1.4t/a，喷枪清洗产生的废水不外排，全部回用于配置水性漆。</w:t>
            </w:r>
          </w:p>
          <w:p w14:paraId="4CB08429">
            <w:pPr>
              <w:keepNext/>
              <w:keepLines/>
              <w:widowControl/>
              <w:adjustRightInd w:val="0"/>
              <w:snapToGrid w:val="0"/>
              <w:spacing w:line="360" w:lineRule="auto"/>
              <w:ind w:firstLine="480" w:firstLineChars="200"/>
            </w:pPr>
            <w:r>
              <w:rPr>
                <w:rFonts w:hint="eastAsia"/>
              </w:rPr>
              <w:t>（3）水性漆配置用水：根据建设单位提供资料及类比现有项目，本项目水性漆配置约为10:1。根据上文分析，水性漆用量为14.27t/a，即水性漆配置用水为1.427t/a，扣除上分喷枪清洗回用水，水性漆配置用水为0.027t/a。</w:t>
            </w:r>
          </w:p>
          <w:p w14:paraId="741C0F25">
            <w:pPr>
              <w:kinsoku w:val="0"/>
              <w:wordWrap w:val="0"/>
              <w:autoSpaceDE w:val="0"/>
              <w:autoSpaceDN w:val="0"/>
              <w:adjustRightInd w:val="0"/>
              <w:snapToGrid w:val="0"/>
              <w:spacing w:line="360" w:lineRule="auto"/>
              <w:rPr>
                <w:b/>
                <w:bCs/>
              </w:rPr>
            </w:pPr>
            <w:r>
              <w:rPr>
                <w:b/>
                <w:bCs/>
              </w:rPr>
              <w:t>2、排水</w:t>
            </w:r>
          </w:p>
          <w:p w14:paraId="737DF367">
            <w:pPr>
              <w:kinsoku w:val="0"/>
              <w:wordWrap w:val="0"/>
              <w:autoSpaceDE w:val="0"/>
              <w:autoSpaceDN w:val="0"/>
              <w:adjustRightInd w:val="0"/>
              <w:snapToGrid w:val="0"/>
              <w:spacing w:line="360" w:lineRule="auto"/>
              <w:ind w:firstLine="480" w:firstLineChars="200"/>
            </w:pPr>
            <w:r>
              <w:t>项目</w:t>
            </w:r>
            <w:r>
              <w:rPr>
                <w:rFonts w:hint="eastAsia"/>
              </w:rPr>
              <w:t>外排</w:t>
            </w:r>
            <w:r>
              <w:t>废水主要</w:t>
            </w:r>
            <w:r>
              <w:rPr>
                <w:rFonts w:hint="eastAsia"/>
              </w:rPr>
              <w:t>为</w:t>
            </w:r>
            <w:r>
              <w:t>生活污水</w:t>
            </w:r>
            <w:r>
              <w:rPr>
                <w:rFonts w:hint="eastAsia"/>
              </w:rPr>
              <w:t>。</w:t>
            </w:r>
          </w:p>
          <w:p w14:paraId="41EFA516">
            <w:pPr>
              <w:kinsoku w:val="0"/>
              <w:wordWrap w:val="0"/>
              <w:autoSpaceDE w:val="0"/>
              <w:autoSpaceDN w:val="0"/>
              <w:adjustRightInd w:val="0"/>
              <w:snapToGrid w:val="0"/>
              <w:spacing w:line="360" w:lineRule="auto"/>
              <w:ind w:firstLine="480" w:firstLineChars="200"/>
            </w:pPr>
            <w:r>
              <w:rPr>
                <w:rFonts w:hint="eastAsia"/>
              </w:rPr>
              <w:t>（1）生活污水</w:t>
            </w:r>
          </w:p>
          <w:p w14:paraId="219D21C6">
            <w:pPr>
              <w:kinsoku w:val="0"/>
              <w:wordWrap w:val="0"/>
              <w:autoSpaceDE w:val="0"/>
              <w:autoSpaceDN w:val="0"/>
              <w:adjustRightInd w:val="0"/>
              <w:snapToGrid w:val="0"/>
              <w:spacing w:line="360" w:lineRule="auto"/>
              <w:ind w:firstLine="480" w:firstLineChars="200"/>
            </w:pPr>
            <w:r>
              <w:t>项目</w:t>
            </w:r>
            <w:r>
              <w:rPr>
                <w:rFonts w:hint="eastAsia"/>
              </w:rPr>
              <w:t>生活</w:t>
            </w:r>
            <w:r>
              <w:t>用水量为</w:t>
            </w:r>
            <w:r>
              <w:rPr>
                <w:rFonts w:hint="eastAsia"/>
              </w:rPr>
              <w:t>1140</w:t>
            </w:r>
            <w:r>
              <w:t>m</w:t>
            </w:r>
            <w:r>
              <w:rPr>
                <w:vertAlign w:val="superscript"/>
              </w:rPr>
              <w:t>3</w:t>
            </w:r>
            <w:r>
              <w:t>/a，排污系数按80%计，生活污水排放量为</w:t>
            </w:r>
            <w:r>
              <w:rPr>
                <w:rFonts w:hint="eastAsia"/>
              </w:rPr>
              <w:t>912</w:t>
            </w:r>
            <w:r>
              <w:t>m</w:t>
            </w:r>
            <w:r>
              <w:rPr>
                <w:vertAlign w:val="superscript"/>
              </w:rPr>
              <w:t>3</w:t>
            </w:r>
            <w:r>
              <w:t>/a，生活污水经过</w:t>
            </w:r>
            <w:r>
              <w:rPr>
                <w:rFonts w:hint="eastAsia"/>
              </w:rPr>
              <w:t>厂房已建</w:t>
            </w:r>
            <w:r>
              <w:t>化粪池处理后通过</w:t>
            </w:r>
            <w:r>
              <w:rPr>
                <w:rFonts w:hint="eastAsia"/>
              </w:rPr>
              <w:t>园区</w:t>
            </w:r>
            <w:r>
              <w:t>污水管网排入</w:t>
            </w:r>
            <w:r>
              <w:rPr>
                <w:rFonts w:hint="eastAsia"/>
              </w:rPr>
              <w:t>衡龙新区污水处理厂处理达标后排入泉交河。</w:t>
            </w:r>
          </w:p>
          <w:p w14:paraId="2425682C">
            <w:pPr>
              <w:kinsoku w:val="0"/>
              <w:wordWrap w:val="0"/>
              <w:autoSpaceDE w:val="0"/>
              <w:autoSpaceDN w:val="0"/>
              <w:adjustRightInd w:val="0"/>
              <w:snapToGrid w:val="0"/>
              <w:spacing w:line="360" w:lineRule="auto"/>
              <w:ind w:firstLine="480" w:firstLineChars="200"/>
            </w:pPr>
            <w:r>
              <w:t>项目用水平衡图如下：</w:t>
            </w:r>
          </w:p>
          <w:p w14:paraId="4A1A1F26">
            <w:pPr>
              <w:keepNext/>
              <w:keepLines/>
              <w:widowControl/>
              <w:spacing w:line="360" w:lineRule="auto"/>
              <w:rPr>
                <w:rFonts w:hint="eastAsia" w:ascii="宋体" w:hAnsi="宋体" w:cs="宋体"/>
                <w:b/>
                <w:bCs/>
                <w:color w:val="000000"/>
              </w:rPr>
            </w:pPr>
            <w:r>
              <w:rPr>
                <w:rFonts w:hint="eastAsia"/>
              </w:rPr>
              <w:object>
                <v:shape id="_x0000_i1026" o:spt="75" type="#_x0000_t75" style="height:181.65pt;width:357.5pt;" o:ole="t" filled="f" o:preferrelative="t" stroked="f" coordsize="21600,21600">
                  <v:path/>
                  <v:fill on="f" focussize="0,0"/>
                  <v:stroke on="f" joinstyle="miter"/>
                  <v:imagedata r:id="rId21" o:title=""/>
                  <o:lock v:ext="edit" aspectratio="t"/>
                  <w10:wrap type="none"/>
                  <w10:anchorlock/>
                </v:shape>
                <o:OLEObject Type="Embed" ProgID="Visio.Drawing.11" ShapeID="_x0000_i1026" DrawAspect="Content" ObjectID="_1468075726" r:id="rId20">
                  <o:LockedField>false</o:LockedField>
                </o:OLEObject>
              </w:object>
            </w:r>
          </w:p>
          <w:p w14:paraId="6729D35D">
            <w:pPr>
              <w:keepNext/>
              <w:keepLines/>
              <w:widowControl/>
              <w:adjustRightInd w:val="0"/>
              <w:snapToGrid w:val="0"/>
              <w:spacing w:line="360" w:lineRule="auto"/>
              <w:jc w:val="center"/>
              <w:rPr>
                <w:rFonts w:hint="eastAsia" w:ascii="宋体" w:hAnsi="宋体" w:cs="宋体"/>
                <w:color w:val="000000"/>
              </w:rPr>
            </w:pPr>
            <w:r>
              <w:rPr>
                <w:rFonts w:hint="eastAsia" w:ascii="宋体" w:hAnsi="宋体" w:cs="宋体"/>
                <w:b/>
                <w:bCs/>
                <w:color w:val="000000"/>
              </w:rPr>
              <w:t>图</w:t>
            </w:r>
            <w:r>
              <w:rPr>
                <w:b/>
                <w:bCs/>
                <w:color w:val="000000"/>
              </w:rPr>
              <w:t>2</w:t>
            </w:r>
            <w:r>
              <w:rPr>
                <w:rFonts w:hint="eastAsia" w:ascii="宋体" w:hAnsi="宋体" w:cs="宋体"/>
                <w:b/>
                <w:bCs/>
                <w:color w:val="000000"/>
              </w:rPr>
              <w:t>-</w:t>
            </w:r>
            <w:r>
              <w:rPr>
                <w:rFonts w:hint="eastAsia"/>
                <w:b/>
                <w:bCs/>
                <w:color w:val="000000"/>
              </w:rPr>
              <w:t>2</w:t>
            </w:r>
            <w:r>
              <w:rPr>
                <w:rFonts w:hint="eastAsia" w:ascii="宋体" w:hAnsi="宋体" w:cs="宋体"/>
                <w:b/>
                <w:bCs/>
                <w:color w:val="000000"/>
              </w:rPr>
              <w:t xml:space="preserve">  水平衡图  单位：</w:t>
            </w:r>
            <w:r>
              <w:rPr>
                <w:b/>
                <w:bCs/>
              </w:rPr>
              <w:t>m</w:t>
            </w:r>
            <w:r>
              <w:rPr>
                <w:b/>
                <w:bCs/>
                <w:vertAlign w:val="superscript"/>
              </w:rPr>
              <w:t>3</w:t>
            </w:r>
            <w:r>
              <w:rPr>
                <w:b/>
                <w:bCs/>
              </w:rPr>
              <w:t>/</w:t>
            </w:r>
            <w:r>
              <w:rPr>
                <w:rFonts w:hint="eastAsia"/>
                <w:b/>
                <w:bCs/>
              </w:rPr>
              <w:t>a</w:t>
            </w:r>
          </w:p>
          <w:p w14:paraId="4A9E7977">
            <w:pPr>
              <w:keepNext/>
              <w:keepLines/>
              <w:widowControl/>
              <w:adjustRightInd w:val="0"/>
              <w:snapToGrid w:val="0"/>
              <w:spacing w:line="360" w:lineRule="auto"/>
              <w:rPr>
                <w:rFonts w:hint="eastAsia" w:ascii="宋体" w:hAnsi="宋体" w:cs="宋体"/>
                <w:b/>
                <w:bCs/>
                <w:color w:val="000000"/>
              </w:rPr>
            </w:pPr>
            <w:r>
              <w:rPr>
                <w:rFonts w:hint="eastAsia" w:ascii="宋体" w:hAnsi="宋体" w:cs="宋体"/>
                <w:b/>
                <w:bCs/>
                <w:color w:val="000000"/>
              </w:rPr>
              <w:t>八、厂区平面布置</w:t>
            </w:r>
          </w:p>
          <w:p w14:paraId="3CA6AC89">
            <w:pPr>
              <w:kinsoku w:val="0"/>
              <w:wordWrap w:val="0"/>
              <w:autoSpaceDE w:val="0"/>
              <w:autoSpaceDN w:val="0"/>
              <w:adjustRightInd w:val="0"/>
              <w:snapToGrid w:val="0"/>
              <w:spacing w:line="360" w:lineRule="auto"/>
              <w:ind w:firstLine="480" w:firstLineChars="200"/>
            </w:pPr>
            <w:r>
              <w:rPr>
                <w:rFonts w:hint="eastAsia"/>
              </w:rPr>
              <w:t>本项目位于</w:t>
            </w:r>
            <w:r>
              <w:rPr>
                <w:kern w:val="21"/>
              </w:rPr>
              <w:t>湖南省益阳市赫山区龙岭产业开发区新材料产业园朝阳路粤浙城科技示范基地</w:t>
            </w:r>
            <w:r>
              <w:rPr>
                <w:rFonts w:hint="eastAsia"/>
                <w:kern w:val="21"/>
              </w:rPr>
              <w:t>8栋</w:t>
            </w:r>
            <w:r>
              <w:rPr>
                <w:rFonts w:hint="eastAsia"/>
              </w:rPr>
              <w:t>，厂区内东北侧布设办公室；厂区西侧从北至南依次布设钢结构加焊区、钢结构生产二车间、钢结构喷漆房、钢结构成品堆放区；厂区中部从北至南依次布设钢结构制作区、钢结构生产一车间、钢结构成型区；厂区东侧布设网架生产车间；环保设施布设于车间西侧外。平面布局功能分区明确、流线清晰，各环节互不干扰，保证了项目流水线正常运行。</w:t>
            </w:r>
          </w:p>
        </w:tc>
      </w:tr>
      <w:tr w14:paraId="4AE0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9" w:type="dxa"/>
            <w:vAlign w:val="center"/>
          </w:tcPr>
          <w:p w14:paraId="6C4F66A6">
            <w:pPr>
              <w:jc w:val="center"/>
              <w:rPr>
                <w:rFonts w:hint="eastAsia" w:ascii="宋体" w:hAnsi="宋体" w:cs="宋体"/>
                <w:snapToGrid w:val="0"/>
                <w:color w:val="000000"/>
              </w:rPr>
            </w:pPr>
            <w:r>
              <w:rPr>
                <w:rFonts w:hint="eastAsia" w:ascii="宋体" w:hAnsi="宋体" w:cs="宋体"/>
                <w:snapToGrid w:val="0"/>
                <w:color w:val="000000"/>
              </w:rPr>
              <w:t>工艺流程和产污环节</w:t>
            </w:r>
          </w:p>
        </w:tc>
        <w:tc>
          <w:tcPr>
            <w:tcW w:w="8093" w:type="dxa"/>
          </w:tcPr>
          <w:p w14:paraId="3D21E6DD">
            <w:pPr>
              <w:kinsoku w:val="0"/>
              <w:wordWrap w:val="0"/>
              <w:autoSpaceDE w:val="0"/>
              <w:autoSpaceDN w:val="0"/>
              <w:adjustRightInd w:val="0"/>
              <w:snapToGrid w:val="0"/>
              <w:spacing w:line="360" w:lineRule="auto"/>
              <w:rPr>
                <w:rFonts w:hint="eastAsia" w:ascii="宋体" w:hAnsi="宋体" w:cs="宋体"/>
                <w:b/>
                <w:bCs/>
                <w:color w:val="000000"/>
              </w:rPr>
            </w:pPr>
            <w:r>
              <w:rPr>
                <w:rFonts w:hint="eastAsia" w:ascii="宋体" w:hAnsi="宋体" w:cs="宋体"/>
                <w:b/>
                <w:bCs/>
                <w:color w:val="000000"/>
              </w:rPr>
              <w:t>一、工艺流程及产污节点图</w:t>
            </w:r>
          </w:p>
          <w:p w14:paraId="58A2902A">
            <w:pPr>
              <w:pStyle w:val="22"/>
              <w:adjustRightInd w:val="0"/>
              <w:snapToGrid w:val="0"/>
              <w:spacing w:after="0" w:line="360" w:lineRule="auto"/>
              <w:ind w:left="0" w:leftChars="0" w:firstLine="0"/>
              <w:rPr>
                <w:b/>
                <w:bCs/>
                <w:sz w:val="24"/>
              </w:rPr>
            </w:pPr>
            <w:r>
              <w:rPr>
                <w:rFonts w:hint="eastAsia"/>
                <w:b/>
                <w:bCs/>
                <w:sz w:val="24"/>
              </w:rPr>
              <w:t>1、钢结构产品生产工艺流程</w:t>
            </w:r>
          </w:p>
          <w:p w14:paraId="6F8179F7">
            <w:pPr>
              <w:pStyle w:val="22"/>
              <w:adjustRightInd w:val="0"/>
              <w:snapToGrid w:val="0"/>
              <w:spacing w:after="0" w:line="360" w:lineRule="auto"/>
              <w:ind w:left="0" w:leftChars="0" w:firstLine="480" w:firstLineChars="200"/>
              <w:rPr>
                <w:b/>
                <w:bCs/>
              </w:rPr>
            </w:pPr>
            <w:r>
              <w:rPr>
                <w:rFonts w:hint="eastAsia"/>
                <w:sz w:val="24"/>
              </w:rPr>
              <w:t>具体工艺流程如下：</w:t>
            </w:r>
          </w:p>
          <w:p w14:paraId="5530E959">
            <w:pPr>
              <w:pStyle w:val="22"/>
              <w:kinsoku w:val="0"/>
              <w:wordWrap w:val="0"/>
              <w:adjustRightInd w:val="0"/>
              <w:snapToGrid w:val="0"/>
              <w:spacing w:after="0" w:line="360" w:lineRule="auto"/>
              <w:ind w:left="0" w:leftChars="0" w:firstLine="0"/>
              <w:jc w:val="center"/>
              <w:rPr>
                <w:b/>
                <w:bCs/>
                <w:sz w:val="24"/>
              </w:rPr>
            </w:pPr>
            <w:r>
              <w:rPr>
                <w:b/>
                <w:bCs/>
                <w:sz w:val="24"/>
              </w:rPr>
              <w:drawing>
                <wp:inline distT="0" distB="0" distL="0" distR="0">
                  <wp:extent cx="4794250" cy="1428750"/>
                  <wp:effectExtent l="0" t="0" r="6350" b="0"/>
                  <wp:docPr id="11791345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34565" name="图片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97247" cy="1429471"/>
                          </a:xfrm>
                          <a:prstGeom prst="rect">
                            <a:avLst/>
                          </a:prstGeom>
                        </pic:spPr>
                      </pic:pic>
                    </a:graphicData>
                  </a:graphic>
                </wp:inline>
              </w:drawing>
            </w:r>
          </w:p>
          <w:p w14:paraId="5074D578">
            <w:pPr>
              <w:pStyle w:val="22"/>
              <w:kinsoku w:val="0"/>
              <w:wordWrap w:val="0"/>
              <w:adjustRightInd w:val="0"/>
              <w:snapToGrid w:val="0"/>
              <w:spacing w:after="0" w:line="360" w:lineRule="auto"/>
              <w:ind w:left="0" w:leftChars="0" w:firstLine="0"/>
              <w:jc w:val="center"/>
              <w:rPr>
                <w:b/>
                <w:bCs/>
                <w:sz w:val="24"/>
              </w:rPr>
            </w:pPr>
            <w:r>
              <w:rPr>
                <w:rFonts w:hint="eastAsia"/>
                <w:b/>
                <w:bCs/>
                <w:sz w:val="24"/>
              </w:rPr>
              <w:t>图2-3  生产工艺流程及产污节点图</w:t>
            </w:r>
          </w:p>
          <w:p w14:paraId="2D2E4A24">
            <w:pPr>
              <w:kinsoku w:val="0"/>
              <w:wordWrap w:val="0"/>
              <w:adjustRightInd w:val="0"/>
              <w:snapToGrid w:val="0"/>
              <w:spacing w:line="360" w:lineRule="auto"/>
              <w:ind w:firstLine="480" w:firstLineChars="200"/>
              <w:rPr>
                <w:kern w:val="0"/>
              </w:rPr>
            </w:pPr>
            <w:r>
              <w:rPr>
                <w:rFonts w:hint="eastAsia"/>
                <w:kern w:val="0"/>
              </w:rPr>
              <w:t>工艺流程简述：</w:t>
            </w:r>
          </w:p>
          <w:p w14:paraId="63DF0FFB">
            <w:pPr>
              <w:kinsoku w:val="0"/>
              <w:wordWrap w:val="0"/>
              <w:adjustRightInd w:val="0"/>
              <w:snapToGrid w:val="0"/>
              <w:spacing w:line="360" w:lineRule="auto"/>
              <w:ind w:firstLine="480" w:firstLineChars="200"/>
              <w:rPr>
                <w:kern w:val="0"/>
              </w:rPr>
            </w:pPr>
            <w:r>
              <w:rPr>
                <w:rFonts w:hint="eastAsia"/>
                <w:kern w:val="0"/>
              </w:rPr>
              <w:t>切割：原料进厂后需进行切割，使用数控直条切割机或激光切割机对钢材进行切割。该工序产生的污染物主要为切割烟尘、切割边角料及噪声；</w:t>
            </w:r>
          </w:p>
          <w:p w14:paraId="7F750644">
            <w:pPr>
              <w:kinsoku w:val="0"/>
              <w:wordWrap w:val="0"/>
              <w:adjustRightInd w:val="0"/>
              <w:snapToGrid w:val="0"/>
              <w:spacing w:line="360" w:lineRule="auto"/>
              <w:ind w:firstLine="480" w:firstLineChars="200"/>
              <w:rPr>
                <w:kern w:val="0"/>
              </w:rPr>
            </w:pPr>
            <w:r>
              <w:rPr>
                <w:rFonts w:hint="eastAsia"/>
                <w:kern w:val="0"/>
              </w:rPr>
              <w:t>组装：将切割好的原材料进行组装；</w:t>
            </w:r>
          </w:p>
          <w:p w14:paraId="477E6918">
            <w:pPr>
              <w:kinsoku w:val="0"/>
              <w:wordWrap w:val="0"/>
              <w:adjustRightInd w:val="0"/>
              <w:snapToGrid w:val="0"/>
              <w:spacing w:line="360" w:lineRule="auto"/>
              <w:ind w:firstLine="480" w:firstLineChars="200"/>
              <w:rPr>
                <w:kern w:val="0"/>
              </w:rPr>
            </w:pPr>
            <w:r>
              <w:rPr>
                <w:rFonts w:hint="eastAsia"/>
                <w:kern w:val="0"/>
              </w:rPr>
              <w:t>焊接：将组装好的钢结构立柱进行焊接，焊接采用埋弧焊和手工焊。该工序产生的污染物主要为焊接烟尘、焊渣及噪声；</w:t>
            </w:r>
          </w:p>
          <w:p w14:paraId="5792AA70">
            <w:pPr>
              <w:kinsoku w:val="0"/>
              <w:wordWrap w:val="0"/>
              <w:adjustRightInd w:val="0"/>
              <w:snapToGrid w:val="0"/>
              <w:spacing w:line="360" w:lineRule="auto"/>
              <w:ind w:firstLine="480" w:firstLineChars="200"/>
              <w:rPr>
                <w:kern w:val="0"/>
              </w:rPr>
            </w:pPr>
            <w:r>
              <w:rPr>
                <w:rFonts w:hint="eastAsia"/>
                <w:kern w:val="0"/>
              </w:rPr>
              <w:t>抛丸：焊接好的半成品需进行抛丸打磨。该工序产生的污染物主要为抛丸粉尘和噪声；</w:t>
            </w:r>
          </w:p>
          <w:p w14:paraId="30A17A08">
            <w:pPr>
              <w:kinsoku w:val="0"/>
              <w:wordWrap w:val="0"/>
              <w:adjustRightInd w:val="0"/>
              <w:snapToGrid w:val="0"/>
              <w:spacing w:line="360" w:lineRule="auto"/>
              <w:ind w:firstLine="480" w:firstLineChars="200"/>
              <w:rPr>
                <w:kern w:val="0"/>
              </w:rPr>
            </w:pPr>
            <w:r>
              <w:rPr>
                <w:rFonts w:hint="eastAsia"/>
                <w:kern w:val="0"/>
              </w:rPr>
              <w:t>喷漆：半成品抛丸打磨后需进行喷漆，企业采用水性漆进行喷涂，喷涂完成后在喷涂区自然晾干。</w:t>
            </w:r>
          </w:p>
          <w:p w14:paraId="3DD35B99">
            <w:pPr>
              <w:pStyle w:val="18"/>
              <w:adjustRightInd w:val="0"/>
              <w:snapToGrid w:val="0"/>
              <w:spacing w:line="360" w:lineRule="auto"/>
              <w:ind w:left="0" w:leftChars="0"/>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2、项目主要污染工序</w:t>
            </w:r>
          </w:p>
          <w:p w14:paraId="706DDC7D">
            <w:pPr>
              <w:pStyle w:val="37"/>
              <w:adjustRightInd w:val="0"/>
              <w:snapToGrid w:val="0"/>
              <w:ind w:left="0" w:firstLine="0"/>
              <w:jc w:val="center"/>
              <w:rPr>
                <w:rFonts w:ascii="Times New Roman" w:hAnsi="Times New Roman" w:cs="Times New Roman"/>
                <w:b/>
                <w:bCs/>
                <w:snapToGrid w:val="0"/>
                <w:color w:val="000000" w:themeColor="text1"/>
                <w:kern w:val="0"/>
                <w:szCs w:val="21"/>
                <w:lang w:val="en-US" w:bidi="ar-SA"/>
                <w14:textFill>
                  <w14:solidFill>
                    <w14:schemeClr w14:val="tx1"/>
                  </w14:solidFill>
                </w14:textFill>
              </w:rPr>
            </w:pPr>
            <w:r>
              <w:rPr>
                <w:rFonts w:ascii="Times New Roman" w:hAnsi="Times New Roman" w:cs="Times New Roman"/>
                <w:b/>
                <w:bCs/>
                <w:snapToGrid w:val="0"/>
                <w:color w:val="000000" w:themeColor="text1"/>
                <w:kern w:val="0"/>
                <w:szCs w:val="21"/>
                <w:lang w:val="en-US" w:bidi="ar-SA"/>
                <w14:textFill>
                  <w14:solidFill>
                    <w14:schemeClr w14:val="tx1"/>
                  </w14:solidFill>
                </w14:textFill>
              </w:rPr>
              <w:t>表2-</w:t>
            </w:r>
            <w:r>
              <w:rPr>
                <w:rFonts w:hint="eastAsia" w:ascii="Times New Roman" w:hAnsi="Times New Roman" w:cs="Times New Roman"/>
                <w:b/>
                <w:bCs/>
                <w:snapToGrid w:val="0"/>
                <w:color w:val="000000" w:themeColor="text1"/>
                <w:kern w:val="0"/>
                <w:szCs w:val="21"/>
                <w:lang w:val="en-US" w:bidi="ar-SA"/>
                <w14:textFill>
                  <w14:solidFill>
                    <w14:schemeClr w14:val="tx1"/>
                  </w14:solidFill>
                </w14:textFill>
              </w:rPr>
              <w:t xml:space="preserve">7  </w:t>
            </w:r>
            <w:r>
              <w:rPr>
                <w:rFonts w:ascii="Times New Roman" w:hAnsi="Times New Roman" w:cs="Times New Roman"/>
                <w:b/>
                <w:bCs/>
                <w:snapToGrid w:val="0"/>
                <w:color w:val="000000" w:themeColor="text1"/>
                <w:kern w:val="0"/>
                <w:szCs w:val="21"/>
                <w:lang w:val="en-US" w:bidi="ar-SA"/>
                <w14:textFill>
                  <w14:solidFill>
                    <w14:schemeClr w14:val="tx1"/>
                  </w14:solidFill>
                </w14:textFill>
              </w:rPr>
              <w:t>生产工艺中主要污染源及产污情况一览表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2649"/>
              <w:gridCol w:w="1957"/>
              <w:gridCol w:w="1960"/>
            </w:tblGrid>
            <w:tr w14:paraId="31924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tcBorders>
                    <w:tl2br w:val="nil"/>
                    <w:tr2bl w:val="nil"/>
                  </w:tcBorders>
                  <w:vAlign w:val="center"/>
                </w:tcPr>
                <w:p w14:paraId="41B0946E">
                  <w:pPr>
                    <w:pStyle w:val="37"/>
                    <w:ind w:left="0" w:firstLine="0"/>
                    <w:jc w:val="center"/>
                    <w:rPr>
                      <w:rFonts w:ascii="Times New Roman" w:hAnsi="Times New Roman" w:cs="Times New Roman"/>
                      <w:b/>
                      <w:bCs/>
                      <w:snapToGrid w:val="0"/>
                      <w:color w:val="000000" w:themeColor="text1"/>
                      <w:kern w:val="0"/>
                      <w:sz w:val="21"/>
                      <w:szCs w:val="21"/>
                      <w:lang w:val="en-US" w:bidi="ar-SA"/>
                      <w14:textFill>
                        <w14:solidFill>
                          <w14:schemeClr w14:val="tx1"/>
                        </w14:solidFill>
                      </w14:textFill>
                    </w:rPr>
                  </w:pPr>
                  <w:r>
                    <w:rPr>
                      <w:rFonts w:ascii="Times New Roman" w:hAnsi="Times New Roman" w:cs="Times New Roman"/>
                      <w:b/>
                      <w:bCs/>
                      <w:snapToGrid w:val="0"/>
                      <w:color w:val="000000" w:themeColor="text1"/>
                      <w:kern w:val="0"/>
                      <w:sz w:val="21"/>
                      <w:szCs w:val="21"/>
                      <w:lang w:val="en-US" w:bidi="ar-SA"/>
                      <w14:textFill>
                        <w14:solidFill>
                          <w14:schemeClr w14:val="tx1"/>
                        </w14:solidFill>
                      </w14:textFill>
                    </w:rPr>
                    <w:t>类别</w:t>
                  </w:r>
                </w:p>
              </w:tc>
              <w:tc>
                <w:tcPr>
                  <w:tcW w:w="1694" w:type="pct"/>
                  <w:tcBorders>
                    <w:tl2br w:val="nil"/>
                    <w:tr2bl w:val="nil"/>
                  </w:tcBorders>
                  <w:vAlign w:val="center"/>
                </w:tcPr>
                <w:p w14:paraId="2E3B24E4">
                  <w:pPr>
                    <w:pStyle w:val="37"/>
                    <w:ind w:left="0" w:firstLine="0"/>
                    <w:jc w:val="center"/>
                    <w:rPr>
                      <w:rFonts w:ascii="Times New Roman" w:hAnsi="Times New Roman" w:cs="Times New Roman"/>
                      <w:b/>
                      <w:bCs/>
                      <w:snapToGrid w:val="0"/>
                      <w:color w:val="000000" w:themeColor="text1"/>
                      <w:kern w:val="0"/>
                      <w:sz w:val="21"/>
                      <w:szCs w:val="21"/>
                      <w:lang w:val="en-US" w:bidi="ar-SA"/>
                      <w14:textFill>
                        <w14:solidFill>
                          <w14:schemeClr w14:val="tx1"/>
                        </w14:solidFill>
                      </w14:textFill>
                    </w:rPr>
                  </w:pPr>
                  <w:r>
                    <w:rPr>
                      <w:rFonts w:ascii="Times New Roman" w:hAnsi="Times New Roman" w:cs="Times New Roman"/>
                      <w:b/>
                      <w:bCs/>
                      <w:snapToGrid w:val="0"/>
                      <w:color w:val="000000" w:themeColor="text1"/>
                      <w:kern w:val="0"/>
                      <w:sz w:val="21"/>
                      <w:szCs w:val="21"/>
                      <w:lang w:val="en-US" w:bidi="ar-SA"/>
                      <w14:textFill>
                        <w14:solidFill>
                          <w14:schemeClr w14:val="tx1"/>
                        </w14:solidFill>
                      </w14:textFill>
                    </w:rPr>
                    <w:t>污染源</w:t>
                  </w:r>
                </w:p>
              </w:tc>
              <w:tc>
                <w:tcPr>
                  <w:tcW w:w="1251" w:type="pct"/>
                  <w:tcBorders>
                    <w:tl2br w:val="nil"/>
                    <w:tr2bl w:val="nil"/>
                  </w:tcBorders>
                  <w:vAlign w:val="center"/>
                </w:tcPr>
                <w:p w14:paraId="2E030C01">
                  <w:pPr>
                    <w:pStyle w:val="37"/>
                    <w:ind w:left="0" w:firstLine="0"/>
                    <w:jc w:val="center"/>
                    <w:rPr>
                      <w:rFonts w:ascii="Times New Roman" w:hAnsi="Times New Roman" w:cs="Times New Roman"/>
                      <w:b/>
                      <w:bCs/>
                      <w:snapToGrid w:val="0"/>
                      <w:color w:val="000000" w:themeColor="text1"/>
                      <w:kern w:val="0"/>
                      <w:sz w:val="21"/>
                      <w:szCs w:val="21"/>
                      <w:lang w:val="en-US" w:bidi="ar-SA"/>
                      <w14:textFill>
                        <w14:solidFill>
                          <w14:schemeClr w14:val="tx1"/>
                        </w14:solidFill>
                      </w14:textFill>
                    </w:rPr>
                  </w:pPr>
                  <w:r>
                    <w:rPr>
                      <w:rFonts w:ascii="Times New Roman" w:hAnsi="Times New Roman" w:cs="Times New Roman"/>
                      <w:b/>
                      <w:bCs/>
                      <w:snapToGrid w:val="0"/>
                      <w:color w:val="000000" w:themeColor="text1"/>
                      <w:kern w:val="0"/>
                      <w:sz w:val="21"/>
                      <w:szCs w:val="21"/>
                      <w:lang w:val="en-US" w:bidi="ar-SA"/>
                      <w14:textFill>
                        <w14:solidFill>
                          <w14:schemeClr w14:val="tx1"/>
                        </w14:solidFill>
                      </w14:textFill>
                    </w:rPr>
                    <w:t>主要污染物</w:t>
                  </w:r>
                </w:p>
              </w:tc>
              <w:tc>
                <w:tcPr>
                  <w:tcW w:w="1253" w:type="pct"/>
                  <w:tcBorders>
                    <w:tl2br w:val="nil"/>
                    <w:tr2bl w:val="nil"/>
                  </w:tcBorders>
                  <w:vAlign w:val="center"/>
                </w:tcPr>
                <w:p w14:paraId="45F05FA6">
                  <w:pPr>
                    <w:pStyle w:val="37"/>
                    <w:ind w:left="0" w:firstLine="0"/>
                    <w:jc w:val="center"/>
                    <w:rPr>
                      <w:rFonts w:ascii="Times New Roman" w:hAnsi="Times New Roman" w:cs="Times New Roman"/>
                      <w:b/>
                      <w:bCs/>
                      <w:snapToGrid w:val="0"/>
                      <w:color w:val="000000" w:themeColor="text1"/>
                      <w:kern w:val="0"/>
                      <w:sz w:val="21"/>
                      <w:szCs w:val="21"/>
                      <w:lang w:val="en-US" w:bidi="ar-SA"/>
                      <w14:textFill>
                        <w14:solidFill>
                          <w14:schemeClr w14:val="tx1"/>
                        </w14:solidFill>
                      </w14:textFill>
                    </w:rPr>
                  </w:pPr>
                  <w:r>
                    <w:rPr>
                      <w:rFonts w:ascii="Times New Roman" w:hAnsi="Times New Roman" w:cs="Times New Roman"/>
                      <w:b/>
                      <w:bCs/>
                      <w:snapToGrid w:val="0"/>
                      <w:color w:val="000000" w:themeColor="text1"/>
                      <w:kern w:val="0"/>
                      <w:sz w:val="21"/>
                      <w:szCs w:val="21"/>
                      <w:lang w:val="en-US" w:bidi="ar-SA"/>
                      <w14:textFill>
                        <w14:solidFill>
                          <w14:schemeClr w14:val="tx1"/>
                        </w14:solidFill>
                      </w14:textFill>
                    </w:rPr>
                    <w:t>主要处置方式和去向</w:t>
                  </w:r>
                </w:p>
              </w:tc>
            </w:tr>
            <w:tr w14:paraId="3FF4E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restart"/>
                  <w:tcBorders>
                    <w:tl2br w:val="nil"/>
                    <w:tr2bl w:val="nil"/>
                  </w:tcBorders>
                  <w:vAlign w:val="center"/>
                </w:tcPr>
                <w:p w14:paraId="53125CAC">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snapToGrid w:val="0"/>
                      <w:color w:val="000000" w:themeColor="text1"/>
                      <w:kern w:val="0"/>
                      <w:sz w:val="21"/>
                      <w:szCs w:val="21"/>
                      <w:lang w:val="en-US" w:bidi="ar-SA"/>
                      <w14:textFill>
                        <w14:solidFill>
                          <w14:schemeClr w14:val="tx1"/>
                        </w14:solidFill>
                      </w14:textFill>
                    </w:rPr>
                    <w:t>废气</w:t>
                  </w:r>
                </w:p>
              </w:tc>
              <w:tc>
                <w:tcPr>
                  <w:tcW w:w="1694" w:type="pct"/>
                  <w:tcBorders>
                    <w:tl2br w:val="nil"/>
                    <w:tr2bl w:val="nil"/>
                  </w:tcBorders>
                  <w:vAlign w:val="center"/>
                </w:tcPr>
                <w:p w14:paraId="027A11F2">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下料和焊接工序</w:t>
                  </w:r>
                </w:p>
              </w:tc>
              <w:tc>
                <w:tcPr>
                  <w:tcW w:w="1251" w:type="pct"/>
                  <w:tcBorders>
                    <w:tl2br w:val="nil"/>
                    <w:tr2bl w:val="nil"/>
                  </w:tcBorders>
                  <w:vAlign w:val="center"/>
                </w:tcPr>
                <w:p w14:paraId="200F3421">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颗粒物</w:t>
                  </w:r>
                </w:p>
              </w:tc>
              <w:tc>
                <w:tcPr>
                  <w:tcW w:w="1253" w:type="pct"/>
                  <w:tcBorders>
                    <w:tl2br w:val="nil"/>
                    <w:tr2bl w:val="nil"/>
                  </w:tcBorders>
                  <w:vAlign w:val="center"/>
                </w:tcPr>
                <w:p w14:paraId="024F86D9">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移动式布袋除尘</w:t>
                  </w:r>
                </w:p>
              </w:tc>
            </w:tr>
            <w:tr w14:paraId="376B4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315F546F">
                  <w:pPr>
                    <w:pStyle w:val="37"/>
                    <w:ind w:left="0" w:firstLine="0"/>
                    <w:jc w:val="center"/>
                    <w:rPr>
                      <w:rFonts w:hint="eastAsia"/>
                    </w:rPr>
                  </w:pPr>
                </w:p>
              </w:tc>
              <w:tc>
                <w:tcPr>
                  <w:tcW w:w="1694" w:type="pct"/>
                  <w:tcBorders>
                    <w:tl2br w:val="nil"/>
                    <w:tr2bl w:val="nil"/>
                  </w:tcBorders>
                  <w:vAlign w:val="center"/>
                </w:tcPr>
                <w:p w14:paraId="3136FF44">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抛丸工序</w:t>
                  </w:r>
                </w:p>
              </w:tc>
              <w:tc>
                <w:tcPr>
                  <w:tcW w:w="1251" w:type="pct"/>
                  <w:tcBorders>
                    <w:tl2br w:val="nil"/>
                    <w:tr2bl w:val="nil"/>
                  </w:tcBorders>
                  <w:vAlign w:val="center"/>
                </w:tcPr>
                <w:p w14:paraId="25EB9E7C">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颗粒物</w:t>
                  </w:r>
                </w:p>
              </w:tc>
              <w:tc>
                <w:tcPr>
                  <w:tcW w:w="1253" w:type="pct"/>
                  <w:tcBorders>
                    <w:tl2br w:val="nil"/>
                    <w:tr2bl w:val="nil"/>
                  </w:tcBorders>
                  <w:vAlign w:val="center"/>
                </w:tcPr>
                <w:p w14:paraId="5B2BB929">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全封闭、设施自带除尘设施</w:t>
                  </w:r>
                </w:p>
              </w:tc>
            </w:tr>
            <w:tr w14:paraId="4A048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2A023E90">
                  <w:pPr>
                    <w:pStyle w:val="37"/>
                    <w:ind w:left="0" w:firstLine="0"/>
                    <w:jc w:val="center"/>
                    <w:rPr>
                      <w:rFonts w:hint="eastAsia"/>
                    </w:rPr>
                  </w:pPr>
                </w:p>
              </w:tc>
              <w:tc>
                <w:tcPr>
                  <w:tcW w:w="1694" w:type="pct"/>
                  <w:tcBorders>
                    <w:tl2br w:val="nil"/>
                    <w:tr2bl w:val="nil"/>
                  </w:tcBorders>
                  <w:vAlign w:val="center"/>
                </w:tcPr>
                <w:p w14:paraId="3326D103">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喷漆、晾干工序</w:t>
                  </w:r>
                </w:p>
              </w:tc>
              <w:tc>
                <w:tcPr>
                  <w:tcW w:w="1251" w:type="pct"/>
                  <w:tcBorders>
                    <w:tl2br w:val="nil"/>
                    <w:tr2bl w:val="nil"/>
                  </w:tcBorders>
                  <w:vAlign w:val="center"/>
                </w:tcPr>
                <w:p w14:paraId="732D2A7E">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颗粒物、NMHC</w:t>
                  </w:r>
                </w:p>
              </w:tc>
              <w:tc>
                <w:tcPr>
                  <w:tcW w:w="1253" w:type="pct"/>
                  <w:tcBorders>
                    <w:tl2br w:val="nil"/>
                    <w:tr2bl w:val="nil"/>
                  </w:tcBorders>
                  <w:vAlign w:val="center"/>
                </w:tcPr>
                <w:p w14:paraId="26C40BC7">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bidi="ar-SA"/>
                      <w14:textFill>
                        <w14:solidFill>
                          <w14:schemeClr w14:val="tx1"/>
                        </w14:solidFill>
                      </w14:textFill>
                    </w:rPr>
                    <w:t>干式过滤棉+三级活性炭</w:t>
                  </w:r>
                </w:p>
              </w:tc>
            </w:tr>
            <w:tr w14:paraId="6FE93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tcBorders>
                    <w:tl2br w:val="nil"/>
                    <w:tr2bl w:val="nil"/>
                  </w:tcBorders>
                  <w:vAlign w:val="center"/>
                </w:tcPr>
                <w:p w14:paraId="2B12C37B">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snapToGrid w:val="0"/>
                      <w:color w:val="000000" w:themeColor="text1"/>
                      <w:kern w:val="0"/>
                      <w:sz w:val="21"/>
                      <w:szCs w:val="21"/>
                      <w:lang w:val="en-US" w:bidi="ar-SA"/>
                      <w14:textFill>
                        <w14:solidFill>
                          <w14:schemeClr w14:val="tx1"/>
                        </w14:solidFill>
                      </w14:textFill>
                    </w:rPr>
                    <w:t>废水</w:t>
                  </w:r>
                </w:p>
              </w:tc>
              <w:tc>
                <w:tcPr>
                  <w:tcW w:w="1694" w:type="pct"/>
                  <w:tcBorders>
                    <w:tl2br w:val="nil"/>
                    <w:tr2bl w:val="nil"/>
                  </w:tcBorders>
                  <w:vAlign w:val="center"/>
                </w:tcPr>
                <w:p w14:paraId="09E20DFE">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snapToGrid w:val="0"/>
                      <w:color w:val="000000" w:themeColor="text1"/>
                      <w:kern w:val="0"/>
                      <w:sz w:val="21"/>
                      <w:szCs w:val="21"/>
                      <w:lang w:val="en-US" w:bidi="ar-SA"/>
                      <w14:textFill>
                        <w14:solidFill>
                          <w14:schemeClr w14:val="tx1"/>
                        </w14:solidFill>
                      </w14:textFill>
                    </w:rPr>
                    <w:t>生活污水</w:t>
                  </w:r>
                </w:p>
              </w:tc>
              <w:tc>
                <w:tcPr>
                  <w:tcW w:w="1251" w:type="pct"/>
                  <w:tcBorders>
                    <w:tl2br w:val="nil"/>
                    <w:tr2bl w:val="nil"/>
                  </w:tcBorders>
                  <w:vAlign w:val="center"/>
                </w:tcPr>
                <w:p w14:paraId="403F879D">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bCs/>
                      <w:color w:val="000000" w:themeColor="text1"/>
                      <w:spacing w:val="-6"/>
                      <w:sz w:val="21"/>
                      <w:szCs w:val="21"/>
                      <w:lang w:val="en-US"/>
                      <w14:textFill>
                        <w14:solidFill>
                          <w14:schemeClr w14:val="tx1"/>
                        </w14:solidFill>
                      </w14:textFill>
                    </w:rPr>
                    <w:t>pH</w:t>
                  </w:r>
                  <w:r>
                    <w:rPr>
                      <w:rFonts w:ascii="Times New Roman" w:hAnsi="Times New Roman" w:cs="Times New Roman"/>
                      <w:bCs/>
                      <w:color w:val="000000" w:themeColor="text1"/>
                      <w:spacing w:val="-6"/>
                      <w:sz w:val="21"/>
                      <w:szCs w:val="21"/>
                      <w14:textFill>
                        <w14:solidFill>
                          <w14:schemeClr w14:val="tx1"/>
                        </w14:solidFill>
                      </w14:textFill>
                    </w:rPr>
                    <w:t>、</w:t>
                  </w:r>
                  <w:r>
                    <w:rPr>
                      <w:rFonts w:ascii="Times New Roman" w:hAnsi="Times New Roman" w:cs="Times New Roman"/>
                      <w:bCs/>
                      <w:color w:val="000000" w:themeColor="text1"/>
                      <w:spacing w:val="-6"/>
                      <w:sz w:val="21"/>
                      <w:szCs w:val="21"/>
                      <w:lang w:val="en-US"/>
                      <w14:textFill>
                        <w14:solidFill>
                          <w14:schemeClr w14:val="tx1"/>
                        </w14:solidFill>
                      </w14:textFill>
                    </w:rPr>
                    <w:t>COD</w:t>
                  </w:r>
                  <w:r>
                    <w:rPr>
                      <w:rFonts w:ascii="Times New Roman" w:hAnsi="Times New Roman" w:cs="Times New Roman"/>
                      <w:bCs/>
                      <w:color w:val="000000" w:themeColor="text1"/>
                      <w:spacing w:val="-6"/>
                      <w:sz w:val="21"/>
                      <w:szCs w:val="21"/>
                      <w14:textFill>
                        <w14:solidFill>
                          <w14:schemeClr w14:val="tx1"/>
                        </w14:solidFill>
                      </w14:textFill>
                    </w:rPr>
                    <w:t>、</w:t>
                  </w:r>
                  <w:r>
                    <w:rPr>
                      <w:rFonts w:ascii="Times New Roman" w:hAnsi="Times New Roman" w:cs="Times New Roman"/>
                      <w:bCs/>
                      <w:color w:val="000000" w:themeColor="text1"/>
                      <w:spacing w:val="-6"/>
                      <w:sz w:val="21"/>
                      <w:szCs w:val="21"/>
                      <w:lang w:val="en-US"/>
                      <w14:textFill>
                        <w14:solidFill>
                          <w14:schemeClr w14:val="tx1"/>
                        </w14:solidFill>
                      </w14:textFill>
                    </w:rPr>
                    <w:t>BOD</w:t>
                  </w:r>
                  <w:r>
                    <w:rPr>
                      <w:rFonts w:ascii="Times New Roman" w:hAnsi="Times New Roman" w:cs="Times New Roman"/>
                      <w:bCs/>
                      <w:color w:val="000000" w:themeColor="text1"/>
                      <w:spacing w:val="-6"/>
                      <w:sz w:val="21"/>
                      <w:szCs w:val="21"/>
                      <w:vertAlign w:val="subscript"/>
                      <w:lang w:val="en-US"/>
                      <w14:textFill>
                        <w14:solidFill>
                          <w14:schemeClr w14:val="tx1"/>
                        </w14:solidFill>
                      </w14:textFill>
                    </w:rPr>
                    <w:t>5</w:t>
                  </w:r>
                  <w:r>
                    <w:rPr>
                      <w:rFonts w:ascii="Times New Roman" w:hAnsi="Times New Roman" w:cs="Times New Roman"/>
                      <w:bCs/>
                      <w:color w:val="000000" w:themeColor="text1"/>
                      <w:spacing w:val="-6"/>
                      <w:sz w:val="21"/>
                      <w:szCs w:val="21"/>
                      <w14:textFill>
                        <w14:solidFill>
                          <w14:schemeClr w14:val="tx1"/>
                        </w14:solidFill>
                      </w14:textFill>
                    </w:rPr>
                    <w:t>、</w:t>
                  </w:r>
                  <w:r>
                    <w:rPr>
                      <w:rFonts w:ascii="Times New Roman" w:hAnsi="Times New Roman" w:cs="Times New Roman"/>
                      <w:bCs/>
                      <w:color w:val="000000" w:themeColor="text1"/>
                      <w:spacing w:val="-6"/>
                      <w:sz w:val="21"/>
                      <w:szCs w:val="21"/>
                      <w:lang w:val="en-US"/>
                      <w14:textFill>
                        <w14:solidFill>
                          <w14:schemeClr w14:val="tx1"/>
                        </w14:solidFill>
                      </w14:textFill>
                    </w:rPr>
                    <w:t>NH</w:t>
                  </w:r>
                  <w:r>
                    <w:rPr>
                      <w:rFonts w:ascii="Times New Roman" w:hAnsi="Times New Roman" w:cs="Times New Roman"/>
                      <w:bCs/>
                      <w:color w:val="000000" w:themeColor="text1"/>
                      <w:spacing w:val="-6"/>
                      <w:sz w:val="21"/>
                      <w:szCs w:val="21"/>
                      <w:vertAlign w:val="subscript"/>
                      <w:lang w:val="en-US"/>
                      <w14:textFill>
                        <w14:solidFill>
                          <w14:schemeClr w14:val="tx1"/>
                        </w14:solidFill>
                      </w14:textFill>
                    </w:rPr>
                    <w:t>3</w:t>
                  </w:r>
                  <w:r>
                    <w:rPr>
                      <w:rFonts w:ascii="Times New Roman" w:hAnsi="Times New Roman" w:cs="Times New Roman"/>
                      <w:bCs/>
                      <w:color w:val="000000" w:themeColor="text1"/>
                      <w:spacing w:val="-6"/>
                      <w:sz w:val="21"/>
                      <w:szCs w:val="21"/>
                      <w:lang w:val="en-US"/>
                      <w14:textFill>
                        <w14:solidFill>
                          <w14:schemeClr w14:val="tx1"/>
                        </w14:solidFill>
                      </w14:textFill>
                    </w:rPr>
                    <w:t>-N</w:t>
                  </w:r>
                </w:p>
              </w:tc>
              <w:tc>
                <w:tcPr>
                  <w:tcW w:w="1253" w:type="pct"/>
                  <w:tcBorders>
                    <w:tl2br w:val="nil"/>
                    <w:tr2bl w:val="nil"/>
                  </w:tcBorders>
                  <w:vAlign w:val="center"/>
                </w:tcPr>
                <w:p w14:paraId="604270AB">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bCs/>
                      <w:color w:val="000000" w:themeColor="text1"/>
                      <w:spacing w:val="-6"/>
                      <w:sz w:val="21"/>
                      <w:szCs w:val="21"/>
                      <w14:textFill>
                        <w14:solidFill>
                          <w14:schemeClr w14:val="tx1"/>
                        </w14:solidFill>
                      </w14:textFill>
                    </w:rPr>
                    <w:t>经</w:t>
                  </w:r>
                  <w:r>
                    <w:rPr>
                      <w:rFonts w:hint="eastAsia" w:ascii="Times New Roman" w:hAnsi="Times New Roman" w:cs="Times New Roman"/>
                      <w:bCs/>
                      <w:color w:val="000000" w:themeColor="text1"/>
                      <w:spacing w:val="-6"/>
                      <w:sz w:val="21"/>
                      <w:szCs w:val="21"/>
                      <w:lang w:val="en-US"/>
                      <w14:textFill>
                        <w14:solidFill>
                          <w14:schemeClr w14:val="tx1"/>
                        </w14:solidFill>
                      </w14:textFill>
                    </w:rPr>
                    <w:t>厂房已建</w:t>
                  </w:r>
                  <w:r>
                    <w:rPr>
                      <w:rFonts w:ascii="Times New Roman" w:hAnsi="Times New Roman" w:cs="Times New Roman"/>
                      <w:bCs/>
                      <w:color w:val="000000" w:themeColor="text1"/>
                      <w:spacing w:val="-6"/>
                      <w:sz w:val="21"/>
                      <w:szCs w:val="21"/>
                      <w14:textFill>
                        <w14:solidFill>
                          <w14:schemeClr w14:val="tx1"/>
                        </w14:solidFill>
                      </w14:textFill>
                    </w:rPr>
                    <w:t>化粪池处理后外排</w:t>
                  </w:r>
                  <w:r>
                    <w:rPr>
                      <w:rFonts w:hint="eastAsia" w:ascii="Times New Roman" w:hAnsi="Times New Roman" w:cs="Times New Roman"/>
                      <w:bCs/>
                      <w:color w:val="000000" w:themeColor="text1"/>
                      <w:spacing w:val="-6"/>
                      <w:sz w:val="21"/>
                      <w:szCs w:val="21"/>
                      <w:lang w:val="en-US"/>
                      <w14:textFill>
                        <w14:solidFill>
                          <w14:schemeClr w14:val="tx1"/>
                        </w14:solidFill>
                      </w14:textFill>
                    </w:rPr>
                    <w:t>衡龙新区污水处理厂处理达标后排入泉交河。</w:t>
                  </w:r>
                </w:p>
              </w:tc>
            </w:tr>
            <w:tr w14:paraId="5DD1E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tcBorders>
                    <w:tl2br w:val="nil"/>
                    <w:tr2bl w:val="nil"/>
                  </w:tcBorders>
                  <w:vAlign w:val="center"/>
                </w:tcPr>
                <w:p w14:paraId="615A18C0">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snapToGrid w:val="0"/>
                      <w:color w:val="000000" w:themeColor="text1"/>
                      <w:kern w:val="0"/>
                      <w:sz w:val="21"/>
                      <w:szCs w:val="21"/>
                      <w:lang w:val="en-US" w:bidi="ar-SA"/>
                      <w14:textFill>
                        <w14:solidFill>
                          <w14:schemeClr w14:val="tx1"/>
                        </w14:solidFill>
                      </w14:textFill>
                    </w:rPr>
                    <w:t>噪声</w:t>
                  </w:r>
                </w:p>
              </w:tc>
              <w:tc>
                <w:tcPr>
                  <w:tcW w:w="1694" w:type="pct"/>
                  <w:tcBorders>
                    <w:tl2br w:val="nil"/>
                    <w:tr2bl w:val="nil"/>
                  </w:tcBorders>
                  <w:vAlign w:val="center"/>
                </w:tcPr>
                <w:p w14:paraId="58746407">
                  <w:pPr>
                    <w:widowControl/>
                    <w:jc w:val="center"/>
                    <w:rPr>
                      <w:snapToGrid w:val="0"/>
                      <w:color w:val="000000" w:themeColor="text1"/>
                      <w:kern w:val="0"/>
                      <w:sz w:val="21"/>
                      <w:szCs w:val="21"/>
                      <w14:textFill>
                        <w14:solidFill>
                          <w14:schemeClr w14:val="tx1"/>
                        </w14:solidFill>
                      </w14:textFill>
                    </w:rPr>
                  </w:pPr>
                  <w:r>
                    <w:rPr>
                      <w:bCs/>
                      <w:color w:val="000000" w:themeColor="text1"/>
                      <w:spacing w:val="-6"/>
                      <w:sz w:val="21"/>
                      <w:szCs w:val="21"/>
                      <w14:textFill>
                        <w14:solidFill>
                          <w14:schemeClr w14:val="tx1"/>
                        </w14:solidFill>
                      </w14:textFill>
                    </w:rPr>
                    <w:t>各类机械设备</w:t>
                  </w:r>
                </w:p>
              </w:tc>
              <w:tc>
                <w:tcPr>
                  <w:tcW w:w="1251" w:type="pct"/>
                  <w:tcBorders>
                    <w:tl2br w:val="nil"/>
                    <w:tr2bl w:val="nil"/>
                  </w:tcBorders>
                  <w:vAlign w:val="center"/>
                </w:tcPr>
                <w:p w14:paraId="042E3810">
                  <w:pPr>
                    <w:widowControl/>
                    <w:jc w:val="center"/>
                    <w:rPr>
                      <w:snapToGrid w:val="0"/>
                      <w:color w:val="000000" w:themeColor="text1"/>
                      <w:kern w:val="0"/>
                      <w:sz w:val="21"/>
                      <w:szCs w:val="21"/>
                      <w14:textFill>
                        <w14:solidFill>
                          <w14:schemeClr w14:val="tx1"/>
                        </w14:solidFill>
                      </w14:textFill>
                    </w:rPr>
                  </w:pPr>
                  <w:r>
                    <w:rPr>
                      <w:bCs/>
                      <w:color w:val="000000" w:themeColor="text1"/>
                      <w:spacing w:val="-6"/>
                      <w:sz w:val="21"/>
                      <w:szCs w:val="21"/>
                      <w14:textFill>
                        <w14:solidFill>
                          <w14:schemeClr w14:val="tx1"/>
                        </w14:solidFill>
                      </w14:textFill>
                    </w:rPr>
                    <w:t>设备噪声</w:t>
                  </w:r>
                </w:p>
              </w:tc>
              <w:tc>
                <w:tcPr>
                  <w:tcW w:w="1253" w:type="pct"/>
                  <w:tcBorders>
                    <w:tl2br w:val="nil"/>
                    <w:tr2bl w:val="nil"/>
                  </w:tcBorders>
                  <w:vAlign w:val="center"/>
                </w:tcPr>
                <w:p w14:paraId="7C297747">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bCs/>
                      <w:color w:val="000000" w:themeColor="text1"/>
                      <w:spacing w:val="-6"/>
                      <w:sz w:val="21"/>
                      <w:szCs w:val="21"/>
                      <w14:textFill>
                        <w14:solidFill>
                          <w14:schemeClr w14:val="tx1"/>
                        </w14:solidFill>
                      </w14:textFill>
                    </w:rPr>
                    <w:t>减振、隔声</w:t>
                  </w:r>
                </w:p>
              </w:tc>
            </w:tr>
            <w:tr w14:paraId="4F1AF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restart"/>
                  <w:tcBorders>
                    <w:tl2br w:val="nil"/>
                    <w:tr2bl w:val="nil"/>
                  </w:tcBorders>
                  <w:vAlign w:val="center"/>
                </w:tcPr>
                <w:p w14:paraId="59393961">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r>
                    <w:rPr>
                      <w:rFonts w:ascii="Times New Roman" w:hAnsi="Times New Roman" w:cs="Times New Roman"/>
                      <w:snapToGrid w:val="0"/>
                      <w:color w:val="000000" w:themeColor="text1"/>
                      <w:kern w:val="0"/>
                      <w:sz w:val="21"/>
                      <w:szCs w:val="21"/>
                      <w:lang w:val="en-US" w:bidi="ar-SA"/>
                      <w14:textFill>
                        <w14:solidFill>
                          <w14:schemeClr w14:val="tx1"/>
                        </w14:solidFill>
                      </w14:textFill>
                    </w:rPr>
                    <w:t>固废</w:t>
                  </w:r>
                </w:p>
              </w:tc>
              <w:tc>
                <w:tcPr>
                  <w:tcW w:w="1694" w:type="pct"/>
                  <w:tcBorders>
                    <w:tl2br w:val="nil"/>
                    <w:tr2bl w:val="nil"/>
                  </w:tcBorders>
                  <w:vAlign w:val="center"/>
                </w:tcPr>
                <w:p w14:paraId="035B1203">
                  <w:pPr>
                    <w:pStyle w:val="31"/>
                    <w:rPr>
                      <w:color w:val="000000" w:themeColor="text1"/>
                      <w14:textFill>
                        <w14:solidFill>
                          <w14:schemeClr w14:val="tx1"/>
                        </w14:solidFill>
                      </w14:textFill>
                    </w:rPr>
                  </w:pPr>
                  <w:r>
                    <w:rPr>
                      <w:rFonts w:hint="eastAsia"/>
                      <w:color w:val="000000" w:themeColor="text1"/>
                      <w:kern w:val="2"/>
                      <w14:textFill>
                        <w14:solidFill>
                          <w14:schemeClr w14:val="tx1"/>
                        </w14:solidFill>
                      </w14:textFill>
                    </w:rPr>
                    <w:t>废钢材边角料</w:t>
                  </w:r>
                </w:p>
              </w:tc>
              <w:tc>
                <w:tcPr>
                  <w:tcW w:w="1251" w:type="pct"/>
                  <w:vMerge w:val="restart"/>
                  <w:tcBorders>
                    <w:tl2br w:val="nil"/>
                    <w:tr2bl w:val="nil"/>
                  </w:tcBorders>
                  <w:vAlign w:val="center"/>
                </w:tcPr>
                <w:p w14:paraId="57CEB369">
                  <w:pPr>
                    <w:widowControl/>
                    <w:jc w:val="center"/>
                    <w:rPr>
                      <w:snapToGrid w:val="0"/>
                      <w:color w:val="000000" w:themeColor="text1"/>
                      <w:kern w:val="0"/>
                      <w:sz w:val="21"/>
                      <w:szCs w:val="21"/>
                      <w14:textFill>
                        <w14:solidFill>
                          <w14:schemeClr w14:val="tx1"/>
                        </w14:solidFill>
                      </w14:textFill>
                    </w:rPr>
                  </w:pPr>
                  <w:r>
                    <w:rPr>
                      <w:bCs/>
                      <w:color w:val="000000" w:themeColor="text1"/>
                      <w:spacing w:val="-6"/>
                      <w:sz w:val="21"/>
                      <w:szCs w:val="21"/>
                      <w14:textFill>
                        <w14:solidFill>
                          <w14:schemeClr w14:val="tx1"/>
                        </w14:solidFill>
                      </w14:textFill>
                    </w:rPr>
                    <w:t>一般固废</w:t>
                  </w:r>
                </w:p>
              </w:tc>
              <w:tc>
                <w:tcPr>
                  <w:tcW w:w="1253" w:type="pct"/>
                  <w:vMerge w:val="restart"/>
                  <w:tcBorders>
                    <w:tl2br w:val="nil"/>
                    <w:tr2bl w:val="nil"/>
                  </w:tcBorders>
                  <w:vAlign w:val="center"/>
                </w:tcPr>
                <w:p w14:paraId="2FC5B76F">
                  <w:pPr>
                    <w:pStyle w:val="31"/>
                  </w:pPr>
                  <w:r>
                    <w:rPr>
                      <w:rFonts w:hint="eastAsia"/>
                      <w:color w:val="000000" w:themeColor="text1"/>
                      <w14:textFill>
                        <w14:solidFill>
                          <w14:schemeClr w14:val="tx1"/>
                        </w14:solidFill>
                      </w14:textFill>
                    </w:rPr>
                    <w:t>分类收集与一般固废暂存间，定期外售综合利用</w:t>
                  </w:r>
                </w:p>
              </w:tc>
            </w:tr>
            <w:tr w14:paraId="7C351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57FEDE23">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679CC419">
                  <w:pPr>
                    <w:pStyle w:val="31"/>
                    <w:rPr>
                      <w:color w:val="000000" w:themeColor="text1"/>
                      <w14:textFill>
                        <w14:solidFill>
                          <w14:schemeClr w14:val="tx1"/>
                        </w14:solidFill>
                      </w14:textFill>
                    </w:rPr>
                  </w:pPr>
                  <w:r>
                    <w:rPr>
                      <w:rFonts w:hint="eastAsia"/>
                      <w:color w:val="000000" w:themeColor="text1"/>
                      <w:kern w:val="2"/>
                      <w14:textFill>
                        <w14:solidFill>
                          <w14:schemeClr w14:val="tx1"/>
                        </w14:solidFill>
                      </w14:textFill>
                    </w:rPr>
                    <w:t>焊渣</w:t>
                  </w:r>
                </w:p>
              </w:tc>
              <w:tc>
                <w:tcPr>
                  <w:tcW w:w="1251" w:type="pct"/>
                  <w:vMerge w:val="continue"/>
                  <w:tcBorders>
                    <w:tl2br w:val="nil"/>
                    <w:tr2bl w:val="nil"/>
                  </w:tcBorders>
                  <w:vAlign w:val="center"/>
                </w:tcPr>
                <w:p w14:paraId="041BD5B1">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3AE19C47">
                  <w:pPr>
                    <w:pStyle w:val="31"/>
                    <w:rPr>
                      <w:color w:val="000000" w:themeColor="text1"/>
                      <w14:textFill>
                        <w14:solidFill>
                          <w14:schemeClr w14:val="tx1"/>
                        </w14:solidFill>
                      </w14:textFill>
                    </w:rPr>
                  </w:pPr>
                </w:p>
              </w:tc>
            </w:tr>
            <w:tr w14:paraId="57EB2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1B3543F0">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657BFD9D">
                  <w:pPr>
                    <w:pStyle w:val="31"/>
                  </w:pPr>
                  <w:r>
                    <w:rPr>
                      <w:rFonts w:hint="eastAsia"/>
                      <w:color w:val="000000" w:themeColor="text1"/>
                      <w:kern w:val="2"/>
                      <w14:textFill>
                        <w14:solidFill>
                          <w14:schemeClr w14:val="tx1"/>
                        </w14:solidFill>
                      </w14:textFill>
                    </w:rPr>
                    <w:t>废布袋</w:t>
                  </w:r>
                </w:p>
              </w:tc>
              <w:tc>
                <w:tcPr>
                  <w:tcW w:w="1251" w:type="pct"/>
                  <w:vMerge w:val="continue"/>
                  <w:tcBorders>
                    <w:tl2br w:val="nil"/>
                    <w:tr2bl w:val="nil"/>
                  </w:tcBorders>
                  <w:vAlign w:val="center"/>
                </w:tcPr>
                <w:p w14:paraId="60BD6F69">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5E680741">
                  <w:pPr>
                    <w:pStyle w:val="31"/>
                  </w:pPr>
                </w:p>
              </w:tc>
            </w:tr>
            <w:tr w14:paraId="68F0C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738FA28F">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685C3A70">
                  <w:pPr>
                    <w:pStyle w:val="31"/>
                  </w:pPr>
                  <w:r>
                    <w:rPr>
                      <w:rFonts w:hint="eastAsia"/>
                      <w:color w:val="000000" w:themeColor="text1"/>
                      <w:kern w:val="2"/>
                      <w14:textFill>
                        <w14:solidFill>
                          <w14:schemeClr w14:val="tx1"/>
                        </w14:solidFill>
                      </w14:textFill>
                    </w:rPr>
                    <w:t>袋式除尘器收集粉尘</w:t>
                  </w:r>
                </w:p>
              </w:tc>
              <w:tc>
                <w:tcPr>
                  <w:tcW w:w="1251" w:type="pct"/>
                  <w:vMerge w:val="continue"/>
                  <w:tcBorders>
                    <w:tl2br w:val="nil"/>
                    <w:tr2bl w:val="nil"/>
                  </w:tcBorders>
                  <w:vAlign w:val="center"/>
                </w:tcPr>
                <w:p w14:paraId="353AC982">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2B514C81">
                  <w:pPr>
                    <w:pStyle w:val="31"/>
                  </w:pPr>
                </w:p>
              </w:tc>
            </w:tr>
            <w:tr w14:paraId="3F651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7818F302">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702F913B">
                  <w:pPr>
                    <w:pStyle w:val="31"/>
                  </w:pPr>
                  <w:r>
                    <w:rPr>
                      <w:rFonts w:hint="eastAsia"/>
                      <w:color w:val="000000" w:themeColor="text1"/>
                      <w14:textFill>
                        <w14:solidFill>
                          <w14:schemeClr w14:val="tx1"/>
                        </w14:solidFill>
                      </w14:textFill>
                    </w:rPr>
                    <w:t>废钢丸</w:t>
                  </w:r>
                </w:p>
              </w:tc>
              <w:tc>
                <w:tcPr>
                  <w:tcW w:w="1251" w:type="pct"/>
                  <w:vMerge w:val="continue"/>
                  <w:tcBorders>
                    <w:tl2br w:val="nil"/>
                    <w:tr2bl w:val="nil"/>
                  </w:tcBorders>
                  <w:vAlign w:val="center"/>
                </w:tcPr>
                <w:p w14:paraId="6BE367DC">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0E1464A0">
                  <w:pPr>
                    <w:pStyle w:val="31"/>
                  </w:pPr>
                </w:p>
              </w:tc>
            </w:tr>
            <w:tr w14:paraId="01FFF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236826AF">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6DA0D92B">
                  <w:pPr>
                    <w:pStyle w:val="31"/>
                    <w:rPr>
                      <w:color w:val="000000" w:themeColor="text1"/>
                      <w14:textFill>
                        <w14:solidFill>
                          <w14:schemeClr w14:val="tx1"/>
                        </w14:solidFill>
                      </w14:textFill>
                    </w:rPr>
                  </w:pPr>
                  <w:r>
                    <w:rPr>
                      <w:rFonts w:hint="eastAsia"/>
                      <w:color w:val="000000" w:themeColor="text1"/>
                      <w:kern w:val="2"/>
                      <w14:textFill>
                        <w14:solidFill>
                          <w14:schemeClr w14:val="tx1"/>
                        </w14:solidFill>
                      </w14:textFill>
                    </w:rPr>
                    <w:t>生活垃圾</w:t>
                  </w:r>
                </w:p>
              </w:tc>
              <w:tc>
                <w:tcPr>
                  <w:tcW w:w="1251" w:type="pct"/>
                  <w:vMerge w:val="continue"/>
                  <w:tcBorders>
                    <w:tl2br w:val="nil"/>
                    <w:tr2bl w:val="nil"/>
                  </w:tcBorders>
                  <w:vAlign w:val="center"/>
                </w:tcPr>
                <w:p w14:paraId="4EB83F68">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0D654B21">
                  <w:pPr>
                    <w:pStyle w:val="31"/>
                  </w:pPr>
                </w:p>
              </w:tc>
            </w:tr>
            <w:tr w14:paraId="18CA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548171A5">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04F1BC6F">
                  <w:pPr>
                    <w:pStyle w:val="31"/>
                    <w:rPr>
                      <w:color w:val="000000" w:themeColor="text1"/>
                      <w14:textFill>
                        <w14:solidFill>
                          <w14:schemeClr w14:val="tx1"/>
                        </w14:solidFill>
                      </w14:textFill>
                    </w:rPr>
                  </w:pPr>
                  <w:r>
                    <w:rPr>
                      <w:rFonts w:hint="eastAsia"/>
                      <w:color w:val="000000"/>
                    </w:rPr>
                    <w:t>水性漆漆渣</w:t>
                  </w:r>
                </w:p>
              </w:tc>
              <w:tc>
                <w:tcPr>
                  <w:tcW w:w="1251" w:type="pct"/>
                  <w:vMerge w:val="restart"/>
                  <w:tcBorders>
                    <w:tl2br w:val="nil"/>
                    <w:tr2bl w:val="nil"/>
                  </w:tcBorders>
                  <w:vAlign w:val="center"/>
                </w:tcPr>
                <w:p w14:paraId="48D6B19C">
                  <w:pPr>
                    <w:widowControl/>
                    <w:jc w:val="center"/>
                    <w:rPr>
                      <w:color w:val="000000" w:themeColor="text1"/>
                      <w:kern w:val="48"/>
                      <w:sz w:val="21"/>
                      <w:szCs w:val="21"/>
                      <w14:textFill>
                        <w14:solidFill>
                          <w14:schemeClr w14:val="tx1"/>
                        </w14:solidFill>
                      </w14:textFill>
                    </w:rPr>
                  </w:pPr>
                  <w:r>
                    <w:rPr>
                      <w:color w:val="000000" w:themeColor="text1"/>
                      <w:kern w:val="48"/>
                      <w:sz w:val="21"/>
                      <w:szCs w:val="21"/>
                      <w14:textFill>
                        <w14:solidFill>
                          <w14:schemeClr w14:val="tx1"/>
                        </w14:solidFill>
                      </w14:textFill>
                    </w:rPr>
                    <w:t>危险废物</w:t>
                  </w:r>
                </w:p>
              </w:tc>
              <w:tc>
                <w:tcPr>
                  <w:tcW w:w="1253" w:type="pct"/>
                  <w:vMerge w:val="restart"/>
                  <w:tcBorders>
                    <w:tl2br w:val="nil"/>
                    <w:tr2bl w:val="nil"/>
                  </w:tcBorders>
                  <w:vAlign w:val="center"/>
                </w:tcPr>
                <w:p w14:paraId="6F688BDB">
                  <w:pPr>
                    <w:pStyle w:val="31"/>
                  </w:pPr>
                  <w:r>
                    <w:rPr>
                      <w:rFonts w:hint="eastAsia"/>
                    </w:rPr>
                    <w:t>分类收集暂存于危废间，定期</w:t>
                  </w:r>
                  <w:r>
                    <w:t>交由有相应资质的单位处置</w:t>
                  </w:r>
                  <w:r>
                    <w:rPr>
                      <w:rFonts w:hint="eastAsia"/>
                    </w:rPr>
                    <w:t>。</w:t>
                  </w:r>
                </w:p>
              </w:tc>
            </w:tr>
            <w:tr w14:paraId="36BC4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7D61E5B0">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2FB59616">
                  <w:pPr>
                    <w:pStyle w:val="31"/>
                  </w:pPr>
                  <w:r>
                    <w:rPr>
                      <w:rFonts w:hint="eastAsia"/>
                      <w:color w:val="000000"/>
                    </w:rPr>
                    <w:t>废活性炭</w:t>
                  </w:r>
                </w:p>
              </w:tc>
              <w:tc>
                <w:tcPr>
                  <w:tcW w:w="1251" w:type="pct"/>
                  <w:vMerge w:val="continue"/>
                  <w:tcBorders>
                    <w:tl2br w:val="nil"/>
                    <w:tr2bl w:val="nil"/>
                  </w:tcBorders>
                  <w:vAlign w:val="center"/>
                </w:tcPr>
                <w:p w14:paraId="644B9B4A">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439142CB">
                  <w:pPr>
                    <w:pStyle w:val="31"/>
                  </w:pPr>
                </w:p>
              </w:tc>
            </w:tr>
            <w:tr w14:paraId="747EC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70391FA4">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5A7FDA87">
                  <w:pPr>
                    <w:pStyle w:val="31"/>
                  </w:pPr>
                  <w:r>
                    <w:rPr>
                      <w:rFonts w:hint="eastAsia"/>
                      <w:color w:val="000000"/>
                    </w:rPr>
                    <w:t>废过滤棉</w:t>
                  </w:r>
                </w:p>
              </w:tc>
              <w:tc>
                <w:tcPr>
                  <w:tcW w:w="1251" w:type="pct"/>
                  <w:vMerge w:val="continue"/>
                  <w:tcBorders>
                    <w:tl2br w:val="nil"/>
                    <w:tr2bl w:val="nil"/>
                  </w:tcBorders>
                  <w:vAlign w:val="center"/>
                </w:tcPr>
                <w:p w14:paraId="75EF41EF">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76C1664E">
                  <w:pPr>
                    <w:pStyle w:val="31"/>
                  </w:pPr>
                </w:p>
              </w:tc>
            </w:tr>
            <w:tr w14:paraId="30590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3DD380B5">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75FD74CB">
                  <w:pPr>
                    <w:pStyle w:val="31"/>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水性漆桶</w:t>
                  </w:r>
                </w:p>
              </w:tc>
              <w:tc>
                <w:tcPr>
                  <w:tcW w:w="1251" w:type="pct"/>
                  <w:vMerge w:val="continue"/>
                  <w:tcBorders>
                    <w:tl2br w:val="nil"/>
                    <w:tr2bl w:val="nil"/>
                  </w:tcBorders>
                  <w:vAlign w:val="center"/>
                </w:tcPr>
                <w:p w14:paraId="1776962C">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3B6BC45E">
                  <w:pPr>
                    <w:pStyle w:val="31"/>
                  </w:pPr>
                </w:p>
              </w:tc>
            </w:tr>
            <w:tr w14:paraId="0DD48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6387B7F5">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68A90D1D">
                  <w:pPr>
                    <w:pStyle w:val="31"/>
                    <w:rPr>
                      <w:color w:val="000000" w:themeColor="text1"/>
                      <w14:textFill>
                        <w14:solidFill>
                          <w14:schemeClr w14:val="tx1"/>
                        </w14:solidFill>
                      </w14:textFill>
                    </w:rPr>
                  </w:pPr>
                  <w:r>
                    <w:rPr>
                      <w:rFonts w:hint="eastAsia"/>
                      <w:color w:val="000000"/>
                    </w:rPr>
                    <w:t>废润滑油</w:t>
                  </w:r>
                </w:p>
              </w:tc>
              <w:tc>
                <w:tcPr>
                  <w:tcW w:w="1251" w:type="pct"/>
                  <w:vMerge w:val="continue"/>
                  <w:tcBorders>
                    <w:tl2br w:val="nil"/>
                    <w:tr2bl w:val="nil"/>
                  </w:tcBorders>
                  <w:vAlign w:val="center"/>
                </w:tcPr>
                <w:p w14:paraId="38690CF1">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3122599C">
                  <w:pPr>
                    <w:pStyle w:val="31"/>
                  </w:pPr>
                </w:p>
              </w:tc>
            </w:tr>
            <w:tr w14:paraId="469CB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2" w:type="pct"/>
                  <w:vMerge w:val="continue"/>
                  <w:tcBorders>
                    <w:tl2br w:val="nil"/>
                    <w:tr2bl w:val="nil"/>
                  </w:tcBorders>
                  <w:vAlign w:val="center"/>
                </w:tcPr>
                <w:p w14:paraId="2DC92F51">
                  <w:pPr>
                    <w:pStyle w:val="37"/>
                    <w:ind w:left="0" w:firstLine="0"/>
                    <w:jc w:val="center"/>
                    <w:rPr>
                      <w:rFonts w:ascii="Times New Roman" w:hAnsi="Times New Roman" w:cs="Times New Roman"/>
                      <w:snapToGrid w:val="0"/>
                      <w:color w:val="000000" w:themeColor="text1"/>
                      <w:kern w:val="0"/>
                      <w:sz w:val="21"/>
                      <w:szCs w:val="21"/>
                      <w:lang w:val="en-US" w:bidi="ar-SA"/>
                      <w14:textFill>
                        <w14:solidFill>
                          <w14:schemeClr w14:val="tx1"/>
                        </w14:solidFill>
                      </w14:textFill>
                    </w:rPr>
                  </w:pPr>
                </w:p>
              </w:tc>
              <w:tc>
                <w:tcPr>
                  <w:tcW w:w="1694" w:type="pct"/>
                  <w:tcBorders>
                    <w:tl2br w:val="nil"/>
                    <w:tr2bl w:val="nil"/>
                  </w:tcBorders>
                  <w:vAlign w:val="center"/>
                </w:tcPr>
                <w:p w14:paraId="1A28FD63">
                  <w:pPr>
                    <w:pStyle w:val="31"/>
                    <w:rPr>
                      <w:color w:val="000000" w:themeColor="text1"/>
                      <w14:textFill>
                        <w14:solidFill>
                          <w14:schemeClr w14:val="tx1"/>
                        </w14:solidFill>
                      </w14:textFill>
                    </w:rPr>
                  </w:pPr>
                  <w:r>
                    <w:rPr>
                      <w:rFonts w:hint="eastAsia"/>
                      <w:color w:val="000000"/>
                    </w:rPr>
                    <w:t>含油抹布及手套</w:t>
                  </w:r>
                </w:p>
              </w:tc>
              <w:tc>
                <w:tcPr>
                  <w:tcW w:w="1251" w:type="pct"/>
                  <w:vMerge w:val="continue"/>
                  <w:tcBorders>
                    <w:tl2br w:val="nil"/>
                    <w:tr2bl w:val="nil"/>
                  </w:tcBorders>
                  <w:vAlign w:val="center"/>
                </w:tcPr>
                <w:p w14:paraId="318D72F7">
                  <w:pPr>
                    <w:widowControl/>
                    <w:jc w:val="center"/>
                    <w:rPr>
                      <w:snapToGrid w:val="0"/>
                      <w:color w:val="000000" w:themeColor="text1"/>
                      <w:kern w:val="0"/>
                      <w:sz w:val="21"/>
                      <w:szCs w:val="21"/>
                      <w14:textFill>
                        <w14:solidFill>
                          <w14:schemeClr w14:val="tx1"/>
                        </w14:solidFill>
                      </w14:textFill>
                    </w:rPr>
                  </w:pPr>
                </w:p>
              </w:tc>
              <w:tc>
                <w:tcPr>
                  <w:tcW w:w="1253" w:type="pct"/>
                  <w:vMerge w:val="continue"/>
                  <w:tcBorders>
                    <w:tl2br w:val="nil"/>
                    <w:tr2bl w:val="nil"/>
                  </w:tcBorders>
                  <w:vAlign w:val="center"/>
                </w:tcPr>
                <w:p w14:paraId="1A8049D2">
                  <w:pPr>
                    <w:pStyle w:val="31"/>
                  </w:pPr>
                </w:p>
              </w:tc>
            </w:tr>
          </w:tbl>
          <w:p w14:paraId="0591F13B">
            <w:pPr>
              <w:pStyle w:val="22"/>
              <w:kinsoku w:val="0"/>
              <w:wordWrap w:val="0"/>
              <w:adjustRightInd w:val="0"/>
              <w:snapToGrid w:val="0"/>
              <w:spacing w:line="360" w:lineRule="auto"/>
              <w:ind w:left="0" w:leftChars="0" w:firstLine="0"/>
              <w:jc w:val="center"/>
              <w:rPr>
                <w:b/>
                <w:bCs/>
                <w:sz w:val="24"/>
              </w:rPr>
            </w:pPr>
          </w:p>
        </w:tc>
      </w:tr>
      <w:tr w14:paraId="6AF9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9" w:type="dxa"/>
            <w:vAlign w:val="center"/>
          </w:tcPr>
          <w:p w14:paraId="11F3B7F7">
            <w:pPr>
              <w:jc w:val="center"/>
              <w:rPr>
                <w:rFonts w:hint="eastAsia" w:ascii="宋体" w:hAnsi="宋体" w:cs="宋体"/>
                <w:snapToGrid w:val="0"/>
                <w:color w:val="000000"/>
              </w:rPr>
            </w:pPr>
            <w:r>
              <w:rPr>
                <w:rFonts w:hint="eastAsia" w:ascii="宋体" w:hAnsi="宋体" w:cs="宋体"/>
                <w:snapToGrid w:val="0"/>
                <w:color w:val="000000"/>
              </w:rPr>
              <w:t>与项目有关的原有环境污染问题</w:t>
            </w:r>
          </w:p>
        </w:tc>
        <w:tc>
          <w:tcPr>
            <w:tcW w:w="8093" w:type="dxa"/>
          </w:tcPr>
          <w:p w14:paraId="4DE5465D">
            <w:pPr>
              <w:pStyle w:val="29"/>
              <w:snapToGrid w:val="0"/>
              <w:ind w:firstLine="480"/>
              <w:jc w:val="both"/>
              <w:rPr>
                <w:rFonts w:hint="eastAsia" w:ascii="宋体" w:hAnsi="宋体" w:eastAsia="宋体" w:cs="宋体"/>
              </w:rPr>
            </w:pPr>
            <w:r>
              <w:rPr>
                <w:rFonts w:ascii="Times New Roman" w:eastAsia="宋体" w:cs="Times New Roman"/>
              </w:rPr>
              <w:t>本项目现有工程为</w:t>
            </w:r>
            <w:r>
              <w:rPr>
                <w:rFonts w:hint="eastAsia" w:ascii="Times New Roman" w:eastAsia="宋体" w:cs="Times New Roman"/>
              </w:rPr>
              <w:t>湖南凯祥金属结构有限公司</w:t>
            </w:r>
            <w:r>
              <w:rPr>
                <w:rFonts w:ascii="Times New Roman" w:eastAsia="宋体" w:cs="Times New Roman"/>
              </w:rPr>
              <w:t>负</w:t>
            </w:r>
            <w:r>
              <w:rPr>
                <w:rFonts w:hint="eastAsia" w:ascii="Times New Roman" w:eastAsia="宋体" w:cs="Times New Roman"/>
              </w:rPr>
              <w:t>生产钢结构立柱梁项目</w:t>
            </w:r>
            <w:r>
              <w:rPr>
                <w:rFonts w:ascii="Times New Roman" w:eastAsia="宋体" w:cs="Times New Roman"/>
              </w:rPr>
              <w:t>，</w:t>
            </w:r>
            <w:r>
              <w:rPr>
                <w:rFonts w:hint="eastAsia" w:ascii="Times New Roman" w:eastAsia="宋体" w:cs="Times New Roman"/>
              </w:rPr>
              <w:t>位于益阳市赫山区衡龙新区幸福路</w:t>
            </w:r>
            <w:r>
              <w:rPr>
                <w:rFonts w:ascii="Times New Roman" w:eastAsia="宋体" w:cs="Times New Roman"/>
              </w:rPr>
              <w:t>，</w:t>
            </w:r>
            <w:r>
              <w:rPr>
                <w:rFonts w:hint="eastAsia" w:ascii="Times New Roman" w:eastAsia="宋体" w:cs="Times New Roman"/>
              </w:rPr>
              <w:t>该项目于2022年投运，</w:t>
            </w:r>
            <w:r>
              <w:rPr>
                <w:rFonts w:ascii="Times New Roman" w:eastAsia="宋体" w:cs="Times New Roman"/>
                <w:color w:val="auto"/>
              </w:rPr>
              <w:t>未发生环境污染事件及环保投诉。</w:t>
            </w:r>
            <w:r>
              <w:rPr>
                <w:rFonts w:hint="eastAsia" w:ascii="Times New Roman" w:eastAsia="宋体" w:cs="Times New Roman"/>
              </w:rPr>
              <w:t>湖南凯祥金属结构有限公司</w:t>
            </w:r>
            <w:r>
              <w:rPr>
                <w:rFonts w:ascii="Times New Roman" w:eastAsia="宋体" w:cs="Times New Roman"/>
              </w:rPr>
              <w:t>负责原有项目场地内清理工作，原有设备全部搬迁至新场地，全部利用，不得遗留废水、固废等污染物。</w:t>
            </w:r>
          </w:p>
          <w:p w14:paraId="6FC92A22">
            <w:pPr>
              <w:adjustRightInd w:val="0"/>
              <w:snapToGrid w:val="0"/>
              <w:spacing w:line="360" w:lineRule="auto"/>
              <w:rPr>
                <w:rFonts w:hint="eastAsia" w:ascii="宋体" w:hAnsi="宋体" w:cs="宋体"/>
                <w:b/>
                <w:bCs/>
                <w:color w:val="000000"/>
              </w:rPr>
            </w:pPr>
            <w:r>
              <w:rPr>
                <w:rFonts w:hint="eastAsia" w:ascii="宋体" w:hAnsi="宋体" w:cs="宋体"/>
                <w:b/>
                <w:bCs/>
                <w:color w:val="000000"/>
              </w:rPr>
              <w:t>一、现有工程环保手续情况及采取的环保措施情况</w:t>
            </w:r>
          </w:p>
          <w:p w14:paraId="13625E14">
            <w:pPr>
              <w:pStyle w:val="29"/>
              <w:snapToGrid w:val="0"/>
              <w:ind w:firstLine="0" w:firstLineChars="0"/>
              <w:jc w:val="both"/>
              <w:rPr>
                <w:rFonts w:ascii="Times New Roman" w:eastAsia="宋体" w:cs="Times New Roman"/>
                <w:b/>
                <w:bCs/>
              </w:rPr>
            </w:pPr>
            <w:r>
              <w:rPr>
                <w:rFonts w:hint="eastAsia" w:ascii="Times New Roman" w:eastAsia="宋体" w:cs="Times New Roman"/>
                <w:b/>
                <w:bCs/>
              </w:rPr>
              <w:t>1、现有工程建设规模及环保手续情况</w:t>
            </w:r>
          </w:p>
          <w:p w14:paraId="3FBFE554">
            <w:pPr>
              <w:tabs>
                <w:tab w:val="left" w:pos="6111"/>
              </w:tabs>
              <w:wordWrap w:val="0"/>
              <w:autoSpaceDE w:val="0"/>
              <w:autoSpaceDN w:val="0"/>
              <w:adjustRightInd w:val="0"/>
              <w:snapToGrid w:val="0"/>
              <w:spacing w:line="360" w:lineRule="auto"/>
              <w:ind w:firstLine="480" w:firstLineChars="200"/>
              <w:rPr>
                <w:szCs w:val="21"/>
              </w:rPr>
            </w:pPr>
            <w:r>
              <w:rPr>
                <w:rFonts w:hint="eastAsia"/>
              </w:rPr>
              <w:t>现</w:t>
            </w:r>
            <w:r>
              <w:t>有项目</w:t>
            </w:r>
            <w:r>
              <w:rPr>
                <w:rFonts w:hint="eastAsia"/>
              </w:rPr>
              <w:t>年产</w:t>
            </w:r>
            <w:r>
              <w:rPr>
                <w:szCs w:val="21"/>
              </w:rPr>
              <w:t>5000吨钢结构立柱梁</w:t>
            </w:r>
            <w:r>
              <w:rPr>
                <w:color w:val="000000"/>
              </w:rPr>
              <w:t>。</w:t>
            </w:r>
            <w:r>
              <w:rPr>
                <w:szCs w:val="21"/>
              </w:rPr>
              <w:t>该项目自20</w:t>
            </w:r>
            <w:r>
              <w:rPr>
                <w:rFonts w:hint="eastAsia"/>
                <w:szCs w:val="21"/>
              </w:rPr>
              <w:t>22</w:t>
            </w:r>
            <w:r>
              <w:rPr>
                <w:szCs w:val="21"/>
              </w:rPr>
              <w:t>年开始运营，并于2021年4月委托湖南中鉴生态环境科技有限公司编制了</w:t>
            </w:r>
            <w:r>
              <w:rPr>
                <w:rFonts w:hint="eastAsia"/>
                <w:szCs w:val="21"/>
              </w:rPr>
              <w:t>《湖南凯祥金属结构有限公司年产5000吨钢结构立柱梁生产线建设项目环境影响报告表》</w:t>
            </w:r>
            <w:r>
              <w:rPr>
                <w:szCs w:val="21"/>
              </w:rPr>
              <w:t>。2021年6月22日，项目获得了益阳市生态环境局的批复（益赫环评表〔2021〕8号）。随后，于2022年9月2日，</w:t>
            </w:r>
            <w:r>
              <w:rPr>
                <w:rFonts w:hint="eastAsia"/>
                <w:szCs w:val="21"/>
              </w:rPr>
              <w:t>已按照相关政策法规完成固定污染源排污许可申报</w:t>
            </w:r>
            <w:r>
              <w:rPr>
                <w:szCs w:val="21"/>
              </w:rPr>
              <w:t>，编号为91430900MA4LR7CG77001X。</w:t>
            </w:r>
            <w:r>
              <w:rPr>
                <w:rFonts w:hint="eastAsia"/>
                <w:szCs w:val="21"/>
              </w:rPr>
              <w:t>现有项目</w:t>
            </w:r>
            <w:r>
              <w:rPr>
                <w:szCs w:val="21"/>
              </w:rPr>
              <w:t>企业</w:t>
            </w:r>
            <w:r>
              <w:rPr>
                <w:rFonts w:hint="eastAsia"/>
                <w:szCs w:val="21"/>
              </w:rPr>
              <w:t>于2022年9月9日</w:t>
            </w:r>
            <w:r>
              <w:rPr>
                <w:szCs w:val="21"/>
              </w:rPr>
              <w:t>已编制完成突发环境事件应急预案，并已备案，备案编号：</w:t>
            </w:r>
            <w:bookmarkStart w:id="26" w:name="OLE_LINK25"/>
            <w:r>
              <w:rPr>
                <w:rFonts w:hint="eastAsia"/>
                <w:szCs w:val="21"/>
              </w:rPr>
              <w:t>43090320220114X</w:t>
            </w:r>
            <w:bookmarkEnd w:id="26"/>
            <w:r>
              <w:rPr>
                <w:rFonts w:hint="eastAsia"/>
                <w:szCs w:val="21"/>
              </w:rPr>
              <w:t>。</w:t>
            </w:r>
            <w:r>
              <w:rPr>
                <w:szCs w:val="21"/>
              </w:rPr>
              <w:t>2022年8月18日至8月19日，湖南精科检测有限公司对该项目进行了现场验收监测，并出具了竣工验收检测报告。湖南凯祥金属结构有限公司根据验收监测结果及环境管理检查结果，编制了《湖南凯祥金属结构有限公司年产5000吨钢结构立柱梁生产线建设项目竣工环境保护验收监测报告》</w:t>
            </w:r>
            <w:r>
              <w:rPr>
                <w:rFonts w:hint="eastAsia"/>
                <w:szCs w:val="21"/>
              </w:rPr>
              <w:t>，并通过自主竣工验收，开始投产</w:t>
            </w:r>
            <w:r>
              <w:rPr>
                <w:szCs w:val="21"/>
              </w:rPr>
              <w:t>。</w:t>
            </w:r>
          </w:p>
          <w:p w14:paraId="3FCDACF8">
            <w:pPr>
              <w:tabs>
                <w:tab w:val="left" w:pos="6111"/>
              </w:tabs>
              <w:autoSpaceDE w:val="0"/>
              <w:autoSpaceDN w:val="0"/>
              <w:adjustRightInd w:val="0"/>
              <w:snapToGrid w:val="0"/>
              <w:jc w:val="center"/>
              <w:rPr>
                <w:b/>
                <w:bCs/>
                <w:szCs w:val="21"/>
              </w:rPr>
            </w:pPr>
            <w:r>
              <w:rPr>
                <w:rFonts w:hint="eastAsia"/>
                <w:b/>
                <w:bCs/>
                <w:szCs w:val="21"/>
              </w:rPr>
              <w:t>表2-8  现有项目环保手续审批情况一览表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166"/>
              <w:gridCol w:w="3162"/>
              <w:gridCol w:w="1356"/>
              <w:gridCol w:w="1118"/>
            </w:tblGrid>
            <w:tr w14:paraId="57DED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50717DAF">
                  <w:pPr>
                    <w:jc w:val="center"/>
                    <w:rPr>
                      <w:b/>
                      <w:bCs/>
                      <w:color w:val="000000"/>
                      <w:kern w:val="0"/>
                      <w:sz w:val="21"/>
                      <w:szCs w:val="21"/>
                      <w:lang w:bidi="ar"/>
                    </w:rPr>
                  </w:pPr>
                  <w:r>
                    <w:rPr>
                      <w:rFonts w:hint="eastAsia"/>
                      <w:b/>
                      <w:bCs/>
                      <w:color w:val="000000"/>
                      <w:kern w:val="0"/>
                      <w:sz w:val="21"/>
                      <w:szCs w:val="21"/>
                      <w:lang w:bidi="ar"/>
                    </w:rPr>
                    <w:t>现有项目</w:t>
                  </w:r>
                </w:p>
              </w:tc>
              <w:tc>
                <w:tcPr>
                  <w:tcW w:w="1167" w:type="dxa"/>
                  <w:vAlign w:val="center"/>
                </w:tcPr>
                <w:p w14:paraId="2CEF8961">
                  <w:pPr>
                    <w:jc w:val="center"/>
                    <w:rPr>
                      <w:b/>
                      <w:bCs/>
                      <w:color w:val="000000"/>
                      <w:kern w:val="0"/>
                      <w:sz w:val="21"/>
                      <w:szCs w:val="21"/>
                      <w:lang w:bidi="ar"/>
                    </w:rPr>
                  </w:pPr>
                  <w:r>
                    <w:rPr>
                      <w:rFonts w:hint="eastAsia"/>
                      <w:b/>
                      <w:bCs/>
                      <w:color w:val="000000"/>
                      <w:kern w:val="0"/>
                      <w:sz w:val="21"/>
                      <w:szCs w:val="21"/>
                      <w:lang w:bidi="ar"/>
                    </w:rPr>
                    <w:t>项目类型</w:t>
                  </w:r>
                </w:p>
              </w:tc>
              <w:tc>
                <w:tcPr>
                  <w:tcW w:w="3164" w:type="dxa"/>
                  <w:vAlign w:val="center"/>
                </w:tcPr>
                <w:p w14:paraId="7C7609CE">
                  <w:pPr>
                    <w:jc w:val="center"/>
                    <w:rPr>
                      <w:b/>
                      <w:bCs/>
                      <w:color w:val="000000"/>
                      <w:kern w:val="0"/>
                      <w:sz w:val="21"/>
                      <w:szCs w:val="21"/>
                      <w:lang w:bidi="ar"/>
                    </w:rPr>
                  </w:pPr>
                  <w:r>
                    <w:rPr>
                      <w:rFonts w:hint="eastAsia"/>
                      <w:b/>
                      <w:bCs/>
                      <w:color w:val="000000"/>
                      <w:kern w:val="0"/>
                      <w:sz w:val="21"/>
                      <w:szCs w:val="21"/>
                      <w:lang w:bidi="ar"/>
                    </w:rPr>
                    <w:t>项目名称</w:t>
                  </w:r>
                </w:p>
              </w:tc>
              <w:tc>
                <w:tcPr>
                  <w:tcW w:w="1357" w:type="dxa"/>
                  <w:vAlign w:val="center"/>
                </w:tcPr>
                <w:p w14:paraId="57630D2F">
                  <w:pPr>
                    <w:jc w:val="center"/>
                    <w:rPr>
                      <w:b/>
                      <w:bCs/>
                      <w:color w:val="000000"/>
                      <w:kern w:val="0"/>
                      <w:sz w:val="21"/>
                      <w:szCs w:val="21"/>
                      <w:lang w:bidi="ar"/>
                    </w:rPr>
                  </w:pPr>
                  <w:r>
                    <w:rPr>
                      <w:rFonts w:hint="eastAsia"/>
                      <w:b/>
                      <w:bCs/>
                      <w:color w:val="000000"/>
                      <w:kern w:val="0"/>
                      <w:sz w:val="21"/>
                      <w:szCs w:val="21"/>
                      <w:lang w:bidi="ar"/>
                    </w:rPr>
                    <w:t>审批文件</w:t>
                  </w:r>
                </w:p>
              </w:tc>
              <w:tc>
                <w:tcPr>
                  <w:tcW w:w="1118" w:type="dxa"/>
                  <w:vAlign w:val="center"/>
                </w:tcPr>
                <w:p w14:paraId="0DFDACE7">
                  <w:pPr>
                    <w:jc w:val="center"/>
                    <w:rPr>
                      <w:b/>
                      <w:bCs/>
                      <w:color w:val="000000"/>
                      <w:kern w:val="0"/>
                      <w:sz w:val="21"/>
                      <w:szCs w:val="21"/>
                      <w:lang w:bidi="ar"/>
                    </w:rPr>
                  </w:pPr>
                  <w:r>
                    <w:rPr>
                      <w:rFonts w:hint="eastAsia"/>
                      <w:b/>
                      <w:bCs/>
                      <w:color w:val="000000"/>
                      <w:kern w:val="0"/>
                      <w:sz w:val="21"/>
                      <w:szCs w:val="21"/>
                      <w:lang w:bidi="ar"/>
                    </w:rPr>
                    <w:t>审批时间</w:t>
                  </w:r>
                </w:p>
              </w:tc>
            </w:tr>
            <w:tr w14:paraId="44FED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18" w:type="dxa"/>
                  <w:vMerge w:val="restart"/>
                  <w:vAlign w:val="center"/>
                </w:tcPr>
                <w:p w14:paraId="1A2405BC">
                  <w:pPr>
                    <w:wordWrap w:val="0"/>
                    <w:autoSpaceDE w:val="0"/>
                    <w:autoSpaceDN w:val="0"/>
                    <w:jc w:val="center"/>
                    <w:rPr>
                      <w:color w:val="000000"/>
                      <w:kern w:val="0"/>
                      <w:sz w:val="21"/>
                      <w:szCs w:val="21"/>
                      <w:lang w:bidi="ar"/>
                    </w:rPr>
                  </w:pPr>
                  <w:r>
                    <w:rPr>
                      <w:rFonts w:hint="eastAsia"/>
                      <w:color w:val="000000"/>
                      <w:kern w:val="0"/>
                      <w:sz w:val="21"/>
                      <w:szCs w:val="21"/>
                      <w:lang w:bidi="ar"/>
                    </w:rPr>
                    <w:t>湖南凯祥金属结构有限公司</w:t>
                  </w:r>
                </w:p>
              </w:tc>
              <w:tc>
                <w:tcPr>
                  <w:tcW w:w="1167" w:type="dxa"/>
                  <w:vAlign w:val="center"/>
                </w:tcPr>
                <w:p w14:paraId="72FCC9B9">
                  <w:pPr>
                    <w:wordWrap w:val="0"/>
                    <w:autoSpaceDE w:val="0"/>
                    <w:autoSpaceDN w:val="0"/>
                    <w:jc w:val="center"/>
                    <w:rPr>
                      <w:color w:val="000000"/>
                      <w:kern w:val="0"/>
                      <w:sz w:val="21"/>
                      <w:szCs w:val="21"/>
                      <w:lang w:bidi="ar"/>
                    </w:rPr>
                  </w:pPr>
                  <w:r>
                    <w:rPr>
                      <w:rFonts w:hint="eastAsia"/>
                      <w:color w:val="000000"/>
                      <w:kern w:val="0"/>
                      <w:sz w:val="21"/>
                      <w:szCs w:val="21"/>
                      <w:lang w:bidi="ar"/>
                    </w:rPr>
                    <w:t>环境影响报告表</w:t>
                  </w:r>
                </w:p>
              </w:tc>
              <w:tc>
                <w:tcPr>
                  <w:tcW w:w="3164" w:type="dxa"/>
                  <w:vAlign w:val="center"/>
                </w:tcPr>
                <w:p w14:paraId="66D3A289">
                  <w:pPr>
                    <w:wordWrap w:val="0"/>
                    <w:autoSpaceDE w:val="0"/>
                    <w:autoSpaceDN w:val="0"/>
                    <w:jc w:val="center"/>
                    <w:rPr>
                      <w:color w:val="000000"/>
                      <w:kern w:val="0"/>
                      <w:sz w:val="21"/>
                      <w:szCs w:val="21"/>
                      <w:lang w:bidi="ar"/>
                    </w:rPr>
                  </w:pPr>
                  <w:r>
                    <w:rPr>
                      <w:rFonts w:hint="eastAsia"/>
                      <w:color w:val="000000"/>
                      <w:kern w:val="0"/>
                      <w:sz w:val="21"/>
                      <w:szCs w:val="21"/>
                      <w:lang w:bidi="ar"/>
                    </w:rPr>
                    <w:t>《关于湖南凯祥金属结构有限公司年产5000吨钢结构立柱梁生产线建设项目环境影响报告表的批复》</w:t>
                  </w:r>
                </w:p>
              </w:tc>
              <w:tc>
                <w:tcPr>
                  <w:tcW w:w="1357" w:type="dxa"/>
                  <w:vAlign w:val="center"/>
                </w:tcPr>
                <w:p w14:paraId="600F4400">
                  <w:pPr>
                    <w:wordWrap w:val="0"/>
                    <w:autoSpaceDE w:val="0"/>
                    <w:autoSpaceDN w:val="0"/>
                    <w:jc w:val="center"/>
                    <w:rPr>
                      <w:color w:val="000000"/>
                      <w:kern w:val="0"/>
                      <w:sz w:val="21"/>
                      <w:szCs w:val="21"/>
                      <w:lang w:bidi="ar"/>
                    </w:rPr>
                  </w:pPr>
                  <w:r>
                    <w:rPr>
                      <w:color w:val="000000"/>
                      <w:kern w:val="0"/>
                      <w:sz w:val="21"/>
                      <w:szCs w:val="21"/>
                      <w:lang w:bidi="ar"/>
                    </w:rPr>
                    <w:t>益赫环评表〔2021〕8号</w:t>
                  </w:r>
                </w:p>
              </w:tc>
              <w:tc>
                <w:tcPr>
                  <w:tcW w:w="1118" w:type="dxa"/>
                  <w:vAlign w:val="center"/>
                </w:tcPr>
                <w:p w14:paraId="44B092DC">
                  <w:pPr>
                    <w:wordWrap w:val="0"/>
                    <w:autoSpaceDE w:val="0"/>
                    <w:autoSpaceDN w:val="0"/>
                    <w:jc w:val="center"/>
                    <w:rPr>
                      <w:color w:val="000000"/>
                      <w:kern w:val="0"/>
                      <w:sz w:val="21"/>
                      <w:szCs w:val="21"/>
                      <w:lang w:bidi="ar"/>
                    </w:rPr>
                  </w:pPr>
                  <w:r>
                    <w:rPr>
                      <w:color w:val="000000"/>
                      <w:kern w:val="0"/>
                      <w:sz w:val="21"/>
                      <w:szCs w:val="21"/>
                      <w:lang w:bidi="ar"/>
                    </w:rPr>
                    <w:t>2021年6月22日</w:t>
                  </w:r>
                </w:p>
              </w:tc>
            </w:tr>
            <w:tr w14:paraId="11878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018" w:type="dxa"/>
                  <w:vMerge w:val="continue"/>
                  <w:vAlign w:val="center"/>
                </w:tcPr>
                <w:p w14:paraId="00025C5C">
                  <w:pPr>
                    <w:wordWrap w:val="0"/>
                    <w:autoSpaceDE w:val="0"/>
                    <w:autoSpaceDN w:val="0"/>
                    <w:jc w:val="center"/>
                    <w:rPr>
                      <w:color w:val="000000"/>
                      <w:kern w:val="0"/>
                      <w:sz w:val="21"/>
                      <w:szCs w:val="21"/>
                      <w:lang w:bidi="ar"/>
                    </w:rPr>
                  </w:pPr>
                </w:p>
              </w:tc>
              <w:tc>
                <w:tcPr>
                  <w:tcW w:w="1167" w:type="dxa"/>
                  <w:vAlign w:val="center"/>
                </w:tcPr>
                <w:p w14:paraId="759DF662">
                  <w:pPr>
                    <w:wordWrap w:val="0"/>
                    <w:autoSpaceDE w:val="0"/>
                    <w:autoSpaceDN w:val="0"/>
                    <w:jc w:val="center"/>
                    <w:rPr>
                      <w:color w:val="000000"/>
                      <w:kern w:val="0"/>
                      <w:sz w:val="21"/>
                      <w:szCs w:val="21"/>
                      <w:lang w:bidi="ar"/>
                    </w:rPr>
                  </w:pPr>
                  <w:r>
                    <w:rPr>
                      <w:rFonts w:hint="eastAsia"/>
                      <w:color w:val="000000"/>
                      <w:kern w:val="0"/>
                      <w:sz w:val="21"/>
                      <w:szCs w:val="21"/>
                      <w:lang w:bidi="ar"/>
                    </w:rPr>
                    <w:t>固定污染源排污登记回执</w:t>
                  </w:r>
                </w:p>
              </w:tc>
              <w:tc>
                <w:tcPr>
                  <w:tcW w:w="4521" w:type="dxa"/>
                  <w:gridSpan w:val="2"/>
                  <w:vAlign w:val="center"/>
                </w:tcPr>
                <w:p w14:paraId="4801F9F3">
                  <w:pPr>
                    <w:wordWrap w:val="0"/>
                    <w:autoSpaceDE w:val="0"/>
                    <w:autoSpaceDN w:val="0"/>
                    <w:jc w:val="center"/>
                    <w:rPr>
                      <w:color w:val="000000"/>
                      <w:kern w:val="0"/>
                      <w:sz w:val="21"/>
                      <w:szCs w:val="21"/>
                      <w:lang w:bidi="ar"/>
                    </w:rPr>
                  </w:pPr>
                  <w:r>
                    <w:rPr>
                      <w:rFonts w:hint="eastAsia"/>
                      <w:color w:val="000000"/>
                      <w:kern w:val="0"/>
                      <w:sz w:val="21"/>
                      <w:szCs w:val="21"/>
                      <w:lang w:bidi="ar"/>
                    </w:rPr>
                    <w:t>编号：</w:t>
                  </w:r>
                  <w:r>
                    <w:rPr>
                      <w:color w:val="000000"/>
                      <w:kern w:val="0"/>
                      <w:sz w:val="21"/>
                      <w:szCs w:val="21"/>
                      <w:lang w:bidi="ar"/>
                    </w:rPr>
                    <w:t>91430900MA4LR7CG77001X</w:t>
                  </w:r>
                </w:p>
              </w:tc>
              <w:tc>
                <w:tcPr>
                  <w:tcW w:w="1118" w:type="dxa"/>
                  <w:vAlign w:val="center"/>
                </w:tcPr>
                <w:p w14:paraId="0EDEB9B8">
                  <w:pPr>
                    <w:wordWrap w:val="0"/>
                    <w:autoSpaceDE w:val="0"/>
                    <w:autoSpaceDN w:val="0"/>
                    <w:jc w:val="center"/>
                    <w:rPr>
                      <w:color w:val="000000"/>
                      <w:kern w:val="0"/>
                      <w:sz w:val="21"/>
                      <w:szCs w:val="21"/>
                      <w:lang w:bidi="ar"/>
                    </w:rPr>
                  </w:pPr>
                  <w:r>
                    <w:rPr>
                      <w:color w:val="000000"/>
                      <w:kern w:val="0"/>
                      <w:sz w:val="21"/>
                      <w:szCs w:val="21"/>
                      <w:lang w:bidi="ar"/>
                    </w:rPr>
                    <w:t>2022年9月2日</w:t>
                  </w:r>
                </w:p>
              </w:tc>
            </w:tr>
            <w:tr w14:paraId="03377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18" w:type="dxa"/>
                  <w:vMerge w:val="continue"/>
                  <w:vAlign w:val="center"/>
                </w:tcPr>
                <w:p w14:paraId="16F45A8F">
                  <w:pPr>
                    <w:wordWrap w:val="0"/>
                    <w:autoSpaceDE w:val="0"/>
                    <w:autoSpaceDN w:val="0"/>
                    <w:jc w:val="center"/>
                    <w:rPr>
                      <w:color w:val="000000"/>
                      <w:kern w:val="0"/>
                      <w:sz w:val="21"/>
                      <w:szCs w:val="21"/>
                      <w:lang w:bidi="ar"/>
                    </w:rPr>
                  </w:pPr>
                </w:p>
              </w:tc>
              <w:tc>
                <w:tcPr>
                  <w:tcW w:w="1167" w:type="dxa"/>
                  <w:vAlign w:val="center"/>
                </w:tcPr>
                <w:p w14:paraId="3742CACF">
                  <w:pPr>
                    <w:wordWrap w:val="0"/>
                    <w:autoSpaceDE w:val="0"/>
                    <w:autoSpaceDN w:val="0"/>
                    <w:jc w:val="center"/>
                    <w:rPr>
                      <w:color w:val="000000"/>
                      <w:kern w:val="0"/>
                      <w:sz w:val="21"/>
                      <w:szCs w:val="21"/>
                      <w:lang w:bidi="ar"/>
                    </w:rPr>
                  </w:pPr>
                  <w:r>
                    <w:rPr>
                      <w:rFonts w:hint="eastAsia"/>
                      <w:color w:val="000000"/>
                      <w:kern w:val="0"/>
                      <w:sz w:val="21"/>
                      <w:szCs w:val="21"/>
                      <w:lang w:bidi="ar"/>
                    </w:rPr>
                    <w:t>突发环境事件应急预案编制</w:t>
                  </w:r>
                </w:p>
              </w:tc>
              <w:tc>
                <w:tcPr>
                  <w:tcW w:w="4521" w:type="dxa"/>
                  <w:gridSpan w:val="2"/>
                  <w:vAlign w:val="center"/>
                </w:tcPr>
                <w:p w14:paraId="186B3D25">
                  <w:pPr>
                    <w:wordWrap w:val="0"/>
                    <w:autoSpaceDE w:val="0"/>
                    <w:autoSpaceDN w:val="0"/>
                    <w:jc w:val="center"/>
                    <w:rPr>
                      <w:color w:val="000000"/>
                      <w:kern w:val="0"/>
                      <w:sz w:val="21"/>
                      <w:szCs w:val="21"/>
                      <w:lang w:bidi="ar"/>
                    </w:rPr>
                  </w:pPr>
                  <w:r>
                    <w:rPr>
                      <w:rFonts w:hint="eastAsia"/>
                      <w:color w:val="000000"/>
                      <w:kern w:val="0"/>
                      <w:sz w:val="21"/>
                      <w:szCs w:val="21"/>
                      <w:lang w:bidi="ar"/>
                    </w:rPr>
                    <w:t>备案编号：43090320220114X</w:t>
                  </w:r>
                </w:p>
              </w:tc>
              <w:tc>
                <w:tcPr>
                  <w:tcW w:w="1118" w:type="dxa"/>
                  <w:vAlign w:val="center"/>
                </w:tcPr>
                <w:p w14:paraId="65157507">
                  <w:pPr>
                    <w:wordWrap w:val="0"/>
                    <w:autoSpaceDE w:val="0"/>
                    <w:autoSpaceDN w:val="0"/>
                    <w:jc w:val="center"/>
                    <w:rPr>
                      <w:color w:val="000000"/>
                      <w:kern w:val="0"/>
                      <w:sz w:val="21"/>
                      <w:szCs w:val="21"/>
                      <w:lang w:bidi="ar"/>
                    </w:rPr>
                  </w:pPr>
                  <w:r>
                    <w:rPr>
                      <w:rFonts w:hint="eastAsia"/>
                      <w:color w:val="000000"/>
                      <w:kern w:val="0"/>
                      <w:sz w:val="21"/>
                      <w:szCs w:val="21"/>
                      <w:lang w:bidi="ar"/>
                    </w:rPr>
                    <w:t>2020年8月25日</w:t>
                  </w:r>
                </w:p>
              </w:tc>
            </w:tr>
            <w:tr w14:paraId="0DE30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18" w:type="dxa"/>
                  <w:vMerge w:val="continue"/>
                  <w:vAlign w:val="center"/>
                </w:tcPr>
                <w:p w14:paraId="02D30641">
                  <w:pPr>
                    <w:wordWrap w:val="0"/>
                    <w:autoSpaceDE w:val="0"/>
                    <w:autoSpaceDN w:val="0"/>
                    <w:jc w:val="center"/>
                    <w:rPr>
                      <w:color w:val="000000"/>
                      <w:kern w:val="0"/>
                      <w:sz w:val="21"/>
                      <w:szCs w:val="21"/>
                      <w:lang w:bidi="ar"/>
                    </w:rPr>
                  </w:pPr>
                </w:p>
              </w:tc>
              <w:tc>
                <w:tcPr>
                  <w:tcW w:w="1167" w:type="dxa"/>
                  <w:vAlign w:val="center"/>
                </w:tcPr>
                <w:p w14:paraId="74A3AEAC">
                  <w:pPr>
                    <w:wordWrap w:val="0"/>
                    <w:autoSpaceDE w:val="0"/>
                    <w:autoSpaceDN w:val="0"/>
                    <w:jc w:val="center"/>
                    <w:rPr>
                      <w:color w:val="000000"/>
                      <w:kern w:val="0"/>
                      <w:sz w:val="21"/>
                      <w:szCs w:val="21"/>
                      <w:lang w:bidi="ar"/>
                    </w:rPr>
                  </w:pPr>
                  <w:r>
                    <w:rPr>
                      <w:rFonts w:hint="eastAsia"/>
                      <w:color w:val="000000"/>
                      <w:kern w:val="0"/>
                      <w:sz w:val="21"/>
                      <w:szCs w:val="21"/>
                      <w:lang w:bidi="ar"/>
                    </w:rPr>
                    <w:t>竣工环境保护验收报告</w:t>
                  </w:r>
                </w:p>
              </w:tc>
              <w:tc>
                <w:tcPr>
                  <w:tcW w:w="3164" w:type="dxa"/>
                  <w:vAlign w:val="center"/>
                </w:tcPr>
                <w:p w14:paraId="46710320">
                  <w:pPr>
                    <w:wordWrap w:val="0"/>
                    <w:autoSpaceDE w:val="0"/>
                    <w:autoSpaceDN w:val="0"/>
                    <w:jc w:val="center"/>
                    <w:rPr>
                      <w:color w:val="000000"/>
                      <w:kern w:val="0"/>
                      <w:sz w:val="21"/>
                      <w:szCs w:val="21"/>
                      <w:lang w:bidi="ar"/>
                    </w:rPr>
                  </w:pPr>
                  <w:r>
                    <w:rPr>
                      <w:rFonts w:hint="eastAsia"/>
                      <w:color w:val="000000"/>
                      <w:kern w:val="0"/>
                      <w:sz w:val="21"/>
                      <w:szCs w:val="21"/>
                      <w:lang w:bidi="ar"/>
                    </w:rPr>
                    <w:t>《湖南凯祥金属结构有限公司年产5000吨钢结构立柱梁生产线建设项目竣工环境保护验收意见》</w:t>
                  </w:r>
                </w:p>
              </w:tc>
              <w:tc>
                <w:tcPr>
                  <w:tcW w:w="1357" w:type="dxa"/>
                  <w:vAlign w:val="center"/>
                </w:tcPr>
                <w:p w14:paraId="7891C48E">
                  <w:pPr>
                    <w:wordWrap w:val="0"/>
                    <w:autoSpaceDE w:val="0"/>
                    <w:autoSpaceDN w:val="0"/>
                    <w:jc w:val="center"/>
                    <w:rPr>
                      <w:color w:val="000000"/>
                      <w:kern w:val="0"/>
                      <w:sz w:val="21"/>
                      <w:szCs w:val="21"/>
                      <w:lang w:bidi="ar"/>
                    </w:rPr>
                  </w:pPr>
                  <w:r>
                    <w:rPr>
                      <w:rFonts w:hint="eastAsia"/>
                      <w:color w:val="000000"/>
                      <w:kern w:val="0"/>
                      <w:sz w:val="21"/>
                      <w:szCs w:val="21"/>
                      <w:lang w:bidi="ar"/>
                    </w:rPr>
                    <w:t>自主验收</w:t>
                  </w:r>
                </w:p>
              </w:tc>
              <w:tc>
                <w:tcPr>
                  <w:tcW w:w="1118" w:type="dxa"/>
                  <w:vAlign w:val="center"/>
                </w:tcPr>
                <w:p w14:paraId="0B2E64F0">
                  <w:pPr>
                    <w:wordWrap w:val="0"/>
                    <w:autoSpaceDE w:val="0"/>
                    <w:autoSpaceDN w:val="0"/>
                    <w:jc w:val="center"/>
                    <w:rPr>
                      <w:color w:val="000000"/>
                      <w:kern w:val="0"/>
                      <w:sz w:val="21"/>
                      <w:szCs w:val="21"/>
                      <w:lang w:bidi="ar"/>
                    </w:rPr>
                  </w:pPr>
                  <w:r>
                    <w:rPr>
                      <w:rFonts w:hint="eastAsia"/>
                      <w:color w:val="000000"/>
                      <w:kern w:val="0"/>
                      <w:sz w:val="21"/>
                      <w:szCs w:val="21"/>
                      <w:lang w:bidi="ar"/>
                    </w:rPr>
                    <w:t>2022年9月6日</w:t>
                  </w:r>
                </w:p>
              </w:tc>
            </w:tr>
          </w:tbl>
          <w:p w14:paraId="5A8F7790">
            <w:pPr>
              <w:pStyle w:val="29"/>
              <w:snapToGrid w:val="0"/>
              <w:ind w:firstLine="0" w:firstLineChars="0"/>
              <w:jc w:val="both"/>
              <w:rPr>
                <w:rFonts w:ascii="Times New Roman" w:eastAsia="宋体" w:cs="Times New Roman"/>
                <w:b/>
                <w:bCs/>
              </w:rPr>
            </w:pPr>
            <w:r>
              <w:rPr>
                <w:rFonts w:hint="eastAsia" w:ascii="Times New Roman" w:eastAsia="宋体" w:cs="Times New Roman"/>
                <w:b/>
                <w:bCs/>
              </w:rPr>
              <w:t>2、现有项目主要建设内容</w:t>
            </w:r>
          </w:p>
          <w:p w14:paraId="4CEABC7C">
            <w:pPr>
              <w:tabs>
                <w:tab w:val="left" w:pos="6111"/>
              </w:tabs>
              <w:wordWrap w:val="0"/>
              <w:autoSpaceDE w:val="0"/>
              <w:autoSpaceDN w:val="0"/>
              <w:adjustRightInd w:val="0"/>
              <w:snapToGrid w:val="0"/>
              <w:spacing w:line="360" w:lineRule="auto"/>
              <w:ind w:firstLine="480" w:firstLineChars="200"/>
              <w:rPr>
                <w:szCs w:val="21"/>
              </w:rPr>
            </w:pPr>
            <w:r>
              <w:rPr>
                <w:rFonts w:hint="eastAsia"/>
                <w:szCs w:val="21"/>
              </w:rPr>
              <w:t>现有项目主要建设内容见下表。</w:t>
            </w:r>
          </w:p>
          <w:p w14:paraId="644DAD79">
            <w:pPr>
              <w:jc w:val="center"/>
              <w:rPr>
                <w:b/>
                <w:bCs/>
                <w:color w:val="000000"/>
                <w:kern w:val="0"/>
                <w:lang w:bidi="ar"/>
              </w:rPr>
            </w:pPr>
            <w:r>
              <w:rPr>
                <w:rFonts w:hint="eastAsia"/>
                <w:b/>
                <w:bCs/>
                <w:color w:val="000000"/>
                <w:kern w:val="0"/>
                <w:lang w:bidi="ar"/>
              </w:rPr>
              <w:t>表</w:t>
            </w:r>
            <w:r>
              <w:rPr>
                <w:b/>
                <w:bCs/>
                <w:color w:val="000000"/>
                <w:kern w:val="0"/>
                <w:lang w:bidi="ar"/>
              </w:rPr>
              <w:t>2-</w:t>
            </w:r>
            <w:r>
              <w:rPr>
                <w:rFonts w:hint="eastAsia"/>
                <w:b/>
                <w:bCs/>
                <w:color w:val="000000"/>
                <w:kern w:val="0"/>
                <w:lang w:bidi="ar"/>
              </w:rPr>
              <w:t>9</w:t>
            </w:r>
            <w:r>
              <w:rPr>
                <w:b/>
                <w:bCs/>
                <w:color w:val="000000"/>
                <w:kern w:val="0"/>
                <w:lang w:bidi="ar"/>
              </w:rPr>
              <w:t xml:space="preserve">  </w:t>
            </w:r>
            <w:r>
              <w:rPr>
                <w:rFonts w:hint="eastAsia"/>
                <w:b/>
                <w:bCs/>
                <w:color w:val="000000"/>
                <w:kern w:val="0"/>
                <w:lang w:bidi="ar"/>
              </w:rPr>
              <w:t>现有项目主要建设内容一览表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483"/>
              <w:gridCol w:w="4997"/>
            </w:tblGrid>
            <w:tr w14:paraId="64702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Borders>
                    <w:tl2br w:val="nil"/>
                    <w:tr2bl w:val="nil"/>
                  </w:tcBorders>
                  <w:vAlign w:val="center"/>
                </w:tcPr>
                <w:p w14:paraId="1304DF4A">
                  <w:pPr>
                    <w:tabs>
                      <w:tab w:val="left" w:pos="0"/>
                      <w:tab w:val="left" w:pos="5940"/>
                    </w:tabs>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4143" w:type="pct"/>
                  <w:gridSpan w:val="2"/>
                  <w:tcBorders>
                    <w:tl2br w:val="nil"/>
                    <w:tr2bl w:val="nil"/>
                  </w:tcBorders>
                  <w:vAlign w:val="center"/>
                </w:tcPr>
                <w:p w14:paraId="3CF6D5AD">
                  <w:pPr>
                    <w:tabs>
                      <w:tab w:val="left" w:pos="0"/>
                      <w:tab w:val="left" w:pos="5940"/>
                    </w:tabs>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建设内容及规模</w:t>
                  </w:r>
                </w:p>
              </w:tc>
            </w:tr>
            <w:tr w14:paraId="6186A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7" w:type="pct"/>
                  <w:vMerge w:val="restart"/>
                  <w:tcBorders>
                    <w:tl2br w:val="nil"/>
                    <w:tr2bl w:val="nil"/>
                  </w:tcBorders>
                  <w:vAlign w:val="center"/>
                </w:tcPr>
                <w:p w14:paraId="3D649FF9">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主体工程</w:t>
                  </w:r>
                </w:p>
              </w:tc>
              <w:tc>
                <w:tcPr>
                  <w:tcW w:w="948" w:type="pct"/>
                  <w:tcBorders>
                    <w:tl2br w:val="nil"/>
                    <w:tr2bl w:val="nil"/>
                  </w:tcBorders>
                  <w:vAlign w:val="center"/>
                </w:tcPr>
                <w:p w14:paraId="5859E4E7">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切割区</w:t>
                  </w:r>
                </w:p>
              </w:tc>
              <w:tc>
                <w:tcPr>
                  <w:tcW w:w="3195" w:type="pct"/>
                  <w:tcBorders>
                    <w:tl2br w:val="nil"/>
                    <w:tr2bl w:val="nil"/>
                  </w:tcBorders>
                  <w:vAlign w:val="center"/>
                </w:tcPr>
                <w:p w14:paraId="0BAF5CC5">
                  <w:pPr>
                    <w:adjustRightInd w:val="0"/>
                    <w:snapToGrid w:val="0"/>
                    <w:jc w:val="center"/>
                    <w:rPr>
                      <w:color w:val="FF0000"/>
                      <w:sz w:val="21"/>
                      <w:szCs w:val="21"/>
                    </w:rPr>
                  </w:pPr>
                  <w:r>
                    <w:rPr>
                      <w:rFonts w:hint="eastAsia" w:ascii="宋体" w:hAnsi="宋体"/>
                      <w:color w:val="000000"/>
                      <w:sz w:val="21"/>
                      <w:szCs w:val="21"/>
                    </w:rPr>
                    <w:t>主要用于原料切割，面积：</w:t>
                  </w:r>
                  <w:r>
                    <w:rPr>
                      <w:color w:val="000000"/>
                      <w:sz w:val="21"/>
                      <w:szCs w:val="21"/>
                    </w:rPr>
                    <w:t>1500m</w:t>
                  </w:r>
                  <w:r>
                    <w:rPr>
                      <w:color w:val="000000"/>
                      <w:sz w:val="21"/>
                      <w:szCs w:val="21"/>
                      <w:vertAlign w:val="superscript"/>
                    </w:rPr>
                    <w:t>2</w:t>
                  </w:r>
                  <w:r>
                    <w:rPr>
                      <w:rFonts w:hint="eastAsia" w:ascii="宋体" w:hAnsi="宋体"/>
                      <w:color w:val="000000"/>
                      <w:sz w:val="21"/>
                      <w:szCs w:val="21"/>
                    </w:rPr>
                    <w:t>，</w:t>
                  </w:r>
                  <w:r>
                    <w:rPr>
                      <w:color w:val="000000"/>
                      <w:sz w:val="21"/>
                      <w:szCs w:val="21"/>
                    </w:rPr>
                    <w:t>1F</w:t>
                  </w:r>
                  <w:r>
                    <w:rPr>
                      <w:rFonts w:hint="eastAsia" w:ascii="宋体" w:hAnsi="宋体"/>
                      <w:color w:val="000000"/>
                      <w:sz w:val="21"/>
                      <w:szCs w:val="21"/>
                    </w:rPr>
                    <w:t>钢结构，层高</w:t>
                  </w:r>
                  <w:r>
                    <w:rPr>
                      <w:color w:val="000000"/>
                      <w:sz w:val="21"/>
                      <w:szCs w:val="21"/>
                    </w:rPr>
                    <w:t>10m</w:t>
                  </w:r>
                  <w:r>
                    <w:rPr>
                      <w:rFonts w:hint="eastAsia" w:ascii="宋体" w:hAnsi="宋体"/>
                      <w:color w:val="000000"/>
                      <w:sz w:val="21"/>
                      <w:szCs w:val="21"/>
                    </w:rPr>
                    <w:t>。</w:t>
                  </w:r>
                </w:p>
              </w:tc>
            </w:tr>
            <w:tr w14:paraId="5CD0E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7" w:type="pct"/>
                  <w:vMerge w:val="continue"/>
                  <w:tcBorders>
                    <w:tl2br w:val="nil"/>
                    <w:tr2bl w:val="nil"/>
                  </w:tcBorders>
                  <w:vAlign w:val="center"/>
                </w:tcPr>
                <w:p w14:paraId="05932761">
                  <w:pPr>
                    <w:adjustRightInd w:val="0"/>
                    <w:snapToGrid w:val="0"/>
                    <w:jc w:val="center"/>
                  </w:pPr>
                </w:p>
              </w:tc>
              <w:tc>
                <w:tcPr>
                  <w:tcW w:w="948" w:type="pct"/>
                  <w:tcBorders>
                    <w:tl2br w:val="nil"/>
                    <w:tr2bl w:val="nil"/>
                  </w:tcBorders>
                  <w:vAlign w:val="center"/>
                </w:tcPr>
                <w:p w14:paraId="795A646A">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组焊区</w:t>
                  </w:r>
                </w:p>
              </w:tc>
              <w:tc>
                <w:tcPr>
                  <w:tcW w:w="3195" w:type="pct"/>
                  <w:tcBorders>
                    <w:tl2br w:val="nil"/>
                    <w:tr2bl w:val="nil"/>
                  </w:tcBorders>
                  <w:vAlign w:val="center"/>
                </w:tcPr>
                <w:p w14:paraId="1BCB2ED8">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主要用于组装焊接，面积：</w:t>
                  </w:r>
                  <w:r>
                    <w:rPr>
                      <w:color w:val="000000"/>
                      <w:sz w:val="21"/>
                      <w:szCs w:val="21"/>
                    </w:rPr>
                    <w:t>1700m</w:t>
                  </w:r>
                  <w:r>
                    <w:rPr>
                      <w:color w:val="000000"/>
                      <w:sz w:val="21"/>
                      <w:szCs w:val="21"/>
                      <w:vertAlign w:val="superscript"/>
                    </w:rPr>
                    <w:t>2</w:t>
                  </w:r>
                  <w:r>
                    <w:rPr>
                      <w:rFonts w:hint="eastAsia" w:ascii="宋体" w:hAnsi="宋体"/>
                      <w:color w:val="000000"/>
                      <w:sz w:val="21"/>
                      <w:szCs w:val="21"/>
                    </w:rPr>
                    <w:t>，</w:t>
                  </w:r>
                  <w:r>
                    <w:rPr>
                      <w:color w:val="000000"/>
                      <w:sz w:val="21"/>
                      <w:szCs w:val="21"/>
                    </w:rPr>
                    <w:t>1F</w:t>
                  </w:r>
                  <w:r>
                    <w:rPr>
                      <w:rFonts w:hint="eastAsia" w:ascii="宋体" w:hAnsi="宋体"/>
                      <w:color w:val="000000"/>
                      <w:sz w:val="21"/>
                      <w:szCs w:val="21"/>
                    </w:rPr>
                    <w:t>钢结构，层高</w:t>
                  </w:r>
                  <w:r>
                    <w:rPr>
                      <w:color w:val="000000"/>
                      <w:sz w:val="21"/>
                      <w:szCs w:val="21"/>
                    </w:rPr>
                    <w:t>10m</w:t>
                  </w:r>
                  <w:r>
                    <w:rPr>
                      <w:rFonts w:hint="eastAsia" w:ascii="宋体" w:hAnsi="宋体"/>
                      <w:color w:val="000000"/>
                      <w:sz w:val="21"/>
                      <w:szCs w:val="21"/>
                    </w:rPr>
                    <w:t>。</w:t>
                  </w:r>
                </w:p>
              </w:tc>
            </w:tr>
            <w:tr w14:paraId="15AF8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7" w:type="pct"/>
                  <w:vMerge w:val="continue"/>
                  <w:tcBorders>
                    <w:tl2br w:val="nil"/>
                    <w:tr2bl w:val="nil"/>
                  </w:tcBorders>
                  <w:vAlign w:val="center"/>
                </w:tcPr>
                <w:p w14:paraId="54B530FE">
                  <w:pPr>
                    <w:adjustRightInd w:val="0"/>
                    <w:snapToGrid w:val="0"/>
                    <w:jc w:val="center"/>
                  </w:pPr>
                </w:p>
              </w:tc>
              <w:tc>
                <w:tcPr>
                  <w:tcW w:w="948" w:type="pct"/>
                  <w:tcBorders>
                    <w:tl2br w:val="nil"/>
                    <w:tr2bl w:val="nil"/>
                  </w:tcBorders>
                  <w:vAlign w:val="center"/>
                </w:tcPr>
                <w:p w14:paraId="46256BA5">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抛丸区</w:t>
                  </w:r>
                </w:p>
              </w:tc>
              <w:tc>
                <w:tcPr>
                  <w:tcW w:w="3195" w:type="pct"/>
                  <w:tcBorders>
                    <w:tl2br w:val="nil"/>
                    <w:tr2bl w:val="nil"/>
                  </w:tcBorders>
                  <w:vAlign w:val="center"/>
                </w:tcPr>
                <w:p w14:paraId="249F7DF2">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主要用于抛丸打磨，面积：</w:t>
                  </w:r>
                  <w:r>
                    <w:rPr>
                      <w:color w:val="000000"/>
                      <w:sz w:val="21"/>
                      <w:szCs w:val="21"/>
                    </w:rPr>
                    <w:t>600m</w:t>
                  </w:r>
                  <w:r>
                    <w:rPr>
                      <w:color w:val="000000"/>
                      <w:sz w:val="21"/>
                      <w:szCs w:val="21"/>
                      <w:vertAlign w:val="superscript"/>
                    </w:rPr>
                    <w:t>2</w:t>
                  </w:r>
                  <w:r>
                    <w:rPr>
                      <w:rFonts w:hint="eastAsia" w:ascii="宋体" w:hAnsi="宋体"/>
                      <w:color w:val="000000"/>
                      <w:sz w:val="21"/>
                      <w:szCs w:val="21"/>
                    </w:rPr>
                    <w:t>，</w:t>
                  </w:r>
                  <w:r>
                    <w:rPr>
                      <w:color w:val="000000"/>
                      <w:sz w:val="21"/>
                      <w:szCs w:val="21"/>
                    </w:rPr>
                    <w:t>1F</w:t>
                  </w:r>
                  <w:r>
                    <w:rPr>
                      <w:rFonts w:hint="eastAsia" w:ascii="宋体" w:hAnsi="宋体"/>
                      <w:color w:val="000000"/>
                      <w:sz w:val="21"/>
                      <w:szCs w:val="21"/>
                    </w:rPr>
                    <w:t>钢结构，层高</w:t>
                  </w:r>
                  <w:r>
                    <w:rPr>
                      <w:color w:val="000000"/>
                      <w:sz w:val="21"/>
                      <w:szCs w:val="21"/>
                    </w:rPr>
                    <w:t>10m</w:t>
                  </w:r>
                  <w:r>
                    <w:rPr>
                      <w:rFonts w:hint="eastAsia" w:ascii="宋体" w:hAnsi="宋体"/>
                      <w:color w:val="000000"/>
                      <w:sz w:val="21"/>
                      <w:szCs w:val="21"/>
                    </w:rPr>
                    <w:t>。</w:t>
                  </w:r>
                </w:p>
              </w:tc>
            </w:tr>
            <w:tr w14:paraId="4CB90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7" w:type="pct"/>
                  <w:vMerge w:val="continue"/>
                  <w:tcBorders>
                    <w:tl2br w:val="nil"/>
                    <w:tr2bl w:val="nil"/>
                  </w:tcBorders>
                  <w:vAlign w:val="center"/>
                </w:tcPr>
                <w:p w14:paraId="08F6F59E">
                  <w:pPr>
                    <w:adjustRightInd w:val="0"/>
                    <w:snapToGrid w:val="0"/>
                    <w:jc w:val="center"/>
                    <w:rPr>
                      <w:color w:val="000000" w:themeColor="text1"/>
                      <w:sz w:val="21"/>
                      <w:szCs w:val="21"/>
                      <w14:textFill>
                        <w14:solidFill>
                          <w14:schemeClr w14:val="tx1"/>
                        </w14:solidFill>
                      </w14:textFill>
                    </w:rPr>
                  </w:pPr>
                </w:p>
              </w:tc>
              <w:tc>
                <w:tcPr>
                  <w:tcW w:w="948" w:type="pct"/>
                  <w:tcBorders>
                    <w:tl2br w:val="nil"/>
                    <w:tr2bl w:val="nil"/>
                  </w:tcBorders>
                  <w:vAlign w:val="center"/>
                </w:tcPr>
                <w:p w14:paraId="053967B9">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喷涂区</w:t>
                  </w:r>
                </w:p>
              </w:tc>
              <w:tc>
                <w:tcPr>
                  <w:tcW w:w="3195" w:type="pct"/>
                  <w:tcBorders>
                    <w:tl2br w:val="nil"/>
                    <w:tr2bl w:val="nil"/>
                  </w:tcBorders>
                  <w:vAlign w:val="center"/>
                </w:tcPr>
                <w:p w14:paraId="064CD5F7">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主要用于表面涂装，面积：</w:t>
                  </w:r>
                  <w:r>
                    <w:rPr>
                      <w:color w:val="000000"/>
                      <w:sz w:val="21"/>
                      <w:szCs w:val="21"/>
                    </w:rPr>
                    <w:t>1000m</w:t>
                  </w:r>
                  <w:r>
                    <w:rPr>
                      <w:color w:val="000000"/>
                      <w:sz w:val="21"/>
                      <w:szCs w:val="21"/>
                      <w:vertAlign w:val="superscript"/>
                    </w:rPr>
                    <w:t>2</w:t>
                  </w:r>
                  <w:r>
                    <w:rPr>
                      <w:rFonts w:hint="eastAsia" w:ascii="宋体" w:hAnsi="宋体"/>
                      <w:color w:val="000000"/>
                      <w:sz w:val="21"/>
                      <w:szCs w:val="21"/>
                    </w:rPr>
                    <w:t>，</w:t>
                  </w:r>
                  <w:r>
                    <w:rPr>
                      <w:color w:val="000000"/>
                      <w:sz w:val="21"/>
                      <w:szCs w:val="21"/>
                    </w:rPr>
                    <w:t>1F</w:t>
                  </w:r>
                  <w:r>
                    <w:rPr>
                      <w:rFonts w:hint="eastAsia" w:ascii="宋体" w:hAnsi="宋体"/>
                      <w:color w:val="000000"/>
                      <w:sz w:val="21"/>
                      <w:szCs w:val="21"/>
                    </w:rPr>
                    <w:t>钢结构，层高</w:t>
                  </w:r>
                  <w:r>
                    <w:rPr>
                      <w:color w:val="000000"/>
                      <w:sz w:val="21"/>
                      <w:szCs w:val="21"/>
                    </w:rPr>
                    <w:t>10m</w:t>
                  </w:r>
                  <w:r>
                    <w:rPr>
                      <w:rFonts w:hint="eastAsia" w:ascii="宋体" w:hAnsi="宋体"/>
                      <w:color w:val="000000"/>
                      <w:sz w:val="21"/>
                      <w:szCs w:val="21"/>
                    </w:rPr>
                    <w:t>。</w:t>
                  </w:r>
                </w:p>
              </w:tc>
            </w:tr>
            <w:tr w14:paraId="27A90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7" w:type="pct"/>
                  <w:tcBorders>
                    <w:tl2br w:val="nil"/>
                    <w:tr2bl w:val="nil"/>
                  </w:tcBorders>
                  <w:vAlign w:val="center"/>
                </w:tcPr>
                <w:p w14:paraId="71A394CA">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辅助工程</w:t>
                  </w:r>
                </w:p>
              </w:tc>
              <w:tc>
                <w:tcPr>
                  <w:tcW w:w="948" w:type="pct"/>
                  <w:tcBorders>
                    <w:tl2br w:val="nil"/>
                    <w:tr2bl w:val="nil"/>
                  </w:tcBorders>
                  <w:vAlign w:val="center"/>
                </w:tcPr>
                <w:p w14:paraId="2B8FF55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办公区</w:t>
                  </w:r>
                </w:p>
              </w:tc>
              <w:tc>
                <w:tcPr>
                  <w:tcW w:w="3195" w:type="pct"/>
                  <w:tcBorders>
                    <w:tl2br w:val="nil"/>
                    <w:tr2bl w:val="nil"/>
                  </w:tcBorders>
                  <w:vAlign w:val="center"/>
                </w:tcPr>
                <w:p w14:paraId="4CC47428">
                  <w:pPr>
                    <w:pStyle w:val="45"/>
                    <w:spacing w:line="240" w:lineRule="auto"/>
                    <w:ind w:left="98" w:leftChars="41" w:firstLine="0" w:firstLineChars="0"/>
                    <w:contextualSpacing w:val="0"/>
                    <w:rPr>
                      <w:color w:val="000000"/>
                      <w:sz w:val="21"/>
                      <w:szCs w:val="21"/>
                    </w:rPr>
                  </w:pPr>
                  <w:r>
                    <w:rPr>
                      <w:rFonts w:hint="eastAsia" w:hAnsi="宋体"/>
                      <w:color w:val="000000"/>
                      <w:sz w:val="21"/>
                      <w:szCs w:val="21"/>
                    </w:rPr>
                    <w:t>该区域用于员工办公生活，面积：</w:t>
                  </w:r>
                  <w:r>
                    <w:rPr>
                      <w:rFonts w:ascii="Times New Roman"/>
                      <w:color w:val="000000"/>
                      <w:sz w:val="21"/>
                      <w:szCs w:val="21"/>
                    </w:rPr>
                    <w:t>500m</w:t>
                  </w:r>
                  <w:r>
                    <w:rPr>
                      <w:rFonts w:ascii="Times New Roman"/>
                      <w:color w:val="000000"/>
                      <w:sz w:val="21"/>
                      <w:szCs w:val="21"/>
                      <w:vertAlign w:val="superscript"/>
                    </w:rPr>
                    <w:t>2</w:t>
                  </w:r>
                  <w:r>
                    <w:rPr>
                      <w:rFonts w:hint="eastAsia" w:hAnsi="宋体"/>
                      <w:color w:val="000000"/>
                      <w:sz w:val="21"/>
                      <w:szCs w:val="21"/>
                    </w:rPr>
                    <w:t>，</w:t>
                  </w:r>
                  <w:r>
                    <w:rPr>
                      <w:rFonts w:ascii="Times New Roman"/>
                      <w:color w:val="000000"/>
                      <w:sz w:val="21"/>
                      <w:szCs w:val="21"/>
                    </w:rPr>
                    <w:t>2F</w:t>
                  </w:r>
                  <w:r>
                    <w:rPr>
                      <w:rFonts w:hint="eastAsia" w:hAnsi="宋体"/>
                      <w:color w:val="000000"/>
                      <w:sz w:val="21"/>
                      <w:szCs w:val="21"/>
                    </w:rPr>
                    <w:t>砖混结构，层高</w:t>
                  </w:r>
                  <w:r>
                    <w:rPr>
                      <w:rFonts w:ascii="Times New Roman"/>
                      <w:color w:val="000000"/>
                      <w:sz w:val="21"/>
                      <w:szCs w:val="21"/>
                    </w:rPr>
                    <w:t>6m</w:t>
                  </w:r>
                  <w:r>
                    <w:rPr>
                      <w:rFonts w:hint="eastAsia" w:hAnsi="宋体"/>
                      <w:color w:val="000000"/>
                      <w:sz w:val="21"/>
                      <w:szCs w:val="21"/>
                    </w:rPr>
                    <w:t>。</w:t>
                  </w:r>
                </w:p>
              </w:tc>
            </w:tr>
            <w:tr w14:paraId="701F7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7" w:type="pct"/>
                  <w:vMerge w:val="restart"/>
                  <w:tcBorders>
                    <w:tl2br w:val="nil"/>
                    <w:tr2bl w:val="nil"/>
                  </w:tcBorders>
                  <w:vAlign w:val="center"/>
                </w:tcPr>
                <w:p w14:paraId="19E66EAD">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储运工程</w:t>
                  </w:r>
                </w:p>
              </w:tc>
              <w:tc>
                <w:tcPr>
                  <w:tcW w:w="948" w:type="pct"/>
                  <w:tcBorders>
                    <w:tl2br w:val="nil"/>
                    <w:tr2bl w:val="nil"/>
                  </w:tcBorders>
                  <w:vAlign w:val="center"/>
                </w:tcPr>
                <w:p w14:paraId="3830A6BC">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成品区</w:t>
                  </w:r>
                </w:p>
              </w:tc>
              <w:tc>
                <w:tcPr>
                  <w:tcW w:w="3195" w:type="pct"/>
                  <w:tcBorders>
                    <w:tl2br w:val="nil"/>
                    <w:tr2bl w:val="nil"/>
                  </w:tcBorders>
                  <w:vAlign w:val="center"/>
                </w:tcPr>
                <w:p w14:paraId="3D794381">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该区域主要用于成品堆放，面积：</w:t>
                  </w:r>
                  <w:r>
                    <w:rPr>
                      <w:color w:val="000000"/>
                      <w:sz w:val="21"/>
                      <w:szCs w:val="21"/>
                    </w:rPr>
                    <w:t>1000m</w:t>
                  </w:r>
                  <w:r>
                    <w:rPr>
                      <w:color w:val="000000"/>
                      <w:sz w:val="21"/>
                      <w:szCs w:val="21"/>
                      <w:vertAlign w:val="superscript"/>
                    </w:rPr>
                    <w:t>2</w:t>
                  </w:r>
                  <w:r>
                    <w:rPr>
                      <w:rFonts w:hint="eastAsia" w:ascii="宋体" w:hAnsi="宋体"/>
                      <w:color w:val="000000"/>
                      <w:sz w:val="21"/>
                      <w:szCs w:val="21"/>
                    </w:rPr>
                    <w:t>，</w:t>
                  </w:r>
                  <w:r>
                    <w:rPr>
                      <w:color w:val="000000"/>
                      <w:sz w:val="21"/>
                      <w:szCs w:val="21"/>
                    </w:rPr>
                    <w:t>1F</w:t>
                  </w:r>
                  <w:r>
                    <w:rPr>
                      <w:rFonts w:hint="eastAsia" w:ascii="宋体" w:hAnsi="宋体"/>
                      <w:color w:val="000000"/>
                      <w:sz w:val="21"/>
                      <w:szCs w:val="21"/>
                    </w:rPr>
                    <w:t>钢结构，层高</w:t>
                  </w:r>
                  <w:r>
                    <w:rPr>
                      <w:color w:val="000000"/>
                      <w:sz w:val="21"/>
                      <w:szCs w:val="21"/>
                    </w:rPr>
                    <w:t>10m</w:t>
                  </w:r>
                  <w:r>
                    <w:rPr>
                      <w:rFonts w:hint="eastAsia" w:ascii="宋体" w:hAnsi="宋体"/>
                      <w:color w:val="000000"/>
                      <w:sz w:val="21"/>
                      <w:szCs w:val="21"/>
                    </w:rPr>
                    <w:t>。</w:t>
                  </w:r>
                </w:p>
              </w:tc>
            </w:tr>
            <w:tr w14:paraId="18DAF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7" w:type="pct"/>
                  <w:vMerge w:val="continue"/>
                  <w:tcBorders>
                    <w:tl2br w:val="nil"/>
                    <w:tr2bl w:val="nil"/>
                  </w:tcBorders>
                  <w:vAlign w:val="center"/>
                </w:tcPr>
                <w:p w14:paraId="01429FA2">
                  <w:pPr>
                    <w:adjustRightInd w:val="0"/>
                    <w:snapToGrid w:val="0"/>
                    <w:jc w:val="center"/>
                    <w:rPr>
                      <w:sz w:val="21"/>
                      <w:szCs w:val="21"/>
                    </w:rPr>
                  </w:pPr>
                </w:p>
              </w:tc>
              <w:tc>
                <w:tcPr>
                  <w:tcW w:w="948" w:type="pct"/>
                  <w:tcBorders>
                    <w:tl2br w:val="nil"/>
                    <w:tr2bl w:val="nil"/>
                  </w:tcBorders>
                  <w:vAlign w:val="center"/>
                </w:tcPr>
                <w:p w14:paraId="73F2AB57">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原料区</w:t>
                  </w:r>
                </w:p>
              </w:tc>
              <w:tc>
                <w:tcPr>
                  <w:tcW w:w="3195" w:type="pct"/>
                  <w:tcBorders>
                    <w:tl2br w:val="nil"/>
                    <w:tr2bl w:val="nil"/>
                  </w:tcBorders>
                  <w:vAlign w:val="center"/>
                </w:tcPr>
                <w:p w14:paraId="3FA4303A">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该区域主要用于原料堆放，面积：</w:t>
                  </w:r>
                  <w:r>
                    <w:rPr>
                      <w:color w:val="000000"/>
                      <w:sz w:val="21"/>
                      <w:szCs w:val="21"/>
                    </w:rPr>
                    <w:t>500m</w:t>
                  </w:r>
                  <w:r>
                    <w:rPr>
                      <w:color w:val="000000"/>
                      <w:sz w:val="21"/>
                      <w:szCs w:val="21"/>
                      <w:vertAlign w:val="superscript"/>
                    </w:rPr>
                    <w:t>2</w:t>
                  </w:r>
                  <w:r>
                    <w:rPr>
                      <w:rFonts w:hint="eastAsia" w:ascii="宋体" w:hAnsi="宋体"/>
                      <w:color w:val="000000"/>
                      <w:sz w:val="21"/>
                      <w:szCs w:val="21"/>
                    </w:rPr>
                    <w:t>，</w:t>
                  </w:r>
                  <w:r>
                    <w:rPr>
                      <w:color w:val="000000"/>
                      <w:sz w:val="21"/>
                      <w:szCs w:val="21"/>
                    </w:rPr>
                    <w:t>1F</w:t>
                  </w:r>
                  <w:r>
                    <w:rPr>
                      <w:rFonts w:hint="eastAsia" w:ascii="宋体" w:hAnsi="宋体"/>
                      <w:color w:val="000000"/>
                      <w:sz w:val="21"/>
                      <w:szCs w:val="21"/>
                    </w:rPr>
                    <w:t>钢结构，层高</w:t>
                  </w:r>
                  <w:r>
                    <w:rPr>
                      <w:color w:val="000000"/>
                      <w:sz w:val="21"/>
                      <w:szCs w:val="21"/>
                    </w:rPr>
                    <w:t>10m</w:t>
                  </w:r>
                  <w:r>
                    <w:rPr>
                      <w:rFonts w:hint="eastAsia" w:ascii="宋体" w:hAnsi="宋体"/>
                      <w:color w:val="000000"/>
                      <w:sz w:val="21"/>
                      <w:szCs w:val="21"/>
                    </w:rPr>
                    <w:t>。</w:t>
                  </w:r>
                </w:p>
              </w:tc>
            </w:tr>
            <w:tr w14:paraId="1E4D2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7" w:type="pct"/>
                  <w:vMerge w:val="restart"/>
                  <w:tcBorders>
                    <w:tl2br w:val="nil"/>
                    <w:tr2bl w:val="nil"/>
                  </w:tcBorders>
                  <w:vAlign w:val="center"/>
                </w:tcPr>
                <w:p w14:paraId="244009AA">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公用工程</w:t>
                  </w:r>
                </w:p>
              </w:tc>
              <w:tc>
                <w:tcPr>
                  <w:tcW w:w="948" w:type="pct"/>
                  <w:tcBorders>
                    <w:tl2br w:val="nil"/>
                    <w:tr2bl w:val="nil"/>
                  </w:tcBorders>
                  <w:vAlign w:val="center"/>
                </w:tcPr>
                <w:p w14:paraId="47BF76E1">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供电工程</w:t>
                  </w:r>
                </w:p>
              </w:tc>
              <w:tc>
                <w:tcPr>
                  <w:tcW w:w="3195" w:type="pct"/>
                  <w:tcBorders>
                    <w:tl2br w:val="nil"/>
                    <w:tr2bl w:val="nil"/>
                  </w:tcBorders>
                  <w:vAlign w:val="center"/>
                </w:tcPr>
                <w:p w14:paraId="17407174">
                  <w:pPr>
                    <w:tabs>
                      <w:tab w:val="left" w:pos="0"/>
                      <w:tab w:val="left" w:pos="5940"/>
                    </w:tabs>
                    <w:jc w:val="center"/>
                    <w:rPr>
                      <w:color w:val="000000" w:themeColor="text1"/>
                      <w:sz w:val="21"/>
                      <w:szCs w:val="21"/>
                      <w14:textFill>
                        <w14:solidFill>
                          <w14:schemeClr w14:val="tx1"/>
                        </w14:solidFill>
                      </w14:textFill>
                    </w:rPr>
                  </w:pPr>
                  <w:r>
                    <w:rPr>
                      <w:rFonts w:hint="eastAsia" w:ascii="宋体" w:hAnsi="宋体"/>
                      <w:color w:val="000000"/>
                      <w:sz w:val="21"/>
                      <w:szCs w:val="21"/>
                    </w:rPr>
                    <w:t>园区电网供应。</w:t>
                  </w:r>
                </w:p>
              </w:tc>
            </w:tr>
            <w:tr w14:paraId="32887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57" w:type="pct"/>
                  <w:vMerge w:val="continue"/>
                  <w:tcBorders>
                    <w:tl2br w:val="nil"/>
                    <w:tr2bl w:val="nil"/>
                  </w:tcBorders>
                  <w:vAlign w:val="center"/>
                </w:tcPr>
                <w:p w14:paraId="1218C359">
                  <w:pPr>
                    <w:adjustRightInd w:val="0"/>
                    <w:snapToGrid w:val="0"/>
                    <w:jc w:val="center"/>
                    <w:rPr>
                      <w:sz w:val="21"/>
                      <w:szCs w:val="21"/>
                    </w:rPr>
                  </w:pPr>
                </w:p>
              </w:tc>
              <w:tc>
                <w:tcPr>
                  <w:tcW w:w="948" w:type="pct"/>
                  <w:tcBorders>
                    <w:tl2br w:val="nil"/>
                    <w:tr2bl w:val="nil"/>
                  </w:tcBorders>
                  <w:vAlign w:val="center"/>
                </w:tcPr>
                <w:p w14:paraId="5B0ADE8F">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给水工程</w:t>
                  </w:r>
                </w:p>
              </w:tc>
              <w:tc>
                <w:tcPr>
                  <w:tcW w:w="3195" w:type="pct"/>
                  <w:tcBorders>
                    <w:tl2br w:val="nil"/>
                    <w:tr2bl w:val="nil"/>
                  </w:tcBorders>
                  <w:vAlign w:val="center"/>
                </w:tcPr>
                <w:p w14:paraId="4B08FAC0">
                  <w:pPr>
                    <w:tabs>
                      <w:tab w:val="left" w:pos="0"/>
                      <w:tab w:val="left" w:pos="5940"/>
                    </w:tabs>
                    <w:jc w:val="center"/>
                    <w:rPr>
                      <w:color w:val="000000" w:themeColor="text1"/>
                      <w:sz w:val="21"/>
                      <w:szCs w:val="21"/>
                      <w14:textFill>
                        <w14:solidFill>
                          <w14:schemeClr w14:val="tx1"/>
                        </w14:solidFill>
                      </w14:textFill>
                    </w:rPr>
                  </w:pPr>
                  <w:r>
                    <w:rPr>
                      <w:rFonts w:hint="eastAsia" w:ascii="宋体" w:hAnsi="宋体"/>
                      <w:color w:val="000000"/>
                      <w:sz w:val="21"/>
                      <w:szCs w:val="21"/>
                    </w:rPr>
                    <w:t>园区自来水管网供应。</w:t>
                  </w:r>
                </w:p>
              </w:tc>
            </w:tr>
            <w:tr w14:paraId="39A7A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57" w:type="pct"/>
                  <w:vMerge w:val="continue"/>
                  <w:tcBorders>
                    <w:tl2br w:val="nil"/>
                    <w:tr2bl w:val="nil"/>
                  </w:tcBorders>
                  <w:vAlign w:val="center"/>
                </w:tcPr>
                <w:p w14:paraId="38B0F190">
                  <w:pPr>
                    <w:adjustRightInd w:val="0"/>
                    <w:snapToGrid w:val="0"/>
                    <w:jc w:val="center"/>
                    <w:rPr>
                      <w:color w:val="000000" w:themeColor="text1"/>
                      <w:sz w:val="21"/>
                      <w:szCs w:val="21"/>
                      <w14:textFill>
                        <w14:solidFill>
                          <w14:schemeClr w14:val="tx1"/>
                        </w14:solidFill>
                      </w14:textFill>
                    </w:rPr>
                  </w:pPr>
                </w:p>
              </w:tc>
              <w:tc>
                <w:tcPr>
                  <w:tcW w:w="948" w:type="pct"/>
                  <w:tcBorders>
                    <w:tl2br w:val="nil"/>
                    <w:tr2bl w:val="nil"/>
                  </w:tcBorders>
                  <w:vAlign w:val="center"/>
                </w:tcPr>
                <w:p w14:paraId="772FE39F">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排水工程</w:t>
                  </w:r>
                </w:p>
              </w:tc>
              <w:tc>
                <w:tcPr>
                  <w:tcW w:w="3195" w:type="pct"/>
                  <w:tcBorders>
                    <w:tl2br w:val="nil"/>
                    <w:tr2bl w:val="nil"/>
                  </w:tcBorders>
                  <w:vAlign w:val="center"/>
                </w:tcPr>
                <w:p w14:paraId="033C4174">
                  <w:pPr>
                    <w:tabs>
                      <w:tab w:val="left" w:pos="0"/>
                      <w:tab w:val="left" w:pos="5940"/>
                    </w:tabs>
                    <w:jc w:val="center"/>
                    <w:rPr>
                      <w:color w:val="000000" w:themeColor="text1"/>
                      <w:sz w:val="21"/>
                      <w:szCs w:val="21"/>
                      <w14:textFill>
                        <w14:solidFill>
                          <w14:schemeClr w14:val="tx1"/>
                        </w14:solidFill>
                      </w14:textFill>
                    </w:rPr>
                  </w:pPr>
                  <w:r>
                    <w:rPr>
                      <w:rFonts w:hint="eastAsia" w:ascii="宋体" w:hAnsi="宋体"/>
                      <w:color w:val="000000"/>
                      <w:sz w:val="21"/>
                      <w:szCs w:val="21"/>
                    </w:rPr>
                    <w:t>采取雨污分流，生活污水经隔油化粪池处理后由园区污水管网排入益阳市衡龙新区污水处理厂集中处理。</w:t>
                  </w:r>
                </w:p>
              </w:tc>
            </w:tr>
            <w:tr w14:paraId="21D28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pct"/>
                  <w:vMerge w:val="restart"/>
                  <w:tcBorders>
                    <w:tl2br w:val="nil"/>
                    <w:tr2bl w:val="nil"/>
                  </w:tcBorders>
                  <w:vAlign w:val="center"/>
                </w:tcPr>
                <w:p w14:paraId="6FDE3BB1">
                  <w:pPr>
                    <w:tabs>
                      <w:tab w:val="left" w:pos="0"/>
                      <w:tab w:val="left" w:pos="5940"/>
                    </w:tabs>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环保工程</w:t>
                  </w:r>
                </w:p>
              </w:tc>
              <w:tc>
                <w:tcPr>
                  <w:tcW w:w="948" w:type="pct"/>
                  <w:vMerge w:val="restart"/>
                  <w:tcBorders>
                    <w:tl2br w:val="nil"/>
                    <w:tr2bl w:val="nil"/>
                  </w:tcBorders>
                  <w:vAlign w:val="center"/>
                </w:tcPr>
                <w:p w14:paraId="3BA4F7A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3195" w:type="pct"/>
                  <w:tcBorders>
                    <w:tl2br w:val="nil"/>
                    <w:tr2bl w:val="nil"/>
                  </w:tcBorders>
                  <w:vAlign w:val="center"/>
                </w:tcPr>
                <w:p w14:paraId="42BE83C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下料烟尘经加强车间通风处理后无组织排放</w:t>
                  </w:r>
                </w:p>
              </w:tc>
            </w:tr>
            <w:tr w14:paraId="4FC69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57" w:type="pct"/>
                  <w:vMerge w:val="continue"/>
                  <w:tcBorders>
                    <w:tl2br w:val="nil"/>
                    <w:tr2bl w:val="nil"/>
                  </w:tcBorders>
                  <w:vAlign w:val="center"/>
                </w:tcPr>
                <w:p w14:paraId="252AE500">
                  <w:pPr>
                    <w:adjustRightInd w:val="0"/>
                    <w:snapToGrid w:val="0"/>
                    <w:jc w:val="center"/>
                  </w:pPr>
                </w:p>
              </w:tc>
              <w:tc>
                <w:tcPr>
                  <w:tcW w:w="948" w:type="pct"/>
                  <w:vMerge w:val="continue"/>
                  <w:tcBorders>
                    <w:tl2br w:val="nil"/>
                    <w:tr2bl w:val="nil"/>
                  </w:tcBorders>
                  <w:vAlign w:val="center"/>
                </w:tcPr>
                <w:p w14:paraId="79A009B6">
                  <w:pPr>
                    <w:adjustRightInd w:val="0"/>
                    <w:snapToGrid w:val="0"/>
                    <w:jc w:val="center"/>
                  </w:pPr>
                </w:p>
              </w:tc>
              <w:tc>
                <w:tcPr>
                  <w:tcW w:w="3195" w:type="pct"/>
                  <w:tcBorders>
                    <w:tl2br w:val="nil"/>
                    <w:tr2bl w:val="nil"/>
                  </w:tcBorders>
                  <w:vAlign w:val="center"/>
                </w:tcPr>
                <w:p w14:paraId="0BA18DB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焊接烟尘经移动式焊接烟尘净化器处理后车间内无组织排放</w:t>
                  </w:r>
                </w:p>
              </w:tc>
            </w:tr>
            <w:tr w14:paraId="5B5F5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57" w:type="pct"/>
                  <w:vMerge w:val="continue"/>
                  <w:tcBorders>
                    <w:tl2br w:val="nil"/>
                    <w:tr2bl w:val="nil"/>
                  </w:tcBorders>
                  <w:vAlign w:val="center"/>
                </w:tcPr>
                <w:p w14:paraId="108496A2">
                  <w:pPr>
                    <w:adjustRightInd w:val="0"/>
                    <w:snapToGrid w:val="0"/>
                    <w:jc w:val="center"/>
                  </w:pPr>
                </w:p>
              </w:tc>
              <w:tc>
                <w:tcPr>
                  <w:tcW w:w="948" w:type="pct"/>
                  <w:vMerge w:val="continue"/>
                  <w:tcBorders>
                    <w:tl2br w:val="nil"/>
                    <w:tr2bl w:val="nil"/>
                  </w:tcBorders>
                  <w:vAlign w:val="center"/>
                </w:tcPr>
                <w:p w14:paraId="49937495">
                  <w:pPr>
                    <w:adjustRightInd w:val="0"/>
                    <w:snapToGrid w:val="0"/>
                    <w:jc w:val="center"/>
                  </w:pPr>
                </w:p>
              </w:tc>
              <w:tc>
                <w:tcPr>
                  <w:tcW w:w="3195" w:type="pct"/>
                  <w:tcBorders>
                    <w:tl2br w:val="nil"/>
                    <w:tr2bl w:val="nil"/>
                  </w:tcBorders>
                  <w:vAlign w:val="center"/>
                </w:tcPr>
                <w:p w14:paraId="38EC46A8">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抛丸粉尘经设备自带除尘设施处理后车间内无组织排放</w:t>
                  </w:r>
                </w:p>
              </w:tc>
            </w:tr>
            <w:tr w14:paraId="16976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57" w:type="pct"/>
                  <w:vMerge w:val="continue"/>
                  <w:tcBorders>
                    <w:tl2br w:val="nil"/>
                    <w:tr2bl w:val="nil"/>
                  </w:tcBorders>
                  <w:vAlign w:val="center"/>
                </w:tcPr>
                <w:p w14:paraId="74648B19">
                  <w:pPr>
                    <w:adjustRightInd w:val="0"/>
                    <w:snapToGrid w:val="0"/>
                    <w:jc w:val="center"/>
                  </w:pPr>
                </w:p>
              </w:tc>
              <w:tc>
                <w:tcPr>
                  <w:tcW w:w="948" w:type="pct"/>
                  <w:vMerge w:val="continue"/>
                  <w:tcBorders>
                    <w:tl2br w:val="nil"/>
                    <w:tr2bl w:val="nil"/>
                  </w:tcBorders>
                  <w:vAlign w:val="center"/>
                </w:tcPr>
                <w:p w14:paraId="503946D3">
                  <w:pPr>
                    <w:adjustRightInd w:val="0"/>
                    <w:snapToGrid w:val="0"/>
                    <w:jc w:val="center"/>
                  </w:pPr>
                </w:p>
              </w:tc>
              <w:tc>
                <w:tcPr>
                  <w:tcW w:w="3195" w:type="pct"/>
                  <w:tcBorders>
                    <w:tl2br w:val="nil"/>
                    <w:tr2bl w:val="nil"/>
                  </w:tcBorders>
                  <w:vAlign w:val="center"/>
                </w:tcPr>
                <w:p w14:paraId="405EF98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喷涂废气通过加强车间通风呈无组织排放</w:t>
                  </w:r>
                </w:p>
              </w:tc>
            </w:tr>
            <w:tr w14:paraId="23964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57" w:type="pct"/>
                  <w:vMerge w:val="continue"/>
                  <w:tcBorders>
                    <w:tl2br w:val="nil"/>
                    <w:tr2bl w:val="nil"/>
                  </w:tcBorders>
                  <w:vAlign w:val="center"/>
                </w:tcPr>
                <w:p w14:paraId="48619C08">
                  <w:pPr>
                    <w:adjustRightInd w:val="0"/>
                    <w:snapToGrid w:val="0"/>
                    <w:jc w:val="center"/>
                    <w:rPr>
                      <w:sz w:val="21"/>
                      <w:szCs w:val="21"/>
                    </w:rPr>
                  </w:pPr>
                </w:p>
              </w:tc>
              <w:tc>
                <w:tcPr>
                  <w:tcW w:w="948" w:type="pct"/>
                  <w:tcBorders>
                    <w:tl2br w:val="nil"/>
                    <w:tr2bl w:val="nil"/>
                  </w:tcBorders>
                  <w:vAlign w:val="center"/>
                </w:tcPr>
                <w:p w14:paraId="63ABBF90">
                  <w:pPr>
                    <w:pStyle w:val="31"/>
                  </w:pPr>
                  <w:r>
                    <w:rPr>
                      <w:rFonts w:hint="eastAsia" w:ascii="宋体" w:hAnsi="宋体"/>
                      <w:color w:val="000000"/>
                    </w:rPr>
                    <w:t>废水</w:t>
                  </w:r>
                </w:p>
              </w:tc>
              <w:tc>
                <w:tcPr>
                  <w:tcW w:w="3195" w:type="pct"/>
                  <w:tcBorders>
                    <w:tl2br w:val="nil"/>
                    <w:tr2bl w:val="nil"/>
                  </w:tcBorders>
                  <w:vAlign w:val="center"/>
                </w:tcPr>
                <w:p w14:paraId="4EE0DD4A">
                  <w:pPr>
                    <w:pStyle w:val="31"/>
                    <w:rPr>
                      <w:color w:val="000000" w:themeColor="text1"/>
                      <w:shd w:val="clear" w:color="auto" w:fill="FFFFFF"/>
                      <w14:textFill>
                        <w14:solidFill>
                          <w14:schemeClr w14:val="tx1"/>
                        </w14:solidFill>
                      </w14:textFill>
                    </w:rPr>
                  </w:pPr>
                  <w:r>
                    <w:rPr>
                      <w:rFonts w:hint="eastAsia" w:ascii="宋体" w:hAnsi="宋体"/>
                      <w:color w:val="000000"/>
                    </w:rPr>
                    <w:t>采取雨污分流，生活污水经隔油化粪池处理后由园区污水管网排入益阳市衡龙新区污水处理厂集中处理。</w:t>
                  </w:r>
                </w:p>
              </w:tc>
            </w:tr>
            <w:tr w14:paraId="5D4E9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7" w:type="pct"/>
                  <w:vMerge w:val="continue"/>
                  <w:tcBorders>
                    <w:tl2br w:val="nil"/>
                    <w:tr2bl w:val="nil"/>
                  </w:tcBorders>
                  <w:vAlign w:val="center"/>
                </w:tcPr>
                <w:p w14:paraId="566A91C8">
                  <w:pPr>
                    <w:adjustRightInd w:val="0"/>
                    <w:snapToGrid w:val="0"/>
                    <w:jc w:val="center"/>
                    <w:rPr>
                      <w:color w:val="000000" w:themeColor="text1"/>
                      <w:sz w:val="21"/>
                      <w:szCs w:val="21"/>
                      <w14:textFill>
                        <w14:solidFill>
                          <w14:schemeClr w14:val="tx1"/>
                        </w14:solidFill>
                      </w14:textFill>
                    </w:rPr>
                  </w:pPr>
                </w:p>
              </w:tc>
              <w:tc>
                <w:tcPr>
                  <w:tcW w:w="948" w:type="pct"/>
                  <w:tcBorders>
                    <w:tl2br w:val="nil"/>
                    <w:tr2bl w:val="nil"/>
                  </w:tcBorders>
                  <w:vAlign w:val="center"/>
                </w:tcPr>
                <w:p w14:paraId="51678A36">
                  <w:pPr>
                    <w:adjustRightInd w:val="0"/>
                    <w:snapToGrid w:val="0"/>
                    <w:jc w:val="center"/>
                    <w:rPr>
                      <w:sz w:val="21"/>
                      <w:szCs w:val="21"/>
                    </w:rPr>
                  </w:pPr>
                  <w:r>
                    <w:rPr>
                      <w:rFonts w:hint="eastAsia" w:ascii="宋体" w:hAnsi="宋体"/>
                      <w:color w:val="000000"/>
                      <w:sz w:val="21"/>
                      <w:szCs w:val="21"/>
                    </w:rPr>
                    <w:t>噪声</w:t>
                  </w:r>
                </w:p>
              </w:tc>
              <w:tc>
                <w:tcPr>
                  <w:tcW w:w="3195" w:type="pct"/>
                  <w:tcBorders>
                    <w:tl2br w:val="nil"/>
                    <w:tr2bl w:val="nil"/>
                  </w:tcBorders>
                  <w:vAlign w:val="center"/>
                </w:tcPr>
                <w:p w14:paraId="0C2E0A52">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选用低噪声设备，并采取减振、隔声等降噪措施。</w:t>
                  </w:r>
                </w:p>
              </w:tc>
            </w:tr>
            <w:tr w14:paraId="68180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857" w:type="pct"/>
                  <w:vMerge w:val="continue"/>
                  <w:tcBorders>
                    <w:tl2br w:val="nil"/>
                    <w:tr2bl w:val="nil"/>
                  </w:tcBorders>
                  <w:vAlign w:val="center"/>
                </w:tcPr>
                <w:p w14:paraId="2A1BBE14">
                  <w:pPr>
                    <w:adjustRightInd w:val="0"/>
                    <w:snapToGrid w:val="0"/>
                    <w:jc w:val="center"/>
                    <w:rPr>
                      <w:color w:val="000000" w:themeColor="text1"/>
                      <w:sz w:val="21"/>
                      <w:szCs w:val="21"/>
                      <w14:textFill>
                        <w14:solidFill>
                          <w14:schemeClr w14:val="tx1"/>
                        </w14:solidFill>
                      </w14:textFill>
                    </w:rPr>
                  </w:pPr>
                </w:p>
              </w:tc>
              <w:tc>
                <w:tcPr>
                  <w:tcW w:w="948" w:type="pct"/>
                  <w:tcBorders>
                    <w:tl2br w:val="nil"/>
                    <w:tr2bl w:val="nil"/>
                  </w:tcBorders>
                  <w:vAlign w:val="center"/>
                </w:tcPr>
                <w:p w14:paraId="0557CC27">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固废</w:t>
                  </w:r>
                </w:p>
              </w:tc>
              <w:tc>
                <w:tcPr>
                  <w:tcW w:w="3195" w:type="pct"/>
                  <w:tcBorders>
                    <w:tl2br w:val="nil"/>
                    <w:tr2bl w:val="nil"/>
                  </w:tcBorders>
                  <w:vAlign w:val="center"/>
                </w:tcPr>
                <w:p w14:paraId="143FA134">
                  <w:pPr>
                    <w:adjustRightInd w:val="0"/>
                    <w:snapToGrid w:val="0"/>
                    <w:jc w:val="center"/>
                    <w:rPr>
                      <w:color w:val="000000" w:themeColor="text1"/>
                      <w:sz w:val="21"/>
                      <w:szCs w:val="21"/>
                      <w14:textFill>
                        <w14:solidFill>
                          <w14:schemeClr w14:val="tx1"/>
                        </w14:solidFill>
                      </w14:textFill>
                    </w:rPr>
                  </w:pPr>
                  <w:r>
                    <w:rPr>
                      <w:rFonts w:hint="eastAsia" w:ascii="宋体" w:hAnsi="宋体"/>
                      <w:color w:val="000000"/>
                      <w:sz w:val="21"/>
                      <w:szCs w:val="21"/>
                    </w:rPr>
                    <w:t>一般固废分类收集后，定期由废品回收站回收；危险废物收集后暂存于厂区设置的危废暂存间，定期交由益阳绿芯环境资源有限公司外运安全处置；生活垃圾集中收集，由环卫部门统一清运处置。</w:t>
                  </w:r>
                </w:p>
              </w:tc>
            </w:tr>
          </w:tbl>
          <w:p w14:paraId="7C076BD3">
            <w:pPr>
              <w:pStyle w:val="29"/>
              <w:snapToGrid w:val="0"/>
              <w:ind w:firstLine="0" w:firstLineChars="0"/>
              <w:jc w:val="both"/>
              <w:rPr>
                <w:rFonts w:ascii="Times New Roman" w:eastAsia="宋体" w:cs="Times New Roman"/>
                <w:b/>
                <w:bCs/>
              </w:rPr>
            </w:pPr>
            <w:r>
              <w:rPr>
                <w:rFonts w:hint="eastAsia" w:ascii="Times New Roman" w:eastAsia="宋体" w:cs="Times New Roman"/>
                <w:b/>
                <w:bCs/>
              </w:rPr>
              <w:t>3、现有工程主要污染防治措施</w:t>
            </w:r>
          </w:p>
          <w:p w14:paraId="43C07863">
            <w:pPr>
              <w:pStyle w:val="29"/>
              <w:snapToGrid w:val="0"/>
              <w:ind w:firstLine="480"/>
              <w:jc w:val="both"/>
              <w:rPr>
                <w:rFonts w:hint="eastAsia" w:ascii="宋体" w:hAnsi="宋体" w:eastAsia="宋体" w:cs="宋体"/>
              </w:rPr>
            </w:pPr>
            <w:r>
              <w:rPr>
                <w:rFonts w:hint="eastAsia" w:ascii="宋体" w:hAnsi="宋体" w:eastAsia="宋体" w:cs="宋体"/>
              </w:rPr>
              <w:t>现有项目污染物产生情况及已采取的环保措施见下表。</w:t>
            </w:r>
          </w:p>
          <w:p w14:paraId="49D735D2">
            <w:pPr>
              <w:jc w:val="center"/>
              <w:rPr>
                <w:b/>
                <w:bCs/>
                <w:color w:val="000000"/>
                <w:kern w:val="0"/>
                <w:lang w:bidi="ar"/>
              </w:rPr>
            </w:pPr>
            <w:r>
              <w:rPr>
                <w:rFonts w:hint="eastAsia"/>
                <w:b/>
                <w:bCs/>
                <w:color w:val="000000"/>
                <w:kern w:val="0"/>
                <w:lang w:bidi="ar"/>
              </w:rPr>
              <w:t>表2-10  现有项目已采取的环保措施一览表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281"/>
              <w:gridCol w:w="1841"/>
              <w:gridCol w:w="2411"/>
              <w:gridCol w:w="1624"/>
            </w:tblGrid>
            <w:tr w14:paraId="5EC24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tcBorders>
                    <w:tl2br w:val="nil"/>
                    <w:tr2bl w:val="nil"/>
                  </w:tcBorders>
                  <w:vAlign w:val="center"/>
                </w:tcPr>
                <w:p w14:paraId="60389A8B">
                  <w:pPr>
                    <w:pStyle w:val="29"/>
                    <w:snapToGrid w:val="0"/>
                    <w:spacing w:line="240" w:lineRule="auto"/>
                    <w:ind w:firstLine="0" w:firstLineChars="0"/>
                    <w:jc w:val="center"/>
                    <w:rPr>
                      <w:rFonts w:ascii="Times New Roman" w:eastAsia="宋体" w:cs="Times New Roman"/>
                      <w:b/>
                      <w:bCs/>
                      <w:sz w:val="21"/>
                      <w:szCs w:val="21"/>
                    </w:rPr>
                  </w:pPr>
                  <w:r>
                    <w:rPr>
                      <w:rFonts w:hint="eastAsia" w:ascii="Times New Roman" w:eastAsia="宋体" w:cs="Times New Roman"/>
                      <w:b/>
                      <w:bCs/>
                      <w:sz w:val="21"/>
                      <w:szCs w:val="21"/>
                    </w:rPr>
                    <w:t>类别</w:t>
                  </w:r>
                </w:p>
              </w:tc>
              <w:tc>
                <w:tcPr>
                  <w:tcW w:w="819" w:type="pct"/>
                  <w:tcBorders>
                    <w:tl2br w:val="nil"/>
                    <w:tr2bl w:val="nil"/>
                  </w:tcBorders>
                  <w:vAlign w:val="center"/>
                </w:tcPr>
                <w:p w14:paraId="768DBDDB">
                  <w:pPr>
                    <w:pStyle w:val="29"/>
                    <w:snapToGrid w:val="0"/>
                    <w:spacing w:line="240" w:lineRule="auto"/>
                    <w:ind w:firstLine="0" w:firstLineChars="0"/>
                    <w:jc w:val="center"/>
                    <w:rPr>
                      <w:rFonts w:ascii="Times New Roman" w:eastAsia="宋体" w:cs="Times New Roman"/>
                      <w:b/>
                      <w:bCs/>
                      <w:sz w:val="21"/>
                      <w:szCs w:val="21"/>
                    </w:rPr>
                  </w:pPr>
                  <w:r>
                    <w:rPr>
                      <w:rFonts w:ascii="Times New Roman" w:eastAsia="宋体" w:cs="Times New Roman"/>
                      <w:b/>
                      <w:bCs/>
                      <w:sz w:val="21"/>
                      <w:szCs w:val="21"/>
                    </w:rPr>
                    <w:t>污染</w:t>
                  </w:r>
                  <w:r>
                    <w:rPr>
                      <w:rFonts w:hint="eastAsia" w:ascii="Times New Roman" w:eastAsia="宋体" w:cs="Times New Roman"/>
                      <w:b/>
                      <w:bCs/>
                      <w:sz w:val="21"/>
                      <w:szCs w:val="21"/>
                    </w:rPr>
                    <w:t>源</w:t>
                  </w:r>
                </w:p>
              </w:tc>
              <w:tc>
                <w:tcPr>
                  <w:tcW w:w="1177" w:type="pct"/>
                  <w:tcBorders>
                    <w:tl2br w:val="nil"/>
                    <w:tr2bl w:val="nil"/>
                  </w:tcBorders>
                  <w:vAlign w:val="center"/>
                </w:tcPr>
                <w:p w14:paraId="36B961F6">
                  <w:pPr>
                    <w:pStyle w:val="29"/>
                    <w:snapToGrid w:val="0"/>
                    <w:spacing w:line="240" w:lineRule="auto"/>
                    <w:ind w:firstLine="0" w:firstLineChars="0"/>
                    <w:jc w:val="center"/>
                    <w:rPr>
                      <w:rFonts w:ascii="Times New Roman" w:eastAsia="宋体" w:cs="Times New Roman"/>
                      <w:b/>
                      <w:bCs/>
                      <w:sz w:val="21"/>
                      <w:szCs w:val="21"/>
                    </w:rPr>
                  </w:pPr>
                  <w:r>
                    <w:rPr>
                      <w:rFonts w:hint="eastAsia" w:ascii="Times New Roman" w:eastAsia="宋体" w:cs="Times New Roman"/>
                      <w:b/>
                      <w:bCs/>
                      <w:sz w:val="21"/>
                      <w:szCs w:val="21"/>
                    </w:rPr>
                    <w:t>主要污染物</w:t>
                  </w:r>
                </w:p>
              </w:tc>
              <w:tc>
                <w:tcPr>
                  <w:tcW w:w="1541" w:type="pct"/>
                  <w:tcBorders>
                    <w:tl2br w:val="nil"/>
                    <w:tr2bl w:val="nil"/>
                  </w:tcBorders>
                  <w:vAlign w:val="center"/>
                </w:tcPr>
                <w:p w14:paraId="00EFE753">
                  <w:pPr>
                    <w:pStyle w:val="29"/>
                    <w:snapToGrid w:val="0"/>
                    <w:spacing w:line="240" w:lineRule="auto"/>
                    <w:ind w:firstLine="0" w:firstLineChars="0"/>
                    <w:jc w:val="center"/>
                    <w:rPr>
                      <w:rFonts w:ascii="Times New Roman" w:eastAsia="宋体" w:cs="Times New Roman"/>
                      <w:b/>
                      <w:bCs/>
                      <w:sz w:val="21"/>
                      <w:szCs w:val="21"/>
                    </w:rPr>
                  </w:pPr>
                  <w:r>
                    <w:rPr>
                      <w:rFonts w:hint="eastAsia" w:ascii="Times New Roman" w:eastAsia="宋体" w:cs="Times New Roman"/>
                      <w:b/>
                      <w:bCs/>
                      <w:sz w:val="21"/>
                      <w:szCs w:val="21"/>
                    </w:rPr>
                    <w:t>污染防治措施</w:t>
                  </w:r>
                </w:p>
              </w:tc>
              <w:tc>
                <w:tcPr>
                  <w:tcW w:w="1038" w:type="pct"/>
                  <w:tcBorders>
                    <w:tl2br w:val="nil"/>
                    <w:tr2bl w:val="nil"/>
                  </w:tcBorders>
                  <w:vAlign w:val="center"/>
                </w:tcPr>
                <w:p w14:paraId="0E89FD2C">
                  <w:pPr>
                    <w:pStyle w:val="29"/>
                    <w:snapToGrid w:val="0"/>
                    <w:spacing w:line="240" w:lineRule="auto"/>
                    <w:ind w:firstLine="0" w:firstLineChars="0"/>
                    <w:jc w:val="center"/>
                    <w:rPr>
                      <w:rFonts w:ascii="Times New Roman" w:eastAsia="宋体" w:cs="Times New Roman"/>
                      <w:b/>
                      <w:bCs/>
                      <w:sz w:val="21"/>
                      <w:szCs w:val="21"/>
                    </w:rPr>
                  </w:pPr>
                  <w:r>
                    <w:rPr>
                      <w:rFonts w:hint="eastAsia" w:ascii="Times New Roman" w:eastAsia="宋体" w:cs="Times New Roman"/>
                      <w:b/>
                      <w:bCs/>
                      <w:sz w:val="21"/>
                      <w:szCs w:val="21"/>
                    </w:rPr>
                    <w:t>排放方式</w:t>
                  </w:r>
                </w:p>
              </w:tc>
            </w:tr>
            <w:tr w14:paraId="54035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24" w:type="pct"/>
                  <w:vMerge w:val="restart"/>
                  <w:tcBorders>
                    <w:tl2br w:val="nil"/>
                    <w:tr2bl w:val="nil"/>
                  </w:tcBorders>
                  <w:vAlign w:val="center"/>
                </w:tcPr>
                <w:p w14:paraId="5E0F9142">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废气</w:t>
                  </w:r>
                </w:p>
              </w:tc>
              <w:tc>
                <w:tcPr>
                  <w:tcW w:w="819" w:type="pct"/>
                  <w:tcBorders>
                    <w:tl2br w:val="nil"/>
                    <w:tr2bl w:val="nil"/>
                  </w:tcBorders>
                  <w:vAlign w:val="center"/>
                </w:tcPr>
                <w:p w14:paraId="1644899D">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切割</w:t>
                  </w:r>
                </w:p>
              </w:tc>
              <w:tc>
                <w:tcPr>
                  <w:tcW w:w="1177" w:type="pct"/>
                  <w:tcBorders>
                    <w:tl2br w:val="nil"/>
                    <w:tr2bl w:val="nil"/>
                  </w:tcBorders>
                  <w:vAlign w:val="center"/>
                </w:tcPr>
                <w:p w14:paraId="5E601071">
                  <w:pPr>
                    <w:autoSpaceDE w:val="0"/>
                    <w:autoSpaceDN w:val="0"/>
                    <w:adjustRightInd w:val="0"/>
                    <w:snapToGrid w:val="0"/>
                    <w:jc w:val="center"/>
                    <w:rPr>
                      <w:sz w:val="21"/>
                      <w:szCs w:val="21"/>
                    </w:rPr>
                  </w:pPr>
                  <w:r>
                    <w:rPr>
                      <w:rFonts w:hint="eastAsia"/>
                      <w:sz w:val="21"/>
                      <w:szCs w:val="21"/>
                    </w:rPr>
                    <w:t>颗粒物</w:t>
                  </w:r>
                </w:p>
              </w:tc>
              <w:tc>
                <w:tcPr>
                  <w:tcW w:w="1541" w:type="pct"/>
                  <w:tcBorders>
                    <w:tl2br w:val="nil"/>
                    <w:tr2bl w:val="nil"/>
                  </w:tcBorders>
                  <w:vAlign w:val="center"/>
                </w:tcPr>
                <w:p w14:paraId="2663B909">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封闭车间</w:t>
                  </w:r>
                </w:p>
              </w:tc>
              <w:tc>
                <w:tcPr>
                  <w:tcW w:w="1038" w:type="pct"/>
                  <w:tcBorders>
                    <w:tl2br w:val="nil"/>
                    <w:tr2bl w:val="nil"/>
                  </w:tcBorders>
                  <w:vAlign w:val="center"/>
                </w:tcPr>
                <w:p w14:paraId="5ABE5D05">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无组织排放</w:t>
                  </w:r>
                </w:p>
              </w:tc>
            </w:tr>
            <w:tr w14:paraId="329F6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vMerge w:val="continue"/>
                  <w:tcBorders>
                    <w:tl2br w:val="nil"/>
                    <w:tr2bl w:val="nil"/>
                  </w:tcBorders>
                  <w:vAlign w:val="center"/>
                </w:tcPr>
                <w:p w14:paraId="205FBF0B">
                  <w:pPr>
                    <w:pStyle w:val="29"/>
                    <w:snapToGrid w:val="0"/>
                    <w:spacing w:line="240" w:lineRule="auto"/>
                    <w:ind w:firstLine="0" w:firstLineChars="0"/>
                    <w:jc w:val="center"/>
                  </w:pPr>
                </w:p>
              </w:tc>
              <w:tc>
                <w:tcPr>
                  <w:tcW w:w="819" w:type="pct"/>
                  <w:tcBorders>
                    <w:tl2br w:val="nil"/>
                    <w:tr2bl w:val="nil"/>
                  </w:tcBorders>
                  <w:vAlign w:val="center"/>
                </w:tcPr>
                <w:p w14:paraId="1430C624">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焊接</w:t>
                  </w:r>
                </w:p>
              </w:tc>
              <w:tc>
                <w:tcPr>
                  <w:tcW w:w="1177" w:type="pct"/>
                  <w:tcBorders>
                    <w:tl2br w:val="nil"/>
                    <w:tr2bl w:val="nil"/>
                  </w:tcBorders>
                  <w:vAlign w:val="center"/>
                </w:tcPr>
                <w:p w14:paraId="2E2E0EF2">
                  <w:pPr>
                    <w:autoSpaceDE w:val="0"/>
                    <w:autoSpaceDN w:val="0"/>
                    <w:adjustRightInd w:val="0"/>
                    <w:snapToGrid w:val="0"/>
                    <w:jc w:val="center"/>
                    <w:rPr>
                      <w:sz w:val="21"/>
                      <w:szCs w:val="21"/>
                    </w:rPr>
                  </w:pPr>
                  <w:r>
                    <w:rPr>
                      <w:rFonts w:hint="eastAsia"/>
                      <w:sz w:val="21"/>
                      <w:szCs w:val="21"/>
                    </w:rPr>
                    <w:t>颗粒物</w:t>
                  </w:r>
                </w:p>
              </w:tc>
              <w:tc>
                <w:tcPr>
                  <w:tcW w:w="1541" w:type="pct"/>
                  <w:tcBorders>
                    <w:tl2br w:val="nil"/>
                    <w:tr2bl w:val="nil"/>
                  </w:tcBorders>
                  <w:vAlign w:val="center"/>
                </w:tcPr>
                <w:p w14:paraId="380038C6">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封闭车间</w:t>
                  </w:r>
                </w:p>
              </w:tc>
              <w:tc>
                <w:tcPr>
                  <w:tcW w:w="1038" w:type="pct"/>
                  <w:tcBorders>
                    <w:tl2br w:val="nil"/>
                    <w:tr2bl w:val="nil"/>
                  </w:tcBorders>
                  <w:vAlign w:val="center"/>
                </w:tcPr>
                <w:p w14:paraId="7B8EDC1E">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无组织排放</w:t>
                  </w:r>
                </w:p>
              </w:tc>
            </w:tr>
            <w:tr w14:paraId="0F3F4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24" w:type="pct"/>
                  <w:vMerge w:val="continue"/>
                  <w:tcBorders>
                    <w:tl2br w:val="nil"/>
                    <w:tr2bl w:val="nil"/>
                  </w:tcBorders>
                  <w:vAlign w:val="center"/>
                </w:tcPr>
                <w:p w14:paraId="27A903F5">
                  <w:pPr>
                    <w:pStyle w:val="29"/>
                    <w:snapToGrid w:val="0"/>
                    <w:spacing w:line="240" w:lineRule="auto"/>
                    <w:ind w:firstLine="0" w:firstLineChars="0"/>
                    <w:jc w:val="center"/>
                    <w:rPr>
                      <w:rFonts w:ascii="Times New Roman" w:eastAsia="宋体" w:cs="Times New Roman"/>
                      <w:sz w:val="21"/>
                      <w:szCs w:val="21"/>
                    </w:rPr>
                  </w:pPr>
                </w:p>
              </w:tc>
              <w:tc>
                <w:tcPr>
                  <w:tcW w:w="819" w:type="pct"/>
                  <w:tcBorders>
                    <w:tl2br w:val="nil"/>
                    <w:tr2bl w:val="nil"/>
                  </w:tcBorders>
                  <w:vAlign w:val="center"/>
                </w:tcPr>
                <w:p w14:paraId="1A0993FD">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抛丸</w:t>
                  </w:r>
                </w:p>
              </w:tc>
              <w:tc>
                <w:tcPr>
                  <w:tcW w:w="1177" w:type="pct"/>
                  <w:tcBorders>
                    <w:tl2br w:val="nil"/>
                    <w:tr2bl w:val="nil"/>
                  </w:tcBorders>
                  <w:vAlign w:val="center"/>
                </w:tcPr>
                <w:p w14:paraId="7C7F1D69">
                  <w:pPr>
                    <w:autoSpaceDE w:val="0"/>
                    <w:autoSpaceDN w:val="0"/>
                    <w:adjustRightInd w:val="0"/>
                    <w:snapToGrid w:val="0"/>
                    <w:jc w:val="center"/>
                    <w:rPr>
                      <w:sz w:val="21"/>
                      <w:szCs w:val="21"/>
                    </w:rPr>
                  </w:pPr>
                  <w:r>
                    <w:rPr>
                      <w:rFonts w:hint="eastAsia"/>
                      <w:sz w:val="21"/>
                      <w:szCs w:val="21"/>
                    </w:rPr>
                    <w:t>颗粒物</w:t>
                  </w:r>
                </w:p>
              </w:tc>
              <w:tc>
                <w:tcPr>
                  <w:tcW w:w="1541" w:type="pct"/>
                  <w:tcBorders>
                    <w:tl2br w:val="nil"/>
                    <w:tr2bl w:val="nil"/>
                  </w:tcBorders>
                  <w:vAlign w:val="center"/>
                </w:tcPr>
                <w:p w14:paraId="33983071">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抛丸机自带除尘设施</w:t>
                  </w:r>
                </w:p>
              </w:tc>
              <w:tc>
                <w:tcPr>
                  <w:tcW w:w="1038" w:type="pct"/>
                  <w:tcBorders>
                    <w:tl2br w:val="nil"/>
                    <w:tr2bl w:val="nil"/>
                  </w:tcBorders>
                  <w:vAlign w:val="center"/>
                </w:tcPr>
                <w:p w14:paraId="70873D15">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无组织排放</w:t>
                  </w:r>
                </w:p>
              </w:tc>
            </w:tr>
            <w:tr w14:paraId="3016F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4" w:type="pct"/>
                  <w:vMerge w:val="continue"/>
                  <w:tcBorders>
                    <w:tl2br w:val="nil"/>
                    <w:tr2bl w:val="nil"/>
                  </w:tcBorders>
                  <w:vAlign w:val="center"/>
                </w:tcPr>
                <w:p w14:paraId="0A83B5EC">
                  <w:pPr>
                    <w:pStyle w:val="29"/>
                    <w:snapToGrid w:val="0"/>
                    <w:spacing w:line="240" w:lineRule="auto"/>
                    <w:ind w:firstLine="0" w:firstLineChars="0"/>
                    <w:jc w:val="center"/>
                    <w:rPr>
                      <w:rFonts w:ascii="Times New Roman" w:eastAsia="宋体" w:cs="Times New Roman"/>
                      <w:sz w:val="21"/>
                      <w:szCs w:val="21"/>
                    </w:rPr>
                  </w:pPr>
                </w:p>
              </w:tc>
              <w:tc>
                <w:tcPr>
                  <w:tcW w:w="819" w:type="pct"/>
                  <w:vMerge w:val="restart"/>
                  <w:tcBorders>
                    <w:tl2br w:val="nil"/>
                    <w:tr2bl w:val="nil"/>
                  </w:tcBorders>
                  <w:vAlign w:val="center"/>
                </w:tcPr>
                <w:p w14:paraId="79E6C325">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喷漆</w:t>
                  </w:r>
                </w:p>
              </w:tc>
              <w:tc>
                <w:tcPr>
                  <w:tcW w:w="1177" w:type="pct"/>
                  <w:tcBorders>
                    <w:tl2br w:val="nil"/>
                    <w:tr2bl w:val="nil"/>
                  </w:tcBorders>
                  <w:vAlign w:val="center"/>
                </w:tcPr>
                <w:p w14:paraId="24D96D49">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颗粒物</w:t>
                  </w:r>
                </w:p>
              </w:tc>
              <w:tc>
                <w:tcPr>
                  <w:tcW w:w="1541" w:type="pct"/>
                  <w:vMerge w:val="restart"/>
                  <w:tcBorders>
                    <w:tl2br w:val="nil"/>
                    <w:tr2bl w:val="nil"/>
                  </w:tcBorders>
                  <w:vAlign w:val="center"/>
                </w:tcPr>
                <w:p w14:paraId="44425353">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封闭车间</w:t>
                  </w:r>
                </w:p>
              </w:tc>
              <w:tc>
                <w:tcPr>
                  <w:tcW w:w="1038" w:type="pct"/>
                  <w:vMerge w:val="restart"/>
                  <w:tcBorders>
                    <w:tl2br w:val="nil"/>
                    <w:tr2bl w:val="nil"/>
                  </w:tcBorders>
                  <w:vAlign w:val="center"/>
                </w:tcPr>
                <w:p w14:paraId="3F836DC5">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无组织排放</w:t>
                  </w:r>
                </w:p>
              </w:tc>
            </w:tr>
            <w:tr w14:paraId="34411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4" w:type="pct"/>
                  <w:vMerge w:val="continue"/>
                  <w:tcBorders>
                    <w:tl2br w:val="nil"/>
                    <w:tr2bl w:val="nil"/>
                  </w:tcBorders>
                  <w:vAlign w:val="center"/>
                </w:tcPr>
                <w:p w14:paraId="7C220100">
                  <w:pPr>
                    <w:pStyle w:val="29"/>
                    <w:snapToGrid w:val="0"/>
                    <w:spacing w:line="240" w:lineRule="auto"/>
                    <w:ind w:firstLine="0" w:firstLineChars="0"/>
                    <w:jc w:val="center"/>
                  </w:pPr>
                </w:p>
              </w:tc>
              <w:tc>
                <w:tcPr>
                  <w:tcW w:w="819" w:type="pct"/>
                  <w:vMerge w:val="continue"/>
                  <w:tcBorders>
                    <w:tl2br w:val="nil"/>
                    <w:tr2bl w:val="nil"/>
                  </w:tcBorders>
                  <w:vAlign w:val="center"/>
                </w:tcPr>
                <w:p w14:paraId="3F8D67D8">
                  <w:pPr>
                    <w:pStyle w:val="29"/>
                    <w:snapToGrid w:val="0"/>
                    <w:spacing w:line="240" w:lineRule="auto"/>
                    <w:ind w:firstLine="0" w:firstLineChars="0"/>
                    <w:jc w:val="center"/>
                  </w:pPr>
                </w:p>
              </w:tc>
              <w:tc>
                <w:tcPr>
                  <w:tcW w:w="1177" w:type="pct"/>
                  <w:tcBorders>
                    <w:tl2br w:val="nil"/>
                    <w:tr2bl w:val="nil"/>
                  </w:tcBorders>
                  <w:vAlign w:val="center"/>
                </w:tcPr>
                <w:p w14:paraId="2ED59346">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非甲烷总烃</w:t>
                  </w:r>
                </w:p>
              </w:tc>
              <w:tc>
                <w:tcPr>
                  <w:tcW w:w="1541" w:type="pct"/>
                  <w:vMerge w:val="continue"/>
                  <w:tcBorders>
                    <w:tl2br w:val="nil"/>
                    <w:tr2bl w:val="nil"/>
                  </w:tcBorders>
                  <w:vAlign w:val="center"/>
                </w:tcPr>
                <w:p w14:paraId="527FBB0C">
                  <w:pPr>
                    <w:pStyle w:val="29"/>
                    <w:snapToGrid w:val="0"/>
                    <w:spacing w:line="240" w:lineRule="auto"/>
                    <w:ind w:firstLine="0" w:firstLineChars="0"/>
                    <w:jc w:val="center"/>
                    <w:rPr>
                      <w:rFonts w:ascii="Times New Roman" w:eastAsia="宋体" w:cs="Times New Roman"/>
                      <w:sz w:val="21"/>
                      <w:szCs w:val="21"/>
                    </w:rPr>
                  </w:pPr>
                </w:p>
              </w:tc>
              <w:tc>
                <w:tcPr>
                  <w:tcW w:w="1038" w:type="pct"/>
                  <w:vMerge w:val="continue"/>
                  <w:tcBorders>
                    <w:tl2br w:val="nil"/>
                    <w:tr2bl w:val="nil"/>
                  </w:tcBorders>
                  <w:vAlign w:val="center"/>
                </w:tcPr>
                <w:p w14:paraId="0937944E">
                  <w:pPr>
                    <w:pStyle w:val="29"/>
                    <w:snapToGrid w:val="0"/>
                    <w:spacing w:line="240" w:lineRule="auto"/>
                    <w:ind w:firstLine="0" w:firstLineChars="0"/>
                    <w:jc w:val="center"/>
                    <w:rPr>
                      <w:rFonts w:ascii="Times New Roman" w:eastAsia="宋体" w:cs="Times New Roman"/>
                      <w:sz w:val="21"/>
                      <w:szCs w:val="21"/>
                    </w:rPr>
                  </w:pPr>
                </w:p>
              </w:tc>
            </w:tr>
            <w:tr w14:paraId="024E0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24" w:type="pct"/>
                  <w:tcBorders>
                    <w:tl2br w:val="nil"/>
                    <w:tr2bl w:val="nil"/>
                  </w:tcBorders>
                  <w:vAlign w:val="center"/>
                </w:tcPr>
                <w:p w14:paraId="405F623B">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废水</w:t>
                  </w:r>
                </w:p>
              </w:tc>
              <w:tc>
                <w:tcPr>
                  <w:tcW w:w="819" w:type="pct"/>
                  <w:tcBorders>
                    <w:tl2br w:val="nil"/>
                    <w:tr2bl w:val="nil"/>
                  </w:tcBorders>
                  <w:vAlign w:val="center"/>
                </w:tcPr>
                <w:p w14:paraId="26483B2A">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生活污水</w:t>
                  </w:r>
                </w:p>
              </w:tc>
              <w:tc>
                <w:tcPr>
                  <w:tcW w:w="1177" w:type="pct"/>
                  <w:tcBorders>
                    <w:tl2br w:val="nil"/>
                    <w:tr2bl w:val="nil"/>
                  </w:tcBorders>
                  <w:vAlign w:val="center"/>
                </w:tcPr>
                <w:p w14:paraId="3C1289E8">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CODcr、BOD</w:t>
                  </w:r>
                  <w:r>
                    <w:rPr>
                      <w:rFonts w:ascii="Times New Roman" w:eastAsia="宋体" w:cs="Times New Roman"/>
                      <w:sz w:val="21"/>
                      <w:szCs w:val="21"/>
                      <w:vertAlign w:val="subscript"/>
                    </w:rPr>
                    <w:t>5</w:t>
                  </w:r>
                  <w:r>
                    <w:rPr>
                      <w:rFonts w:ascii="Times New Roman" w:eastAsia="宋体" w:cs="Times New Roman"/>
                      <w:sz w:val="21"/>
                      <w:szCs w:val="21"/>
                    </w:rPr>
                    <w:t>、SS、氨氮</w:t>
                  </w:r>
                </w:p>
              </w:tc>
              <w:tc>
                <w:tcPr>
                  <w:tcW w:w="1541" w:type="pct"/>
                  <w:tcBorders>
                    <w:tl2br w:val="nil"/>
                    <w:tr2bl w:val="nil"/>
                  </w:tcBorders>
                  <w:vAlign w:val="center"/>
                </w:tcPr>
                <w:p w14:paraId="2E416658">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化粪池</w:t>
                  </w:r>
                </w:p>
              </w:tc>
              <w:tc>
                <w:tcPr>
                  <w:tcW w:w="1038" w:type="pct"/>
                  <w:tcBorders>
                    <w:tl2br w:val="nil"/>
                    <w:tr2bl w:val="nil"/>
                  </w:tcBorders>
                  <w:vAlign w:val="center"/>
                </w:tcPr>
                <w:p w14:paraId="1E000860">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达标排放</w:t>
                  </w:r>
                </w:p>
              </w:tc>
            </w:tr>
            <w:tr w14:paraId="31114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tcBorders>
                    <w:tl2br w:val="nil"/>
                    <w:tr2bl w:val="nil"/>
                  </w:tcBorders>
                  <w:vAlign w:val="center"/>
                </w:tcPr>
                <w:p w14:paraId="0742DBEE">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噪声</w:t>
                  </w:r>
                </w:p>
              </w:tc>
              <w:tc>
                <w:tcPr>
                  <w:tcW w:w="819" w:type="pct"/>
                  <w:tcBorders>
                    <w:tl2br w:val="nil"/>
                    <w:tr2bl w:val="nil"/>
                  </w:tcBorders>
                  <w:vAlign w:val="center"/>
                </w:tcPr>
                <w:p w14:paraId="2AFBE0E1">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设备</w:t>
                  </w:r>
                </w:p>
              </w:tc>
              <w:tc>
                <w:tcPr>
                  <w:tcW w:w="1177" w:type="pct"/>
                  <w:tcBorders>
                    <w:tl2br w:val="nil"/>
                    <w:tr2bl w:val="nil"/>
                  </w:tcBorders>
                  <w:vAlign w:val="center"/>
                </w:tcPr>
                <w:p w14:paraId="1BEED0AD">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60-70dB（A）</w:t>
                  </w:r>
                </w:p>
              </w:tc>
              <w:tc>
                <w:tcPr>
                  <w:tcW w:w="1541" w:type="pct"/>
                  <w:tcBorders>
                    <w:tl2br w:val="nil"/>
                    <w:tr2bl w:val="nil"/>
                  </w:tcBorders>
                  <w:vAlign w:val="center"/>
                </w:tcPr>
                <w:p w14:paraId="33C8493D">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墙体隔声、设备安装基础减振</w:t>
                  </w:r>
                </w:p>
              </w:tc>
              <w:tc>
                <w:tcPr>
                  <w:tcW w:w="1038" w:type="pct"/>
                  <w:tcBorders>
                    <w:tl2br w:val="nil"/>
                    <w:tr2bl w:val="nil"/>
                  </w:tcBorders>
                  <w:vAlign w:val="center"/>
                </w:tcPr>
                <w:p w14:paraId="25AE76D3">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达标排放</w:t>
                  </w:r>
                </w:p>
              </w:tc>
            </w:tr>
            <w:tr w14:paraId="27E0D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 w:type="pct"/>
                  <w:vMerge w:val="restart"/>
                  <w:tcBorders>
                    <w:tl2br w:val="nil"/>
                    <w:tr2bl w:val="nil"/>
                  </w:tcBorders>
                  <w:vAlign w:val="center"/>
                </w:tcPr>
                <w:p w14:paraId="7FDE30A3">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固体废物</w:t>
                  </w:r>
                </w:p>
              </w:tc>
              <w:tc>
                <w:tcPr>
                  <w:tcW w:w="819" w:type="pct"/>
                  <w:vMerge w:val="restart"/>
                  <w:tcBorders>
                    <w:tl2br w:val="nil"/>
                    <w:tr2bl w:val="nil"/>
                  </w:tcBorders>
                  <w:vAlign w:val="center"/>
                </w:tcPr>
                <w:p w14:paraId="09FCE1A7">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营运期间</w:t>
                  </w:r>
                </w:p>
              </w:tc>
              <w:tc>
                <w:tcPr>
                  <w:tcW w:w="1177" w:type="pct"/>
                  <w:tcBorders>
                    <w:tl2br w:val="nil"/>
                    <w:tr2bl w:val="nil"/>
                  </w:tcBorders>
                  <w:vAlign w:val="center"/>
                </w:tcPr>
                <w:p w14:paraId="45698C46">
                  <w:pPr>
                    <w:pStyle w:val="56"/>
                    <w:snapToGrid w:val="0"/>
                    <w:spacing w:line="240" w:lineRule="auto"/>
                    <w:jc w:val="center"/>
                    <w:rPr>
                      <w:sz w:val="21"/>
                    </w:rPr>
                  </w:pPr>
                  <w:r>
                    <w:rPr>
                      <w:sz w:val="21"/>
                    </w:rPr>
                    <w:t>含油废物</w:t>
                  </w:r>
                </w:p>
              </w:tc>
              <w:tc>
                <w:tcPr>
                  <w:tcW w:w="1541" w:type="pct"/>
                  <w:vMerge w:val="restart"/>
                  <w:tcBorders>
                    <w:tl2br w:val="nil"/>
                    <w:tr2bl w:val="nil"/>
                  </w:tcBorders>
                  <w:vAlign w:val="center"/>
                </w:tcPr>
                <w:p w14:paraId="7D3733A4">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收集后暂存于危险废物暂存间，定期交由有资质单位处置</w:t>
                  </w:r>
                </w:p>
              </w:tc>
              <w:tc>
                <w:tcPr>
                  <w:tcW w:w="1038" w:type="pct"/>
                  <w:vMerge w:val="restart"/>
                  <w:tcBorders>
                    <w:tl2br w:val="nil"/>
                    <w:tr2bl w:val="nil"/>
                  </w:tcBorders>
                  <w:vAlign w:val="center"/>
                </w:tcPr>
                <w:p w14:paraId="49C50F17">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合理处置</w:t>
                  </w:r>
                </w:p>
              </w:tc>
            </w:tr>
            <w:tr w14:paraId="6732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 w:type="pct"/>
                  <w:vMerge w:val="continue"/>
                  <w:tcBorders>
                    <w:tl2br w:val="nil"/>
                    <w:tr2bl w:val="nil"/>
                  </w:tcBorders>
                  <w:vAlign w:val="center"/>
                </w:tcPr>
                <w:p w14:paraId="76AE94D4">
                  <w:pPr>
                    <w:pStyle w:val="29"/>
                    <w:snapToGrid w:val="0"/>
                    <w:spacing w:line="240" w:lineRule="auto"/>
                    <w:ind w:firstLine="0" w:firstLineChars="0"/>
                    <w:jc w:val="center"/>
                    <w:rPr>
                      <w:rFonts w:ascii="Times New Roman" w:eastAsia="宋体" w:cs="Times New Roman"/>
                      <w:sz w:val="21"/>
                      <w:szCs w:val="21"/>
                    </w:rPr>
                  </w:pPr>
                </w:p>
              </w:tc>
              <w:tc>
                <w:tcPr>
                  <w:tcW w:w="819" w:type="pct"/>
                  <w:vMerge w:val="continue"/>
                  <w:tcBorders>
                    <w:tl2br w:val="nil"/>
                    <w:tr2bl w:val="nil"/>
                  </w:tcBorders>
                  <w:vAlign w:val="center"/>
                </w:tcPr>
                <w:p w14:paraId="22908BC5">
                  <w:pPr>
                    <w:pStyle w:val="29"/>
                    <w:snapToGrid w:val="0"/>
                    <w:spacing w:line="240" w:lineRule="auto"/>
                    <w:ind w:firstLine="0" w:firstLineChars="0"/>
                    <w:jc w:val="center"/>
                    <w:rPr>
                      <w:rFonts w:ascii="Times New Roman" w:eastAsia="宋体" w:cs="Times New Roman"/>
                      <w:sz w:val="21"/>
                      <w:szCs w:val="21"/>
                    </w:rPr>
                  </w:pPr>
                </w:p>
              </w:tc>
              <w:tc>
                <w:tcPr>
                  <w:tcW w:w="1177" w:type="pct"/>
                  <w:tcBorders>
                    <w:tl2br w:val="nil"/>
                    <w:tr2bl w:val="nil"/>
                  </w:tcBorders>
                  <w:vAlign w:val="center"/>
                </w:tcPr>
                <w:p w14:paraId="1E4EB6B2">
                  <w:pPr>
                    <w:pStyle w:val="56"/>
                    <w:snapToGrid w:val="0"/>
                    <w:spacing w:line="240" w:lineRule="auto"/>
                    <w:jc w:val="center"/>
                    <w:rPr>
                      <w:sz w:val="21"/>
                    </w:rPr>
                  </w:pPr>
                  <w:r>
                    <w:rPr>
                      <w:sz w:val="21"/>
                    </w:rPr>
                    <w:t>水性漆空桶</w:t>
                  </w:r>
                </w:p>
              </w:tc>
              <w:tc>
                <w:tcPr>
                  <w:tcW w:w="1541" w:type="pct"/>
                  <w:vMerge w:val="continue"/>
                  <w:tcBorders>
                    <w:tl2br w:val="nil"/>
                    <w:tr2bl w:val="nil"/>
                  </w:tcBorders>
                  <w:vAlign w:val="center"/>
                </w:tcPr>
                <w:p w14:paraId="4CC391FF">
                  <w:pPr>
                    <w:pStyle w:val="29"/>
                    <w:snapToGrid w:val="0"/>
                    <w:spacing w:line="240" w:lineRule="auto"/>
                    <w:ind w:firstLine="0" w:firstLineChars="0"/>
                    <w:jc w:val="center"/>
                    <w:rPr>
                      <w:rFonts w:ascii="Times New Roman" w:eastAsia="宋体" w:cs="Times New Roman"/>
                      <w:sz w:val="21"/>
                      <w:szCs w:val="21"/>
                    </w:rPr>
                  </w:pPr>
                </w:p>
              </w:tc>
              <w:tc>
                <w:tcPr>
                  <w:tcW w:w="1038" w:type="pct"/>
                  <w:vMerge w:val="continue"/>
                  <w:tcBorders>
                    <w:tl2br w:val="nil"/>
                    <w:tr2bl w:val="nil"/>
                  </w:tcBorders>
                  <w:vAlign w:val="center"/>
                </w:tcPr>
                <w:p w14:paraId="05C4BA7C">
                  <w:pPr>
                    <w:pStyle w:val="29"/>
                    <w:snapToGrid w:val="0"/>
                    <w:spacing w:line="240" w:lineRule="auto"/>
                    <w:ind w:firstLine="0" w:firstLineChars="0"/>
                    <w:jc w:val="center"/>
                    <w:rPr>
                      <w:rFonts w:ascii="Times New Roman" w:eastAsia="宋体" w:cs="Times New Roman"/>
                      <w:sz w:val="21"/>
                      <w:szCs w:val="21"/>
                    </w:rPr>
                  </w:pPr>
                </w:p>
              </w:tc>
            </w:tr>
            <w:tr w14:paraId="16195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 w:type="pct"/>
                  <w:vMerge w:val="continue"/>
                  <w:tcBorders>
                    <w:tl2br w:val="nil"/>
                    <w:tr2bl w:val="nil"/>
                  </w:tcBorders>
                  <w:vAlign w:val="center"/>
                </w:tcPr>
                <w:p w14:paraId="2235D80A">
                  <w:pPr>
                    <w:pStyle w:val="29"/>
                    <w:snapToGrid w:val="0"/>
                    <w:spacing w:line="240" w:lineRule="auto"/>
                    <w:ind w:firstLine="0" w:firstLineChars="0"/>
                    <w:jc w:val="center"/>
                    <w:rPr>
                      <w:rFonts w:ascii="Times New Roman" w:eastAsia="宋体" w:cs="Times New Roman"/>
                      <w:sz w:val="21"/>
                      <w:szCs w:val="21"/>
                    </w:rPr>
                  </w:pPr>
                </w:p>
              </w:tc>
              <w:tc>
                <w:tcPr>
                  <w:tcW w:w="819" w:type="pct"/>
                  <w:vMerge w:val="continue"/>
                  <w:tcBorders>
                    <w:tl2br w:val="nil"/>
                    <w:tr2bl w:val="nil"/>
                  </w:tcBorders>
                  <w:vAlign w:val="center"/>
                </w:tcPr>
                <w:p w14:paraId="06ADB6E0">
                  <w:pPr>
                    <w:pStyle w:val="29"/>
                    <w:snapToGrid w:val="0"/>
                    <w:spacing w:line="240" w:lineRule="auto"/>
                    <w:ind w:firstLine="0" w:firstLineChars="0"/>
                    <w:jc w:val="center"/>
                    <w:rPr>
                      <w:rFonts w:ascii="Times New Roman" w:eastAsia="宋体" w:cs="Times New Roman"/>
                      <w:sz w:val="21"/>
                      <w:szCs w:val="21"/>
                    </w:rPr>
                  </w:pPr>
                </w:p>
              </w:tc>
              <w:tc>
                <w:tcPr>
                  <w:tcW w:w="1177" w:type="pct"/>
                  <w:tcBorders>
                    <w:tl2br w:val="nil"/>
                    <w:tr2bl w:val="nil"/>
                  </w:tcBorders>
                  <w:vAlign w:val="center"/>
                </w:tcPr>
                <w:p w14:paraId="514D6E8A">
                  <w:pPr>
                    <w:pStyle w:val="56"/>
                    <w:snapToGrid w:val="0"/>
                    <w:spacing w:line="240" w:lineRule="auto"/>
                    <w:jc w:val="center"/>
                    <w:rPr>
                      <w:sz w:val="21"/>
                    </w:rPr>
                  </w:pPr>
                  <w:r>
                    <w:rPr>
                      <w:sz w:val="21"/>
                    </w:rPr>
                    <w:t>废润滑油</w:t>
                  </w:r>
                </w:p>
              </w:tc>
              <w:tc>
                <w:tcPr>
                  <w:tcW w:w="1541" w:type="pct"/>
                  <w:vMerge w:val="continue"/>
                  <w:tcBorders>
                    <w:tl2br w:val="nil"/>
                    <w:tr2bl w:val="nil"/>
                  </w:tcBorders>
                  <w:vAlign w:val="center"/>
                </w:tcPr>
                <w:p w14:paraId="229682B2">
                  <w:pPr>
                    <w:pStyle w:val="29"/>
                    <w:snapToGrid w:val="0"/>
                    <w:spacing w:line="240" w:lineRule="auto"/>
                    <w:ind w:firstLine="0" w:firstLineChars="0"/>
                    <w:jc w:val="center"/>
                    <w:rPr>
                      <w:rFonts w:ascii="Times New Roman" w:eastAsia="宋体" w:cs="Times New Roman"/>
                      <w:sz w:val="21"/>
                      <w:szCs w:val="21"/>
                    </w:rPr>
                  </w:pPr>
                </w:p>
              </w:tc>
              <w:tc>
                <w:tcPr>
                  <w:tcW w:w="1038" w:type="pct"/>
                  <w:vMerge w:val="continue"/>
                  <w:tcBorders>
                    <w:tl2br w:val="nil"/>
                    <w:tr2bl w:val="nil"/>
                  </w:tcBorders>
                  <w:vAlign w:val="center"/>
                </w:tcPr>
                <w:p w14:paraId="0320A2FC">
                  <w:pPr>
                    <w:pStyle w:val="29"/>
                    <w:snapToGrid w:val="0"/>
                    <w:spacing w:line="240" w:lineRule="auto"/>
                    <w:ind w:firstLine="0" w:firstLineChars="0"/>
                    <w:jc w:val="center"/>
                    <w:rPr>
                      <w:rFonts w:ascii="Times New Roman" w:eastAsia="宋体" w:cs="Times New Roman"/>
                      <w:sz w:val="21"/>
                      <w:szCs w:val="21"/>
                    </w:rPr>
                  </w:pPr>
                </w:p>
              </w:tc>
            </w:tr>
            <w:tr w14:paraId="0D49E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 w:type="pct"/>
                  <w:vMerge w:val="continue"/>
                  <w:tcBorders>
                    <w:tl2br w:val="nil"/>
                    <w:tr2bl w:val="nil"/>
                  </w:tcBorders>
                  <w:vAlign w:val="center"/>
                </w:tcPr>
                <w:p w14:paraId="658AF63D">
                  <w:pPr>
                    <w:pStyle w:val="29"/>
                    <w:snapToGrid w:val="0"/>
                    <w:spacing w:line="240" w:lineRule="auto"/>
                    <w:ind w:firstLine="0" w:firstLineChars="0"/>
                    <w:jc w:val="center"/>
                    <w:rPr>
                      <w:rFonts w:ascii="Times New Roman" w:eastAsia="宋体" w:cs="Times New Roman"/>
                      <w:sz w:val="21"/>
                      <w:szCs w:val="21"/>
                    </w:rPr>
                  </w:pPr>
                  <w:bookmarkStart w:id="27" w:name="_Hlk191904705"/>
                </w:p>
              </w:tc>
              <w:tc>
                <w:tcPr>
                  <w:tcW w:w="819" w:type="pct"/>
                  <w:vMerge w:val="continue"/>
                  <w:tcBorders>
                    <w:tl2br w:val="nil"/>
                    <w:tr2bl w:val="nil"/>
                  </w:tcBorders>
                  <w:vAlign w:val="center"/>
                </w:tcPr>
                <w:p w14:paraId="1F156D3C">
                  <w:pPr>
                    <w:pStyle w:val="29"/>
                    <w:snapToGrid w:val="0"/>
                    <w:spacing w:line="240" w:lineRule="auto"/>
                    <w:ind w:firstLine="0" w:firstLineChars="0"/>
                    <w:jc w:val="center"/>
                    <w:rPr>
                      <w:rFonts w:ascii="Times New Roman" w:eastAsia="宋体" w:cs="Times New Roman"/>
                      <w:sz w:val="21"/>
                      <w:szCs w:val="21"/>
                    </w:rPr>
                  </w:pPr>
                </w:p>
              </w:tc>
              <w:tc>
                <w:tcPr>
                  <w:tcW w:w="1177" w:type="pct"/>
                  <w:tcBorders>
                    <w:tl2br w:val="nil"/>
                    <w:tr2bl w:val="nil"/>
                  </w:tcBorders>
                  <w:vAlign w:val="center"/>
                </w:tcPr>
                <w:p w14:paraId="140C5FEE">
                  <w:pPr>
                    <w:pStyle w:val="56"/>
                    <w:snapToGrid w:val="0"/>
                    <w:spacing w:line="240" w:lineRule="auto"/>
                    <w:jc w:val="center"/>
                    <w:rPr>
                      <w:sz w:val="21"/>
                    </w:rPr>
                  </w:pPr>
                  <w:r>
                    <w:rPr>
                      <w:sz w:val="21"/>
                    </w:rPr>
                    <w:t>切割边角料</w:t>
                  </w:r>
                </w:p>
              </w:tc>
              <w:tc>
                <w:tcPr>
                  <w:tcW w:w="1541" w:type="pct"/>
                  <w:vMerge w:val="restart"/>
                  <w:tcBorders>
                    <w:tl2br w:val="nil"/>
                    <w:tr2bl w:val="nil"/>
                  </w:tcBorders>
                  <w:vAlign w:val="center"/>
                </w:tcPr>
                <w:p w14:paraId="39C8EBBA">
                  <w:pPr>
                    <w:pStyle w:val="29"/>
                    <w:snapToGrid w:val="0"/>
                    <w:spacing w:line="240" w:lineRule="auto"/>
                    <w:ind w:firstLine="0" w:firstLineChars="0"/>
                    <w:jc w:val="center"/>
                    <w:rPr>
                      <w:rFonts w:ascii="Times New Roman" w:eastAsia="宋体" w:cs="Times New Roman"/>
                      <w:sz w:val="21"/>
                      <w:szCs w:val="21"/>
                    </w:rPr>
                  </w:pPr>
                  <w:r>
                    <w:rPr>
                      <w:rFonts w:hint="eastAsia" w:ascii="Times New Roman" w:eastAsia="宋体" w:cs="Times New Roman"/>
                      <w:sz w:val="21"/>
                      <w:szCs w:val="21"/>
                    </w:rPr>
                    <w:t>收集后暂存于一般固废暂存间，定期外售综合利用</w:t>
                  </w:r>
                </w:p>
              </w:tc>
              <w:tc>
                <w:tcPr>
                  <w:tcW w:w="1038" w:type="pct"/>
                  <w:vMerge w:val="continue"/>
                  <w:tcBorders>
                    <w:tl2br w:val="nil"/>
                    <w:tr2bl w:val="nil"/>
                  </w:tcBorders>
                  <w:vAlign w:val="center"/>
                </w:tcPr>
                <w:p w14:paraId="6C08163C">
                  <w:pPr>
                    <w:pStyle w:val="29"/>
                    <w:snapToGrid w:val="0"/>
                    <w:spacing w:line="240" w:lineRule="auto"/>
                    <w:ind w:firstLine="0" w:firstLineChars="0"/>
                    <w:jc w:val="center"/>
                    <w:rPr>
                      <w:rFonts w:ascii="Times New Roman" w:eastAsia="宋体" w:cs="Times New Roman"/>
                      <w:sz w:val="21"/>
                      <w:szCs w:val="21"/>
                    </w:rPr>
                  </w:pPr>
                </w:p>
              </w:tc>
            </w:tr>
            <w:tr w14:paraId="7188A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 w:type="pct"/>
                  <w:vMerge w:val="continue"/>
                  <w:tcBorders>
                    <w:tl2br w:val="nil"/>
                    <w:tr2bl w:val="nil"/>
                  </w:tcBorders>
                  <w:vAlign w:val="center"/>
                </w:tcPr>
                <w:p w14:paraId="67923D8F">
                  <w:pPr>
                    <w:pStyle w:val="29"/>
                    <w:snapToGrid w:val="0"/>
                    <w:spacing w:line="240" w:lineRule="auto"/>
                    <w:ind w:firstLine="0" w:firstLineChars="0"/>
                    <w:jc w:val="center"/>
                    <w:rPr>
                      <w:rFonts w:ascii="Times New Roman" w:eastAsia="宋体" w:cs="Times New Roman"/>
                      <w:sz w:val="21"/>
                      <w:szCs w:val="21"/>
                    </w:rPr>
                  </w:pPr>
                </w:p>
              </w:tc>
              <w:tc>
                <w:tcPr>
                  <w:tcW w:w="819" w:type="pct"/>
                  <w:vMerge w:val="continue"/>
                  <w:tcBorders>
                    <w:tl2br w:val="nil"/>
                    <w:tr2bl w:val="nil"/>
                  </w:tcBorders>
                  <w:vAlign w:val="center"/>
                </w:tcPr>
                <w:p w14:paraId="705087A4">
                  <w:pPr>
                    <w:pStyle w:val="29"/>
                    <w:snapToGrid w:val="0"/>
                    <w:spacing w:line="240" w:lineRule="auto"/>
                    <w:ind w:firstLine="0" w:firstLineChars="0"/>
                    <w:jc w:val="center"/>
                    <w:rPr>
                      <w:rFonts w:ascii="Times New Roman" w:eastAsia="宋体" w:cs="Times New Roman"/>
                      <w:sz w:val="21"/>
                      <w:szCs w:val="21"/>
                    </w:rPr>
                  </w:pPr>
                </w:p>
              </w:tc>
              <w:tc>
                <w:tcPr>
                  <w:tcW w:w="1177" w:type="pct"/>
                  <w:tcBorders>
                    <w:tl2br w:val="nil"/>
                    <w:tr2bl w:val="nil"/>
                  </w:tcBorders>
                  <w:vAlign w:val="center"/>
                </w:tcPr>
                <w:p w14:paraId="5C707F9C">
                  <w:pPr>
                    <w:pStyle w:val="56"/>
                    <w:snapToGrid w:val="0"/>
                    <w:spacing w:line="240" w:lineRule="auto"/>
                    <w:jc w:val="center"/>
                    <w:rPr>
                      <w:sz w:val="21"/>
                    </w:rPr>
                  </w:pPr>
                  <w:r>
                    <w:rPr>
                      <w:sz w:val="21"/>
                    </w:rPr>
                    <w:t>焊渣</w:t>
                  </w:r>
                </w:p>
              </w:tc>
              <w:tc>
                <w:tcPr>
                  <w:tcW w:w="1541" w:type="pct"/>
                  <w:vMerge w:val="continue"/>
                  <w:tcBorders>
                    <w:tl2br w:val="nil"/>
                    <w:tr2bl w:val="nil"/>
                  </w:tcBorders>
                  <w:vAlign w:val="center"/>
                </w:tcPr>
                <w:p w14:paraId="62DC6633">
                  <w:pPr>
                    <w:pStyle w:val="29"/>
                    <w:snapToGrid w:val="0"/>
                    <w:spacing w:line="240" w:lineRule="auto"/>
                    <w:ind w:firstLine="0" w:firstLineChars="0"/>
                    <w:jc w:val="center"/>
                    <w:rPr>
                      <w:rFonts w:ascii="Times New Roman" w:eastAsia="宋体" w:cs="Times New Roman"/>
                      <w:sz w:val="21"/>
                      <w:szCs w:val="21"/>
                    </w:rPr>
                  </w:pPr>
                </w:p>
              </w:tc>
              <w:tc>
                <w:tcPr>
                  <w:tcW w:w="1038" w:type="pct"/>
                  <w:vMerge w:val="continue"/>
                  <w:tcBorders>
                    <w:tl2br w:val="nil"/>
                    <w:tr2bl w:val="nil"/>
                  </w:tcBorders>
                  <w:vAlign w:val="center"/>
                </w:tcPr>
                <w:p w14:paraId="3C49AD43">
                  <w:pPr>
                    <w:pStyle w:val="29"/>
                    <w:snapToGrid w:val="0"/>
                    <w:spacing w:line="240" w:lineRule="auto"/>
                    <w:ind w:firstLine="0" w:firstLineChars="0"/>
                    <w:jc w:val="center"/>
                    <w:rPr>
                      <w:rFonts w:ascii="Times New Roman" w:eastAsia="宋体" w:cs="Times New Roman"/>
                      <w:sz w:val="21"/>
                      <w:szCs w:val="21"/>
                    </w:rPr>
                  </w:pPr>
                </w:p>
              </w:tc>
            </w:tr>
            <w:bookmarkEnd w:id="27"/>
            <w:tr w14:paraId="732B3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4" w:type="pct"/>
                  <w:vMerge w:val="continue"/>
                  <w:tcBorders>
                    <w:tl2br w:val="nil"/>
                    <w:tr2bl w:val="nil"/>
                  </w:tcBorders>
                  <w:vAlign w:val="center"/>
                </w:tcPr>
                <w:p w14:paraId="2316BEAF">
                  <w:pPr>
                    <w:pStyle w:val="29"/>
                    <w:snapToGrid w:val="0"/>
                    <w:spacing w:line="240" w:lineRule="auto"/>
                    <w:ind w:firstLine="0" w:firstLineChars="0"/>
                    <w:jc w:val="center"/>
                    <w:rPr>
                      <w:rFonts w:ascii="Times New Roman" w:eastAsia="宋体" w:cs="Times New Roman"/>
                      <w:sz w:val="21"/>
                      <w:szCs w:val="21"/>
                    </w:rPr>
                  </w:pPr>
                </w:p>
              </w:tc>
              <w:tc>
                <w:tcPr>
                  <w:tcW w:w="819" w:type="pct"/>
                  <w:vMerge w:val="continue"/>
                  <w:tcBorders>
                    <w:tl2br w:val="nil"/>
                    <w:tr2bl w:val="nil"/>
                  </w:tcBorders>
                  <w:vAlign w:val="center"/>
                </w:tcPr>
                <w:p w14:paraId="3A9DF274">
                  <w:pPr>
                    <w:pStyle w:val="29"/>
                    <w:snapToGrid w:val="0"/>
                    <w:spacing w:line="240" w:lineRule="auto"/>
                    <w:ind w:firstLine="0" w:firstLineChars="0"/>
                    <w:jc w:val="center"/>
                    <w:rPr>
                      <w:rFonts w:ascii="Times New Roman" w:eastAsia="宋体" w:cs="Times New Roman"/>
                      <w:sz w:val="21"/>
                      <w:szCs w:val="21"/>
                    </w:rPr>
                  </w:pPr>
                </w:p>
              </w:tc>
              <w:tc>
                <w:tcPr>
                  <w:tcW w:w="1177" w:type="pct"/>
                  <w:tcBorders>
                    <w:tl2br w:val="nil"/>
                    <w:tr2bl w:val="nil"/>
                  </w:tcBorders>
                  <w:vAlign w:val="center"/>
                </w:tcPr>
                <w:p w14:paraId="586B0C6E">
                  <w:pPr>
                    <w:pStyle w:val="56"/>
                    <w:snapToGrid w:val="0"/>
                    <w:spacing w:line="240" w:lineRule="auto"/>
                    <w:jc w:val="center"/>
                    <w:rPr>
                      <w:sz w:val="21"/>
                    </w:rPr>
                  </w:pPr>
                  <w:r>
                    <w:rPr>
                      <w:rFonts w:hint="eastAsia"/>
                      <w:sz w:val="21"/>
                    </w:rPr>
                    <w:t>生活垃圾</w:t>
                  </w:r>
                </w:p>
              </w:tc>
              <w:tc>
                <w:tcPr>
                  <w:tcW w:w="1541" w:type="pct"/>
                  <w:tcBorders>
                    <w:tl2br w:val="nil"/>
                    <w:tr2bl w:val="nil"/>
                  </w:tcBorders>
                  <w:vAlign w:val="center"/>
                </w:tcPr>
                <w:p w14:paraId="1DC8ABF5">
                  <w:pPr>
                    <w:pStyle w:val="29"/>
                    <w:snapToGrid w:val="0"/>
                    <w:spacing w:line="240" w:lineRule="auto"/>
                    <w:ind w:firstLine="0" w:firstLineChars="0"/>
                    <w:jc w:val="center"/>
                    <w:rPr>
                      <w:rFonts w:ascii="Times New Roman" w:eastAsia="宋体" w:cs="Times New Roman"/>
                      <w:sz w:val="21"/>
                      <w:szCs w:val="21"/>
                    </w:rPr>
                  </w:pPr>
                  <w:r>
                    <w:rPr>
                      <w:rFonts w:ascii="Times New Roman" w:eastAsia="宋体" w:cs="Times New Roman"/>
                      <w:sz w:val="21"/>
                      <w:szCs w:val="21"/>
                    </w:rPr>
                    <w:t>设垃圾桶收集后交由环卫部门清运</w:t>
                  </w:r>
                </w:p>
              </w:tc>
              <w:tc>
                <w:tcPr>
                  <w:tcW w:w="1038" w:type="pct"/>
                  <w:vMerge w:val="continue"/>
                  <w:tcBorders>
                    <w:tl2br w:val="nil"/>
                    <w:tr2bl w:val="nil"/>
                  </w:tcBorders>
                  <w:vAlign w:val="center"/>
                </w:tcPr>
                <w:p w14:paraId="3679A13C">
                  <w:pPr>
                    <w:pStyle w:val="29"/>
                    <w:snapToGrid w:val="0"/>
                    <w:spacing w:line="240" w:lineRule="auto"/>
                    <w:ind w:firstLine="0" w:firstLineChars="0"/>
                    <w:jc w:val="center"/>
                    <w:rPr>
                      <w:rFonts w:ascii="Times New Roman" w:eastAsia="宋体" w:cs="Times New Roman"/>
                      <w:sz w:val="21"/>
                      <w:szCs w:val="21"/>
                    </w:rPr>
                  </w:pPr>
                </w:p>
              </w:tc>
            </w:tr>
          </w:tbl>
          <w:p w14:paraId="5CB76CC9">
            <w:pPr>
              <w:pStyle w:val="29"/>
              <w:snapToGrid w:val="0"/>
              <w:ind w:firstLine="0" w:firstLineChars="0"/>
              <w:jc w:val="both"/>
              <w:rPr>
                <w:rFonts w:ascii="Times New Roman" w:eastAsia="宋体" w:cs="Times New Roman"/>
                <w:b/>
                <w:bCs/>
              </w:rPr>
            </w:pPr>
            <w:r>
              <w:rPr>
                <w:rFonts w:hint="eastAsia" w:ascii="Times New Roman" w:eastAsia="宋体" w:cs="Times New Roman"/>
                <w:b/>
                <w:bCs/>
              </w:rPr>
              <w:t>4、现有项目污染物排放情况</w:t>
            </w:r>
          </w:p>
          <w:p w14:paraId="03D5536F">
            <w:pPr>
              <w:spacing w:line="360" w:lineRule="auto"/>
              <w:ind w:firstLine="480" w:firstLineChars="200"/>
            </w:pPr>
            <w:r>
              <w:rPr>
                <w:rFonts w:hint="eastAsia"/>
              </w:rPr>
              <w:t>根据现有工程验收监测数据（监测报告编号：JK2208426）中数据本项目迁建前污染物达标排放，监测结果如下：</w:t>
            </w:r>
          </w:p>
          <w:p w14:paraId="29EE78D5">
            <w:pPr>
              <w:spacing w:line="360" w:lineRule="auto"/>
              <w:ind w:firstLine="480" w:firstLineChars="200"/>
            </w:pPr>
            <w:r>
              <w:rPr>
                <w:rFonts w:hint="eastAsia"/>
              </w:rPr>
              <w:t>（1）废气</w:t>
            </w:r>
          </w:p>
          <w:p w14:paraId="3C9E3D00">
            <w:pPr>
              <w:jc w:val="center"/>
              <w:rPr>
                <w:b/>
                <w:bCs/>
                <w:color w:val="000000"/>
                <w:kern w:val="0"/>
                <w:lang w:bidi="ar"/>
              </w:rPr>
            </w:pPr>
            <w:r>
              <w:rPr>
                <w:rFonts w:hint="eastAsia"/>
                <w:b/>
                <w:bCs/>
                <w:color w:val="000000"/>
                <w:kern w:val="0"/>
                <w:lang w:bidi="ar"/>
              </w:rPr>
              <w:t>表2-11  废气监测数据一览表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267"/>
              <w:gridCol w:w="813"/>
              <w:gridCol w:w="813"/>
              <w:gridCol w:w="815"/>
              <w:gridCol w:w="813"/>
              <w:gridCol w:w="813"/>
              <w:gridCol w:w="822"/>
            </w:tblGrid>
            <w:tr w14:paraId="35F63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1D96F6A1">
                  <w:pPr>
                    <w:pStyle w:val="22"/>
                    <w:adjustRightInd w:val="0"/>
                    <w:snapToGrid w:val="0"/>
                    <w:spacing w:after="0"/>
                    <w:ind w:left="0" w:leftChars="0" w:firstLine="0"/>
                    <w:jc w:val="center"/>
                    <w:rPr>
                      <w:b/>
                      <w:bCs/>
                    </w:rPr>
                  </w:pPr>
                  <w:bookmarkStart w:id="28" w:name="OLE_LINK3"/>
                  <w:r>
                    <w:rPr>
                      <w:rFonts w:hint="eastAsia"/>
                      <w:b/>
                      <w:bCs/>
                    </w:rPr>
                    <w:t>采样点位</w:t>
                  </w:r>
                </w:p>
              </w:tc>
              <w:tc>
                <w:tcPr>
                  <w:tcW w:w="810" w:type="pct"/>
                  <w:vMerge w:val="restart"/>
                  <w:vAlign w:val="center"/>
                </w:tcPr>
                <w:p w14:paraId="438038DC">
                  <w:pPr>
                    <w:pStyle w:val="22"/>
                    <w:adjustRightInd w:val="0"/>
                    <w:snapToGrid w:val="0"/>
                    <w:spacing w:after="0"/>
                    <w:ind w:left="0" w:leftChars="0" w:firstLine="0"/>
                    <w:jc w:val="center"/>
                    <w:rPr>
                      <w:b/>
                      <w:bCs/>
                    </w:rPr>
                  </w:pPr>
                  <w:r>
                    <w:rPr>
                      <w:rFonts w:hint="eastAsia"/>
                      <w:b/>
                      <w:bCs/>
                    </w:rPr>
                    <w:t>采样时期</w:t>
                  </w:r>
                </w:p>
              </w:tc>
              <w:tc>
                <w:tcPr>
                  <w:tcW w:w="3127" w:type="pct"/>
                  <w:gridSpan w:val="6"/>
                  <w:vAlign w:val="center"/>
                </w:tcPr>
                <w:p w14:paraId="29121682">
                  <w:pPr>
                    <w:pStyle w:val="22"/>
                    <w:adjustRightInd w:val="0"/>
                    <w:snapToGrid w:val="0"/>
                    <w:spacing w:after="0"/>
                    <w:ind w:left="0" w:leftChars="0" w:firstLine="0"/>
                    <w:jc w:val="center"/>
                    <w:rPr>
                      <w:b/>
                      <w:bCs/>
                    </w:rPr>
                  </w:pPr>
                  <w:r>
                    <w:rPr>
                      <w:rFonts w:hint="eastAsia"/>
                      <w:b/>
                      <w:bCs/>
                    </w:rPr>
                    <w:t>检测结果（mg/m</w:t>
                  </w:r>
                  <w:r>
                    <w:rPr>
                      <w:rFonts w:hint="eastAsia"/>
                      <w:b/>
                      <w:bCs/>
                      <w:vertAlign w:val="superscript"/>
                    </w:rPr>
                    <w:t>3</w:t>
                  </w:r>
                  <w:r>
                    <w:rPr>
                      <w:rFonts w:hint="eastAsia"/>
                      <w:b/>
                      <w:bCs/>
                    </w:rPr>
                    <w:t>）</w:t>
                  </w:r>
                </w:p>
              </w:tc>
            </w:tr>
            <w:tr w14:paraId="7701A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40B90014">
                  <w:pPr>
                    <w:pStyle w:val="22"/>
                    <w:adjustRightInd w:val="0"/>
                    <w:snapToGrid w:val="0"/>
                    <w:spacing w:after="0"/>
                    <w:ind w:left="0" w:leftChars="0" w:firstLine="0"/>
                    <w:jc w:val="center"/>
                    <w:rPr>
                      <w:b/>
                      <w:bCs/>
                    </w:rPr>
                  </w:pPr>
                </w:p>
              </w:tc>
              <w:tc>
                <w:tcPr>
                  <w:tcW w:w="810" w:type="pct"/>
                  <w:vMerge w:val="continue"/>
                  <w:vAlign w:val="center"/>
                </w:tcPr>
                <w:p w14:paraId="1444E04D">
                  <w:pPr>
                    <w:pStyle w:val="22"/>
                    <w:adjustRightInd w:val="0"/>
                    <w:snapToGrid w:val="0"/>
                    <w:spacing w:after="0"/>
                    <w:ind w:left="0" w:leftChars="0" w:firstLine="0"/>
                    <w:jc w:val="center"/>
                    <w:rPr>
                      <w:b/>
                      <w:bCs/>
                    </w:rPr>
                  </w:pPr>
                </w:p>
              </w:tc>
              <w:tc>
                <w:tcPr>
                  <w:tcW w:w="1561" w:type="pct"/>
                  <w:gridSpan w:val="3"/>
                  <w:vAlign w:val="center"/>
                </w:tcPr>
                <w:p w14:paraId="315DA611">
                  <w:pPr>
                    <w:pStyle w:val="22"/>
                    <w:adjustRightInd w:val="0"/>
                    <w:snapToGrid w:val="0"/>
                    <w:spacing w:after="0"/>
                    <w:ind w:left="0" w:leftChars="0" w:firstLine="0"/>
                    <w:jc w:val="center"/>
                    <w:rPr>
                      <w:b/>
                      <w:bCs/>
                    </w:rPr>
                  </w:pPr>
                  <w:r>
                    <w:rPr>
                      <w:rFonts w:hint="eastAsia"/>
                      <w:b/>
                      <w:bCs/>
                    </w:rPr>
                    <w:t>颗粒物</w:t>
                  </w:r>
                </w:p>
              </w:tc>
              <w:tc>
                <w:tcPr>
                  <w:tcW w:w="1565" w:type="pct"/>
                  <w:gridSpan w:val="3"/>
                  <w:vAlign w:val="center"/>
                </w:tcPr>
                <w:p w14:paraId="70B8A793">
                  <w:pPr>
                    <w:pStyle w:val="22"/>
                    <w:adjustRightInd w:val="0"/>
                    <w:snapToGrid w:val="0"/>
                    <w:spacing w:after="0"/>
                    <w:ind w:left="0" w:leftChars="0" w:firstLine="0"/>
                    <w:jc w:val="center"/>
                    <w:rPr>
                      <w:b/>
                      <w:bCs/>
                    </w:rPr>
                  </w:pPr>
                  <w:r>
                    <w:rPr>
                      <w:rFonts w:hint="eastAsia"/>
                      <w:b/>
                      <w:bCs/>
                    </w:rPr>
                    <w:t>挥发性有机物</w:t>
                  </w:r>
                </w:p>
              </w:tc>
            </w:tr>
            <w:tr w14:paraId="0968E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15142E2B">
                  <w:pPr>
                    <w:pStyle w:val="22"/>
                    <w:adjustRightInd w:val="0"/>
                    <w:snapToGrid w:val="0"/>
                    <w:spacing w:after="0"/>
                    <w:ind w:left="0" w:leftChars="0" w:firstLine="0"/>
                    <w:jc w:val="center"/>
                    <w:rPr>
                      <w:b/>
                      <w:bCs/>
                    </w:rPr>
                  </w:pPr>
                </w:p>
              </w:tc>
              <w:tc>
                <w:tcPr>
                  <w:tcW w:w="810" w:type="pct"/>
                  <w:vMerge w:val="continue"/>
                  <w:vAlign w:val="center"/>
                </w:tcPr>
                <w:p w14:paraId="423BDE18">
                  <w:pPr>
                    <w:pStyle w:val="22"/>
                    <w:adjustRightInd w:val="0"/>
                    <w:snapToGrid w:val="0"/>
                    <w:spacing w:after="0"/>
                    <w:ind w:left="0" w:leftChars="0" w:firstLine="0"/>
                    <w:jc w:val="center"/>
                    <w:rPr>
                      <w:b/>
                      <w:bCs/>
                    </w:rPr>
                  </w:pPr>
                </w:p>
              </w:tc>
              <w:tc>
                <w:tcPr>
                  <w:tcW w:w="520" w:type="pct"/>
                  <w:vAlign w:val="center"/>
                </w:tcPr>
                <w:p w14:paraId="0DC41A96">
                  <w:pPr>
                    <w:pStyle w:val="22"/>
                    <w:adjustRightInd w:val="0"/>
                    <w:snapToGrid w:val="0"/>
                    <w:spacing w:after="0"/>
                    <w:ind w:left="0" w:leftChars="0" w:firstLine="0"/>
                    <w:jc w:val="center"/>
                    <w:rPr>
                      <w:b/>
                      <w:bCs/>
                    </w:rPr>
                  </w:pPr>
                  <w:r>
                    <w:rPr>
                      <w:rFonts w:hint="eastAsia"/>
                      <w:b/>
                      <w:bCs/>
                    </w:rPr>
                    <w:t>第1次</w:t>
                  </w:r>
                </w:p>
              </w:tc>
              <w:tc>
                <w:tcPr>
                  <w:tcW w:w="520" w:type="pct"/>
                  <w:vAlign w:val="center"/>
                </w:tcPr>
                <w:p w14:paraId="373C9421">
                  <w:pPr>
                    <w:pStyle w:val="22"/>
                    <w:adjustRightInd w:val="0"/>
                    <w:snapToGrid w:val="0"/>
                    <w:spacing w:after="0"/>
                    <w:ind w:left="0" w:leftChars="0" w:firstLine="0"/>
                    <w:jc w:val="center"/>
                    <w:rPr>
                      <w:b/>
                      <w:bCs/>
                    </w:rPr>
                  </w:pPr>
                  <w:r>
                    <w:rPr>
                      <w:rFonts w:hint="eastAsia"/>
                      <w:b/>
                      <w:bCs/>
                    </w:rPr>
                    <w:t>第2次</w:t>
                  </w:r>
                </w:p>
              </w:tc>
              <w:tc>
                <w:tcPr>
                  <w:tcW w:w="521" w:type="pct"/>
                  <w:vAlign w:val="center"/>
                </w:tcPr>
                <w:p w14:paraId="2A0B9333">
                  <w:pPr>
                    <w:pStyle w:val="22"/>
                    <w:adjustRightInd w:val="0"/>
                    <w:snapToGrid w:val="0"/>
                    <w:spacing w:after="0"/>
                    <w:ind w:left="0" w:leftChars="0" w:firstLine="0"/>
                    <w:jc w:val="center"/>
                    <w:rPr>
                      <w:b/>
                      <w:bCs/>
                    </w:rPr>
                  </w:pPr>
                  <w:r>
                    <w:rPr>
                      <w:rFonts w:hint="eastAsia"/>
                      <w:b/>
                      <w:bCs/>
                    </w:rPr>
                    <w:t>第3次</w:t>
                  </w:r>
                </w:p>
              </w:tc>
              <w:tc>
                <w:tcPr>
                  <w:tcW w:w="520" w:type="pct"/>
                  <w:vAlign w:val="center"/>
                </w:tcPr>
                <w:p w14:paraId="191AE3DF">
                  <w:pPr>
                    <w:pStyle w:val="22"/>
                    <w:adjustRightInd w:val="0"/>
                    <w:snapToGrid w:val="0"/>
                    <w:spacing w:after="0"/>
                    <w:ind w:left="0" w:leftChars="0" w:firstLine="0"/>
                    <w:jc w:val="center"/>
                    <w:rPr>
                      <w:b/>
                      <w:bCs/>
                    </w:rPr>
                  </w:pPr>
                  <w:r>
                    <w:rPr>
                      <w:rFonts w:hint="eastAsia"/>
                      <w:b/>
                      <w:bCs/>
                    </w:rPr>
                    <w:t>第1次</w:t>
                  </w:r>
                </w:p>
              </w:tc>
              <w:tc>
                <w:tcPr>
                  <w:tcW w:w="520" w:type="pct"/>
                  <w:vAlign w:val="center"/>
                </w:tcPr>
                <w:p w14:paraId="37A49B68">
                  <w:pPr>
                    <w:pStyle w:val="22"/>
                    <w:adjustRightInd w:val="0"/>
                    <w:snapToGrid w:val="0"/>
                    <w:spacing w:after="0"/>
                    <w:ind w:left="0" w:leftChars="0" w:firstLine="0"/>
                    <w:jc w:val="center"/>
                    <w:rPr>
                      <w:b/>
                      <w:bCs/>
                    </w:rPr>
                  </w:pPr>
                  <w:r>
                    <w:rPr>
                      <w:rFonts w:hint="eastAsia"/>
                      <w:b/>
                      <w:bCs/>
                    </w:rPr>
                    <w:t>第2次</w:t>
                  </w:r>
                </w:p>
              </w:tc>
              <w:tc>
                <w:tcPr>
                  <w:tcW w:w="525" w:type="pct"/>
                  <w:vAlign w:val="center"/>
                </w:tcPr>
                <w:p w14:paraId="40EAC3DE">
                  <w:pPr>
                    <w:pStyle w:val="22"/>
                    <w:adjustRightInd w:val="0"/>
                    <w:snapToGrid w:val="0"/>
                    <w:spacing w:after="0"/>
                    <w:ind w:left="0" w:leftChars="0" w:firstLine="0"/>
                    <w:jc w:val="center"/>
                    <w:rPr>
                      <w:b/>
                      <w:bCs/>
                    </w:rPr>
                  </w:pPr>
                  <w:r>
                    <w:rPr>
                      <w:rFonts w:hint="eastAsia"/>
                      <w:b/>
                      <w:bCs/>
                    </w:rPr>
                    <w:t>第3次</w:t>
                  </w:r>
                </w:p>
              </w:tc>
            </w:tr>
            <w:tr w14:paraId="2E55D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17C18F10">
                  <w:pPr>
                    <w:pStyle w:val="22"/>
                    <w:adjustRightInd w:val="0"/>
                    <w:snapToGrid w:val="0"/>
                    <w:spacing w:after="0"/>
                    <w:ind w:left="0" w:leftChars="0" w:firstLine="0"/>
                    <w:jc w:val="center"/>
                  </w:pPr>
                  <w:r>
                    <w:rPr>
                      <w:rFonts w:hint="eastAsia"/>
                    </w:rPr>
                    <w:t>G1厂界上风向</w:t>
                  </w:r>
                </w:p>
              </w:tc>
              <w:tc>
                <w:tcPr>
                  <w:tcW w:w="810" w:type="pct"/>
                  <w:vAlign w:val="center"/>
                </w:tcPr>
                <w:p w14:paraId="779A1AE5">
                  <w:pPr>
                    <w:pStyle w:val="22"/>
                    <w:adjustRightInd w:val="0"/>
                    <w:snapToGrid w:val="0"/>
                    <w:spacing w:after="0"/>
                    <w:ind w:left="0" w:leftChars="0" w:firstLine="0"/>
                    <w:jc w:val="center"/>
                  </w:pPr>
                  <w:r>
                    <w:rPr>
                      <w:rFonts w:hint="eastAsia"/>
                    </w:rPr>
                    <w:t>2022.8.18</w:t>
                  </w:r>
                </w:p>
              </w:tc>
              <w:tc>
                <w:tcPr>
                  <w:tcW w:w="520" w:type="pct"/>
                  <w:vAlign w:val="center"/>
                </w:tcPr>
                <w:p w14:paraId="6E06CB55">
                  <w:pPr>
                    <w:pStyle w:val="22"/>
                    <w:adjustRightInd w:val="0"/>
                    <w:snapToGrid w:val="0"/>
                    <w:spacing w:after="0"/>
                    <w:ind w:left="0" w:leftChars="0" w:firstLine="0"/>
                    <w:jc w:val="center"/>
                  </w:pPr>
                  <w:r>
                    <w:rPr>
                      <w:rFonts w:hint="eastAsia"/>
                    </w:rPr>
                    <w:t>0.172</w:t>
                  </w:r>
                </w:p>
              </w:tc>
              <w:tc>
                <w:tcPr>
                  <w:tcW w:w="520" w:type="pct"/>
                  <w:vAlign w:val="center"/>
                </w:tcPr>
                <w:p w14:paraId="15B37DBC">
                  <w:pPr>
                    <w:pStyle w:val="22"/>
                    <w:adjustRightInd w:val="0"/>
                    <w:snapToGrid w:val="0"/>
                    <w:spacing w:after="0"/>
                    <w:ind w:left="0" w:leftChars="0" w:firstLine="0"/>
                    <w:jc w:val="center"/>
                  </w:pPr>
                  <w:r>
                    <w:rPr>
                      <w:rFonts w:hint="eastAsia"/>
                    </w:rPr>
                    <w:t>0.211</w:t>
                  </w:r>
                </w:p>
              </w:tc>
              <w:tc>
                <w:tcPr>
                  <w:tcW w:w="521" w:type="pct"/>
                  <w:vAlign w:val="center"/>
                </w:tcPr>
                <w:p w14:paraId="21EB4088">
                  <w:pPr>
                    <w:pStyle w:val="22"/>
                    <w:adjustRightInd w:val="0"/>
                    <w:snapToGrid w:val="0"/>
                    <w:spacing w:after="0"/>
                    <w:ind w:left="0" w:leftChars="0" w:firstLine="0"/>
                    <w:jc w:val="center"/>
                  </w:pPr>
                  <w:r>
                    <w:rPr>
                      <w:rFonts w:hint="eastAsia"/>
                    </w:rPr>
                    <w:t>0.269</w:t>
                  </w:r>
                </w:p>
              </w:tc>
              <w:tc>
                <w:tcPr>
                  <w:tcW w:w="520" w:type="pct"/>
                  <w:vAlign w:val="center"/>
                </w:tcPr>
                <w:p w14:paraId="591773D3">
                  <w:pPr>
                    <w:pStyle w:val="22"/>
                    <w:adjustRightInd w:val="0"/>
                    <w:snapToGrid w:val="0"/>
                    <w:spacing w:after="0"/>
                    <w:ind w:left="0" w:leftChars="0" w:firstLine="0"/>
                    <w:jc w:val="center"/>
                  </w:pPr>
                  <w:r>
                    <w:rPr>
                      <w:rFonts w:hint="eastAsia"/>
                    </w:rPr>
                    <w:t>0.284</w:t>
                  </w:r>
                </w:p>
              </w:tc>
              <w:tc>
                <w:tcPr>
                  <w:tcW w:w="520" w:type="pct"/>
                  <w:vAlign w:val="center"/>
                </w:tcPr>
                <w:p w14:paraId="73C35E5C">
                  <w:pPr>
                    <w:pStyle w:val="22"/>
                    <w:adjustRightInd w:val="0"/>
                    <w:snapToGrid w:val="0"/>
                    <w:spacing w:after="0"/>
                    <w:ind w:left="0" w:leftChars="0" w:firstLine="0"/>
                    <w:jc w:val="center"/>
                  </w:pPr>
                  <w:r>
                    <w:rPr>
                      <w:rFonts w:hint="eastAsia"/>
                    </w:rPr>
                    <w:t>0.265</w:t>
                  </w:r>
                </w:p>
              </w:tc>
              <w:tc>
                <w:tcPr>
                  <w:tcW w:w="525" w:type="pct"/>
                  <w:vAlign w:val="center"/>
                </w:tcPr>
                <w:p w14:paraId="2907E12A">
                  <w:pPr>
                    <w:pStyle w:val="22"/>
                    <w:adjustRightInd w:val="0"/>
                    <w:snapToGrid w:val="0"/>
                    <w:spacing w:after="0"/>
                    <w:ind w:left="0" w:leftChars="0" w:firstLine="0"/>
                    <w:jc w:val="center"/>
                  </w:pPr>
                  <w:r>
                    <w:rPr>
                      <w:rFonts w:hint="eastAsia"/>
                    </w:rPr>
                    <w:t>0.276</w:t>
                  </w:r>
                </w:p>
              </w:tc>
            </w:tr>
            <w:tr w14:paraId="1A5AF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2E48BC58">
                  <w:pPr>
                    <w:pStyle w:val="22"/>
                    <w:adjustRightInd w:val="0"/>
                    <w:snapToGrid w:val="0"/>
                    <w:spacing w:after="0"/>
                    <w:ind w:left="0" w:leftChars="0" w:firstLine="0"/>
                    <w:jc w:val="center"/>
                  </w:pPr>
                </w:p>
              </w:tc>
              <w:tc>
                <w:tcPr>
                  <w:tcW w:w="810" w:type="pct"/>
                  <w:vAlign w:val="center"/>
                </w:tcPr>
                <w:p w14:paraId="376E4660">
                  <w:pPr>
                    <w:pStyle w:val="22"/>
                    <w:adjustRightInd w:val="0"/>
                    <w:snapToGrid w:val="0"/>
                    <w:spacing w:after="0"/>
                    <w:ind w:left="0" w:leftChars="0" w:firstLine="0"/>
                    <w:jc w:val="center"/>
                  </w:pPr>
                  <w:r>
                    <w:rPr>
                      <w:rFonts w:hint="eastAsia"/>
                    </w:rPr>
                    <w:t>2022.8.19</w:t>
                  </w:r>
                </w:p>
              </w:tc>
              <w:tc>
                <w:tcPr>
                  <w:tcW w:w="520" w:type="pct"/>
                  <w:vAlign w:val="center"/>
                </w:tcPr>
                <w:p w14:paraId="1C8E9284">
                  <w:pPr>
                    <w:pStyle w:val="22"/>
                    <w:adjustRightInd w:val="0"/>
                    <w:snapToGrid w:val="0"/>
                    <w:spacing w:after="0"/>
                    <w:ind w:left="0" w:leftChars="0" w:firstLine="0"/>
                    <w:jc w:val="center"/>
                  </w:pPr>
                  <w:r>
                    <w:rPr>
                      <w:rFonts w:hint="eastAsia"/>
                    </w:rPr>
                    <w:t>0.151</w:t>
                  </w:r>
                </w:p>
              </w:tc>
              <w:tc>
                <w:tcPr>
                  <w:tcW w:w="520" w:type="pct"/>
                  <w:vAlign w:val="center"/>
                </w:tcPr>
                <w:p w14:paraId="249789ED">
                  <w:pPr>
                    <w:pStyle w:val="22"/>
                    <w:adjustRightInd w:val="0"/>
                    <w:snapToGrid w:val="0"/>
                    <w:spacing w:after="0"/>
                    <w:ind w:left="0" w:leftChars="0" w:firstLine="0"/>
                    <w:jc w:val="center"/>
                  </w:pPr>
                  <w:r>
                    <w:rPr>
                      <w:rFonts w:hint="eastAsia"/>
                    </w:rPr>
                    <w:t>0.190</w:t>
                  </w:r>
                </w:p>
              </w:tc>
              <w:tc>
                <w:tcPr>
                  <w:tcW w:w="521" w:type="pct"/>
                  <w:vAlign w:val="center"/>
                </w:tcPr>
                <w:p w14:paraId="649316DF">
                  <w:pPr>
                    <w:pStyle w:val="22"/>
                    <w:adjustRightInd w:val="0"/>
                    <w:snapToGrid w:val="0"/>
                    <w:spacing w:after="0"/>
                    <w:ind w:left="0" w:leftChars="0" w:firstLine="0"/>
                    <w:jc w:val="center"/>
                  </w:pPr>
                  <w:r>
                    <w:rPr>
                      <w:rFonts w:hint="eastAsia"/>
                    </w:rPr>
                    <w:t>0.247</w:t>
                  </w:r>
                </w:p>
              </w:tc>
              <w:tc>
                <w:tcPr>
                  <w:tcW w:w="520" w:type="pct"/>
                  <w:vAlign w:val="center"/>
                </w:tcPr>
                <w:p w14:paraId="79E157AD">
                  <w:pPr>
                    <w:pStyle w:val="22"/>
                    <w:adjustRightInd w:val="0"/>
                    <w:snapToGrid w:val="0"/>
                    <w:spacing w:after="0"/>
                    <w:ind w:left="0" w:leftChars="0" w:firstLine="0"/>
                    <w:jc w:val="center"/>
                  </w:pPr>
                  <w:r>
                    <w:rPr>
                      <w:rFonts w:hint="eastAsia"/>
                    </w:rPr>
                    <w:t>0.292</w:t>
                  </w:r>
                </w:p>
              </w:tc>
              <w:tc>
                <w:tcPr>
                  <w:tcW w:w="520" w:type="pct"/>
                  <w:vAlign w:val="center"/>
                </w:tcPr>
                <w:p w14:paraId="54ED92EA">
                  <w:pPr>
                    <w:pStyle w:val="22"/>
                    <w:adjustRightInd w:val="0"/>
                    <w:snapToGrid w:val="0"/>
                    <w:spacing w:after="0"/>
                    <w:ind w:left="0" w:leftChars="0" w:firstLine="0"/>
                    <w:jc w:val="center"/>
                  </w:pPr>
                  <w:r>
                    <w:rPr>
                      <w:rFonts w:hint="eastAsia"/>
                    </w:rPr>
                    <w:t>0.245</w:t>
                  </w:r>
                </w:p>
              </w:tc>
              <w:tc>
                <w:tcPr>
                  <w:tcW w:w="525" w:type="pct"/>
                  <w:vAlign w:val="center"/>
                </w:tcPr>
                <w:p w14:paraId="3929F9A5">
                  <w:pPr>
                    <w:pStyle w:val="22"/>
                    <w:adjustRightInd w:val="0"/>
                    <w:snapToGrid w:val="0"/>
                    <w:spacing w:after="0"/>
                    <w:ind w:left="0" w:leftChars="0" w:firstLine="0"/>
                    <w:jc w:val="center"/>
                  </w:pPr>
                  <w:r>
                    <w:rPr>
                      <w:rFonts w:hint="eastAsia"/>
                    </w:rPr>
                    <w:t>0.252</w:t>
                  </w:r>
                </w:p>
              </w:tc>
            </w:tr>
            <w:tr w14:paraId="6EF3D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2E0B7942">
                  <w:pPr>
                    <w:pStyle w:val="22"/>
                    <w:adjustRightInd w:val="0"/>
                    <w:snapToGrid w:val="0"/>
                    <w:spacing w:after="0"/>
                    <w:ind w:left="0" w:leftChars="0" w:firstLine="0"/>
                    <w:jc w:val="center"/>
                  </w:pPr>
                  <w:r>
                    <w:rPr>
                      <w:rFonts w:hint="eastAsia"/>
                    </w:rPr>
                    <w:t>G2厂界下风向</w:t>
                  </w:r>
                </w:p>
              </w:tc>
              <w:tc>
                <w:tcPr>
                  <w:tcW w:w="810" w:type="pct"/>
                  <w:vAlign w:val="center"/>
                </w:tcPr>
                <w:p w14:paraId="093798D2">
                  <w:pPr>
                    <w:pStyle w:val="22"/>
                    <w:adjustRightInd w:val="0"/>
                    <w:snapToGrid w:val="0"/>
                    <w:spacing w:after="0"/>
                    <w:ind w:left="0" w:leftChars="0" w:firstLine="0"/>
                    <w:jc w:val="center"/>
                  </w:pPr>
                  <w:r>
                    <w:rPr>
                      <w:rFonts w:hint="eastAsia"/>
                    </w:rPr>
                    <w:t>2022.8.18</w:t>
                  </w:r>
                </w:p>
              </w:tc>
              <w:tc>
                <w:tcPr>
                  <w:tcW w:w="520" w:type="pct"/>
                  <w:vAlign w:val="center"/>
                </w:tcPr>
                <w:p w14:paraId="34EE5A7A">
                  <w:pPr>
                    <w:pStyle w:val="22"/>
                    <w:adjustRightInd w:val="0"/>
                    <w:snapToGrid w:val="0"/>
                    <w:spacing w:after="0"/>
                    <w:ind w:left="0" w:leftChars="0" w:firstLine="0"/>
                    <w:jc w:val="center"/>
                  </w:pPr>
                  <w:r>
                    <w:rPr>
                      <w:rFonts w:hint="eastAsia"/>
                    </w:rPr>
                    <w:t>0.191</w:t>
                  </w:r>
                </w:p>
              </w:tc>
              <w:tc>
                <w:tcPr>
                  <w:tcW w:w="520" w:type="pct"/>
                  <w:vAlign w:val="center"/>
                </w:tcPr>
                <w:p w14:paraId="3711B7EA">
                  <w:pPr>
                    <w:pStyle w:val="22"/>
                    <w:adjustRightInd w:val="0"/>
                    <w:snapToGrid w:val="0"/>
                    <w:spacing w:after="0"/>
                    <w:ind w:left="0" w:leftChars="0" w:firstLine="0"/>
                    <w:jc w:val="center"/>
                  </w:pPr>
                  <w:r>
                    <w:rPr>
                      <w:rFonts w:hint="eastAsia"/>
                    </w:rPr>
                    <w:t>0.249</w:t>
                  </w:r>
                </w:p>
              </w:tc>
              <w:tc>
                <w:tcPr>
                  <w:tcW w:w="521" w:type="pct"/>
                  <w:vAlign w:val="center"/>
                </w:tcPr>
                <w:p w14:paraId="3DC94B53">
                  <w:pPr>
                    <w:pStyle w:val="22"/>
                    <w:adjustRightInd w:val="0"/>
                    <w:snapToGrid w:val="0"/>
                    <w:spacing w:after="0"/>
                    <w:ind w:left="0" w:leftChars="0" w:firstLine="0"/>
                    <w:jc w:val="center"/>
                  </w:pPr>
                  <w:r>
                    <w:rPr>
                      <w:rFonts w:hint="eastAsia"/>
                    </w:rPr>
                    <w:t>0.307</w:t>
                  </w:r>
                </w:p>
              </w:tc>
              <w:tc>
                <w:tcPr>
                  <w:tcW w:w="520" w:type="pct"/>
                  <w:vAlign w:val="center"/>
                </w:tcPr>
                <w:p w14:paraId="6E5B7548">
                  <w:pPr>
                    <w:pStyle w:val="22"/>
                    <w:adjustRightInd w:val="0"/>
                    <w:snapToGrid w:val="0"/>
                    <w:spacing w:after="0"/>
                    <w:ind w:left="0" w:leftChars="0" w:firstLine="0"/>
                    <w:jc w:val="center"/>
                  </w:pPr>
                  <w:r>
                    <w:rPr>
                      <w:rFonts w:hint="eastAsia"/>
                    </w:rPr>
                    <w:t>0.664</w:t>
                  </w:r>
                </w:p>
              </w:tc>
              <w:tc>
                <w:tcPr>
                  <w:tcW w:w="520" w:type="pct"/>
                  <w:vAlign w:val="center"/>
                </w:tcPr>
                <w:p w14:paraId="45AF4BF5">
                  <w:pPr>
                    <w:pStyle w:val="22"/>
                    <w:adjustRightInd w:val="0"/>
                    <w:snapToGrid w:val="0"/>
                    <w:spacing w:after="0"/>
                    <w:ind w:left="0" w:leftChars="0" w:firstLine="0"/>
                    <w:jc w:val="center"/>
                  </w:pPr>
                  <w:r>
                    <w:rPr>
                      <w:rFonts w:hint="eastAsia"/>
                    </w:rPr>
                    <w:t>0.566</w:t>
                  </w:r>
                </w:p>
              </w:tc>
              <w:tc>
                <w:tcPr>
                  <w:tcW w:w="525" w:type="pct"/>
                  <w:vAlign w:val="center"/>
                </w:tcPr>
                <w:p w14:paraId="7101D922">
                  <w:pPr>
                    <w:pStyle w:val="22"/>
                    <w:adjustRightInd w:val="0"/>
                    <w:snapToGrid w:val="0"/>
                    <w:spacing w:after="0"/>
                    <w:ind w:left="0" w:leftChars="0" w:firstLine="0"/>
                    <w:jc w:val="center"/>
                  </w:pPr>
                  <w:r>
                    <w:rPr>
                      <w:rFonts w:hint="eastAsia"/>
                    </w:rPr>
                    <w:t>0.650</w:t>
                  </w:r>
                </w:p>
              </w:tc>
            </w:tr>
            <w:tr w14:paraId="3D3FC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1AF68010">
                  <w:pPr>
                    <w:pStyle w:val="22"/>
                    <w:adjustRightInd w:val="0"/>
                    <w:snapToGrid w:val="0"/>
                    <w:spacing w:after="0"/>
                    <w:ind w:left="0" w:leftChars="0" w:firstLine="0"/>
                    <w:jc w:val="center"/>
                  </w:pPr>
                </w:p>
              </w:tc>
              <w:tc>
                <w:tcPr>
                  <w:tcW w:w="810" w:type="pct"/>
                  <w:vAlign w:val="center"/>
                </w:tcPr>
                <w:p w14:paraId="7D9BA3C6">
                  <w:pPr>
                    <w:pStyle w:val="22"/>
                    <w:adjustRightInd w:val="0"/>
                    <w:snapToGrid w:val="0"/>
                    <w:spacing w:after="0"/>
                    <w:ind w:left="0" w:leftChars="0" w:firstLine="0"/>
                    <w:jc w:val="center"/>
                  </w:pPr>
                  <w:r>
                    <w:rPr>
                      <w:rFonts w:hint="eastAsia"/>
                    </w:rPr>
                    <w:t>2022.8.19</w:t>
                  </w:r>
                </w:p>
              </w:tc>
              <w:tc>
                <w:tcPr>
                  <w:tcW w:w="520" w:type="pct"/>
                  <w:vAlign w:val="center"/>
                </w:tcPr>
                <w:p w14:paraId="56E6EB73">
                  <w:pPr>
                    <w:pStyle w:val="22"/>
                    <w:adjustRightInd w:val="0"/>
                    <w:snapToGrid w:val="0"/>
                    <w:spacing w:after="0"/>
                    <w:ind w:left="0" w:leftChars="0" w:firstLine="0"/>
                    <w:jc w:val="center"/>
                  </w:pPr>
                  <w:r>
                    <w:rPr>
                      <w:rFonts w:hint="eastAsia"/>
                    </w:rPr>
                    <w:t>0.170</w:t>
                  </w:r>
                </w:p>
              </w:tc>
              <w:tc>
                <w:tcPr>
                  <w:tcW w:w="520" w:type="pct"/>
                  <w:vAlign w:val="center"/>
                </w:tcPr>
                <w:p w14:paraId="73E372D1">
                  <w:pPr>
                    <w:pStyle w:val="22"/>
                    <w:adjustRightInd w:val="0"/>
                    <w:snapToGrid w:val="0"/>
                    <w:spacing w:after="0"/>
                    <w:ind w:left="0" w:leftChars="0" w:firstLine="0"/>
                    <w:jc w:val="center"/>
                  </w:pPr>
                  <w:r>
                    <w:rPr>
                      <w:rFonts w:hint="eastAsia"/>
                    </w:rPr>
                    <w:t>0.227</w:t>
                  </w:r>
                </w:p>
              </w:tc>
              <w:tc>
                <w:tcPr>
                  <w:tcW w:w="521" w:type="pct"/>
                  <w:vAlign w:val="center"/>
                </w:tcPr>
                <w:p w14:paraId="77B8A62C">
                  <w:pPr>
                    <w:pStyle w:val="22"/>
                    <w:adjustRightInd w:val="0"/>
                    <w:snapToGrid w:val="0"/>
                    <w:spacing w:after="0"/>
                    <w:ind w:left="0" w:leftChars="0" w:firstLine="0"/>
                    <w:jc w:val="center"/>
                  </w:pPr>
                  <w:r>
                    <w:rPr>
                      <w:rFonts w:hint="eastAsia"/>
                    </w:rPr>
                    <w:t>0.304</w:t>
                  </w:r>
                </w:p>
              </w:tc>
              <w:tc>
                <w:tcPr>
                  <w:tcW w:w="520" w:type="pct"/>
                  <w:vAlign w:val="center"/>
                </w:tcPr>
                <w:p w14:paraId="01CBD5B5">
                  <w:pPr>
                    <w:pStyle w:val="22"/>
                    <w:adjustRightInd w:val="0"/>
                    <w:snapToGrid w:val="0"/>
                    <w:spacing w:after="0"/>
                    <w:ind w:left="0" w:leftChars="0" w:firstLine="0"/>
                    <w:jc w:val="center"/>
                  </w:pPr>
                  <w:r>
                    <w:rPr>
                      <w:rFonts w:hint="eastAsia"/>
                    </w:rPr>
                    <w:t>0.707</w:t>
                  </w:r>
                </w:p>
              </w:tc>
              <w:tc>
                <w:tcPr>
                  <w:tcW w:w="520" w:type="pct"/>
                  <w:vAlign w:val="center"/>
                </w:tcPr>
                <w:p w14:paraId="03D22DA4">
                  <w:pPr>
                    <w:pStyle w:val="22"/>
                    <w:adjustRightInd w:val="0"/>
                    <w:snapToGrid w:val="0"/>
                    <w:spacing w:after="0"/>
                    <w:ind w:left="0" w:leftChars="0" w:firstLine="0"/>
                    <w:jc w:val="center"/>
                  </w:pPr>
                  <w:r>
                    <w:rPr>
                      <w:rFonts w:hint="eastAsia"/>
                    </w:rPr>
                    <w:t>0.714</w:t>
                  </w:r>
                </w:p>
              </w:tc>
              <w:tc>
                <w:tcPr>
                  <w:tcW w:w="525" w:type="pct"/>
                  <w:vAlign w:val="center"/>
                </w:tcPr>
                <w:p w14:paraId="312D987D">
                  <w:pPr>
                    <w:pStyle w:val="22"/>
                    <w:adjustRightInd w:val="0"/>
                    <w:snapToGrid w:val="0"/>
                    <w:spacing w:after="0"/>
                    <w:ind w:left="0" w:leftChars="0" w:firstLine="0"/>
                    <w:jc w:val="center"/>
                  </w:pPr>
                  <w:r>
                    <w:rPr>
                      <w:rFonts w:hint="eastAsia"/>
                    </w:rPr>
                    <w:t>0.560</w:t>
                  </w:r>
                </w:p>
              </w:tc>
            </w:tr>
            <w:tr w14:paraId="33F39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53EDE33B">
                  <w:pPr>
                    <w:pStyle w:val="22"/>
                    <w:adjustRightInd w:val="0"/>
                    <w:snapToGrid w:val="0"/>
                    <w:spacing w:after="0"/>
                    <w:ind w:left="0" w:leftChars="0" w:firstLine="0"/>
                    <w:jc w:val="center"/>
                  </w:pPr>
                  <w:r>
                    <w:rPr>
                      <w:rFonts w:hint="eastAsia"/>
                    </w:rPr>
                    <w:t>G3厂界下风向</w:t>
                  </w:r>
                </w:p>
              </w:tc>
              <w:tc>
                <w:tcPr>
                  <w:tcW w:w="810" w:type="pct"/>
                  <w:vAlign w:val="center"/>
                </w:tcPr>
                <w:p w14:paraId="68333289">
                  <w:pPr>
                    <w:pStyle w:val="22"/>
                    <w:adjustRightInd w:val="0"/>
                    <w:snapToGrid w:val="0"/>
                    <w:spacing w:after="0"/>
                    <w:ind w:left="0" w:leftChars="0" w:firstLine="0"/>
                    <w:jc w:val="center"/>
                  </w:pPr>
                  <w:r>
                    <w:rPr>
                      <w:rFonts w:hint="eastAsia"/>
                    </w:rPr>
                    <w:t>2022.8.18</w:t>
                  </w:r>
                </w:p>
              </w:tc>
              <w:tc>
                <w:tcPr>
                  <w:tcW w:w="520" w:type="pct"/>
                  <w:vAlign w:val="center"/>
                </w:tcPr>
                <w:p w14:paraId="0F26A563">
                  <w:pPr>
                    <w:pStyle w:val="22"/>
                    <w:adjustRightInd w:val="0"/>
                    <w:snapToGrid w:val="0"/>
                    <w:spacing w:after="0"/>
                    <w:ind w:left="0" w:leftChars="0" w:firstLine="0"/>
                    <w:jc w:val="center"/>
                  </w:pPr>
                  <w:r>
                    <w:rPr>
                      <w:rFonts w:hint="eastAsia"/>
                    </w:rPr>
                    <w:t>0.229</w:t>
                  </w:r>
                </w:p>
              </w:tc>
              <w:tc>
                <w:tcPr>
                  <w:tcW w:w="520" w:type="pct"/>
                  <w:vAlign w:val="center"/>
                </w:tcPr>
                <w:p w14:paraId="58A384DB">
                  <w:pPr>
                    <w:pStyle w:val="22"/>
                    <w:adjustRightInd w:val="0"/>
                    <w:snapToGrid w:val="0"/>
                    <w:spacing w:after="0"/>
                    <w:ind w:left="0" w:leftChars="0" w:firstLine="0"/>
                    <w:jc w:val="center"/>
                  </w:pPr>
                  <w:r>
                    <w:rPr>
                      <w:rFonts w:hint="eastAsia"/>
                    </w:rPr>
                    <w:t>0.287</w:t>
                  </w:r>
                </w:p>
              </w:tc>
              <w:tc>
                <w:tcPr>
                  <w:tcW w:w="521" w:type="pct"/>
                  <w:vAlign w:val="center"/>
                </w:tcPr>
                <w:p w14:paraId="142CA0C0">
                  <w:pPr>
                    <w:pStyle w:val="22"/>
                    <w:adjustRightInd w:val="0"/>
                    <w:snapToGrid w:val="0"/>
                    <w:spacing w:after="0"/>
                    <w:ind w:left="0" w:leftChars="0" w:firstLine="0"/>
                    <w:jc w:val="center"/>
                  </w:pPr>
                  <w:r>
                    <w:rPr>
                      <w:rFonts w:hint="eastAsia"/>
                    </w:rPr>
                    <w:t>0.346</w:t>
                  </w:r>
                </w:p>
              </w:tc>
              <w:tc>
                <w:tcPr>
                  <w:tcW w:w="520" w:type="pct"/>
                  <w:vAlign w:val="center"/>
                </w:tcPr>
                <w:p w14:paraId="0F1F9B67">
                  <w:pPr>
                    <w:pStyle w:val="22"/>
                    <w:adjustRightInd w:val="0"/>
                    <w:snapToGrid w:val="0"/>
                    <w:spacing w:after="0"/>
                    <w:ind w:left="0" w:leftChars="0" w:firstLine="0"/>
                    <w:jc w:val="center"/>
                  </w:pPr>
                  <w:r>
                    <w:rPr>
                      <w:rFonts w:hint="eastAsia"/>
                    </w:rPr>
                    <w:t>0.684</w:t>
                  </w:r>
                </w:p>
              </w:tc>
              <w:tc>
                <w:tcPr>
                  <w:tcW w:w="520" w:type="pct"/>
                  <w:vAlign w:val="center"/>
                </w:tcPr>
                <w:p w14:paraId="4A9973FE">
                  <w:pPr>
                    <w:pStyle w:val="22"/>
                    <w:adjustRightInd w:val="0"/>
                    <w:snapToGrid w:val="0"/>
                    <w:spacing w:after="0"/>
                    <w:ind w:left="0" w:leftChars="0" w:firstLine="0"/>
                    <w:jc w:val="center"/>
                  </w:pPr>
                  <w:r>
                    <w:rPr>
                      <w:rFonts w:hint="eastAsia"/>
                    </w:rPr>
                    <w:t>0.636</w:t>
                  </w:r>
                </w:p>
              </w:tc>
              <w:tc>
                <w:tcPr>
                  <w:tcW w:w="525" w:type="pct"/>
                  <w:vAlign w:val="center"/>
                </w:tcPr>
                <w:p w14:paraId="7C03AC3D">
                  <w:pPr>
                    <w:pStyle w:val="22"/>
                    <w:adjustRightInd w:val="0"/>
                    <w:snapToGrid w:val="0"/>
                    <w:spacing w:after="0"/>
                    <w:ind w:left="0" w:leftChars="0" w:firstLine="0"/>
                    <w:jc w:val="center"/>
                  </w:pPr>
                  <w:r>
                    <w:rPr>
                      <w:rFonts w:hint="eastAsia"/>
                    </w:rPr>
                    <w:t>0.689</w:t>
                  </w:r>
                </w:p>
              </w:tc>
            </w:tr>
            <w:tr w14:paraId="43D0C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243F22D4">
                  <w:pPr>
                    <w:pStyle w:val="22"/>
                    <w:adjustRightInd w:val="0"/>
                    <w:snapToGrid w:val="0"/>
                    <w:spacing w:after="0"/>
                    <w:ind w:left="0" w:leftChars="0" w:firstLine="0"/>
                    <w:jc w:val="center"/>
                  </w:pPr>
                </w:p>
              </w:tc>
              <w:tc>
                <w:tcPr>
                  <w:tcW w:w="810" w:type="pct"/>
                  <w:vAlign w:val="center"/>
                </w:tcPr>
                <w:p w14:paraId="2527DBDC">
                  <w:pPr>
                    <w:pStyle w:val="22"/>
                    <w:adjustRightInd w:val="0"/>
                    <w:snapToGrid w:val="0"/>
                    <w:spacing w:after="0"/>
                    <w:ind w:left="0" w:leftChars="0" w:firstLine="0"/>
                    <w:jc w:val="center"/>
                  </w:pPr>
                  <w:r>
                    <w:rPr>
                      <w:rFonts w:hint="eastAsia"/>
                    </w:rPr>
                    <w:t>2022.8.19</w:t>
                  </w:r>
                </w:p>
              </w:tc>
              <w:tc>
                <w:tcPr>
                  <w:tcW w:w="520" w:type="pct"/>
                  <w:vAlign w:val="center"/>
                </w:tcPr>
                <w:p w14:paraId="052A4D49">
                  <w:pPr>
                    <w:pStyle w:val="22"/>
                    <w:adjustRightInd w:val="0"/>
                    <w:snapToGrid w:val="0"/>
                    <w:spacing w:after="0"/>
                    <w:ind w:left="0" w:leftChars="0" w:firstLine="0"/>
                    <w:jc w:val="center"/>
                  </w:pPr>
                  <w:r>
                    <w:rPr>
                      <w:rFonts w:hint="eastAsia"/>
                    </w:rPr>
                    <w:t>0.208</w:t>
                  </w:r>
                </w:p>
              </w:tc>
              <w:tc>
                <w:tcPr>
                  <w:tcW w:w="520" w:type="pct"/>
                  <w:vAlign w:val="center"/>
                </w:tcPr>
                <w:p w14:paraId="42E38C23">
                  <w:pPr>
                    <w:pStyle w:val="22"/>
                    <w:adjustRightInd w:val="0"/>
                    <w:snapToGrid w:val="0"/>
                    <w:spacing w:after="0"/>
                    <w:ind w:left="0" w:leftChars="0" w:firstLine="0"/>
                    <w:jc w:val="center"/>
                  </w:pPr>
                  <w:r>
                    <w:rPr>
                      <w:rFonts w:hint="eastAsia"/>
                    </w:rPr>
                    <w:t>0.265</w:t>
                  </w:r>
                </w:p>
              </w:tc>
              <w:tc>
                <w:tcPr>
                  <w:tcW w:w="521" w:type="pct"/>
                  <w:vAlign w:val="center"/>
                </w:tcPr>
                <w:p w14:paraId="2E83F169">
                  <w:pPr>
                    <w:pStyle w:val="22"/>
                    <w:adjustRightInd w:val="0"/>
                    <w:snapToGrid w:val="0"/>
                    <w:spacing w:after="0"/>
                    <w:ind w:left="0" w:leftChars="0" w:firstLine="0"/>
                    <w:jc w:val="center"/>
                  </w:pPr>
                  <w:r>
                    <w:rPr>
                      <w:rFonts w:hint="eastAsia"/>
                    </w:rPr>
                    <w:t>0.323</w:t>
                  </w:r>
                </w:p>
              </w:tc>
              <w:tc>
                <w:tcPr>
                  <w:tcW w:w="520" w:type="pct"/>
                  <w:vAlign w:val="center"/>
                </w:tcPr>
                <w:p w14:paraId="16D102B1">
                  <w:pPr>
                    <w:pStyle w:val="22"/>
                    <w:adjustRightInd w:val="0"/>
                    <w:snapToGrid w:val="0"/>
                    <w:spacing w:after="0"/>
                    <w:ind w:left="0" w:leftChars="0" w:firstLine="0"/>
                    <w:jc w:val="center"/>
                  </w:pPr>
                  <w:r>
                    <w:rPr>
                      <w:rFonts w:hint="eastAsia"/>
                    </w:rPr>
                    <w:t>0.636</w:t>
                  </w:r>
                </w:p>
              </w:tc>
              <w:tc>
                <w:tcPr>
                  <w:tcW w:w="520" w:type="pct"/>
                  <w:vAlign w:val="center"/>
                </w:tcPr>
                <w:p w14:paraId="6B6106F5">
                  <w:pPr>
                    <w:pStyle w:val="22"/>
                    <w:adjustRightInd w:val="0"/>
                    <w:snapToGrid w:val="0"/>
                    <w:spacing w:after="0"/>
                    <w:ind w:left="0" w:leftChars="0" w:firstLine="0"/>
                    <w:jc w:val="center"/>
                  </w:pPr>
                  <w:r>
                    <w:rPr>
                      <w:rFonts w:hint="eastAsia"/>
                    </w:rPr>
                    <w:t>0.676</w:t>
                  </w:r>
                </w:p>
              </w:tc>
              <w:tc>
                <w:tcPr>
                  <w:tcW w:w="525" w:type="pct"/>
                  <w:vAlign w:val="center"/>
                </w:tcPr>
                <w:p w14:paraId="0454C9DD">
                  <w:pPr>
                    <w:pStyle w:val="22"/>
                    <w:adjustRightInd w:val="0"/>
                    <w:snapToGrid w:val="0"/>
                    <w:spacing w:after="0"/>
                    <w:ind w:left="0" w:leftChars="0" w:firstLine="0"/>
                    <w:jc w:val="center"/>
                  </w:pPr>
                  <w:r>
                    <w:rPr>
                      <w:rFonts w:hint="eastAsia"/>
                    </w:rPr>
                    <w:t>0.599</w:t>
                  </w:r>
                </w:p>
              </w:tc>
            </w:tr>
            <w:bookmarkEnd w:id="28"/>
          </w:tbl>
          <w:p w14:paraId="3AE06A23">
            <w:pPr>
              <w:spacing w:line="360" w:lineRule="auto"/>
              <w:ind w:firstLine="480" w:firstLineChars="200"/>
            </w:pPr>
            <w:r>
              <w:rPr>
                <w:rFonts w:hint="eastAsia"/>
              </w:rPr>
              <w:t>根据上表可知，迁建前无组织排放的颗粒物、VOCs均能满足《大气污染物综合排放标准》（GB16297-1996）中表2中标准限值和《表面涂装（汽车制造及维修）挥发性有机物、镍排放标准》（DB43</w:t>
            </w:r>
            <w:r>
              <w:t>/</w:t>
            </w:r>
            <w:r>
              <w:rPr>
                <w:rFonts w:hint="eastAsia"/>
              </w:rPr>
              <w:t>1356-2017）中标准限值。</w:t>
            </w:r>
          </w:p>
          <w:p w14:paraId="4E549768">
            <w:pPr>
              <w:spacing w:line="360" w:lineRule="auto"/>
              <w:ind w:firstLine="480" w:firstLineChars="200"/>
            </w:pPr>
            <w:r>
              <w:rPr>
                <w:rFonts w:hint="eastAsia"/>
              </w:rPr>
              <w:t>（2）废水</w:t>
            </w:r>
          </w:p>
          <w:p w14:paraId="1E4150B1">
            <w:pPr>
              <w:spacing w:line="360" w:lineRule="auto"/>
              <w:ind w:firstLine="480" w:firstLineChars="200"/>
            </w:pPr>
            <w:r>
              <w:t>本项目现有工程，主要为生活污水，经已建</w:t>
            </w:r>
            <w:r>
              <w:rPr>
                <w:rFonts w:hint="eastAsia"/>
              </w:rPr>
              <w:t>化粪池预处理后排入衡龙新区污水处理厂集中处理，能够满足《污水综合排放标准》GB8978-1996中表4三级标准。</w:t>
            </w:r>
          </w:p>
          <w:p w14:paraId="4AC15CF5">
            <w:pPr>
              <w:spacing w:line="360" w:lineRule="auto"/>
              <w:ind w:firstLine="480" w:firstLineChars="200"/>
            </w:pPr>
            <w:r>
              <w:t>（</w:t>
            </w:r>
            <w:r>
              <w:rPr>
                <w:rFonts w:hint="eastAsia"/>
              </w:rPr>
              <w:t>3</w:t>
            </w:r>
            <w:r>
              <w:t>）</w:t>
            </w:r>
            <w:r>
              <w:rPr>
                <w:rFonts w:hint="eastAsia"/>
              </w:rPr>
              <w:t>噪声</w:t>
            </w:r>
          </w:p>
          <w:p w14:paraId="771807DB">
            <w:pPr>
              <w:jc w:val="center"/>
              <w:rPr>
                <w:b/>
                <w:bCs/>
                <w:color w:val="000000"/>
                <w:kern w:val="0"/>
                <w:lang w:bidi="ar"/>
              </w:rPr>
            </w:pPr>
            <w:r>
              <w:rPr>
                <w:rFonts w:hint="eastAsia"/>
                <w:b/>
                <w:bCs/>
                <w:color w:val="000000"/>
                <w:kern w:val="0"/>
                <w:lang w:bidi="ar"/>
              </w:rPr>
              <w:t>表2-12  噪声监测数据一览表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267"/>
              <w:gridCol w:w="2441"/>
              <w:gridCol w:w="2448"/>
            </w:tblGrid>
            <w:tr w14:paraId="05499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6FF24921">
                  <w:pPr>
                    <w:pStyle w:val="22"/>
                    <w:adjustRightInd w:val="0"/>
                    <w:snapToGrid w:val="0"/>
                    <w:spacing w:after="0"/>
                    <w:ind w:left="0" w:leftChars="0" w:firstLine="0"/>
                    <w:jc w:val="center"/>
                    <w:rPr>
                      <w:b/>
                      <w:bCs/>
                    </w:rPr>
                  </w:pPr>
                  <w:r>
                    <w:rPr>
                      <w:rFonts w:hint="eastAsia"/>
                      <w:b/>
                      <w:bCs/>
                    </w:rPr>
                    <w:t>采样点位</w:t>
                  </w:r>
                </w:p>
              </w:tc>
              <w:tc>
                <w:tcPr>
                  <w:tcW w:w="810" w:type="pct"/>
                  <w:vMerge w:val="restart"/>
                  <w:vAlign w:val="center"/>
                </w:tcPr>
                <w:p w14:paraId="3CEC5878">
                  <w:pPr>
                    <w:pStyle w:val="22"/>
                    <w:adjustRightInd w:val="0"/>
                    <w:snapToGrid w:val="0"/>
                    <w:spacing w:after="0"/>
                    <w:ind w:left="0" w:leftChars="0" w:firstLine="0"/>
                    <w:jc w:val="center"/>
                    <w:rPr>
                      <w:b/>
                      <w:bCs/>
                    </w:rPr>
                  </w:pPr>
                  <w:r>
                    <w:rPr>
                      <w:rFonts w:hint="eastAsia"/>
                      <w:b/>
                      <w:bCs/>
                    </w:rPr>
                    <w:t>采样时期</w:t>
                  </w:r>
                </w:p>
              </w:tc>
              <w:tc>
                <w:tcPr>
                  <w:tcW w:w="3126" w:type="pct"/>
                  <w:gridSpan w:val="2"/>
                  <w:vAlign w:val="center"/>
                </w:tcPr>
                <w:p w14:paraId="520AD992">
                  <w:pPr>
                    <w:pStyle w:val="22"/>
                    <w:adjustRightInd w:val="0"/>
                    <w:snapToGrid w:val="0"/>
                    <w:spacing w:after="0"/>
                    <w:ind w:left="0" w:leftChars="0" w:firstLine="0"/>
                    <w:jc w:val="center"/>
                    <w:rPr>
                      <w:b/>
                      <w:bCs/>
                    </w:rPr>
                  </w:pPr>
                  <w:r>
                    <w:rPr>
                      <w:rFonts w:hint="eastAsia"/>
                      <w:b/>
                      <w:bCs/>
                    </w:rPr>
                    <w:t>检测结果（dB（A））</w:t>
                  </w:r>
                </w:p>
              </w:tc>
            </w:tr>
            <w:tr w14:paraId="64279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735ACE50">
                  <w:pPr>
                    <w:pStyle w:val="22"/>
                    <w:adjustRightInd w:val="0"/>
                    <w:snapToGrid w:val="0"/>
                    <w:spacing w:after="0"/>
                    <w:ind w:left="0" w:leftChars="0" w:firstLine="0"/>
                    <w:jc w:val="center"/>
                    <w:rPr>
                      <w:b/>
                      <w:bCs/>
                    </w:rPr>
                  </w:pPr>
                </w:p>
              </w:tc>
              <w:tc>
                <w:tcPr>
                  <w:tcW w:w="810" w:type="pct"/>
                  <w:vMerge w:val="continue"/>
                  <w:vAlign w:val="center"/>
                </w:tcPr>
                <w:p w14:paraId="7DA9B79D">
                  <w:pPr>
                    <w:pStyle w:val="22"/>
                    <w:adjustRightInd w:val="0"/>
                    <w:snapToGrid w:val="0"/>
                    <w:spacing w:after="0"/>
                    <w:ind w:left="0" w:leftChars="0" w:firstLine="0"/>
                    <w:jc w:val="center"/>
                    <w:rPr>
                      <w:b/>
                      <w:bCs/>
                    </w:rPr>
                  </w:pPr>
                </w:p>
              </w:tc>
              <w:tc>
                <w:tcPr>
                  <w:tcW w:w="1561" w:type="pct"/>
                  <w:vAlign w:val="center"/>
                </w:tcPr>
                <w:p w14:paraId="72F5F93E">
                  <w:pPr>
                    <w:pStyle w:val="22"/>
                    <w:adjustRightInd w:val="0"/>
                    <w:snapToGrid w:val="0"/>
                    <w:spacing w:after="0"/>
                    <w:ind w:left="0" w:leftChars="0" w:firstLine="0"/>
                    <w:jc w:val="center"/>
                    <w:rPr>
                      <w:b/>
                      <w:bCs/>
                    </w:rPr>
                  </w:pPr>
                  <w:r>
                    <w:rPr>
                      <w:rFonts w:hint="eastAsia"/>
                      <w:b/>
                      <w:bCs/>
                    </w:rPr>
                    <w:t>昼间</w:t>
                  </w:r>
                </w:p>
              </w:tc>
              <w:tc>
                <w:tcPr>
                  <w:tcW w:w="1565" w:type="pct"/>
                  <w:vAlign w:val="center"/>
                </w:tcPr>
                <w:p w14:paraId="6167BF6D">
                  <w:pPr>
                    <w:pStyle w:val="22"/>
                    <w:adjustRightInd w:val="0"/>
                    <w:snapToGrid w:val="0"/>
                    <w:spacing w:after="0"/>
                    <w:ind w:left="0" w:leftChars="0" w:firstLine="0"/>
                    <w:jc w:val="center"/>
                    <w:rPr>
                      <w:b/>
                      <w:bCs/>
                    </w:rPr>
                  </w:pPr>
                  <w:r>
                    <w:rPr>
                      <w:rFonts w:hint="eastAsia"/>
                      <w:b/>
                      <w:bCs/>
                    </w:rPr>
                    <w:t>夜间</w:t>
                  </w:r>
                </w:p>
              </w:tc>
            </w:tr>
            <w:tr w14:paraId="2A712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5D85A038">
                  <w:pPr>
                    <w:pStyle w:val="22"/>
                    <w:adjustRightInd w:val="0"/>
                    <w:snapToGrid w:val="0"/>
                    <w:spacing w:after="0"/>
                    <w:ind w:left="0" w:leftChars="0" w:firstLine="0"/>
                    <w:jc w:val="center"/>
                  </w:pPr>
                  <w:r>
                    <w:rPr>
                      <w:rFonts w:hint="eastAsia"/>
                    </w:rPr>
                    <w:t>N1厂界东侧</w:t>
                  </w:r>
                </w:p>
              </w:tc>
              <w:tc>
                <w:tcPr>
                  <w:tcW w:w="810" w:type="pct"/>
                  <w:vAlign w:val="center"/>
                </w:tcPr>
                <w:p w14:paraId="6A60734F">
                  <w:pPr>
                    <w:pStyle w:val="22"/>
                    <w:adjustRightInd w:val="0"/>
                    <w:snapToGrid w:val="0"/>
                    <w:spacing w:after="0"/>
                    <w:ind w:left="0" w:leftChars="0" w:firstLine="0"/>
                    <w:jc w:val="center"/>
                  </w:pPr>
                  <w:r>
                    <w:rPr>
                      <w:rFonts w:hint="eastAsia"/>
                    </w:rPr>
                    <w:t>2022.8.18</w:t>
                  </w:r>
                </w:p>
              </w:tc>
              <w:tc>
                <w:tcPr>
                  <w:tcW w:w="1561" w:type="pct"/>
                  <w:vAlign w:val="center"/>
                </w:tcPr>
                <w:p w14:paraId="11349E48">
                  <w:pPr>
                    <w:pStyle w:val="22"/>
                    <w:adjustRightInd w:val="0"/>
                    <w:snapToGrid w:val="0"/>
                    <w:spacing w:after="0"/>
                    <w:ind w:left="0" w:leftChars="0" w:firstLine="0"/>
                    <w:jc w:val="center"/>
                  </w:pPr>
                  <w:r>
                    <w:rPr>
                      <w:rFonts w:hint="eastAsia"/>
                    </w:rPr>
                    <w:t>55.5</w:t>
                  </w:r>
                </w:p>
              </w:tc>
              <w:tc>
                <w:tcPr>
                  <w:tcW w:w="1565" w:type="pct"/>
                  <w:vAlign w:val="center"/>
                </w:tcPr>
                <w:p w14:paraId="2AA8D7F2">
                  <w:pPr>
                    <w:pStyle w:val="22"/>
                    <w:adjustRightInd w:val="0"/>
                    <w:snapToGrid w:val="0"/>
                    <w:spacing w:after="0"/>
                    <w:ind w:left="0" w:leftChars="0" w:firstLine="0"/>
                    <w:jc w:val="center"/>
                  </w:pPr>
                  <w:r>
                    <w:rPr>
                      <w:rFonts w:hint="eastAsia"/>
                    </w:rPr>
                    <w:t>45.2</w:t>
                  </w:r>
                </w:p>
              </w:tc>
            </w:tr>
            <w:tr w14:paraId="69C9C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51735A20">
                  <w:pPr>
                    <w:pStyle w:val="22"/>
                    <w:adjustRightInd w:val="0"/>
                    <w:snapToGrid w:val="0"/>
                    <w:spacing w:after="0"/>
                    <w:ind w:left="0" w:leftChars="0" w:firstLine="0"/>
                    <w:jc w:val="center"/>
                  </w:pPr>
                </w:p>
              </w:tc>
              <w:tc>
                <w:tcPr>
                  <w:tcW w:w="810" w:type="pct"/>
                  <w:vAlign w:val="center"/>
                </w:tcPr>
                <w:p w14:paraId="51555E22">
                  <w:pPr>
                    <w:pStyle w:val="22"/>
                    <w:adjustRightInd w:val="0"/>
                    <w:snapToGrid w:val="0"/>
                    <w:spacing w:after="0"/>
                    <w:ind w:left="0" w:leftChars="0" w:firstLine="0"/>
                    <w:jc w:val="center"/>
                  </w:pPr>
                  <w:r>
                    <w:rPr>
                      <w:rFonts w:hint="eastAsia"/>
                    </w:rPr>
                    <w:t>2022.8.19</w:t>
                  </w:r>
                </w:p>
              </w:tc>
              <w:tc>
                <w:tcPr>
                  <w:tcW w:w="1561" w:type="pct"/>
                  <w:vAlign w:val="center"/>
                </w:tcPr>
                <w:p w14:paraId="53091664">
                  <w:pPr>
                    <w:pStyle w:val="22"/>
                    <w:adjustRightInd w:val="0"/>
                    <w:snapToGrid w:val="0"/>
                    <w:spacing w:after="0"/>
                    <w:ind w:left="0" w:leftChars="0" w:firstLine="0"/>
                    <w:jc w:val="center"/>
                  </w:pPr>
                  <w:r>
                    <w:rPr>
                      <w:rFonts w:hint="eastAsia"/>
                    </w:rPr>
                    <w:t>55.3</w:t>
                  </w:r>
                </w:p>
              </w:tc>
              <w:tc>
                <w:tcPr>
                  <w:tcW w:w="1565" w:type="pct"/>
                  <w:vAlign w:val="center"/>
                </w:tcPr>
                <w:p w14:paraId="1EACE494">
                  <w:pPr>
                    <w:pStyle w:val="22"/>
                    <w:adjustRightInd w:val="0"/>
                    <w:snapToGrid w:val="0"/>
                    <w:spacing w:after="0"/>
                    <w:ind w:left="0" w:leftChars="0" w:firstLine="0"/>
                    <w:jc w:val="center"/>
                  </w:pPr>
                  <w:r>
                    <w:rPr>
                      <w:rFonts w:hint="eastAsia"/>
                    </w:rPr>
                    <w:t>45.8</w:t>
                  </w:r>
                </w:p>
              </w:tc>
            </w:tr>
            <w:tr w14:paraId="4E747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7D7C77B0">
                  <w:pPr>
                    <w:pStyle w:val="22"/>
                    <w:adjustRightInd w:val="0"/>
                    <w:snapToGrid w:val="0"/>
                    <w:spacing w:after="0"/>
                    <w:ind w:left="0" w:leftChars="0" w:firstLine="0"/>
                    <w:jc w:val="center"/>
                  </w:pPr>
                  <w:r>
                    <w:rPr>
                      <w:rFonts w:hint="eastAsia"/>
                    </w:rPr>
                    <w:t>N2厂界南侧</w:t>
                  </w:r>
                </w:p>
              </w:tc>
              <w:tc>
                <w:tcPr>
                  <w:tcW w:w="810" w:type="pct"/>
                  <w:vAlign w:val="center"/>
                </w:tcPr>
                <w:p w14:paraId="2B0894D9">
                  <w:pPr>
                    <w:pStyle w:val="22"/>
                    <w:adjustRightInd w:val="0"/>
                    <w:snapToGrid w:val="0"/>
                    <w:spacing w:after="0"/>
                    <w:ind w:left="0" w:leftChars="0" w:firstLine="0"/>
                    <w:jc w:val="center"/>
                  </w:pPr>
                  <w:r>
                    <w:rPr>
                      <w:rFonts w:hint="eastAsia"/>
                    </w:rPr>
                    <w:t>2022.8.18</w:t>
                  </w:r>
                </w:p>
              </w:tc>
              <w:tc>
                <w:tcPr>
                  <w:tcW w:w="1561" w:type="pct"/>
                  <w:vAlign w:val="center"/>
                </w:tcPr>
                <w:p w14:paraId="034310B1">
                  <w:pPr>
                    <w:pStyle w:val="22"/>
                    <w:adjustRightInd w:val="0"/>
                    <w:snapToGrid w:val="0"/>
                    <w:spacing w:after="0"/>
                    <w:ind w:left="0" w:leftChars="0" w:firstLine="0"/>
                    <w:jc w:val="center"/>
                  </w:pPr>
                  <w:r>
                    <w:rPr>
                      <w:rFonts w:hint="eastAsia"/>
                    </w:rPr>
                    <w:t>54.7</w:t>
                  </w:r>
                </w:p>
              </w:tc>
              <w:tc>
                <w:tcPr>
                  <w:tcW w:w="1565" w:type="pct"/>
                  <w:vAlign w:val="center"/>
                </w:tcPr>
                <w:p w14:paraId="3EE41132">
                  <w:pPr>
                    <w:pStyle w:val="22"/>
                    <w:adjustRightInd w:val="0"/>
                    <w:snapToGrid w:val="0"/>
                    <w:spacing w:after="0"/>
                    <w:ind w:left="0" w:leftChars="0" w:firstLine="0"/>
                    <w:jc w:val="center"/>
                  </w:pPr>
                  <w:r>
                    <w:rPr>
                      <w:rFonts w:hint="eastAsia"/>
                    </w:rPr>
                    <w:t>44.9</w:t>
                  </w:r>
                </w:p>
              </w:tc>
            </w:tr>
            <w:tr w14:paraId="4C554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65CC2F4C">
                  <w:pPr>
                    <w:pStyle w:val="22"/>
                    <w:adjustRightInd w:val="0"/>
                    <w:snapToGrid w:val="0"/>
                    <w:spacing w:after="0"/>
                    <w:ind w:left="0" w:leftChars="0" w:firstLine="0"/>
                    <w:jc w:val="center"/>
                  </w:pPr>
                </w:p>
              </w:tc>
              <w:tc>
                <w:tcPr>
                  <w:tcW w:w="810" w:type="pct"/>
                  <w:vAlign w:val="center"/>
                </w:tcPr>
                <w:p w14:paraId="653F60DB">
                  <w:pPr>
                    <w:pStyle w:val="22"/>
                    <w:adjustRightInd w:val="0"/>
                    <w:snapToGrid w:val="0"/>
                    <w:spacing w:after="0"/>
                    <w:ind w:left="0" w:leftChars="0" w:firstLine="0"/>
                    <w:jc w:val="center"/>
                  </w:pPr>
                  <w:r>
                    <w:rPr>
                      <w:rFonts w:hint="eastAsia"/>
                    </w:rPr>
                    <w:t>2022.8.19</w:t>
                  </w:r>
                </w:p>
              </w:tc>
              <w:tc>
                <w:tcPr>
                  <w:tcW w:w="1561" w:type="pct"/>
                  <w:vAlign w:val="center"/>
                </w:tcPr>
                <w:p w14:paraId="4B73A120">
                  <w:pPr>
                    <w:pStyle w:val="22"/>
                    <w:adjustRightInd w:val="0"/>
                    <w:snapToGrid w:val="0"/>
                    <w:spacing w:after="0"/>
                    <w:ind w:left="0" w:leftChars="0" w:firstLine="0"/>
                    <w:jc w:val="center"/>
                  </w:pPr>
                  <w:r>
                    <w:rPr>
                      <w:rFonts w:hint="eastAsia"/>
                    </w:rPr>
                    <w:t>54.8</w:t>
                  </w:r>
                </w:p>
              </w:tc>
              <w:tc>
                <w:tcPr>
                  <w:tcW w:w="1565" w:type="pct"/>
                  <w:vAlign w:val="center"/>
                </w:tcPr>
                <w:p w14:paraId="2DF93439">
                  <w:pPr>
                    <w:pStyle w:val="22"/>
                    <w:adjustRightInd w:val="0"/>
                    <w:snapToGrid w:val="0"/>
                    <w:spacing w:after="0"/>
                    <w:ind w:left="0" w:leftChars="0" w:firstLine="0"/>
                    <w:jc w:val="center"/>
                  </w:pPr>
                  <w:r>
                    <w:rPr>
                      <w:rFonts w:hint="eastAsia"/>
                    </w:rPr>
                    <w:t>44.7</w:t>
                  </w:r>
                </w:p>
              </w:tc>
            </w:tr>
            <w:tr w14:paraId="31776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7DDB7F64">
                  <w:pPr>
                    <w:pStyle w:val="22"/>
                    <w:adjustRightInd w:val="0"/>
                    <w:snapToGrid w:val="0"/>
                    <w:spacing w:after="0"/>
                    <w:ind w:left="0" w:leftChars="0" w:firstLine="0"/>
                    <w:jc w:val="center"/>
                  </w:pPr>
                  <w:r>
                    <w:rPr>
                      <w:rFonts w:hint="eastAsia"/>
                    </w:rPr>
                    <w:t>N3厂界西侧</w:t>
                  </w:r>
                </w:p>
              </w:tc>
              <w:tc>
                <w:tcPr>
                  <w:tcW w:w="810" w:type="pct"/>
                  <w:vAlign w:val="center"/>
                </w:tcPr>
                <w:p w14:paraId="68B31FFA">
                  <w:pPr>
                    <w:pStyle w:val="22"/>
                    <w:adjustRightInd w:val="0"/>
                    <w:snapToGrid w:val="0"/>
                    <w:spacing w:after="0"/>
                    <w:ind w:left="0" w:leftChars="0" w:firstLine="0"/>
                    <w:jc w:val="center"/>
                  </w:pPr>
                  <w:r>
                    <w:rPr>
                      <w:rFonts w:hint="eastAsia"/>
                    </w:rPr>
                    <w:t>2022.8.18</w:t>
                  </w:r>
                </w:p>
              </w:tc>
              <w:tc>
                <w:tcPr>
                  <w:tcW w:w="1561" w:type="pct"/>
                  <w:vAlign w:val="center"/>
                </w:tcPr>
                <w:p w14:paraId="3ADEB561">
                  <w:pPr>
                    <w:pStyle w:val="22"/>
                    <w:adjustRightInd w:val="0"/>
                    <w:snapToGrid w:val="0"/>
                    <w:spacing w:after="0"/>
                    <w:ind w:left="0" w:leftChars="0" w:firstLine="0"/>
                    <w:jc w:val="center"/>
                  </w:pPr>
                  <w:r>
                    <w:rPr>
                      <w:rFonts w:hint="eastAsia"/>
                    </w:rPr>
                    <w:t>57.5</w:t>
                  </w:r>
                </w:p>
              </w:tc>
              <w:tc>
                <w:tcPr>
                  <w:tcW w:w="1565" w:type="pct"/>
                  <w:vAlign w:val="center"/>
                </w:tcPr>
                <w:p w14:paraId="0CE111E0">
                  <w:pPr>
                    <w:pStyle w:val="22"/>
                    <w:adjustRightInd w:val="0"/>
                    <w:snapToGrid w:val="0"/>
                    <w:spacing w:after="0"/>
                    <w:ind w:left="0" w:leftChars="0" w:firstLine="0"/>
                    <w:jc w:val="center"/>
                  </w:pPr>
                  <w:r>
                    <w:rPr>
                      <w:rFonts w:hint="eastAsia"/>
                    </w:rPr>
                    <w:t>48.1</w:t>
                  </w:r>
                </w:p>
              </w:tc>
            </w:tr>
            <w:tr w14:paraId="34D16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4C522125">
                  <w:pPr>
                    <w:pStyle w:val="22"/>
                    <w:adjustRightInd w:val="0"/>
                    <w:snapToGrid w:val="0"/>
                    <w:spacing w:after="0"/>
                    <w:ind w:left="0" w:leftChars="0" w:firstLine="0"/>
                    <w:jc w:val="center"/>
                  </w:pPr>
                </w:p>
              </w:tc>
              <w:tc>
                <w:tcPr>
                  <w:tcW w:w="810" w:type="pct"/>
                  <w:vAlign w:val="center"/>
                </w:tcPr>
                <w:p w14:paraId="05CE6EB9">
                  <w:pPr>
                    <w:pStyle w:val="22"/>
                    <w:adjustRightInd w:val="0"/>
                    <w:snapToGrid w:val="0"/>
                    <w:spacing w:after="0"/>
                    <w:ind w:left="0" w:leftChars="0" w:firstLine="0"/>
                    <w:jc w:val="center"/>
                  </w:pPr>
                  <w:r>
                    <w:rPr>
                      <w:rFonts w:hint="eastAsia"/>
                    </w:rPr>
                    <w:t>2022.8.19</w:t>
                  </w:r>
                </w:p>
              </w:tc>
              <w:tc>
                <w:tcPr>
                  <w:tcW w:w="1561" w:type="pct"/>
                  <w:vAlign w:val="center"/>
                </w:tcPr>
                <w:p w14:paraId="5B7A605C">
                  <w:pPr>
                    <w:pStyle w:val="22"/>
                    <w:adjustRightInd w:val="0"/>
                    <w:snapToGrid w:val="0"/>
                    <w:spacing w:after="0"/>
                    <w:ind w:left="0" w:leftChars="0" w:firstLine="0"/>
                    <w:jc w:val="center"/>
                  </w:pPr>
                  <w:r>
                    <w:rPr>
                      <w:rFonts w:hint="eastAsia"/>
                    </w:rPr>
                    <w:t>57.6</w:t>
                  </w:r>
                </w:p>
              </w:tc>
              <w:tc>
                <w:tcPr>
                  <w:tcW w:w="1565" w:type="pct"/>
                  <w:vAlign w:val="center"/>
                </w:tcPr>
                <w:p w14:paraId="00CF8942">
                  <w:pPr>
                    <w:pStyle w:val="22"/>
                    <w:adjustRightInd w:val="0"/>
                    <w:snapToGrid w:val="0"/>
                    <w:spacing w:after="0"/>
                    <w:ind w:left="0" w:leftChars="0" w:firstLine="0"/>
                    <w:jc w:val="center"/>
                  </w:pPr>
                  <w:r>
                    <w:rPr>
                      <w:rFonts w:hint="eastAsia"/>
                    </w:rPr>
                    <w:t>47.0</w:t>
                  </w:r>
                </w:p>
              </w:tc>
            </w:tr>
            <w:tr w14:paraId="6A273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restart"/>
                  <w:vAlign w:val="center"/>
                </w:tcPr>
                <w:p w14:paraId="60A92ABB">
                  <w:pPr>
                    <w:pStyle w:val="22"/>
                    <w:adjustRightInd w:val="0"/>
                    <w:snapToGrid w:val="0"/>
                    <w:spacing w:after="0"/>
                    <w:ind w:left="0" w:leftChars="0" w:firstLine="0"/>
                    <w:jc w:val="center"/>
                  </w:pPr>
                  <w:r>
                    <w:rPr>
                      <w:rFonts w:hint="eastAsia"/>
                    </w:rPr>
                    <w:t>N4厂界北侧</w:t>
                  </w:r>
                </w:p>
              </w:tc>
              <w:tc>
                <w:tcPr>
                  <w:tcW w:w="810" w:type="pct"/>
                  <w:vAlign w:val="center"/>
                </w:tcPr>
                <w:p w14:paraId="54D93FA1">
                  <w:pPr>
                    <w:pStyle w:val="22"/>
                    <w:adjustRightInd w:val="0"/>
                    <w:snapToGrid w:val="0"/>
                    <w:spacing w:after="0"/>
                    <w:ind w:left="0" w:leftChars="0" w:firstLine="0"/>
                    <w:jc w:val="center"/>
                  </w:pPr>
                  <w:r>
                    <w:rPr>
                      <w:rFonts w:hint="eastAsia"/>
                    </w:rPr>
                    <w:t>2022.8.18</w:t>
                  </w:r>
                </w:p>
              </w:tc>
              <w:tc>
                <w:tcPr>
                  <w:tcW w:w="1561" w:type="pct"/>
                  <w:vAlign w:val="center"/>
                </w:tcPr>
                <w:p w14:paraId="2D6AF707">
                  <w:pPr>
                    <w:pStyle w:val="22"/>
                    <w:adjustRightInd w:val="0"/>
                    <w:snapToGrid w:val="0"/>
                    <w:spacing w:after="0"/>
                    <w:ind w:left="0" w:leftChars="0" w:firstLine="0"/>
                    <w:jc w:val="center"/>
                  </w:pPr>
                  <w:r>
                    <w:rPr>
                      <w:rFonts w:hint="eastAsia"/>
                    </w:rPr>
                    <w:t>57.4</w:t>
                  </w:r>
                </w:p>
              </w:tc>
              <w:tc>
                <w:tcPr>
                  <w:tcW w:w="1565" w:type="pct"/>
                  <w:vAlign w:val="center"/>
                </w:tcPr>
                <w:p w14:paraId="7B93A4D3">
                  <w:pPr>
                    <w:pStyle w:val="22"/>
                    <w:adjustRightInd w:val="0"/>
                    <w:snapToGrid w:val="0"/>
                    <w:spacing w:after="0"/>
                    <w:ind w:left="0" w:leftChars="0" w:firstLine="0"/>
                    <w:jc w:val="center"/>
                  </w:pPr>
                  <w:r>
                    <w:rPr>
                      <w:rFonts w:hint="eastAsia"/>
                    </w:rPr>
                    <w:t>47.6</w:t>
                  </w:r>
                </w:p>
              </w:tc>
            </w:tr>
            <w:tr w14:paraId="1A8EC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4" w:type="pct"/>
                  <w:vMerge w:val="continue"/>
                  <w:vAlign w:val="center"/>
                </w:tcPr>
                <w:p w14:paraId="7DA8A3C9">
                  <w:pPr>
                    <w:pStyle w:val="22"/>
                    <w:adjustRightInd w:val="0"/>
                    <w:snapToGrid w:val="0"/>
                    <w:spacing w:after="0"/>
                    <w:ind w:left="0" w:leftChars="0" w:firstLine="0"/>
                    <w:jc w:val="center"/>
                  </w:pPr>
                </w:p>
              </w:tc>
              <w:tc>
                <w:tcPr>
                  <w:tcW w:w="810" w:type="pct"/>
                  <w:vAlign w:val="center"/>
                </w:tcPr>
                <w:p w14:paraId="49A05BD7">
                  <w:pPr>
                    <w:pStyle w:val="22"/>
                    <w:adjustRightInd w:val="0"/>
                    <w:snapToGrid w:val="0"/>
                    <w:spacing w:after="0"/>
                    <w:ind w:left="0" w:leftChars="0" w:firstLine="0"/>
                    <w:jc w:val="center"/>
                  </w:pPr>
                  <w:r>
                    <w:rPr>
                      <w:rFonts w:hint="eastAsia"/>
                    </w:rPr>
                    <w:t>2022.8.19</w:t>
                  </w:r>
                </w:p>
              </w:tc>
              <w:tc>
                <w:tcPr>
                  <w:tcW w:w="1561" w:type="pct"/>
                  <w:vAlign w:val="center"/>
                </w:tcPr>
                <w:p w14:paraId="27F030D5">
                  <w:pPr>
                    <w:pStyle w:val="22"/>
                    <w:adjustRightInd w:val="0"/>
                    <w:snapToGrid w:val="0"/>
                    <w:spacing w:after="0"/>
                    <w:ind w:left="0" w:leftChars="0" w:firstLine="0"/>
                    <w:jc w:val="center"/>
                  </w:pPr>
                  <w:r>
                    <w:rPr>
                      <w:rFonts w:hint="eastAsia"/>
                    </w:rPr>
                    <w:t>57.8</w:t>
                  </w:r>
                </w:p>
              </w:tc>
              <w:tc>
                <w:tcPr>
                  <w:tcW w:w="1565" w:type="pct"/>
                  <w:vAlign w:val="center"/>
                </w:tcPr>
                <w:p w14:paraId="448E1A2B">
                  <w:pPr>
                    <w:pStyle w:val="22"/>
                    <w:adjustRightInd w:val="0"/>
                    <w:snapToGrid w:val="0"/>
                    <w:spacing w:after="0"/>
                    <w:ind w:left="0" w:leftChars="0" w:firstLine="0"/>
                    <w:jc w:val="center"/>
                  </w:pPr>
                  <w:r>
                    <w:rPr>
                      <w:rFonts w:hint="eastAsia"/>
                    </w:rPr>
                    <w:t>47.8</w:t>
                  </w:r>
                </w:p>
              </w:tc>
            </w:tr>
          </w:tbl>
          <w:p w14:paraId="72435B4F">
            <w:pPr>
              <w:spacing w:line="360" w:lineRule="auto"/>
              <w:ind w:firstLine="480" w:firstLineChars="200"/>
            </w:pPr>
            <w:r>
              <w:rPr>
                <w:rFonts w:hint="eastAsia"/>
              </w:rPr>
              <w:t>根据上表可知，现有项目迁建前厂界噪声，满足《工业企业厂界环境噪声排放标准》（GB12348-2008）3类标准要求。</w:t>
            </w:r>
          </w:p>
          <w:p w14:paraId="1D12EC7F">
            <w:pPr>
              <w:spacing w:line="360" w:lineRule="auto"/>
              <w:ind w:firstLine="480" w:firstLineChars="200"/>
            </w:pPr>
            <w:r>
              <w:rPr>
                <w:rFonts w:hint="eastAsia"/>
              </w:rPr>
              <w:t>（4）固废</w:t>
            </w:r>
          </w:p>
          <w:p w14:paraId="7A079548">
            <w:pPr>
              <w:spacing w:line="360" w:lineRule="auto"/>
              <w:ind w:firstLine="480" w:firstLineChars="200"/>
            </w:pPr>
            <w:r>
              <w:rPr>
                <w:rFonts w:hint="eastAsia"/>
              </w:rPr>
              <w:t>现有项目固废处置情况见下表。</w:t>
            </w:r>
          </w:p>
          <w:p w14:paraId="0FF6E07F">
            <w:pPr>
              <w:jc w:val="center"/>
              <w:rPr>
                <w:b/>
                <w:bCs/>
                <w:color w:val="000000"/>
                <w:kern w:val="0"/>
                <w:lang w:bidi="ar"/>
              </w:rPr>
            </w:pPr>
            <w:r>
              <w:rPr>
                <w:rFonts w:hint="eastAsia"/>
                <w:b/>
                <w:bCs/>
                <w:color w:val="000000"/>
                <w:kern w:val="0"/>
                <w:lang w:bidi="ar"/>
              </w:rPr>
              <w:t>表2-13  现有项目固废处置情况一览表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502"/>
              <w:gridCol w:w="1683"/>
              <w:gridCol w:w="1020"/>
              <w:gridCol w:w="1456"/>
              <w:gridCol w:w="876"/>
              <w:gridCol w:w="583"/>
              <w:gridCol w:w="1700"/>
            </w:tblGrid>
            <w:tr w14:paraId="7CB22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0D0F2D00">
                  <w:pPr>
                    <w:wordWrap w:val="0"/>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076" w:type="pct"/>
                  <w:tcBorders>
                    <w:tl2br w:val="nil"/>
                    <w:tr2bl w:val="nil"/>
                  </w:tcBorders>
                  <w:vAlign w:val="center"/>
                </w:tcPr>
                <w:p w14:paraId="1A3E09B5">
                  <w:pPr>
                    <w:wordWrap w:val="0"/>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固废名称</w:t>
                  </w:r>
                </w:p>
              </w:tc>
              <w:tc>
                <w:tcPr>
                  <w:tcW w:w="652" w:type="pct"/>
                  <w:tcBorders>
                    <w:tl2br w:val="nil"/>
                    <w:tr2bl w:val="nil"/>
                  </w:tcBorders>
                  <w:vAlign w:val="center"/>
                </w:tcPr>
                <w:p w14:paraId="59071AC7">
                  <w:pPr>
                    <w:wordWrap w:val="0"/>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固废类别</w:t>
                  </w:r>
                </w:p>
              </w:tc>
              <w:tc>
                <w:tcPr>
                  <w:tcW w:w="931" w:type="pct"/>
                  <w:tcBorders>
                    <w:tl2br w:val="nil"/>
                    <w:tr2bl w:val="nil"/>
                  </w:tcBorders>
                  <w:vAlign w:val="center"/>
                </w:tcPr>
                <w:p w14:paraId="009B1CB6">
                  <w:pPr>
                    <w:wordWrap w:val="0"/>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固废代码</w:t>
                  </w:r>
                </w:p>
              </w:tc>
              <w:tc>
                <w:tcPr>
                  <w:tcW w:w="560" w:type="pct"/>
                  <w:tcBorders>
                    <w:tl2br w:val="nil"/>
                    <w:tr2bl w:val="nil"/>
                  </w:tcBorders>
                  <w:vAlign w:val="center"/>
                </w:tcPr>
                <w:p w14:paraId="59A9327B">
                  <w:pPr>
                    <w:wordWrap w:val="0"/>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产生量</w:t>
                  </w:r>
                </w:p>
                <w:p w14:paraId="4B0273A6">
                  <w:pPr>
                    <w:wordWrap w:val="0"/>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t/a</w:t>
                  </w:r>
                </w:p>
              </w:tc>
              <w:tc>
                <w:tcPr>
                  <w:tcW w:w="373" w:type="pct"/>
                  <w:tcBorders>
                    <w:tl2br w:val="nil"/>
                    <w:tr2bl w:val="nil"/>
                  </w:tcBorders>
                  <w:vAlign w:val="center"/>
                </w:tcPr>
                <w:p w14:paraId="381B79E0">
                  <w:pPr>
                    <w:wordWrap w:val="0"/>
                    <w:autoSpaceDE w:val="0"/>
                    <w:autoSpaceDN w:val="0"/>
                    <w:ind w:left="-65" w:leftChars="-27" w:right="-31" w:rightChars="-13"/>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性质</w:t>
                  </w:r>
                </w:p>
              </w:tc>
              <w:tc>
                <w:tcPr>
                  <w:tcW w:w="1087" w:type="pct"/>
                  <w:tcBorders>
                    <w:tl2br w:val="nil"/>
                    <w:tr2bl w:val="nil"/>
                  </w:tcBorders>
                  <w:vAlign w:val="center"/>
                </w:tcPr>
                <w:p w14:paraId="111F66A9">
                  <w:pPr>
                    <w:wordWrap w:val="0"/>
                    <w:autoSpaceDE w:val="0"/>
                    <w:autoSpaceDN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处置方式</w:t>
                  </w:r>
                </w:p>
              </w:tc>
            </w:tr>
            <w:tr w14:paraId="3D197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35" w:hRule="atLeast"/>
                <w:jc w:val="center"/>
              </w:trPr>
              <w:tc>
                <w:tcPr>
                  <w:tcW w:w="321" w:type="pct"/>
                  <w:tcBorders>
                    <w:tl2br w:val="nil"/>
                    <w:tr2bl w:val="nil"/>
                  </w:tcBorders>
                  <w:vAlign w:val="center"/>
                </w:tcPr>
                <w:p w14:paraId="593045A7">
                  <w:pPr>
                    <w:wordWrap w:val="0"/>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76" w:type="pct"/>
                  <w:tcBorders>
                    <w:tl2br w:val="nil"/>
                    <w:tr2bl w:val="nil"/>
                  </w:tcBorders>
                  <w:vAlign w:val="center"/>
                </w:tcPr>
                <w:p w14:paraId="2BED0630">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废钢材边角料</w:t>
                  </w:r>
                </w:p>
              </w:tc>
              <w:tc>
                <w:tcPr>
                  <w:tcW w:w="652" w:type="pct"/>
                  <w:tcBorders>
                    <w:tl2br w:val="nil"/>
                    <w:tr2bl w:val="nil"/>
                  </w:tcBorders>
                  <w:vAlign w:val="center"/>
                </w:tcPr>
                <w:p w14:paraId="3F133634">
                  <w:pPr>
                    <w:wordWrap w:val="0"/>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931" w:type="pct"/>
                  <w:tcBorders>
                    <w:tl2br w:val="nil"/>
                    <w:tr2bl w:val="nil"/>
                  </w:tcBorders>
                  <w:vAlign w:val="center"/>
                </w:tcPr>
                <w:p w14:paraId="5F134FC4">
                  <w:pPr>
                    <w:wordWrap w:val="0"/>
                    <w:autoSpaceDE w:val="0"/>
                    <w:autoSpaceDN w:val="0"/>
                    <w:jc w:val="center"/>
                    <w:rPr>
                      <w:color w:val="000000" w:themeColor="text1"/>
                      <w:kern w:val="48"/>
                      <w:sz w:val="21"/>
                      <w:szCs w:val="21"/>
                      <w14:textFill>
                        <w14:solidFill>
                          <w14:schemeClr w14:val="tx1"/>
                        </w14:solidFill>
                      </w14:textFill>
                    </w:rPr>
                  </w:pPr>
                  <w:r>
                    <w:rPr>
                      <w:rFonts w:hint="eastAsia"/>
                      <w:color w:val="000000" w:themeColor="text1"/>
                      <w:kern w:val="48"/>
                      <w:sz w:val="21"/>
                      <w:szCs w:val="21"/>
                      <w14:textFill>
                        <w14:solidFill>
                          <w14:schemeClr w14:val="tx1"/>
                        </w14:solidFill>
                      </w14:textFill>
                    </w:rPr>
                    <w:t>/</w:t>
                  </w:r>
                </w:p>
              </w:tc>
              <w:tc>
                <w:tcPr>
                  <w:tcW w:w="560" w:type="pct"/>
                  <w:tcBorders>
                    <w:tl2br w:val="nil"/>
                    <w:tr2bl w:val="nil"/>
                  </w:tcBorders>
                  <w:vAlign w:val="center"/>
                </w:tcPr>
                <w:p w14:paraId="02E7FB1B">
                  <w:pPr>
                    <w:pStyle w:val="50"/>
                    <w:wordWrap w:val="0"/>
                    <w:autoSpaceDE w:val="0"/>
                    <w:autoSpaceDN w:val="0"/>
                    <w:rPr>
                      <w:color w:val="000000" w:themeColor="text1"/>
                      <w:kern w:val="48"/>
                      <w:sz w:val="21"/>
                      <w:szCs w:val="21"/>
                      <w14:textFill>
                        <w14:solidFill>
                          <w14:schemeClr w14:val="tx1"/>
                        </w14:solidFill>
                      </w14:textFill>
                    </w:rPr>
                  </w:pPr>
                  <w:r>
                    <w:rPr>
                      <w:rFonts w:hint="eastAsia"/>
                      <w:color w:val="000000"/>
                      <w:sz w:val="21"/>
                      <w:szCs w:val="21"/>
                    </w:rPr>
                    <w:t>30.85</w:t>
                  </w:r>
                </w:p>
              </w:tc>
              <w:tc>
                <w:tcPr>
                  <w:tcW w:w="373" w:type="pct"/>
                  <w:vMerge w:val="restart"/>
                  <w:tcBorders>
                    <w:tl2br w:val="nil"/>
                    <w:tr2bl w:val="nil"/>
                  </w:tcBorders>
                  <w:vAlign w:val="center"/>
                </w:tcPr>
                <w:p w14:paraId="1898F9AD">
                  <w:pPr>
                    <w:wordWrap w:val="0"/>
                    <w:autoSpaceDE w:val="0"/>
                    <w:autoSpaceDN w:val="0"/>
                    <w:ind w:left="-79" w:leftChars="-33" w:right="-31" w:rightChars="-13"/>
                    <w:jc w:val="center"/>
                    <w:rPr>
                      <w:color w:val="000000" w:themeColor="text1"/>
                      <w:kern w:val="0"/>
                      <w:sz w:val="21"/>
                      <w:szCs w:val="21"/>
                      <w:lang w:bidi="ar"/>
                      <w14:textFill>
                        <w14:solidFill>
                          <w14:schemeClr w14:val="tx1"/>
                        </w14:solidFill>
                      </w14:textFill>
                    </w:rPr>
                  </w:pPr>
                  <w:r>
                    <w:rPr>
                      <w:color w:val="000000" w:themeColor="text1"/>
                      <w:sz w:val="21"/>
                      <w:szCs w:val="21"/>
                      <w14:textFill>
                        <w14:solidFill>
                          <w14:schemeClr w14:val="tx1"/>
                        </w14:solidFill>
                      </w14:textFill>
                    </w:rPr>
                    <w:t>一般废物</w:t>
                  </w:r>
                </w:p>
              </w:tc>
              <w:tc>
                <w:tcPr>
                  <w:tcW w:w="1087" w:type="pct"/>
                  <w:vMerge w:val="restart"/>
                  <w:tcBorders>
                    <w:tl2br w:val="nil"/>
                    <w:tr2bl w:val="nil"/>
                  </w:tcBorders>
                  <w:vAlign w:val="center"/>
                </w:tcPr>
                <w:p w14:paraId="3FAF2489">
                  <w:pPr>
                    <w:pStyle w:val="50"/>
                    <w:wordWrap w:val="0"/>
                    <w:autoSpaceDE w:val="0"/>
                    <w:autoSpaceDN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分类收集于一般固废暂存间，定期综合利用</w:t>
                  </w:r>
                </w:p>
              </w:tc>
            </w:tr>
            <w:tr w14:paraId="45C8B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35" w:hRule="atLeast"/>
                <w:jc w:val="center"/>
              </w:trPr>
              <w:tc>
                <w:tcPr>
                  <w:tcW w:w="321" w:type="pct"/>
                  <w:tcBorders>
                    <w:tl2br w:val="nil"/>
                    <w:tr2bl w:val="nil"/>
                  </w:tcBorders>
                  <w:vAlign w:val="center"/>
                </w:tcPr>
                <w:p w14:paraId="16400225">
                  <w:pPr>
                    <w:wordWrap w:val="0"/>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076" w:type="pct"/>
                  <w:tcBorders>
                    <w:tl2br w:val="nil"/>
                    <w:tr2bl w:val="nil"/>
                  </w:tcBorders>
                  <w:vAlign w:val="center"/>
                </w:tcPr>
                <w:p w14:paraId="309F13D1">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焊渣</w:t>
                  </w:r>
                </w:p>
              </w:tc>
              <w:tc>
                <w:tcPr>
                  <w:tcW w:w="652" w:type="pct"/>
                  <w:tcBorders>
                    <w:tl2br w:val="nil"/>
                    <w:tr2bl w:val="nil"/>
                  </w:tcBorders>
                  <w:vAlign w:val="center"/>
                </w:tcPr>
                <w:p w14:paraId="61C8129D">
                  <w:pPr>
                    <w:wordWrap w:val="0"/>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31" w:type="pct"/>
                  <w:tcBorders>
                    <w:tl2br w:val="nil"/>
                    <w:tr2bl w:val="nil"/>
                  </w:tcBorders>
                  <w:vAlign w:val="center"/>
                </w:tcPr>
                <w:p w14:paraId="537EFB22">
                  <w:pPr>
                    <w:wordWrap w:val="0"/>
                    <w:autoSpaceDE w:val="0"/>
                    <w:autoSpaceDN w:val="0"/>
                    <w:jc w:val="center"/>
                    <w:rPr>
                      <w:color w:val="000000" w:themeColor="text1"/>
                      <w:kern w:val="48"/>
                      <w:sz w:val="21"/>
                      <w:szCs w:val="21"/>
                      <w14:textFill>
                        <w14:solidFill>
                          <w14:schemeClr w14:val="tx1"/>
                        </w14:solidFill>
                      </w14:textFill>
                    </w:rPr>
                  </w:pPr>
                  <w:r>
                    <w:rPr>
                      <w:rFonts w:hint="eastAsia"/>
                      <w:color w:val="000000" w:themeColor="text1"/>
                      <w:kern w:val="48"/>
                      <w:sz w:val="21"/>
                      <w:szCs w:val="21"/>
                      <w14:textFill>
                        <w14:solidFill>
                          <w14:schemeClr w14:val="tx1"/>
                        </w14:solidFill>
                      </w14:textFill>
                    </w:rPr>
                    <w:t>/</w:t>
                  </w:r>
                </w:p>
              </w:tc>
              <w:tc>
                <w:tcPr>
                  <w:tcW w:w="560" w:type="pct"/>
                  <w:tcBorders>
                    <w:tl2br w:val="nil"/>
                    <w:tr2bl w:val="nil"/>
                  </w:tcBorders>
                  <w:vAlign w:val="center"/>
                </w:tcPr>
                <w:p w14:paraId="497528FC">
                  <w:pPr>
                    <w:pStyle w:val="50"/>
                    <w:wordWrap w:val="0"/>
                    <w:autoSpaceDE w:val="0"/>
                    <w:autoSpaceDN w:val="0"/>
                    <w:rPr>
                      <w:color w:val="000000" w:themeColor="text1"/>
                      <w:kern w:val="48"/>
                      <w:sz w:val="21"/>
                      <w:szCs w:val="21"/>
                      <w14:textFill>
                        <w14:solidFill>
                          <w14:schemeClr w14:val="tx1"/>
                        </w14:solidFill>
                      </w14:textFill>
                    </w:rPr>
                  </w:pPr>
                  <w:r>
                    <w:rPr>
                      <w:rFonts w:hint="eastAsia"/>
                      <w:color w:val="000000"/>
                      <w:sz w:val="21"/>
                      <w:szCs w:val="21"/>
                    </w:rPr>
                    <w:t>5.31</w:t>
                  </w:r>
                </w:p>
              </w:tc>
              <w:tc>
                <w:tcPr>
                  <w:tcW w:w="373" w:type="pct"/>
                  <w:vMerge w:val="continue"/>
                  <w:tcBorders>
                    <w:tl2br w:val="nil"/>
                    <w:tr2bl w:val="nil"/>
                  </w:tcBorders>
                  <w:vAlign w:val="center"/>
                </w:tcPr>
                <w:p w14:paraId="2EB21906">
                  <w:pPr>
                    <w:wordWrap w:val="0"/>
                    <w:autoSpaceDE w:val="0"/>
                    <w:autoSpaceDN w:val="0"/>
                    <w:ind w:left="-79" w:leftChars="-33" w:right="-31" w:rightChars="-13"/>
                    <w:jc w:val="center"/>
                    <w:rPr>
                      <w:color w:val="000000" w:themeColor="text1"/>
                      <w:sz w:val="21"/>
                      <w:szCs w:val="21"/>
                      <w14:textFill>
                        <w14:solidFill>
                          <w14:schemeClr w14:val="tx1"/>
                        </w14:solidFill>
                      </w14:textFill>
                    </w:rPr>
                  </w:pPr>
                </w:p>
              </w:tc>
              <w:tc>
                <w:tcPr>
                  <w:tcW w:w="1087" w:type="pct"/>
                  <w:vMerge w:val="continue"/>
                  <w:tcBorders>
                    <w:tl2br w:val="nil"/>
                    <w:tr2bl w:val="nil"/>
                  </w:tcBorders>
                  <w:vAlign w:val="center"/>
                </w:tcPr>
                <w:p w14:paraId="0176CDFB">
                  <w:pPr>
                    <w:wordWrap w:val="0"/>
                    <w:autoSpaceDE w:val="0"/>
                    <w:autoSpaceDN w:val="0"/>
                    <w:jc w:val="center"/>
                    <w:rPr>
                      <w:color w:val="000000" w:themeColor="text1"/>
                      <w:sz w:val="21"/>
                      <w:szCs w:val="21"/>
                      <w14:textFill>
                        <w14:solidFill>
                          <w14:schemeClr w14:val="tx1"/>
                        </w14:solidFill>
                      </w14:textFill>
                    </w:rPr>
                  </w:pPr>
                </w:p>
              </w:tc>
            </w:tr>
            <w:tr w14:paraId="60481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41469D14">
                  <w:pPr>
                    <w:wordWrap w:val="0"/>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76" w:type="pct"/>
                  <w:tcBorders>
                    <w:tl2br w:val="nil"/>
                    <w:tr2bl w:val="nil"/>
                  </w:tcBorders>
                  <w:vAlign w:val="center"/>
                </w:tcPr>
                <w:p w14:paraId="4D04E51A">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废布袋</w:t>
                  </w:r>
                </w:p>
              </w:tc>
              <w:tc>
                <w:tcPr>
                  <w:tcW w:w="652" w:type="pct"/>
                  <w:tcBorders>
                    <w:tl2br w:val="nil"/>
                    <w:tr2bl w:val="nil"/>
                  </w:tcBorders>
                  <w:vAlign w:val="center"/>
                </w:tcPr>
                <w:p w14:paraId="4FD5F24F">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931" w:type="pct"/>
                  <w:tcBorders>
                    <w:tl2br w:val="nil"/>
                    <w:tr2bl w:val="nil"/>
                  </w:tcBorders>
                  <w:vAlign w:val="center"/>
                </w:tcPr>
                <w:p w14:paraId="5DBD8EB3">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560" w:type="pct"/>
                  <w:tcBorders>
                    <w:tl2br w:val="nil"/>
                    <w:tr2bl w:val="nil"/>
                  </w:tcBorders>
                  <w:vAlign w:val="center"/>
                </w:tcPr>
                <w:p w14:paraId="4C18463D">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373" w:type="pct"/>
                  <w:vMerge w:val="continue"/>
                  <w:tcBorders>
                    <w:tl2br w:val="nil"/>
                    <w:tr2bl w:val="nil"/>
                  </w:tcBorders>
                  <w:vAlign w:val="center"/>
                </w:tcPr>
                <w:p w14:paraId="5A4B6A80">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vMerge w:val="continue"/>
                  <w:tcBorders>
                    <w:tl2br w:val="nil"/>
                    <w:tr2bl w:val="nil"/>
                  </w:tcBorders>
                  <w:vAlign w:val="center"/>
                </w:tcPr>
                <w:p w14:paraId="1A419043">
                  <w:pPr>
                    <w:wordWrap w:val="0"/>
                    <w:autoSpaceDE w:val="0"/>
                    <w:autoSpaceDN w:val="0"/>
                    <w:jc w:val="center"/>
                    <w:rPr>
                      <w:color w:val="000000" w:themeColor="text1"/>
                      <w:kern w:val="0"/>
                      <w:sz w:val="21"/>
                      <w:szCs w:val="21"/>
                      <w:lang w:bidi="ar"/>
                      <w14:textFill>
                        <w14:solidFill>
                          <w14:schemeClr w14:val="tx1"/>
                        </w14:solidFill>
                      </w14:textFill>
                    </w:rPr>
                  </w:pPr>
                </w:p>
              </w:tc>
            </w:tr>
            <w:tr w14:paraId="0D13A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4810138B">
                  <w:pPr>
                    <w:wordWrap w:val="0"/>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076" w:type="pct"/>
                  <w:tcBorders>
                    <w:tl2br w:val="nil"/>
                    <w:tr2bl w:val="nil"/>
                  </w:tcBorders>
                  <w:vAlign w:val="center"/>
                </w:tcPr>
                <w:p w14:paraId="2BCAA752">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袋式除尘器收集粉尘</w:t>
                  </w:r>
                </w:p>
              </w:tc>
              <w:tc>
                <w:tcPr>
                  <w:tcW w:w="652" w:type="pct"/>
                  <w:tcBorders>
                    <w:tl2br w:val="nil"/>
                    <w:tr2bl w:val="nil"/>
                  </w:tcBorders>
                  <w:vAlign w:val="center"/>
                </w:tcPr>
                <w:p w14:paraId="1881B6E1">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931" w:type="pct"/>
                  <w:tcBorders>
                    <w:tl2br w:val="nil"/>
                    <w:tr2bl w:val="nil"/>
                  </w:tcBorders>
                  <w:vAlign w:val="center"/>
                </w:tcPr>
                <w:p w14:paraId="43519128">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560" w:type="pct"/>
                  <w:tcBorders>
                    <w:tl2br w:val="nil"/>
                    <w:tr2bl w:val="nil"/>
                  </w:tcBorders>
                  <w:vAlign w:val="center"/>
                </w:tcPr>
                <w:p w14:paraId="2B3A86F2">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15.8055</w:t>
                  </w:r>
                </w:p>
              </w:tc>
              <w:tc>
                <w:tcPr>
                  <w:tcW w:w="373" w:type="pct"/>
                  <w:vMerge w:val="continue"/>
                  <w:tcBorders>
                    <w:tl2br w:val="nil"/>
                    <w:tr2bl w:val="nil"/>
                  </w:tcBorders>
                  <w:vAlign w:val="center"/>
                </w:tcPr>
                <w:p w14:paraId="7F57BC77">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vMerge w:val="continue"/>
                  <w:tcBorders>
                    <w:tl2br w:val="nil"/>
                    <w:tr2bl w:val="nil"/>
                  </w:tcBorders>
                  <w:vAlign w:val="center"/>
                </w:tcPr>
                <w:p w14:paraId="63E6172A">
                  <w:pPr>
                    <w:wordWrap w:val="0"/>
                    <w:autoSpaceDE w:val="0"/>
                    <w:autoSpaceDN w:val="0"/>
                    <w:jc w:val="center"/>
                    <w:rPr>
                      <w:color w:val="000000" w:themeColor="text1"/>
                      <w:kern w:val="0"/>
                      <w:sz w:val="21"/>
                      <w:szCs w:val="21"/>
                      <w:lang w:bidi="ar"/>
                      <w14:textFill>
                        <w14:solidFill>
                          <w14:schemeClr w14:val="tx1"/>
                        </w14:solidFill>
                      </w14:textFill>
                    </w:rPr>
                  </w:pPr>
                </w:p>
              </w:tc>
            </w:tr>
            <w:tr w14:paraId="5377C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455BD4BF">
                  <w:pPr>
                    <w:wordWrap w:val="0"/>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076" w:type="pct"/>
                  <w:tcBorders>
                    <w:tl2br w:val="nil"/>
                    <w:tr2bl w:val="nil"/>
                  </w:tcBorders>
                  <w:vAlign w:val="center"/>
                </w:tcPr>
                <w:p w14:paraId="6EFD82C5">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废钢丸</w:t>
                  </w:r>
                </w:p>
              </w:tc>
              <w:tc>
                <w:tcPr>
                  <w:tcW w:w="652" w:type="pct"/>
                  <w:tcBorders>
                    <w:tl2br w:val="nil"/>
                    <w:tr2bl w:val="nil"/>
                  </w:tcBorders>
                  <w:vAlign w:val="center"/>
                </w:tcPr>
                <w:p w14:paraId="0E8EA22D">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931" w:type="pct"/>
                  <w:tcBorders>
                    <w:tl2br w:val="nil"/>
                    <w:tr2bl w:val="nil"/>
                  </w:tcBorders>
                  <w:vAlign w:val="center"/>
                </w:tcPr>
                <w:p w14:paraId="10F04D53">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560" w:type="pct"/>
                  <w:tcBorders>
                    <w:tl2br w:val="nil"/>
                    <w:tr2bl w:val="nil"/>
                  </w:tcBorders>
                  <w:vAlign w:val="center"/>
                </w:tcPr>
                <w:p w14:paraId="6DD32CBC">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sz w:val="21"/>
                      <w:szCs w:val="21"/>
                    </w:rPr>
                    <w:t>3</w:t>
                  </w:r>
                </w:p>
              </w:tc>
              <w:tc>
                <w:tcPr>
                  <w:tcW w:w="373" w:type="pct"/>
                  <w:vMerge w:val="continue"/>
                  <w:tcBorders>
                    <w:tl2br w:val="nil"/>
                    <w:tr2bl w:val="nil"/>
                  </w:tcBorders>
                  <w:vAlign w:val="center"/>
                </w:tcPr>
                <w:p w14:paraId="5968225B">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vMerge w:val="continue"/>
                  <w:tcBorders>
                    <w:tl2br w:val="nil"/>
                    <w:tr2bl w:val="nil"/>
                  </w:tcBorders>
                  <w:vAlign w:val="center"/>
                </w:tcPr>
                <w:p w14:paraId="0AFAD2DB">
                  <w:pPr>
                    <w:wordWrap w:val="0"/>
                    <w:autoSpaceDE w:val="0"/>
                    <w:autoSpaceDN w:val="0"/>
                    <w:jc w:val="center"/>
                    <w:rPr>
                      <w:color w:val="000000" w:themeColor="text1"/>
                      <w:kern w:val="0"/>
                      <w:sz w:val="21"/>
                      <w:szCs w:val="21"/>
                      <w:lang w:bidi="ar"/>
                      <w14:textFill>
                        <w14:solidFill>
                          <w14:schemeClr w14:val="tx1"/>
                        </w14:solidFill>
                      </w14:textFill>
                    </w:rPr>
                  </w:pPr>
                </w:p>
              </w:tc>
            </w:tr>
            <w:tr w14:paraId="767D1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362EBF5D">
                  <w:pPr>
                    <w:wordWrap w:val="0"/>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76" w:type="pct"/>
                  <w:tcBorders>
                    <w:tl2br w:val="nil"/>
                    <w:tr2bl w:val="nil"/>
                  </w:tcBorders>
                  <w:vAlign w:val="center"/>
                </w:tcPr>
                <w:p w14:paraId="3A703325">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c>
                <w:tcPr>
                  <w:tcW w:w="652" w:type="pct"/>
                  <w:tcBorders>
                    <w:tl2br w:val="nil"/>
                    <w:tr2bl w:val="nil"/>
                  </w:tcBorders>
                  <w:vAlign w:val="center"/>
                </w:tcPr>
                <w:p w14:paraId="7D66DC8B">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931" w:type="pct"/>
                  <w:tcBorders>
                    <w:tl2br w:val="nil"/>
                    <w:tr2bl w:val="nil"/>
                  </w:tcBorders>
                  <w:vAlign w:val="center"/>
                </w:tcPr>
                <w:p w14:paraId="6E27B2FC">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560" w:type="pct"/>
                  <w:tcBorders>
                    <w:tl2br w:val="nil"/>
                    <w:tr2bl w:val="nil"/>
                  </w:tcBorders>
                  <w:vAlign w:val="center"/>
                </w:tcPr>
                <w:p w14:paraId="040A5C5F">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sz w:val="21"/>
                      <w:szCs w:val="21"/>
                    </w:rPr>
                    <w:t>7.8</w:t>
                  </w:r>
                </w:p>
              </w:tc>
              <w:tc>
                <w:tcPr>
                  <w:tcW w:w="373" w:type="pct"/>
                  <w:vMerge w:val="continue"/>
                  <w:tcBorders>
                    <w:tl2br w:val="nil"/>
                    <w:tr2bl w:val="nil"/>
                  </w:tcBorders>
                  <w:vAlign w:val="center"/>
                </w:tcPr>
                <w:p w14:paraId="1C864E81">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tcBorders>
                    <w:tl2br w:val="nil"/>
                    <w:tr2bl w:val="nil"/>
                  </w:tcBorders>
                  <w:vAlign w:val="center"/>
                </w:tcPr>
                <w:p w14:paraId="677E61DC">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集中收集，由环卫部门统一清运</w:t>
                  </w:r>
                </w:p>
              </w:tc>
            </w:tr>
            <w:tr w14:paraId="022D9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38894B0B">
                  <w:pPr>
                    <w:wordWrap w:val="0"/>
                    <w:autoSpaceDE w:val="0"/>
                    <w:autoSpaceDN w:val="0"/>
                    <w:jc w:val="center"/>
                    <w:rPr>
                      <w:color w:val="000000" w:themeColor="text1"/>
                      <w:sz w:val="21"/>
                      <w:szCs w:val="21"/>
                      <w14:textFill>
                        <w14:solidFill>
                          <w14:schemeClr w14:val="tx1"/>
                        </w14:solidFill>
                      </w14:textFill>
                    </w:rPr>
                  </w:pPr>
                  <w:bookmarkStart w:id="29" w:name="_Hlk191891211"/>
                  <w:r>
                    <w:rPr>
                      <w:rFonts w:hint="eastAsia"/>
                      <w:color w:val="000000" w:themeColor="text1"/>
                      <w:sz w:val="21"/>
                      <w:szCs w:val="21"/>
                      <w14:textFill>
                        <w14:solidFill>
                          <w14:schemeClr w14:val="tx1"/>
                        </w14:solidFill>
                      </w14:textFill>
                    </w:rPr>
                    <w:t>7</w:t>
                  </w:r>
                </w:p>
              </w:tc>
              <w:tc>
                <w:tcPr>
                  <w:tcW w:w="1076" w:type="pct"/>
                  <w:tcBorders>
                    <w:tl2br w:val="nil"/>
                    <w:tr2bl w:val="nil"/>
                  </w:tcBorders>
                  <w:vAlign w:val="center"/>
                </w:tcPr>
                <w:p w14:paraId="0610C4D5">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sz w:val="21"/>
                    </w:rPr>
                    <w:t>含油</w:t>
                  </w:r>
                  <w:r>
                    <w:rPr>
                      <w:rFonts w:hint="eastAsia"/>
                      <w:sz w:val="21"/>
                    </w:rPr>
                    <w:t>抹布及手套</w:t>
                  </w:r>
                </w:p>
              </w:tc>
              <w:tc>
                <w:tcPr>
                  <w:tcW w:w="652" w:type="pct"/>
                  <w:tcBorders>
                    <w:tl2br w:val="nil"/>
                    <w:tr2bl w:val="nil"/>
                  </w:tcBorders>
                  <w:vAlign w:val="center"/>
                </w:tcPr>
                <w:p w14:paraId="4C5BDF11">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HW49</w:t>
                  </w:r>
                </w:p>
              </w:tc>
              <w:tc>
                <w:tcPr>
                  <w:tcW w:w="931" w:type="pct"/>
                  <w:tcBorders>
                    <w:tl2br w:val="nil"/>
                    <w:tr2bl w:val="nil"/>
                  </w:tcBorders>
                  <w:vAlign w:val="center"/>
                </w:tcPr>
                <w:p w14:paraId="7B897826">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sz w:val="21"/>
                      <w:szCs w:val="21"/>
                    </w:rPr>
                    <w:t>900-041-49</w:t>
                  </w:r>
                </w:p>
              </w:tc>
              <w:tc>
                <w:tcPr>
                  <w:tcW w:w="560" w:type="pct"/>
                  <w:tcBorders>
                    <w:tl2br w:val="nil"/>
                    <w:tr2bl w:val="nil"/>
                  </w:tcBorders>
                  <w:vAlign w:val="center"/>
                </w:tcPr>
                <w:p w14:paraId="63D33600">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0.05</w:t>
                  </w:r>
                </w:p>
              </w:tc>
              <w:tc>
                <w:tcPr>
                  <w:tcW w:w="373" w:type="pct"/>
                  <w:vMerge w:val="restart"/>
                  <w:tcBorders>
                    <w:tl2br w:val="nil"/>
                    <w:tr2bl w:val="nil"/>
                  </w:tcBorders>
                  <w:vAlign w:val="center"/>
                </w:tcPr>
                <w:p w14:paraId="38CB82EE">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危险废物</w:t>
                  </w:r>
                </w:p>
              </w:tc>
              <w:tc>
                <w:tcPr>
                  <w:tcW w:w="1087" w:type="pct"/>
                  <w:vMerge w:val="restart"/>
                  <w:tcBorders>
                    <w:tl2br w:val="nil"/>
                    <w:tr2bl w:val="nil"/>
                  </w:tcBorders>
                  <w:vAlign w:val="center"/>
                </w:tcPr>
                <w:p w14:paraId="726AB1A2">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收集暂存于危废暂存间，定期交由有资质单位处置</w:t>
                  </w:r>
                </w:p>
              </w:tc>
            </w:tr>
            <w:tr w14:paraId="6AE1E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2A19E8E3">
                  <w:pPr>
                    <w:wordWrap w:val="0"/>
                    <w:autoSpaceDE w:val="0"/>
                    <w:autoSpaceDN w:val="0"/>
                    <w:jc w:val="center"/>
                    <w:rPr>
                      <w:color w:val="000000" w:themeColor="text1"/>
                      <w:sz w:val="21"/>
                      <w:szCs w:val="21"/>
                      <w14:textFill>
                        <w14:solidFill>
                          <w14:schemeClr w14:val="tx1"/>
                        </w14:solidFill>
                      </w14:textFill>
                    </w:rPr>
                  </w:pPr>
                  <w:bookmarkStart w:id="30" w:name="_Hlk191375350"/>
                  <w:r>
                    <w:rPr>
                      <w:rFonts w:hint="eastAsia"/>
                      <w:color w:val="000000" w:themeColor="text1"/>
                      <w:sz w:val="21"/>
                      <w:szCs w:val="21"/>
                      <w14:textFill>
                        <w14:solidFill>
                          <w14:schemeClr w14:val="tx1"/>
                        </w14:solidFill>
                      </w14:textFill>
                    </w:rPr>
                    <w:t>8</w:t>
                  </w:r>
                </w:p>
              </w:tc>
              <w:tc>
                <w:tcPr>
                  <w:tcW w:w="1076" w:type="pct"/>
                  <w:tcBorders>
                    <w:tl2br w:val="nil"/>
                    <w:tr2bl w:val="nil"/>
                  </w:tcBorders>
                  <w:vAlign w:val="center"/>
                </w:tcPr>
                <w:p w14:paraId="3F0808B6">
                  <w:pPr>
                    <w:pStyle w:val="18"/>
                    <w:wordWrap w:val="0"/>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sz w:val="21"/>
                    </w:rPr>
                    <w:t>废</w:t>
                  </w:r>
                  <w:r>
                    <w:rPr>
                      <w:sz w:val="21"/>
                    </w:rPr>
                    <w:t>水性漆桶</w:t>
                  </w:r>
                </w:p>
              </w:tc>
              <w:tc>
                <w:tcPr>
                  <w:tcW w:w="652" w:type="pct"/>
                  <w:tcBorders>
                    <w:tl2br w:val="nil"/>
                    <w:tr2bl w:val="nil"/>
                  </w:tcBorders>
                  <w:vAlign w:val="center"/>
                </w:tcPr>
                <w:p w14:paraId="3242FA18">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u w:val="single"/>
                      <w14:textFill>
                        <w14:solidFill>
                          <w14:schemeClr w14:val="tx1"/>
                        </w14:solidFill>
                      </w14:textFill>
                    </w:rPr>
                    <w:t>HW49</w:t>
                  </w:r>
                </w:p>
              </w:tc>
              <w:tc>
                <w:tcPr>
                  <w:tcW w:w="931" w:type="pct"/>
                  <w:tcBorders>
                    <w:tl2br w:val="nil"/>
                    <w:tr2bl w:val="nil"/>
                  </w:tcBorders>
                  <w:vAlign w:val="center"/>
                </w:tcPr>
                <w:p w14:paraId="4E814B9A">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48"/>
                      <w:sz w:val="21"/>
                      <w:szCs w:val="21"/>
                      <w:u w:val="single"/>
                      <w14:textFill>
                        <w14:solidFill>
                          <w14:schemeClr w14:val="tx1"/>
                        </w14:solidFill>
                      </w14:textFill>
                    </w:rPr>
                    <w:t>900-041-49</w:t>
                  </w:r>
                </w:p>
              </w:tc>
              <w:tc>
                <w:tcPr>
                  <w:tcW w:w="560" w:type="pct"/>
                  <w:tcBorders>
                    <w:tl2br w:val="nil"/>
                    <w:tr2bl w:val="nil"/>
                  </w:tcBorders>
                  <w:vAlign w:val="center"/>
                </w:tcPr>
                <w:p w14:paraId="513E2777">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0.2854</w:t>
                  </w:r>
                </w:p>
              </w:tc>
              <w:tc>
                <w:tcPr>
                  <w:tcW w:w="373" w:type="pct"/>
                  <w:vMerge w:val="continue"/>
                  <w:tcBorders>
                    <w:tl2br w:val="nil"/>
                    <w:tr2bl w:val="nil"/>
                  </w:tcBorders>
                  <w:vAlign w:val="center"/>
                </w:tcPr>
                <w:p w14:paraId="587CD5DF">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vMerge w:val="continue"/>
                  <w:tcBorders>
                    <w:tl2br w:val="nil"/>
                    <w:tr2bl w:val="nil"/>
                  </w:tcBorders>
                  <w:vAlign w:val="center"/>
                </w:tcPr>
                <w:p w14:paraId="4825BD74">
                  <w:pPr>
                    <w:wordWrap w:val="0"/>
                    <w:autoSpaceDE w:val="0"/>
                    <w:autoSpaceDN w:val="0"/>
                    <w:jc w:val="center"/>
                    <w:rPr>
                      <w:color w:val="000000" w:themeColor="text1"/>
                      <w:kern w:val="0"/>
                      <w:sz w:val="21"/>
                      <w:szCs w:val="21"/>
                      <w:lang w:bidi="ar"/>
                      <w14:textFill>
                        <w14:solidFill>
                          <w14:schemeClr w14:val="tx1"/>
                        </w14:solidFill>
                      </w14:textFill>
                    </w:rPr>
                  </w:pPr>
                </w:p>
              </w:tc>
            </w:tr>
            <w:bookmarkEnd w:id="30"/>
            <w:tr w14:paraId="47C38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77200298">
                  <w:pPr>
                    <w:pStyle w:val="18"/>
                    <w:wordWrap w:val="0"/>
                    <w:autoSpaceDE w:val="0"/>
                    <w:autoSpaceDN w:val="0"/>
                    <w:ind w:left="0" w:leftChars="0"/>
                    <w:jc w:val="center"/>
                    <w:rPr>
                      <w:color w:val="000000"/>
                      <w:sz w:val="21"/>
                      <w:szCs w:val="21"/>
                    </w:rPr>
                  </w:pPr>
                  <w:r>
                    <w:rPr>
                      <w:rFonts w:hint="eastAsia"/>
                      <w:color w:val="000000"/>
                      <w:sz w:val="21"/>
                      <w:szCs w:val="21"/>
                    </w:rPr>
                    <w:t>9</w:t>
                  </w:r>
                </w:p>
              </w:tc>
              <w:tc>
                <w:tcPr>
                  <w:tcW w:w="1076" w:type="pct"/>
                  <w:tcBorders>
                    <w:tl2br w:val="nil"/>
                    <w:tr2bl w:val="nil"/>
                  </w:tcBorders>
                  <w:vAlign w:val="center"/>
                </w:tcPr>
                <w:p w14:paraId="221078BB">
                  <w:pPr>
                    <w:pStyle w:val="18"/>
                    <w:wordWrap w:val="0"/>
                    <w:autoSpaceDE w:val="0"/>
                    <w:autoSpaceDN w:val="0"/>
                    <w:ind w:left="0" w:leftChars="0"/>
                    <w:jc w:val="center"/>
                    <w:rPr>
                      <w:color w:val="000000"/>
                      <w:sz w:val="21"/>
                      <w:szCs w:val="21"/>
                    </w:rPr>
                  </w:pPr>
                  <w:r>
                    <w:rPr>
                      <w:sz w:val="21"/>
                    </w:rPr>
                    <w:t>废润滑油</w:t>
                  </w:r>
                  <w:r>
                    <w:rPr>
                      <w:rFonts w:hint="eastAsia"/>
                      <w:sz w:val="21"/>
                    </w:rPr>
                    <w:t>及其包装桶</w:t>
                  </w:r>
                </w:p>
              </w:tc>
              <w:tc>
                <w:tcPr>
                  <w:tcW w:w="652" w:type="pct"/>
                  <w:tcBorders>
                    <w:tl2br w:val="nil"/>
                    <w:tr2bl w:val="nil"/>
                  </w:tcBorders>
                  <w:vAlign w:val="center"/>
                </w:tcPr>
                <w:p w14:paraId="6CF46CFB">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sz w:val="21"/>
                      <w:szCs w:val="21"/>
                    </w:rPr>
                    <w:t>HW08</w:t>
                  </w:r>
                </w:p>
              </w:tc>
              <w:tc>
                <w:tcPr>
                  <w:tcW w:w="931" w:type="pct"/>
                  <w:tcBorders>
                    <w:tl2br w:val="nil"/>
                    <w:tr2bl w:val="nil"/>
                  </w:tcBorders>
                  <w:vAlign w:val="center"/>
                </w:tcPr>
                <w:p w14:paraId="7805CB39">
                  <w:pPr>
                    <w:autoSpaceDE w:val="0"/>
                    <w:autoSpaceDN w:val="0"/>
                    <w:jc w:val="center"/>
                    <w:rPr>
                      <w:color w:val="000000"/>
                      <w:sz w:val="21"/>
                      <w:szCs w:val="21"/>
                    </w:rPr>
                  </w:pPr>
                  <w:r>
                    <w:rPr>
                      <w:rFonts w:hint="eastAsia"/>
                      <w:color w:val="000000"/>
                      <w:sz w:val="21"/>
                      <w:szCs w:val="21"/>
                    </w:rPr>
                    <w:t>900-217-08</w:t>
                  </w:r>
                </w:p>
                <w:p w14:paraId="1152353B">
                  <w:pPr>
                    <w:wordWrap w:val="0"/>
                    <w:autoSpaceDE w:val="0"/>
                    <w:autoSpaceDN w:val="0"/>
                    <w:jc w:val="center"/>
                    <w:rPr>
                      <w:color w:val="000000"/>
                      <w:sz w:val="21"/>
                      <w:szCs w:val="21"/>
                    </w:rPr>
                  </w:pPr>
                  <w:r>
                    <w:rPr>
                      <w:rFonts w:hint="eastAsia"/>
                      <w:sz w:val="21"/>
                      <w:szCs w:val="21"/>
                    </w:rPr>
                    <w:t>900-249-08</w:t>
                  </w:r>
                </w:p>
              </w:tc>
              <w:tc>
                <w:tcPr>
                  <w:tcW w:w="560" w:type="pct"/>
                  <w:tcBorders>
                    <w:tl2br w:val="nil"/>
                    <w:tr2bl w:val="nil"/>
                  </w:tcBorders>
                  <w:vAlign w:val="center"/>
                </w:tcPr>
                <w:p w14:paraId="19D0E517">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0.125</w:t>
                  </w:r>
                </w:p>
              </w:tc>
              <w:tc>
                <w:tcPr>
                  <w:tcW w:w="373" w:type="pct"/>
                  <w:vMerge w:val="continue"/>
                  <w:tcBorders>
                    <w:tl2br w:val="nil"/>
                    <w:tr2bl w:val="nil"/>
                  </w:tcBorders>
                  <w:vAlign w:val="center"/>
                </w:tcPr>
                <w:p w14:paraId="7DF14FDC">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vMerge w:val="continue"/>
                  <w:tcBorders>
                    <w:tl2br w:val="nil"/>
                    <w:tr2bl w:val="nil"/>
                  </w:tcBorders>
                  <w:vAlign w:val="center"/>
                </w:tcPr>
                <w:p w14:paraId="2D91A714">
                  <w:pPr>
                    <w:wordWrap w:val="0"/>
                    <w:autoSpaceDE w:val="0"/>
                    <w:autoSpaceDN w:val="0"/>
                    <w:jc w:val="center"/>
                    <w:rPr>
                      <w:color w:val="000000" w:themeColor="text1"/>
                      <w:kern w:val="0"/>
                      <w:sz w:val="21"/>
                      <w:szCs w:val="21"/>
                      <w:lang w:bidi="ar"/>
                      <w14:textFill>
                        <w14:solidFill>
                          <w14:schemeClr w14:val="tx1"/>
                        </w14:solidFill>
                      </w14:textFill>
                    </w:rPr>
                  </w:pPr>
                </w:p>
              </w:tc>
            </w:tr>
            <w:tr w14:paraId="2E4EF0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321" w:type="pct"/>
                  <w:tcBorders>
                    <w:tl2br w:val="nil"/>
                    <w:tr2bl w:val="nil"/>
                  </w:tcBorders>
                  <w:vAlign w:val="center"/>
                </w:tcPr>
                <w:p w14:paraId="329312C6">
                  <w:pPr>
                    <w:pStyle w:val="18"/>
                    <w:wordWrap w:val="0"/>
                    <w:autoSpaceDE w:val="0"/>
                    <w:autoSpaceDN w:val="0"/>
                    <w:ind w:left="0" w:leftChars="0"/>
                    <w:jc w:val="center"/>
                    <w:rPr>
                      <w:color w:val="000000"/>
                      <w:sz w:val="21"/>
                      <w:szCs w:val="21"/>
                    </w:rPr>
                  </w:pPr>
                  <w:r>
                    <w:rPr>
                      <w:rFonts w:hint="eastAsia"/>
                      <w:color w:val="000000"/>
                      <w:sz w:val="21"/>
                      <w:szCs w:val="21"/>
                    </w:rPr>
                    <w:t>10</w:t>
                  </w:r>
                </w:p>
              </w:tc>
              <w:tc>
                <w:tcPr>
                  <w:tcW w:w="1076" w:type="pct"/>
                  <w:tcBorders>
                    <w:tl2br w:val="nil"/>
                    <w:tr2bl w:val="nil"/>
                  </w:tcBorders>
                  <w:vAlign w:val="center"/>
                </w:tcPr>
                <w:p w14:paraId="4F44122A">
                  <w:pPr>
                    <w:pStyle w:val="18"/>
                    <w:wordWrap w:val="0"/>
                    <w:autoSpaceDE w:val="0"/>
                    <w:autoSpaceDN w:val="0"/>
                    <w:ind w:left="0" w:leftChars="0"/>
                    <w:jc w:val="center"/>
                    <w:rPr>
                      <w:sz w:val="21"/>
                    </w:rPr>
                  </w:pPr>
                  <w:r>
                    <w:rPr>
                      <w:rFonts w:hint="eastAsia"/>
                      <w:color w:val="000000"/>
                      <w:sz w:val="21"/>
                      <w:szCs w:val="21"/>
                    </w:rPr>
                    <w:t>废漆渣</w:t>
                  </w:r>
                </w:p>
              </w:tc>
              <w:tc>
                <w:tcPr>
                  <w:tcW w:w="652" w:type="pct"/>
                  <w:tcBorders>
                    <w:tl2br w:val="nil"/>
                    <w:tr2bl w:val="nil"/>
                  </w:tcBorders>
                  <w:vAlign w:val="center"/>
                </w:tcPr>
                <w:p w14:paraId="0179C61B">
                  <w:pPr>
                    <w:wordWrap w:val="0"/>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u w:val="single"/>
                      <w14:textFill>
                        <w14:solidFill>
                          <w14:schemeClr w14:val="tx1"/>
                        </w14:solidFill>
                      </w14:textFill>
                    </w:rPr>
                    <w:t>HW12</w:t>
                  </w:r>
                </w:p>
              </w:tc>
              <w:tc>
                <w:tcPr>
                  <w:tcW w:w="931" w:type="pct"/>
                  <w:tcBorders>
                    <w:tl2br w:val="nil"/>
                    <w:tr2bl w:val="nil"/>
                  </w:tcBorders>
                  <w:vAlign w:val="center"/>
                </w:tcPr>
                <w:p w14:paraId="37B19C0D">
                  <w:pPr>
                    <w:wordWrap w:val="0"/>
                    <w:autoSpaceDE w:val="0"/>
                    <w:autoSpaceDN w:val="0"/>
                    <w:jc w:val="center"/>
                    <w:rPr>
                      <w:color w:val="000000"/>
                      <w:sz w:val="21"/>
                      <w:szCs w:val="21"/>
                    </w:rPr>
                  </w:pPr>
                  <w:r>
                    <w:rPr>
                      <w:rFonts w:hint="eastAsia"/>
                      <w:color w:val="000000" w:themeColor="text1"/>
                      <w:kern w:val="48"/>
                      <w:sz w:val="21"/>
                      <w:szCs w:val="21"/>
                      <w:u w:val="single"/>
                      <w14:textFill>
                        <w14:solidFill>
                          <w14:schemeClr w14:val="tx1"/>
                        </w14:solidFill>
                      </w14:textFill>
                    </w:rPr>
                    <w:t>900-252-12</w:t>
                  </w:r>
                </w:p>
              </w:tc>
              <w:tc>
                <w:tcPr>
                  <w:tcW w:w="560" w:type="pct"/>
                  <w:tcBorders>
                    <w:tl2br w:val="nil"/>
                    <w:tr2bl w:val="nil"/>
                  </w:tcBorders>
                  <w:vAlign w:val="center"/>
                </w:tcPr>
                <w:p w14:paraId="33BC78F0">
                  <w:pPr>
                    <w:wordWrap w:val="0"/>
                    <w:autoSpaceDE w:val="0"/>
                    <w:autoSpaceDN w:val="0"/>
                    <w:jc w:val="center"/>
                    <w:rPr>
                      <w:sz w:val="21"/>
                      <w:szCs w:val="21"/>
                    </w:rPr>
                  </w:pPr>
                  <w:r>
                    <w:rPr>
                      <w:rFonts w:hint="eastAsia"/>
                      <w:color w:val="000000" w:themeColor="text1"/>
                      <w:kern w:val="0"/>
                      <w:sz w:val="21"/>
                      <w:szCs w:val="21"/>
                      <w:lang w:bidi="ar"/>
                      <w14:textFill>
                        <w14:solidFill>
                          <w14:schemeClr w14:val="tx1"/>
                        </w14:solidFill>
                      </w14:textFill>
                    </w:rPr>
                    <w:t>0.1998</w:t>
                  </w:r>
                </w:p>
              </w:tc>
              <w:tc>
                <w:tcPr>
                  <w:tcW w:w="373" w:type="pct"/>
                  <w:vMerge w:val="continue"/>
                  <w:tcBorders>
                    <w:tl2br w:val="nil"/>
                    <w:tr2bl w:val="nil"/>
                  </w:tcBorders>
                  <w:vAlign w:val="center"/>
                </w:tcPr>
                <w:p w14:paraId="607868CD">
                  <w:pPr>
                    <w:wordWrap w:val="0"/>
                    <w:autoSpaceDE w:val="0"/>
                    <w:autoSpaceDN w:val="0"/>
                    <w:jc w:val="center"/>
                    <w:rPr>
                      <w:color w:val="000000" w:themeColor="text1"/>
                      <w:kern w:val="0"/>
                      <w:sz w:val="21"/>
                      <w:szCs w:val="21"/>
                      <w:lang w:bidi="ar"/>
                      <w14:textFill>
                        <w14:solidFill>
                          <w14:schemeClr w14:val="tx1"/>
                        </w14:solidFill>
                      </w14:textFill>
                    </w:rPr>
                  </w:pPr>
                </w:p>
              </w:tc>
              <w:tc>
                <w:tcPr>
                  <w:tcW w:w="1087" w:type="pct"/>
                  <w:vMerge w:val="continue"/>
                  <w:tcBorders>
                    <w:tl2br w:val="nil"/>
                    <w:tr2bl w:val="nil"/>
                  </w:tcBorders>
                  <w:vAlign w:val="center"/>
                </w:tcPr>
                <w:p w14:paraId="0659639B">
                  <w:pPr>
                    <w:wordWrap w:val="0"/>
                    <w:autoSpaceDE w:val="0"/>
                    <w:autoSpaceDN w:val="0"/>
                    <w:jc w:val="center"/>
                    <w:rPr>
                      <w:color w:val="000000" w:themeColor="text1"/>
                      <w:kern w:val="0"/>
                      <w:sz w:val="21"/>
                      <w:szCs w:val="21"/>
                      <w:lang w:bidi="ar"/>
                      <w14:textFill>
                        <w14:solidFill>
                          <w14:schemeClr w14:val="tx1"/>
                        </w14:solidFill>
                      </w14:textFill>
                    </w:rPr>
                  </w:pPr>
                </w:p>
              </w:tc>
            </w:tr>
            <w:bookmarkEnd w:id="29"/>
          </w:tbl>
          <w:p w14:paraId="1462626A">
            <w:pPr>
              <w:jc w:val="center"/>
              <w:rPr>
                <w:b/>
                <w:bCs/>
                <w:color w:val="000000"/>
                <w:kern w:val="0"/>
                <w:lang w:bidi="ar"/>
              </w:rPr>
            </w:pPr>
            <w:r>
              <w:rPr>
                <w:rFonts w:hint="eastAsia"/>
                <w:b/>
                <w:bCs/>
                <w:color w:val="000000"/>
                <w:kern w:val="0"/>
                <w:lang w:bidi="ar"/>
              </w:rPr>
              <w:t>表2-14  危险废物汇总表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899"/>
              <w:gridCol w:w="1196"/>
              <w:gridCol w:w="674"/>
              <w:gridCol w:w="813"/>
              <w:gridCol w:w="673"/>
              <w:gridCol w:w="737"/>
              <w:gridCol w:w="682"/>
              <w:gridCol w:w="427"/>
              <w:gridCol w:w="427"/>
              <w:gridCol w:w="637"/>
            </w:tblGrid>
            <w:tr w14:paraId="6097B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1D663442">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危险废物名称</w:t>
                  </w:r>
                </w:p>
              </w:tc>
              <w:tc>
                <w:tcPr>
                  <w:tcW w:w="575" w:type="pct"/>
                  <w:vAlign w:val="center"/>
                </w:tcPr>
                <w:p w14:paraId="74EF80D8">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危险废物类别</w:t>
                  </w:r>
                </w:p>
              </w:tc>
              <w:tc>
                <w:tcPr>
                  <w:tcW w:w="765" w:type="pct"/>
                  <w:vAlign w:val="center"/>
                </w:tcPr>
                <w:p w14:paraId="232ED981">
                  <w:pPr>
                    <w:pStyle w:val="63"/>
                    <w:wordWrap w:val="0"/>
                    <w:autoSpaceDE w:val="0"/>
                    <w:autoSpaceDN w:val="0"/>
                    <w:adjustRightInd w:val="0"/>
                    <w:snapToGrid w:val="0"/>
                    <w:rPr>
                      <w:b/>
                      <w:bCs/>
                      <w:szCs w:val="21"/>
                    </w:rPr>
                  </w:pPr>
                  <w:r>
                    <w:rPr>
                      <w:rFonts w:hint="eastAsia"/>
                      <w:b/>
                      <w:bCs/>
                      <w:szCs w:val="21"/>
                    </w:rPr>
                    <w:t>危险废物</w:t>
                  </w:r>
                </w:p>
                <w:p w14:paraId="575AE73A">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代码</w:t>
                  </w:r>
                </w:p>
              </w:tc>
              <w:tc>
                <w:tcPr>
                  <w:tcW w:w="431" w:type="pct"/>
                  <w:vAlign w:val="center"/>
                </w:tcPr>
                <w:p w14:paraId="55659335">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产生量（</w:t>
                  </w:r>
                  <w:r>
                    <w:rPr>
                      <w:b/>
                      <w:bCs/>
                      <w:szCs w:val="21"/>
                    </w:rPr>
                    <w:t>t/a</w:t>
                  </w:r>
                  <w:r>
                    <w:rPr>
                      <w:rFonts w:hint="eastAsia"/>
                      <w:b/>
                      <w:bCs/>
                      <w:szCs w:val="21"/>
                    </w:rPr>
                    <w:t>）</w:t>
                  </w:r>
                </w:p>
              </w:tc>
              <w:tc>
                <w:tcPr>
                  <w:tcW w:w="520" w:type="pct"/>
                  <w:vAlign w:val="center"/>
                </w:tcPr>
                <w:p w14:paraId="34CD2AC0">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产生工序及装置</w:t>
                  </w:r>
                </w:p>
              </w:tc>
              <w:tc>
                <w:tcPr>
                  <w:tcW w:w="430" w:type="pct"/>
                  <w:vAlign w:val="center"/>
                </w:tcPr>
                <w:p w14:paraId="3DEDE111">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形态</w:t>
                  </w:r>
                </w:p>
              </w:tc>
              <w:tc>
                <w:tcPr>
                  <w:tcW w:w="471" w:type="pct"/>
                  <w:vAlign w:val="center"/>
                </w:tcPr>
                <w:p w14:paraId="69E0106E">
                  <w:pPr>
                    <w:pStyle w:val="63"/>
                    <w:wordWrap w:val="0"/>
                    <w:autoSpaceDE w:val="0"/>
                    <w:autoSpaceDN w:val="0"/>
                    <w:adjustRightInd w:val="0"/>
                    <w:snapToGrid w:val="0"/>
                    <w:rPr>
                      <w:b/>
                      <w:bCs/>
                      <w:szCs w:val="21"/>
                    </w:rPr>
                  </w:pPr>
                  <w:r>
                    <w:rPr>
                      <w:rFonts w:hint="eastAsia"/>
                      <w:b/>
                      <w:bCs/>
                      <w:szCs w:val="21"/>
                    </w:rPr>
                    <w:t>主要</w:t>
                  </w:r>
                </w:p>
                <w:p w14:paraId="53E34232">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成分</w:t>
                  </w:r>
                </w:p>
              </w:tc>
              <w:tc>
                <w:tcPr>
                  <w:tcW w:w="436" w:type="pct"/>
                  <w:vAlign w:val="center"/>
                </w:tcPr>
                <w:p w14:paraId="506F6A21">
                  <w:pPr>
                    <w:pStyle w:val="63"/>
                    <w:wordWrap w:val="0"/>
                    <w:autoSpaceDE w:val="0"/>
                    <w:autoSpaceDN w:val="0"/>
                    <w:adjustRightInd w:val="0"/>
                    <w:snapToGrid w:val="0"/>
                    <w:rPr>
                      <w:b/>
                      <w:bCs/>
                      <w:szCs w:val="21"/>
                    </w:rPr>
                  </w:pPr>
                  <w:r>
                    <w:rPr>
                      <w:rFonts w:hint="eastAsia"/>
                      <w:b/>
                      <w:bCs/>
                      <w:szCs w:val="21"/>
                    </w:rPr>
                    <w:t>有害</w:t>
                  </w:r>
                </w:p>
                <w:p w14:paraId="5D475864">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成分</w:t>
                  </w:r>
                </w:p>
              </w:tc>
              <w:tc>
                <w:tcPr>
                  <w:tcW w:w="273" w:type="pct"/>
                  <w:vAlign w:val="center"/>
                </w:tcPr>
                <w:p w14:paraId="1516DD75">
                  <w:pPr>
                    <w:pStyle w:val="63"/>
                    <w:wordWrap w:val="0"/>
                    <w:autoSpaceDE w:val="0"/>
                    <w:autoSpaceDN w:val="0"/>
                    <w:adjustRightInd w:val="0"/>
                    <w:snapToGrid w:val="0"/>
                    <w:rPr>
                      <w:b/>
                      <w:bCs/>
                      <w:szCs w:val="21"/>
                    </w:rPr>
                  </w:pPr>
                  <w:r>
                    <w:rPr>
                      <w:rFonts w:hint="eastAsia"/>
                      <w:b/>
                      <w:bCs/>
                      <w:szCs w:val="21"/>
                    </w:rPr>
                    <w:t>产废</w:t>
                  </w:r>
                </w:p>
                <w:p w14:paraId="293A7EEA">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周期</w:t>
                  </w:r>
                </w:p>
              </w:tc>
              <w:tc>
                <w:tcPr>
                  <w:tcW w:w="273" w:type="pct"/>
                  <w:vAlign w:val="center"/>
                </w:tcPr>
                <w:p w14:paraId="44238D55">
                  <w:pPr>
                    <w:pStyle w:val="63"/>
                    <w:wordWrap w:val="0"/>
                    <w:autoSpaceDE w:val="0"/>
                    <w:autoSpaceDN w:val="0"/>
                    <w:adjustRightInd w:val="0"/>
                    <w:snapToGrid w:val="0"/>
                    <w:rPr>
                      <w:b/>
                      <w:bCs/>
                      <w:szCs w:val="21"/>
                    </w:rPr>
                  </w:pPr>
                  <w:r>
                    <w:rPr>
                      <w:rFonts w:hint="eastAsia"/>
                      <w:b/>
                      <w:bCs/>
                      <w:szCs w:val="21"/>
                    </w:rPr>
                    <w:t>危险</w:t>
                  </w:r>
                </w:p>
                <w:p w14:paraId="22F1C3CE">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特性</w:t>
                  </w:r>
                </w:p>
              </w:tc>
              <w:tc>
                <w:tcPr>
                  <w:tcW w:w="407" w:type="pct"/>
                  <w:vAlign w:val="center"/>
                </w:tcPr>
                <w:p w14:paraId="2FF18C14">
                  <w:pPr>
                    <w:pStyle w:val="22"/>
                    <w:wordWrap w:val="0"/>
                    <w:autoSpaceDE w:val="0"/>
                    <w:autoSpaceDN w:val="0"/>
                    <w:adjustRightInd w:val="0"/>
                    <w:snapToGrid w:val="0"/>
                    <w:spacing w:after="0"/>
                    <w:ind w:left="0" w:leftChars="0" w:firstLine="0"/>
                    <w:jc w:val="center"/>
                    <w:rPr>
                      <w:szCs w:val="21"/>
                      <w:lang w:bidi="ar"/>
                    </w:rPr>
                  </w:pPr>
                  <w:r>
                    <w:rPr>
                      <w:rFonts w:hint="eastAsia"/>
                      <w:b/>
                      <w:bCs/>
                      <w:szCs w:val="21"/>
                    </w:rPr>
                    <w:t>污染防治措施</w:t>
                  </w:r>
                </w:p>
              </w:tc>
            </w:tr>
            <w:tr w14:paraId="725DA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377039F4">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废水性漆桶</w:t>
                  </w:r>
                </w:p>
              </w:tc>
              <w:tc>
                <w:tcPr>
                  <w:tcW w:w="575" w:type="pct"/>
                  <w:vAlign w:val="center"/>
                </w:tcPr>
                <w:p w14:paraId="676C283F">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szCs w:val="21"/>
                      <w:u w:val="single"/>
                      <w14:textFill>
                        <w14:solidFill>
                          <w14:schemeClr w14:val="tx1"/>
                        </w14:solidFill>
                      </w14:textFill>
                    </w:rPr>
                    <w:t>HW49</w:t>
                  </w:r>
                </w:p>
              </w:tc>
              <w:tc>
                <w:tcPr>
                  <w:tcW w:w="765" w:type="pct"/>
                  <w:vAlign w:val="center"/>
                </w:tcPr>
                <w:p w14:paraId="3B50D43A">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48"/>
                      <w:szCs w:val="21"/>
                      <w:u w:val="single"/>
                      <w14:textFill>
                        <w14:solidFill>
                          <w14:schemeClr w14:val="tx1"/>
                        </w14:solidFill>
                      </w14:textFill>
                    </w:rPr>
                    <w:t>900-041-49</w:t>
                  </w:r>
                </w:p>
              </w:tc>
              <w:tc>
                <w:tcPr>
                  <w:tcW w:w="431" w:type="pct"/>
                  <w:vAlign w:val="center"/>
                </w:tcPr>
                <w:p w14:paraId="26EA78A8">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0.2854</w:t>
                  </w:r>
                </w:p>
              </w:tc>
              <w:tc>
                <w:tcPr>
                  <w:tcW w:w="520" w:type="pct"/>
                  <w:vAlign w:val="center"/>
                </w:tcPr>
                <w:p w14:paraId="0C2398BB">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喷漆</w:t>
                  </w:r>
                </w:p>
              </w:tc>
              <w:tc>
                <w:tcPr>
                  <w:tcW w:w="430" w:type="pct"/>
                  <w:vAlign w:val="center"/>
                </w:tcPr>
                <w:p w14:paraId="4CA6ED4A">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71" w:type="pct"/>
                  <w:vAlign w:val="center"/>
                </w:tcPr>
                <w:p w14:paraId="3AEA01EE">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436" w:type="pct"/>
                  <w:vAlign w:val="center"/>
                </w:tcPr>
                <w:p w14:paraId="3E58DD54">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273" w:type="pct"/>
                  <w:vAlign w:val="center"/>
                </w:tcPr>
                <w:p w14:paraId="722FBF7F">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2CD25F21">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T/In</w:t>
                  </w:r>
                </w:p>
              </w:tc>
              <w:tc>
                <w:tcPr>
                  <w:tcW w:w="407" w:type="pct"/>
                  <w:vMerge w:val="restart"/>
                  <w:vAlign w:val="center"/>
                </w:tcPr>
                <w:p w14:paraId="1D982F5C">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14:textFill>
                        <w14:solidFill>
                          <w14:schemeClr w14:val="tx1"/>
                        </w14:solidFill>
                      </w14:textFill>
                    </w:rPr>
                    <w:t>分类收集暂存于危废间，定期</w:t>
                  </w:r>
                  <w:r>
                    <w:rPr>
                      <w:color w:val="000000" w:themeColor="text1"/>
                      <w:kern w:val="0"/>
                      <w:szCs w:val="21"/>
                      <w14:textFill>
                        <w14:solidFill>
                          <w14:schemeClr w14:val="tx1"/>
                        </w14:solidFill>
                      </w14:textFill>
                    </w:rPr>
                    <w:t>委托有资质单位处</w:t>
                  </w:r>
                  <w:r>
                    <w:rPr>
                      <w:rFonts w:hint="eastAsia"/>
                      <w:color w:val="000000" w:themeColor="text1"/>
                      <w:kern w:val="0"/>
                      <w:szCs w:val="21"/>
                      <w14:textFill>
                        <w14:solidFill>
                          <w14:schemeClr w14:val="tx1"/>
                        </w14:solidFill>
                      </w14:textFill>
                    </w:rPr>
                    <w:t>置</w:t>
                  </w:r>
                </w:p>
              </w:tc>
            </w:tr>
            <w:tr w14:paraId="7D822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0D433B40">
                  <w:pPr>
                    <w:pStyle w:val="22"/>
                    <w:wordWrap w:val="0"/>
                    <w:autoSpaceDE w:val="0"/>
                    <w:autoSpaceDN w:val="0"/>
                    <w:adjustRightInd w:val="0"/>
                    <w:snapToGrid w:val="0"/>
                    <w:spacing w:after="0"/>
                    <w:ind w:left="0" w:leftChars="0" w:firstLine="0"/>
                    <w:jc w:val="center"/>
                    <w:rPr>
                      <w:szCs w:val="21"/>
                      <w:lang w:bidi="ar"/>
                    </w:rPr>
                  </w:pPr>
                  <w:r>
                    <w:rPr>
                      <w:rFonts w:hint="eastAsia"/>
                      <w:color w:val="000000"/>
                      <w:szCs w:val="21"/>
                    </w:rPr>
                    <w:t>水性漆漆渣</w:t>
                  </w:r>
                </w:p>
              </w:tc>
              <w:tc>
                <w:tcPr>
                  <w:tcW w:w="575" w:type="pct"/>
                  <w:vAlign w:val="center"/>
                </w:tcPr>
                <w:p w14:paraId="6744D0A7">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szCs w:val="21"/>
                      <w:u w:val="single"/>
                      <w14:textFill>
                        <w14:solidFill>
                          <w14:schemeClr w14:val="tx1"/>
                        </w14:solidFill>
                      </w14:textFill>
                    </w:rPr>
                    <w:t>HW12</w:t>
                  </w:r>
                </w:p>
              </w:tc>
              <w:tc>
                <w:tcPr>
                  <w:tcW w:w="765" w:type="pct"/>
                  <w:vAlign w:val="center"/>
                </w:tcPr>
                <w:p w14:paraId="56057EAB">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48"/>
                      <w:szCs w:val="21"/>
                      <w:u w:val="single"/>
                      <w14:textFill>
                        <w14:solidFill>
                          <w14:schemeClr w14:val="tx1"/>
                        </w14:solidFill>
                      </w14:textFill>
                    </w:rPr>
                    <w:t>900-252-12</w:t>
                  </w:r>
                </w:p>
              </w:tc>
              <w:tc>
                <w:tcPr>
                  <w:tcW w:w="431" w:type="pct"/>
                  <w:vAlign w:val="center"/>
                </w:tcPr>
                <w:p w14:paraId="2BD94475">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0.1998</w:t>
                  </w:r>
                </w:p>
              </w:tc>
              <w:tc>
                <w:tcPr>
                  <w:tcW w:w="520" w:type="pct"/>
                  <w:vAlign w:val="center"/>
                </w:tcPr>
                <w:p w14:paraId="49240A47">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喷漆</w:t>
                  </w:r>
                </w:p>
              </w:tc>
              <w:tc>
                <w:tcPr>
                  <w:tcW w:w="430" w:type="pct"/>
                  <w:vAlign w:val="center"/>
                </w:tcPr>
                <w:p w14:paraId="06AB3477">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71" w:type="pct"/>
                  <w:vAlign w:val="center"/>
                </w:tcPr>
                <w:p w14:paraId="71087791">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436" w:type="pct"/>
                  <w:vAlign w:val="center"/>
                </w:tcPr>
                <w:p w14:paraId="6CDFFAAC">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273" w:type="pct"/>
                  <w:vAlign w:val="center"/>
                </w:tcPr>
                <w:p w14:paraId="67A08235">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13B0107C">
                  <w:pPr>
                    <w:pStyle w:val="22"/>
                    <w:wordWrap w:val="0"/>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T/I</w:t>
                  </w:r>
                </w:p>
              </w:tc>
              <w:tc>
                <w:tcPr>
                  <w:tcW w:w="407" w:type="pct"/>
                  <w:vMerge w:val="continue"/>
                  <w:vAlign w:val="center"/>
                </w:tcPr>
                <w:p w14:paraId="647527BB">
                  <w:pPr>
                    <w:pStyle w:val="22"/>
                    <w:wordWrap w:val="0"/>
                    <w:autoSpaceDE w:val="0"/>
                    <w:autoSpaceDN w:val="0"/>
                    <w:adjustRightInd w:val="0"/>
                    <w:snapToGrid w:val="0"/>
                    <w:spacing w:after="0"/>
                    <w:ind w:left="0" w:leftChars="0" w:firstLine="0"/>
                    <w:jc w:val="center"/>
                    <w:rPr>
                      <w:szCs w:val="21"/>
                      <w:lang w:bidi="ar"/>
                    </w:rPr>
                  </w:pPr>
                </w:p>
              </w:tc>
            </w:tr>
            <w:tr w14:paraId="1A673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7ED7196A">
                  <w:pPr>
                    <w:pStyle w:val="22"/>
                    <w:wordWrap w:val="0"/>
                    <w:autoSpaceDE w:val="0"/>
                    <w:autoSpaceDN w:val="0"/>
                    <w:adjustRightInd w:val="0"/>
                    <w:snapToGrid w:val="0"/>
                    <w:spacing w:after="0"/>
                    <w:ind w:left="0" w:leftChars="0" w:firstLine="0"/>
                    <w:jc w:val="center"/>
                    <w:rPr>
                      <w:color w:val="000000"/>
                      <w:szCs w:val="21"/>
                    </w:rPr>
                  </w:pPr>
                  <w:r>
                    <w:rPr>
                      <w:rFonts w:hint="eastAsia"/>
                      <w:color w:val="000000"/>
                      <w:szCs w:val="21"/>
                    </w:rPr>
                    <w:t>废润滑油及其包装桶</w:t>
                  </w:r>
                </w:p>
              </w:tc>
              <w:tc>
                <w:tcPr>
                  <w:tcW w:w="575" w:type="pct"/>
                  <w:vAlign w:val="center"/>
                </w:tcPr>
                <w:p w14:paraId="1CF6F983">
                  <w:pPr>
                    <w:pStyle w:val="22"/>
                    <w:wordWrap w:val="0"/>
                    <w:autoSpaceDE w:val="0"/>
                    <w:autoSpaceDN w:val="0"/>
                    <w:adjustRightInd w:val="0"/>
                    <w:snapToGrid w:val="0"/>
                    <w:spacing w:after="0"/>
                    <w:ind w:left="0" w:leftChars="0" w:firstLine="0"/>
                    <w:jc w:val="center"/>
                    <w:rPr>
                      <w:color w:val="000000"/>
                      <w:kern w:val="0"/>
                      <w:szCs w:val="21"/>
                      <w:lang w:bidi="ar"/>
                    </w:rPr>
                  </w:pPr>
                  <w:r>
                    <w:rPr>
                      <w:rFonts w:hint="eastAsia"/>
                      <w:color w:val="000000"/>
                      <w:szCs w:val="21"/>
                    </w:rPr>
                    <w:t>HW08</w:t>
                  </w:r>
                </w:p>
              </w:tc>
              <w:tc>
                <w:tcPr>
                  <w:tcW w:w="765" w:type="pct"/>
                  <w:vAlign w:val="center"/>
                </w:tcPr>
                <w:p w14:paraId="49CECFC3">
                  <w:pPr>
                    <w:autoSpaceDE w:val="0"/>
                    <w:autoSpaceDN w:val="0"/>
                    <w:jc w:val="center"/>
                    <w:rPr>
                      <w:color w:val="000000"/>
                      <w:sz w:val="21"/>
                      <w:szCs w:val="21"/>
                    </w:rPr>
                  </w:pPr>
                  <w:r>
                    <w:rPr>
                      <w:rFonts w:hint="eastAsia"/>
                      <w:color w:val="000000"/>
                      <w:sz w:val="21"/>
                      <w:szCs w:val="21"/>
                    </w:rPr>
                    <w:t>900-217-08</w:t>
                  </w:r>
                </w:p>
                <w:p w14:paraId="1E053605">
                  <w:pPr>
                    <w:pStyle w:val="22"/>
                    <w:wordWrap w:val="0"/>
                    <w:autoSpaceDE w:val="0"/>
                    <w:autoSpaceDN w:val="0"/>
                    <w:adjustRightInd w:val="0"/>
                    <w:snapToGrid w:val="0"/>
                    <w:spacing w:after="0"/>
                    <w:ind w:left="0" w:leftChars="0" w:firstLine="0"/>
                    <w:jc w:val="center"/>
                    <w:rPr>
                      <w:color w:val="000000"/>
                      <w:kern w:val="0"/>
                      <w:szCs w:val="21"/>
                      <w:lang w:bidi="ar"/>
                    </w:rPr>
                  </w:pPr>
                  <w:r>
                    <w:rPr>
                      <w:rFonts w:hint="eastAsia"/>
                    </w:rPr>
                    <w:t>900-249-08</w:t>
                  </w:r>
                </w:p>
              </w:tc>
              <w:tc>
                <w:tcPr>
                  <w:tcW w:w="431" w:type="pct"/>
                  <w:vAlign w:val="center"/>
                </w:tcPr>
                <w:p w14:paraId="48F630E9">
                  <w:pPr>
                    <w:pStyle w:val="22"/>
                    <w:wordWrap w:val="0"/>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0.125</w:t>
                  </w:r>
                </w:p>
              </w:tc>
              <w:tc>
                <w:tcPr>
                  <w:tcW w:w="520" w:type="pct"/>
                  <w:vAlign w:val="center"/>
                </w:tcPr>
                <w:p w14:paraId="27BF4558">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设备保养</w:t>
                  </w:r>
                </w:p>
              </w:tc>
              <w:tc>
                <w:tcPr>
                  <w:tcW w:w="430" w:type="pct"/>
                  <w:vAlign w:val="center"/>
                </w:tcPr>
                <w:p w14:paraId="6FD40D9E">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液态、固态</w:t>
                  </w:r>
                </w:p>
              </w:tc>
              <w:tc>
                <w:tcPr>
                  <w:tcW w:w="471" w:type="pct"/>
                  <w:vAlign w:val="center"/>
                </w:tcPr>
                <w:p w14:paraId="351B5FA2">
                  <w:pPr>
                    <w:pStyle w:val="22"/>
                    <w:wordWrap w:val="0"/>
                    <w:autoSpaceDE w:val="0"/>
                    <w:autoSpaceDN w:val="0"/>
                    <w:adjustRightInd w:val="0"/>
                    <w:snapToGrid w:val="0"/>
                    <w:spacing w:after="0"/>
                    <w:ind w:left="0" w:leftChars="0" w:firstLine="0"/>
                    <w:jc w:val="center"/>
                    <w:rPr>
                      <w:szCs w:val="21"/>
                      <w:lang w:bidi="ar"/>
                    </w:rPr>
                  </w:pPr>
                  <w:r>
                    <w:rPr>
                      <w:rFonts w:hint="eastAsia"/>
                      <w:szCs w:val="21"/>
                    </w:rPr>
                    <w:t>废矿物油</w:t>
                  </w:r>
                </w:p>
              </w:tc>
              <w:tc>
                <w:tcPr>
                  <w:tcW w:w="436" w:type="pct"/>
                  <w:vAlign w:val="center"/>
                </w:tcPr>
                <w:p w14:paraId="76309FCB">
                  <w:pPr>
                    <w:pStyle w:val="22"/>
                    <w:wordWrap w:val="0"/>
                    <w:autoSpaceDE w:val="0"/>
                    <w:autoSpaceDN w:val="0"/>
                    <w:adjustRightInd w:val="0"/>
                    <w:snapToGrid w:val="0"/>
                    <w:spacing w:after="0"/>
                    <w:ind w:left="0" w:leftChars="0" w:firstLine="0"/>
                    <w:jc w:val="center"/>
                    <w:rPr>
                      <w:szCs w:val="21"/>
                      <w:lang w:bidi="ar"/>
                    </w:rPr>
                  </w:pPr>
                  <w:r>
                    <w:rPr>
                      <w:rFonts w:hint="eastAsia"/>
                      <w:szCs w:val="21"/>
                    </w:rPr>
                    <w:t>废矿物油</w:t>
                  </w:r>
                </w:p>
              </w:tc>
              <w:tc>
                <w:tcPr>
                  <w:tcW w:w="273" w:type="pct"/>
                  <w:vAlign w:val="center"/>
                </w:tcPr>
                <w:p w14:paraId="426F15B3">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3AA03DAF">
                  <w:pPr>
                    <w:pStyle w:val="22"/>
                    <w:wordWrap w:val="0"/>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T/I</w:t>
                  </w:r>
                </w:p>
              </w:tc>
              <w:tc>
                <w:tcPr>
                  <w:tcW w:w="407" w:type="pct"/>
                  <w:vMerge w:val="continue"/>
                  <w:vAlign w:val="center"/>
                </w:tcPr>
                <w:p w14:paraId="306B2B42">
                  <w:pPr>
                    <w:pStyle w:val="22"/>
                    <w:wordWrap w:val="0"/>
                    <w:autoSpaceDE w:val="0"/>
                    <w:autoSpaceDN w:val="0"/>
                    <w:adjustRightInd w:val="0"/>
                    <w:snapToGrid w:val="0"/>
                    <w:spacing w:after="0"/>
                    <w:ind w:left="0" w:leftChars="0" w:firstLine="0"/>
                    <w:jc w:val="center"/>
                    <w:rPr>
                      <w:szCs w:val="21"/>
                      <w:lang w:bidi="ar"/>
                    </w:rPr>
                  </w:pPr>
                </w:p>
              </w:tc>
            </w:tr>
            <w:tr w14:paraId="4556F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05BA8524">
                  <w:pPr>
                    <w:pStyle w:val="22"/>
                    <w:wordWrap w:val="0"/>
                    <w:autoSpaceDE w:val="0"/>
                    <w:autoSpaceDN w:val="0"/>
                    <w:adjustRightInd w:val="0"/>
                    <w:snapToGrid w:val="0"/>
                    <w:spacing w:after="0"/>
                    <w:ind w:left="0" w:leftChars="0" w:firstLine="0"/>
                    <w:jc w:val="center"/>
                    <w:rPr>
                      <w:color w:val="000000"/>
                      <w:szCs w:val="21"/>
                    </w:rPr>
                  </w:pPr>
                  <w:r>
                    <w:rPr>
                      <w:rFonts w:hint="eastAsia"/>
                      <w:color w:val="000000"/>
                      <w:szCs w:val="21"/>
                    </w:rPr>
                    <w:t>含油抹布及手套</w:t>
                  </w:r>
                </w:p>
              </w:tc>
              <w:tc>
                <w:tcPr>
                  <w:tcW w:w="575" w:type="pct"/>
                  <w:vAlign w:val="center"/>
                </w:tcPr>
                <w:p w14:paraId="5F927B3C">
                  <w:pPr>
                    <w:pStyle w:val="22"/>
                    <w:wordWrap w:val="0"/>
                    <w:autoSpaceDE w:val="0"/>
                    <w:autoSpaceDN w:val="0"/>
                    <w:adjustRightInd w:val="0"/>
                    <w:snapToGrid w:val="0"/>
                    <w:spacing w:after="0"/>
                    <w:ind w:left="0" w:leftChars="0" w:firstLine="0"/>
                    <w:jc w:val="center"/>
                    <w:rPr>
                      <w:color w:val="000000"/>
                      <w:kern w:val="0"/>
                      <w:szCs w:val="21"/>
                      <w:lang w:bidi="ar"/>
                    </w:rPr>
                  </w:pPr>
                  <w:r>
                    <w:rPr>
                      <w:rFonts w:hint="eastAsia"/>
                      <w:color w:val="000000" w:themeColor="text1"/>
                      <w:kern w:val="0"/>
                      <w:szCs w:val="21"/>
                      <w:lang w:bidi="ar"/>
                      <w14:textFill>
                        <w14:solidFill>
                          <w14:schemeClr w14:val="tx1"/>
                        </w14:solidFill>
                      </w14:textFill>
                    </w:rPr>
                    <w:t>HW49</w:t>
                  </w:r>
                </w:p>
              </w:tc>
              <w:tc>
                <w:tcPr>
                  <w:tcW w:w="765" w:type="pct"/>
                  <w:vAlign w:val="center"/>
                </w:tcPr>
                <w:p w14:paraId="118E9FBD">
                  <w:pPr>
                    <w:pStyle w:val="22"/>
                    <w:wordWrap w:val="0"/>
                    <w:autoSpaceDE w:val="0"/>
                    <w:autoSpaceDN w:val="0"/>
                    <w:adjustRightInd w:val="0"/>
                    <w:snapToGrid w:val="0"/>
                    <w:spacing w:after="0"/>
                    <w:ind w:left="0" w:leftChars="0" w:firstLine="0"/>
                    <w:jc w:val="center"/>
                    <w:rPr>
                      <w:color w:val="000000"/>
                      <w:kern w:val="0"/>
                      <w:szCs w:val="21"/>
                      <w:lang w:bidi="ar"/>
                    </w:rPr>
                  </w:pPr>
                  <w:r>
                    <w:rPr>
                      <w:rFonts w:hint="eastAsia"/>
                      <w:color w:val="000000"/>
                      <w:szCs w:val="21"/>
                    </w:rPr>
                    <w:t>900-041-49</w:t>
                  </w:r>
                </w:p>
              </w:tc>
              <w:tc>
                <w:tcPr>
                  <w:tcW w:w="431" w:type="pct"/>
                  <w:vAlign w:val="center"/>
                </w:tcPr>
                <w:p w14:paraId="2792E190">
                  <w:pPr>
                    <w:pStyle w:val="22"/>
                    <w:wordWrap w:val="0"/>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0.05</w:t>
                  </w:r>
                </w:p>
              </w:tc>
              <w:tc>
                <w:tcPr>
                  <w:tcW w:w="520" w:type="pct"/>
                  <w:vAlign w:val="center"/>
                </w:tcPr>
                <w:p w14:paraId="48E42B3A">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设备保养</w:t>
                  </w:r>
                </w:p>
              </w:tc>
              <w:tc>
                <w:tcPr>
                  <w:tcW w:w="430" w:type="pct"/>
                  <w:vAlign w:val="center"/>
                </w:tcPr>
                <w:p w14:paraId="745B28B5">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71" w:type="pct"/>
                  <w:vAlign w:val="center"/>
                </w:tcPr>
                <w:p w14:paraId="6835A362">
                  <w:pPr>
                    <w:pStyle w:val="22"/>
                    <w:wordWrap w:val="0"/>
                    <w:autoSpaceDE w:val="0"/>
                    <w:autoSpaceDN w:val="0"/>
                    <w:adjustRightInd w:val="0"/>
                    <w:snapToGrid w:val="0"/>
                    <w:spacing w:after="0"/>
                    <w:ind w:left="0" w:leftChars="0" w:firstLine="0"/>
                    <w:jc w:val="center"/>
                    <w:rPr>
                      <w:szCs w:val="21"/>
                      <w:lang w:bidi="ar"/>
                    </w:rPr>
                  </w:pPr>
                  <w:r>
                    <w:rPr>
                      <w:rFonts w:hint="eastAsia"/>
                      <w:szCs w:val="21"/>
                    </w:rPr>
                    <w:t>废矿物油、抹布、手套</w:t>
                  </w:r>
                </w:p>
              </w:tc>
              <w:tc>
                <w:tcPr>
                  <w:tcW w:w="436" w:type="pct"/>
                  <w:vAlign w:val="center"/>
                </w:tcPr>
                <w:p w14:paraId="6CC9DBB6">
                  <w:pPr>
                    <w:pStyle w:val="22"/>
                    <w:wordWrap w:val="0"/>
                    <w:autoSpaceDE w:val="0"/>
                    <w:autoSpaceDN w:val="0"/>
                    <w:adjustRightInd w:val="0"/>
                    <w:snapToGrid w:val="0"/>
                    <w:spacing w:after="0"/>
                    <w:ind w:left="0" w:leftChars="0" w:firstLine="0"/>
                    <w:jc w:val="center"/>
                    <w:rPr>
                      <w:szCs w:val="21"/>
                      <w:lang w:bidi="ar"/>
                    </w:rPr>
                  </w:pPr>
                  <w:r>
                    <w:rPr>
                      <w:rFonts w:hint="eastAsia"/>
                      <w:szCs w:val="21"/>
                    </w:rPr>
                    <w:t>废矿物油</w:t>
                  </w:r>
                </w:p>
              </w:tc>
              <w:tc>
                <w:tcPr>
                  <w:tcW w:w="273" w:type="pct"/>
                  <w:vAlign w:val="center"/>
                </w:tcPr>
                <w:p w14:paraId="16FED1A7">
                  <w:pPr>
                    <w:pStyle w:val="22"/>
                    <w:wordWrap w:val="0"/>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48BDA2F3">
                  <w:pPr>
                    <w:pStyle w:val="22"/>
                    <w:wordWrap w:val="0"/>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T/In</w:t>
                  </w:r>
                </w:p>
              </w:tc>
              <w:tc>
                <w:tcPr>
                  <w:tcW w:w="407" w:type="pct"/>
                  <w:vMerge w:val="continue"/>
                  <w:vAlign w:val="center"/>
                </w:tcPr>
                <w:p w14:paraId="2E210F5B">
                  <w:pPr>
                    <w:pStyle w:val="22"/>
                    <w:wordWrap w:val="0"/>
                    <w:autoSpaceDE w:val="0"/>
                    <w:autoSpaceDN w:val="0"/>
                    <w:adjustRightInd w:val="0"/>
                    <w:snapToGrid w:val="0"/>
                    <w:spacing w:after="0"/>
                    <w:ind w:left="0" w:leftChars="0" w:firstLine="0"/>
                    <w:jc w:val="center"/>
                    <w:rPr>
                      <w:szCs w:val="21"/>
                      <w:lang w:bidi="ar"/>
                    </w:rPr>
                  </w:pPr>
                </w:p>
              </w:tc>
            </w:tr>
          </w:tbl>
          <w:p w14:paraId="3343DBF8">
            <w:pPr>
              <w:pStyle w:val="29"/>
              <w:adjustRightInd/>
              <w:ind w:firstLine="480"/>
              <w:jc w:val="both"/>
              <w:rPr>
                <w:bCs/>
                <w:color w:val="auto"/>
                <w:kern w:val="0"/>
                <w:lang w:bidi="ar"/>
              </w:rPr>
            </w:pPr>
            <w:r>
              <w:rPr>
                <w:rFonts w:hint="eastAsia" w:ascii="宋体" w:hAnsi="宋体" w:eastAsia="宋体" w:cs="宋体"/>
                <w:color w:val="auto"/>
              </w:rPr>
              <w:t>依次优先依据现有项目验收检测数据和经批准的环评报告核算污染物产生情况及已采取的环保措施见下表。</w:t>
            </w:r>
          </w:p>
          <w:p w14:paraId="4D5A8A3E">
            <w:pPr>
              <w:pStyle w:val="22"/>
              <w:spacing w:after="0"/>
              <w:ind w:left="0" w:leftChars="0" w:firstLine="0"/>
              <w:jc w:val="center"/>
              <w:rPr>
                <w:b/>
                <w:bCs/>
                <w:color w:val="000000"/>
                <w:sz w:val="24"/>
              </w:rPr>
            </w:pPr>
            <w:r>
              <w:rPr>
                <w:rFonts w:hint="eastAsia"/>
                <w:b/>
                <w:bCs/>
                <w:color w:val="000000"/>
                <w:sz w:val="24"/>
              </w:rPr>
              <w:t>表2-15  现有工程污染物排放汇总表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266"/>
              <w:gridCol w:w="1415"/>
              <w:gridCol w:w="1558"/>
              <w:gridCol w:w="2642"/>
            </w:tblGrid>
            <w:tr w14:paraId="55D45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14:paraId="25763B80">
                  <w:pPr>
                    <w:pStyle w:val="22"/>
                    <w:wordWrap w:val="0"/>
                    <w:adjustRightInd w:val="0"/>
                    <w:snapToGrid w:val="0"/>
                    <w:spacing w:after="0"/>
                    <w:ind w:left="0" w:leftChars="0" w:firstLine="0"/>
                    <w:jc w:val="center"/>
                    <w:rPr>
                      <w:b/>
                      <w:bCs/>
                      <w:color w:val="000000"/>
                      <w:szCs w:val="21"/>
                    </w:rPr>
                  </w:pPr>
                  <w:r>
                    <w:rPr>
                      <w:rFonts w:hint="eastAsia"/>
                      <w:b/>
                      <w:bCs/>
                      <w:color w:val="000000"/>
                      <w:szCs w:val="21"/>
                    </w:rPr>
                    <w:t>类别</w:t>
                  </w:r>
                </w:p>
              </w:tc>
              <w:tc>
                <w:tcPr>
                  <w:tcW w:w="1266" w:type="dxa"/>
                  <w:vAlign w:val="center"/>
                </w:tcPr>
                <w:p w14:paraId="43D56236">
                  <w:pPr>
                    <w:pStyle w:val="22"/>
                    <w:wordWrap w:val="0"/>
                    <w:adjustRightInd w:val="0"/>
                    <w:snapToGrid w:val="0"/>
                    <w:spacing w:after="0"/>
                    <w:ind w:left="0" w:leftChars="0" w:firstLine="0"/>
                    <w:jc w:val="center"/>
                    <w:rPr>
                      <w:b/>
                      <w:bCs/>
                      <w:color w:val="000000"/>
                      <w:szCs w:val="21"/>
                    </w:rPr>
                  </w:pPr>
                  <w:r>
                    <w:rPr>
                      <w:rFonts w:hint="eastAsia"/>
                      <w:b/>
                      <w:bCs/>
                      <w:color w:val="000000"/>
                      <w:szCs w:val="21"/>
                    </w:rPr>
                    <w:t>污染源</w:t>
                  </w:r>
                </w:p>
              </w:tc>
              <w:tc>
                <w:tcPr>
                  <w:tcW w:w="1415" w:type="dxa"/>
                  <w:vAlign w:val="center"/>
                </w:tcPr>
                <w:p w14:paraId="6C257ABF">
                  <w:pPr>
                    <w:pStyle w:val="22"/>
                    <w:wordWrap w:val="0"/>
                    <w:adjustRightInd w:val="0"/>
                    <w:snapToGrid w:val="0"/>
                    <w:spacing w:after="0"/>
                    <w:ind w:left="0" w:leftChars="0" w:firstLine="0"/>
                    <w:jc w:val="center"/>
                    <w:rPr>
                      <w:b/>
                      <w:bCs/>
                      <w:color w:val="000000"/>
                      <w:szCs w:val="21"/>
                    </w:rPr>
                  </w:pPr>
                  <w:r>
                    <w:rPr>
                      <w:rFonts w:hint="eastAsia"/>
                      <w:b/>
                      <w:bCs/>
                      <w:color w:val="000000"/>
                      <w:szCs w:val="21"/>
                    </w:rPr>
                    <w:t>污染物</w:t>
                  </w:r>
                </w:p>
              </w:tc>
              <w:tc>
                <w:tcPr>
                  <w:tcW w:w="1558" w:type="dxa"/>
                  <w:vAlign w:val="center"/>
                </w:tcPr>
                <w:p w14:paraId="74E2D603">
                  <w:pPr>
                    <w:pStyle w:val="22"/>
                    <w:wordWrap w:val="0"/>
                    <w:adjustRightInd w:val="0"/>
                    <w:snapToGrid w:val="0"/>
                    <w:spacing w:after="0"/>
                    <w:ind w:left="0" w:leftChars="0" w:firstLine="0"/>
                    <w:jc w:val="center"/>
                    <w:rPr>
                      <w:b/>
                      <w:bCs/>
                      <w:color w:val="000000"/>
                      <w:szCs w:val="21"/>
                    </w:rPr>
                  </w:pPr>
                  <w:r>
                    <w:rPr>
                      <w:rFonts w:hint="eastAsia"/>
                      <w:b/>
                      <w:bCs/>
                      <w:color w:val="000000"/>
                      <w:szCs w:val="21"/>
                    </w:rPr>
                    <w:t>排放量（t/a）</w:t>
                  </w:r>
                </w:p>
              </w:tc>
              <w:tc>
                <w:tcPr>
                  <w:tcW w:w="2642" w:type="dxa"/>
                  <w:vAlign w:val="center"/>
                </w:tcPr>
                <w:p w14:paraId="3D392F32">
                  <w:pPr>
                    <w:pStyle w:val="22"/>
                    <w:wordWrap w:val="0"/>
                    <w:adjustRightInd w:val="0"/>
                    <w:snapToGrid w:val="0"/>
                    <w:spacing w:after="0"/>
                    <w:ind w:left="0" w:leftChars="0" w:firstLine="0"/>
                    <w:jc w:val="center"/>
                    <w:rPr>
                      <w:b/>
                      <w:bCs/>
                      <w:color w:val="000000"/>
                      <w:szCs w:val="21"/>
                    </w:rPr>
                  </w:pPr>
                  <w:r>
                    <w:rPr>
                      <w:rFonts w:hint="eastAsia"/>
                      <w:b/>
                      <w:bCs/>
                      <w:color w:val="000000"/>
                      <w:szCs w:val="21"/>
                    </w:rPr>
                    <w:t>防治措施</w:t>
                  </w:r>
                </w:p>
              </w:tc>
            </w:tr>
            <w:tr w14:paraId="73B53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Merge w:val="restart"/>
                  <w:vAlign w:val="center"/>
                </w:tcPr>
                <w:p w14:paraId="4F64EAB1">
                  <w:pPr>
                    <w:pStyle w:val="22"/>
                    <w:wordWrap w:val="0"/>
                    <w:adjustRightInd w:val="0"/>
                    <w:snapToGrid w:val="0"/>
                    <w:spacing w:after="0"/>
                    <w:ind w:left="0" w:leftChars="0" w:firstLine="0"/>
                    <w:jc w:val="center"/>
                    <w:rPr>
                      <w:color w:val="000000"/>
                      <w:szCs w:val="21"/>
                    </w:rPr>
                  </w:pPr>
                  <w:r>
                    <w:rPr>
                      <w:rFonts w:hint="eastAsia"/>
                      <w:color w:val="000000"/>
                      <w:szCs w:val="21"/>
                    </w:rPr>
                    <w:t>废气</w:t>
                  </w:r>
                </w:p>
              </w:tc>
              <w:tc>
                <w:tcPr>
                  <w:tcW w:w="1266" w:type="dxa"/>
                  <w:vAlign w:val="center"/>
                </w:tcPr>
                <w:p w14:paraId="6D8C6E47">
                  <w:pPr>
                    <w:pStyle w:val="22"/>
                    <w:wordWrap w:val="0"/>
                    <w:adjustRightInd w:val="0"/>
                    <w:snapToGrid w:val="0"/>
                    <w:spacing w:after="0"/>
                    <w:ind w:left="0" w:leftChars="0" w:firstLine="0"/>
                    <w:jc w:val="center"/>
                    <w:rPr>
                      <w:color w:val="000000"/>
                      <w:szCs w:val="21"/>
                    </w:rPr>
                  </w:pPr>
                  <w:r>
                    <w:rPr>
                      <w:rFonts w:hint="eastAsia"/>
                      <w:color w:val="000000"/>
                      <w:szCs w:val="21"/>
                    </w:rPr>
                    <w:t>下料废气</w:t>
                  </w:r>
                </w:p>
              </w:tc>
              <w:tc>
                <w:tcPr>
                  <w:tcW w:w="1415" w:type="dxa"/>
                  <w:vAlign w:val="center"/>
                </w:tcPr>
                <w:p w14:paraId="3F6F7BCD">
                  <w:pPr>
                    <w:pStyle w:val="22"/>
                    <w:wordWrap w:val="0"/>
                    <w:adjustRightInd w:val="0"/>
                    <w:snapToGrid w:val="0"/>
                    <w:spacing w:after="0"/>
                    <w:ind w:left="0" w:leftChars="0" w:firstLine="0"/>
                    <w:jc w:val="center"/>
                    <w:rPr>
                      <w:color w:val="000000"/>
                      <w:szCs w:val="21"/>
                    </w:rPr>
                  </w:pPr>
                  <w:r>
                    <w:rPr>
                      <w:rFonts w:hint="eastAsia"/>
                      <w:color w:val="000000"/>
                      <w:szCs w:val="21"/>
                    </w:rPr>
                    <w:t>颗粒物</w:t>
                  </w:r>
                </w:p>
              </w:tc>
              <w:tc>
                <w:tcPr>
                  <w:tcW w:w="1558" w:type="dxa"/>
                  <w:vAlign w:val="center"/>
                </w:tcPr>
                <w:p w14:paraId="32ED316E">
                  <w:pPr>
                    <w:pStyle w:val="22"/>
                    <w:wordWrap w:val="0"/>
                    <w:adjustRightInd w:val="0"/>
                    <w:snapToGrid w:val="0"/>
                    <w:spacing w:after="0"/>
                    <w:ind w:left="0" w:leftChars="0" w:firstLine="0"/>
                    <w:jc w:val="center"/>
                    <w:rPr>
                      <w:color w:val="000000"/>
                      <w:szCs w:val="21"/>
                    </w:rPr>
                  </w:pPr>
                  <w:r>
                    <w:rPr>
                      <w:rFonts w:hint="eastAsia"/>
                      <w:color w:val="000000"/>
                      <w:szCs w:val="21"/>
                    </w:rPr>
                    <w:t>3.045</w:t>
                  </w:r>
                </w:p>
              </w:tc>
              <w:tc>
                <w:tcPr>
                  <w:tcW w:w="2642" w:type="dxa"/>
                  <w:vAlign w:val="center"/>
                </w:tcPr>
                <w:p w14:paraId="508E0727">
                  <w:pPr>
                    <w:pStyle w:val="22"/>
                    <w:wordWrap w:val="0"/>
                    <w:adjustRightInd w:val="0"/>
                    <w:snapToGrid w:val="0"/>
                    <w:spacing w:after="0"/>
                    <w:ind w:left="0" w:leftChars="0" w:firstLine="0"/>
                    <w:jc w:val="center"/>
                    <w:rPr>
                      <w:color w:val="000000"/>
                      <w:szCs w:val="21"/>
                    </w:rPr>
                  </w:pPr>
                  <w:r>
                    <w:rPr>
                      <w:rFonts w:hint="eastAsia"/>
                      <w:color w:val="000000"/>
                      <w:szCs w:val="21"/>
                    </w:rPr>
                    <w:t>车间封闭</w:t>
                  </w:r>
                </w:p>
              </w:tc>
            </w:tr>
            <w:tr w14:paraId="38CDB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vAlign w:val="center"/>
                </w:tcPr>
                <w:p w14:paraId="0993972E">
                  <w:pPr>
                    <w:pStyle w:val="22"/>
                    <w:wordWrap w:val="0"/>
                    <w:adjustRightInd w:val="0"/>
                    <w:snapToGrid w:val="0"/>
                    <w:spacing w:after="0"/>
                    <w:ind w:left="0" w:leftChars="0" w:firstLine="0"/>
                    <w:jc w:val="center"/>
                    <w:rPr>
                      <w:color w:val="000000"/>
                      <w:szCs w:val="21"/>
                    </w:rPr>
                  </w:pPr>
                </w:p>
              </w:tc>
              <w:tc>
                <w:tcPr>
                  <w:tcW w:w="1266" w:type="dxa"/>
                  <w:vAlign w:val="center"/>
                </w:tcPr>
                <w:p w14:paraId="7E1B76C8">
                  <w:pPr>
                    <w:pStyle w:val="22"/>
                    <w:wordWrap w:val="0"/>
                    <w:adjustRightInd w:val="0"/>
                    <w:snapToGrid w:val="0"/>
                    <w:spacing w:after="0"/>
                    <w:ind w:left="0" w:leftChars="0" w:firstLine="0"/>
                    <w:jc w:val="center"/>
                    <w:rPr>
                      <w:color w:val="000000"/>
                      <w:szCs w:val="21"/>
                    </w:rPr>
                  </w:pPr>
                  <w:r>
                    <w:rPr>
                      <w:rFonts w:hint="eastAsia"/>
                      <w:color w:val="000000"/>
                      <w:szCs w:val="21"/>
                    </w:rPr>
                    <w:t>焊接废气</w:t>
                  </w:r>
                </w:p>
              </w:tc>
              <w:tc>
                <w:tcPr>
                  <w:tcW w:w="1415" w:type="dxa"/>
                  <w:vAlign w:val="center"/>
                </w:tcPr>
                <w:p w14:paraId="7EA8C3E6">
                  <w:pPr>
                    <w:pStyle w:val="22"/>
                    <w:wordWrap w:val="0"/>
                    <w:adjustRightInd w:val="0"/>
                    <w:snapToGrid w:val="0"/>
                    <w:spacing w:after="0"/>
                    <w:ind w:left="0" w:leftChars="0" w:firstLine="0"/>
                    <w:jc w:val="center"/>
                    <w:rPr>
                      <w:color w:val="000000"/>
                      <w:szCs w:val="21"/>
                    </w:rPr>
                  </w:pPr>
                  <w:r>
                    <w:rPr>
                      <w:rFonts w:hint="eastAsia"/>
                      <w:color w:val="000000"/>
                      <w:szCs w:val="21"/>
                    </w:rPr>
                    <w:t>颗粒物</w:t>
                  </w:r>
                </w:p>
              </w:tc>
              <w:tc>
                <w:tcPr>
                  <w:tcW w:w="1558" w:type="dxa"/>
                  <w:vAlign w:val="center"/>
                </w:tcPr>
                <w:p w14:paraId="2B704877">
                  <w:pPr>
                    <w:pStyle w:val="22"/>
                    <w:wordWrap w:val="0"/>
                    <w:adjustRightInd w:val="0"/>
                    <w:snapToGrid w:val="0"/>
                    <w:spacing w:after="0"/>
                    <w:ind w:left="0" w:leftChars="0" w:firstLine="0"/>
                    <w:jc w:val="center"/>
                    <w:rPr>
                      <w:color w:val="000000"/>
                      <w:szCs w:val="21"/>
                    </w:rPr>
                  </w:pPr>
                  <w:r>
                    <w:rPr>
                      <w:rFonts w:hint="eastAsia"/>
                      <w:color w:val="000000"/>
                      <w:szCs w:val="21"/>
                    </w:rPr>
                    <w:t>0.18</w:t>
                  </w:r>
                </w:p>
              </w:tc>
              <w:tc>
                <w:tcPr>
                  <w:tcW w:w="2642" w:type="dxa"/>
                  <w:vAlign w:val="center"/>
                </w:tcPr>
                <w:p w14:paraId="0D98C517">
                  <w:pPr>
                    <w:pStyle w:val="22"/>
                    <w:wordWrap w:val="0"/>
                    <w:adjustRightInd w:val="0"/>
                    <w:snapToGrid w:val="0"/>
                    <w:spacing w:after="0"/>
                    <w:ind w:left="0" w:leftChars="0" w:firstLine="0"/>
                    <w:jc w:val="center"/>
                    <w:rPr>
                      <w:color w:val="000000"/>
                      <w:szCs w:val="21"/>
                    </w:rPr>
                  </w:pPr>
                  <w:r>
                    <w:rPr>
                      <w:rFonts w:hint="eastAsia"/>
                      <w:color w:val="000000"/>
                      <w:szCs w:val="21"/>
                    </w:rPr>
                    <w:t>车间封闭</w:t>
                  </w:r>
                </w:p>
              </w:tc>
            </w:tr>
            <w:tr w14:paraId="2E264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vAlign w:val="center"/>
                </w:tcPr>
                <w:p w14:paraId="48086E3F">
                  <w:pPr>
                    <w:pStyle w:val="22"/>
                    <w:wordWrap w:val="0"/>
                    <w:adjustRightInd w:val="0"/>
                    <w:snapToGrid w:val="0"/>
                    <w:spacing w:after="0"/>
                    <w:ind w:left="0" w:leftChars="0" w:firstLine="0"/>
                    <w:jc w:val="center"/>
                    <w:rPr>
                      <w:color w:val="000000"/>
                      <w:szCs w:val="21"/>
                    </w:rPr>
                  </w:pPr>
                </w:p>
              </w:tc>
              <w:tc>
                <w:tcPr>
                  <w:tcW w:w="1266" w:type="dxa"/>
                  <w:vAlign w:val="center"/>
                </w:tcPr>
                <w:p w14:paraId="067A4E4B">
                  <w:pPr>
                    <w:pStyle w:val="22"/>
                    <w:wordWrap w:val="0"/>
                    <w:adjustRightInd w:val="0"/>
                    <w:snapToGrid w:val="0"/>
                    <w:spacing w:after="0"/>
                    <w:ind w:left="0" w:leftChars="0" w:firstLine="0"/>
                    <w:jc w:val="center"/>
                    <w:rPr>
                      <w:color w:val="000000"/>
                      <w:szCs w:val="21"/>
                    </w:rPr>
                  </w:pPr>
                  <w:r>
                    <w:rPr>
                      <w:rFonts w:hint="eastAsia"/>
                      <w:color w:val="000000"/>
                      <w:szCs w:val="21"/>
                    </w:rPr>
                    <w:t>抛丸废气</w:t>
                  </w:r>
                </w:p>
              </w:tc>
              <w:tc>
                <w:tcPr>
                  <w:tcW w:w="1415" w:type="dxa"/>
                  <w:vAlign w:val="center"/>
                </w:tcPr>
                <w:p w14:paraId="1D1A39D6">
                  <w:pPr>
                    <w:pStyle w:val="22"/>
                    <w:wordWrap w:val="0"/>
                    <w:adjustRightInd w:val="0"/>
                    <w:snapToGrid w:val="0"/>
                    <w:spacing w:after="0"/>
                    <w:ind w:left="0" w:leftChars="0" w:firstLine="0"/>
                    <w:jc w:val="center"/>
                    <w:rPr>
                      <w:color w:val="000000"/>
                      <w:szCs w:val="21"/>
                    </w:rPr>
                  </w:pPr>
                  <w:r>
                    <w:rPr>
                      <w:rFonts w:hint="eastAsia"/>
                      <w:color w:val="000000"/>
                      <w:szCs w:val="21"/>
                    </w:rPr>
                    <w:t>颗粒物</w:t>
                  </w:r>
                </w:p>
              </w:tc>
              <w:tc>
                <w:tcPr>
                  <w:tcW w:w="1558" w:type="dxa"/>
                  <w:vAlign w:val="center"/>
                </w:tcPr>
                <w:p w14:paraId="12298F20">
                  <w:pPr>
                    <w:pStyle w:val="22"/>
                    <w:wordWrap w:val="0"/>
                    <w:adjustRightInd w:val="0"/>
                    <w:snapToGrid w:val="0"/>
                    <w:spacing w:after="0"/>
                    <w:ind w:left="0" w:leftChars="0" w:firstLine="0"/>
                    <w:jc w:val="center"/>
                    <w:rPr>
                      <w:color w:val="000000"/>
                      <w:szCs w:val="21"/>
                    </w:rPr>
                  </w:pPr>
                  <w:r>
                    <w:rPr>
                      <w:rFonts w:hint="eastAsia"/>
                      <w:color w:val="000000"/>
                      <w:szCs w:val="21"/>
                    </w:rPr>
                    <w:t>1.19</w:t>
                  </w:r>
                </w:p>
              </w:tc>
              <w:tc>
                <w:tcPr>
                  <w:tcW w:w="2642" w:type="dxa"/>
                  <w:vAlign w:val="center"/>
                </w:tcPr>
                <w:p w14:paraId="5F6483EF">
                  <w:pPr>
                    <w:pStyle w:val="22"/>
                    <w:wordWrap w:val="0"/>
                    <w:adjustRightInd w:val="0"/>
                    <w:snapToGrid w:val="0"/>
                    <w:spacing w:after="0"/>
                    <w:ind w:left="0" w:leftChars="0" w:firstLine="0"/>
                    <w:jc w:val="center"/>
                    <w:rPr>
                      <w:rFonts w:eastAsiaTheme="minorEastAsia"/>
                      <w:color w:val="000000" w:themeColor="text1"/>
                      <w14:textFill>
                        <w14:solidFill>
                          <w14:schemeClr w14:val="tx1"/>
                        </w14:solidFill>
                      </w14:textFill>
                    </w:rPr>
                  </w:pPr>
                  <w:r>
                    <w:rPr>
                      <w:rFonts w:hint="eastAsia"/>
                      <w:szCs w:val="21"/>
                    </w:rPr>
                    <w:t>经抛丸机自带除尘设施处理后无组织排放</w:t>
                  </w:r>
                </w:p>
              </w:tc>
            </w:tr>
            <w:tr w14:paraId="2DAE1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dxa"/>
                  <w:vMerge w:val="continue"/>
                  <w:vAlign w:val="center"/>
                </w:tcPr>
                <w:p w14:paraId="0CCBC745">
                  <w:pPr>
                    <w:pStyle w:val="22"/>
                    <w:wordWrap w:val="0"/>
                    <w:adjustRightInd w:val="0"/>
                    <w:snapToGrid w:val="0"/>
                    <w:spacing w:after="0"/>
                    <w:ind w:left="0" w:leftChars="0" w:firstLine="0"/>
                    <w:jc w:val="center"/>
                    <w:rPr>
                      <w:color w:val="000000"/>
                      <w:szCs w:val="21"/>
                    </w:rPr>
                  </w:pPr>
                </w:p>
              </w:tc>
              <w:tc>
                <w:tcPr>
                  <w:tcW w:w="1266" w:type="dxa"/>
                  <w:vMerge w:val="restart"/>
                  <w:vAlign w:val="center"/>
                </w:tcPr>
                <w:p w14:paraId="00A8565F">
                  <w:pPr>
                    <w:pStyle w:val="22"/>
                    <w:wordWrap w:val="0"/>
                    <w:adjustRightInd w:val="0"/>
                    <w:snapToGrid w:val="0"/>
                    <w:spacing w:after="0"/>
                    <w:ind w:left="0" w:leftChars="0" w:firstLine="0"/>
                    <w:jc w:val="center"/>
                    <w:rPr>
                      <w:color w:val="000000"/>
                      <w:szCs w:val="21"/>
                    </w:rPr>
                  </w:pPr>
                  <w:r>
                    <w:rPr>
                      <w:rFonts w:hint="eastAsia"/>
                      <w:color w:val="000000"/>
                      <w:szCs w:val="21"/>
                    </w:rPr>
                    <w:t>喷漆废气</w:t>
                  </w:r>
                </w:p>
              </w:tc>
              <w:tc>
                <w:tcPr>
                  <w:tcW w:w="1415" w:type="dxa"/>
                  <w:vAlign w:val="center"/>
                </w:tcPr>
                <w:p w14:paraId="550625BF">
                  <w:pPr>
                    <w:pStyle w:val="22"/>
                    <w:wordWrap w:val="0"/>
                    <w:adjustRightInd w:val="0"/>
                    <w:snapToGrid w:val="0"/>
                    <w:spacing w:after="0"/>
                    <w:ind w:left="0" w:leftChars="0" w:firstLine="0"/>
                    <w:jc w:val="center"/>
                    <w:rPr>
                      <w:color w:val="000000"/>
                      <w:szCs w:val="21"/>
                    </w:rPr>
                  </w:pPr>
                  <w:r>
                    <w:rPr>
                      <w:rFonts w:hint="eastAsia"/>
                      <w:color w:val="000000"/>
                      <w:szCs w:val="21"/>
                    </w:rPr>
                    <w:t>颗粒物</w:t>
                  </w:r>
                </w:p>
              </w:tc>
              <w:tc>
                <w:tcPr>
                  <w:tcW w:w="1558" w:type="dxa"/>
                  <w:vAlign w:val="center"/>
                </w:tcPr>
                <w:p w14:paraId="67E2E2CF">
                  <w:pPr>
                    <w:pStyle w:val="22"/>
                    <w:wordWrap w:val="0"/>
                    <w:adjustRightInd w:val="0"/>
                    <w:snapToGrid w:val="0"/>
                    <w:spacing w:after="0"/>
                    <w:ind w:left="0" w:leftChars="0" w:firstLine="0"/>
                    <w:jc w:val="center"/>
                    <w:rPr>
                      <w:szCs w:val="21"/>
                    </w:rPr>
                  </w:pPr>
                  <w:r>
                    <w:rPr>
                      <w:rFonts w:hint="eastAsia"/>
                      <w:szCs w:val="21"/>
                    </w:rPr>
                    <w:t>7</w:t>
                  </w:r>
                </w:p>
              </w:tc>
              <w:tc>
                <w:tcPr>
                  <w:tcW w:w="2642" w:type="dxa"/>
                  <w:vMerge w:val="restart"/>
                  <w:vAlign w:val="center"/>
                </w:tcPr>
                <w:p w14:paraId="0623FD03">
                  <w:pPr>
                    <w:pStyle w:val="22"/>
                    <w:wordWrap w:val="0"/>
                    <w:adjustRightInd w:val="0"/>
                    <w:snapToGrid w:val="0"/>
                    <w:spacing w:after="0"/>
                    <w:ind w:left="0" w:leftChars="0" w:firstLine="0"/>
                    <w:jc w:val="center"/>
                    <w:rPr>
                      <w:color w:val="000000"/>
                      <w:szCs w:val="21"/>
                    </w:rPr>
                  </w:pPr>
                  <w:r>
                    <w:rPr>
                      <w:rFonts w:hint="eastAsia"/>
                      <w:color w:val="000000"/>
                      <w:szCs w:val="21"/>
                    </w:rPr>
                    <w:t>车间封闭</w:t>
                  </w:r>
                </w:p>
              </w:tc>
            </w:tr>
            <w:tr w14:paraId="1DFC7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dxa"/>
                  <w:vMerge w:val="continue"/>
                  <w:vAlign w:val="center"/>
                </w:tcPr>
                <w:p w14:paraId="0BF963EF">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797B838A">
                  <w:pPr>
                    <w:pStyle w:val="22"/>
                    <w:wordWrap w:val="0"/>
                    <w:adjustRightInd w:val="0"/>
                    <w:snapToGrid w:val="0"/>
                    <w:spacing w:after="0"/>
                    <w:ind w:left="0" w:leftChars="0" w:firstLine="0"/>
                    <w:jc w:val="center"/>
                    <w:rPr>
                      <w:color w:val="000000"/>
                      <w:szCs w:val="21"/>
                    </w:rPr>
                  </w:pPr>
                </w:p>
              </w:tc>
              <w:tc>
                <w:tcPr>
                  <w:tcW w:w="1415" w:type="dxa"/>
                  <w:vAlign w:val="center"/>
                </w:tcPr>
                <w:p w14:paraId="12723C6C">
                  <w:pPr>
                    <w:pStyle w:val="22"/>
                    <w:wordWrap w:val="0"/>
                    <w:adjustRightInd w:val="0"/>
                    <w:snapToGrid w:val="0"/>
                    <w:spacing w:after="0"/>
                    <w:ind w:left="0" w:leftChars="0" w:firstLine="0"/>
                    <w:jc w:val="center"/>
                    <w:rPr>
                      <w:color w:val="000000"/>
                      <w:szCs w:val="21"/>
                    </w:rPr>
                  </w:pPr>
                  <w:r>
                    <w:rPr>
                      <w:color w:val="000000"/>
                      <w:szCs w:val="21"/>
                    </w:rPr>
                    <w:t>VOCs</w:t>
                  </w:r>
                </w:p>
              </w:tc>
              <w:tc>
                <w:tcPr>
                  <w:tcW w:w="1558" w:type="dxa"/>
                  <w:vAlign w:val="center"/>
                </w:tcPr>
                <w:p w14:paraId="4384B54E">
                  <w:pPr>
                    <w:pStyle w:val="22"/>
                    <w:wordWrap w:val="0"/>
                    <w:adjustRightInd w:val="0"/>
                    <w:snapToGrid w:val="0"/>
                    <w:spacing w:after="0"/>
                    <w:ind w:left="0" w:leftChars="0" w:firstLine="0"/>
                    <w:jc w:val="center"/>
                    <w:rPr>
                      <w:szCs w:val="21"/>
                    </w:rPr>
                  </w:pPr>
                  <w:r>
                    <w:rPr>
                      <w:rFonts w:hint="eastAsia"/>
                      <w:szCs w:val="21"/>
                    </w:rPr>
                    <w:t>3.57</w:t>
                  </w:r>
                </w:p>
              </w:tc>
              <w:tc>
                <w:tcPr>
                  <w:tcW w:w="2642" w:type="dxa"/>
                  <w:vMerge w:val="continue"/>
                  <w:vAlign w:val="center"/>
                </w:tcPr>
                <w:p w14:paraId="552C4268">
                  <w:pPr>
                    <w:pStyle w:val="22"/>
                    <w:wordWrap w:val="0"/>
                    <w:adjustRightInd w:val="0"/>
                    <w:snapToGrid w:val="0"/>
                    <w:spacing w:after="0"/>
                    <w:ind w:left="0" w:leftChars="0" w:firstLine="0"/>
                    <w:jc w:val="center"/>
                    <w:rPr>
                      <w:color w:val="000000"/>
                      <w:szCs w:val="21"/>
                    </w:rPr>
                  </w:pPr>
                </w:p>
              </w:tc>
            </w:tr>
            <w:tr w14:paraId="02678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14:paraId="7A8066FF">
                  <w:pPr>
                    <w:pStyle w:val="22"/>
                    <w:wordWrap w:val="0"/>
                    <w:adjustRightInd w:val="0"/>
                    <w:snapToGrid w:val="0"/>
                    <w:spacing w:after="0"/>
                    <w:ind w:left="0" w:leftChars="0" w:firstLine="0"/>
                    <w:jc w:val="center"/>
                    <w:rPr>
                      <w:color w:val="000000"/>
                      <w:szCs w:val="21"/>
                    </w:rPr>
                  </w:pPr>
                  <w:r>
                    <w:rPr>
                      <w:rFonts w:hint="eastAsia"/>
                      <w:color w:val="000000"/>
                      <w:szCs w:val="21"/>
                    </w:rPr>
                    <w:t>废水</w:t>
                  </w:r>
                </w:p>
              </w:tc>
              <w:tc>
                <w:tcPr>
                  <w:tcW w:w="1266" w:type="dxa"/>
                  <w:vAlign w:val="center"/>
                </w:tcPr>
                <w:p w14:paraId="2AFC33C2">
                  <w:pPr>
                    <w:pStyle w:val="22"/>
                    <w:wordWrap w:val="0"/>
                    <w:adjustRightInd w:val="0"/>
                    <w:snapToGrid w:val="0"/>
                    <w:spacing w:after="0"/>
                    <w:ind w:left="0" w:leftChars="0" w:firstLine="0"/>
                    <w:jc w:val="center"/>
                    <w:rPr>
                      <w:color w:val="000000"/>
                      <w:szCs w:val="21"/>
                    </w:rPr>
                  </w:pPr>
                  <w:r>
                    <w:rPr>
                      <w:rFonts w:hint="eastAsia"/>
                      <w:color w:val="000000"/>
                      <w:szCs w:val="21"/>
                    </w:rPr>
                    <w:t>生活污水</w:t>
                  </w:r>
                </w:p>
              </w:tc>
              <w:tc>
                <w:tcPr>
                  <w:tcW w:w="1415" w:type="dxa"/>
                  <w:vAlign w:val="center"/>
                </w:tcPr>
                <w:p w14:paraId="285A5B57">
                  <w:pPr>
                    <w:pStyle w:val="22"/>
                    <w:wordWrap w:val="0"/>
                    <w:adjustRightInd w:val="0"/>
                    <w:snapToGrid w:val="0"/>
                    <w:spacing w:after="0"/>
                    <w:ind w:left="0" w:leftChars="0" w:firstLine="0"/>
                    <w:jc w:val="center"/>
                    <w:rPr>
                      <w:color w:val="000000"/>
                      <w:szCs w:val="21"/>
                    </w:rPr>
                  </w:pPr>
                  <w:r>
                    <w:rPr>
                      <w:rFonts w:hint="eastAsia"/>
                      <w:color w:val="000000"/>
                      <w:szCs w:val="21"/>
                    </w:rPr>
                    <w:t>pH、COD、BOD</w:t>
                  </w:r>
                  <w:r>
                    <w:rPr>
                      <w:color w:val="000000"/>
                      <w:szCs w:val="21"/>
                      <w:vertAlign w:val="subscript"/>
                    </w:rPr>
                    <w:t>5</w:t>
                  </w:r>
                  <w:r>
                    <w:rPr>
                      <w:rFonts w:hint="eastAsia"/>
                      <w:color w:val="000000"/>
                      <w:szCs w:val="21"/>
                    </w:rPr>
                    <w:t>、SS</w:t>
                  </w:r>
                </w:p>
              </w:tc>
              <w:tc>
                <w:tcPr>
                  <w:tcW w:w="1558" w:type="dxa"/>
                  <w:vAlign w:val="center"/>
                </w:tcPr>
                <w:p w14:paraId="2D6EE57C">
                  <w:pPr>
                    <w:pStyle w:val="22"/>
                    <w:wordWrap w:val="0"/>
                    <w:adjustRightInd w:val="0"/>
                    <w:snapToGrid w:val="0"/>
                    <w:spacing w:after="0"/>
                    <w:ind w:left="0" w:leftChars="0" w:firstLine="0"/>
                    <w:jc w:val="center"/>
                    <w:rPr>
                      <w:color w:val="000000"/>
                      <w:szCs w:val="21"/>
                    </w:rPr>
                  </w:pPr>
                  <w:r>
                    <w:rPr>
                      <w:rFonts w:hint="eastAsia"/>
                      <w:color w:val="000000"/>
                      <w:szCs w:val="21"/>
                    </w:rPr>
                    <w:t>/</w:t>
                  </w:r>
                </w:p>
              </w:tc>
              <w:tc>
                <w:tcPr>
                  <w:tcW w:w="2642" w:type="dxa"/>
                  <w:vAlign w:val="center"/>
                </w:tcPr>
                <w:p w14:paraId="12668776">
                  <w:pPr>
                    <w:pStyle w:val="22"/>
                    <w:wordWrap w:val="0"/>
                    <w:adjustRightInd w:val="0"/>
                    <w:snapToGrid w:val="0"/>
                    <w:spacing w:after="0"/>
                    <w:ind w:left="0" w:leftChars="0" w:firstLine="0"/>
                    <w:jc w:val="center"/>
                    <w:rPr>
                      <w:color w:val="000000"/>
                      <w:szCs w:val="21"/>
                    </w:rPr>
                  </w:pPr>
                  <w:r>
                    <w:rPr>
                      <w:rFonts w:eastAsiaTheme="minorEastAsia"/>
                      <w:color w:val="000000"/>
                      <w:szCs w:val="21"/>
                    </w:rPr>
                    <w:t>生活污水经已建化粪池预处理后排入枫溪污水处理厂集中处理</w:t>
                  </w:r>
                </w:p>
              </w:tc>
            </w:tr>
            <w:tr w14:paraId="32C05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14:paraId="5824D4BF">
                  <w:pPr>
                    <w:pStyle w:val="22"/>
                    <w:wordWrap w:val="0"/>
                    <w:adjustRightInd w:val="0"/>
                    <w:snapToGrid w:val="0"/>
                    <w:spacing w:after="0"/>
                    <w:ind w:left="0" w:leftChars="0" w:firstLine="0"/>
                    <w:jc w:val="center"/>
                    <w:rPr>
                      <w:color w:val="000000"/>
                      <w:szCs w:val="21"/>
                    </w:rPr>
                  </w:pPr>
                  <w:r>
                    <w:rPr>
                      <w:rFonts w:hint="eastAsia"/>
                      <w:color w:val="000000"/>
                      <w:szCs w:val="21"/>
                    </w:rPr>
                    <w:t>噪声</w:t>
                  </w:r>
                </w:p>
              </w:tc>
              <w:tc>
                <w:tcPr>
                  <w:tcW w:w="1266" w:type="dxa"/>
                  <w:vAlign w:val="center"/>
                </w:tcPr>
                <w:p w14:paraId="180290F0">
                  <w:pPr>
                    <w:pStyle w:val="22"/>
                    <w:wordWrap w:val="0"/>
                    <w:adjustRightInd w:val="0"/>
                    <w:snapToGrid w:val="0"/>
                    <w:spacing w:after="0"/>
                    <w:ind w:left="0" w:leftChars="0" w:firstLine="0"/>
                    <w:jc w:val="center"/>
                    <w:rPr>
                      <w:color w:val="000000"/>
                      <w:szCs w:val="21"/>
                    </w:rPr>
                  </w:pPr>
                  <w:r>
                    <w:rPr>
                      <w:rFonts w:hint="eastAsia"/>
                      <w:color w:val="000000"/>
                      <w:szCs w:val="21"/>
                    </w:rPr>
                    <w:t>生产设备</w:t>
                  </w:r>
                </w:p>
              </w:tc>
              <w:tc>
                <w:tcPr>
                  <w:tcW w:w="1415" w:type="dxa"/>
                  <w:vAlign w:val="center"/>
                </w:tcPr>
                <w:p w14:paraId="357F00BC">
                  <w:pPr>
                    <w:pStyle w:val="22"/>
                    <w:wordWrap w:val="0"/>
                    <w:adjustRightInd w:val="0"/>
                    <w:snapToGrid w:val="0"/>
                    <w:spacing w:after="0"/>
                    <w:ind w:left="0" w:leftChars="0" w:firstLine="0"/>
                    <w:jc w:val="center"/>
                    <w:rPr>
                      <w:color w:val="000000"/>
                      <w:szCs w:val="21"/>
                    </w:rPr>
                  </w:pPr>
                  <w:r>
                    <w:rPr>
                      <w:rFonts w:hint="eastAsia"/>
                      <w:color w:val="000000"/>
                      <w:szCs w:val="21"/>
                    </w:rPr>
                    <w:t>Leq</w:t>
                  </w:r>
                </w:p>
              </w:tc>
              <w:tc>
                <w:tcPr>
                  <w:tcW w:w="1558" w:type="dxa"/>
                  <w:vAlign w:val="center"/>
                </w:tcPr>
                <w:p w14:paraId="644BF2F4">
                  <w:pPr>
                    <w:pStyle w:val="22"/>
                    <w:wordWrap w:val="0"/>
                    <w:adjustRightInd w:val="0"/>
                    <w:snapToGrid w:val="0"/>
                    <w:spacing w:after="0"/>
                    <w:ind w:left="0" w:leftChars="0" w:firstLine="0"/>
                    <w:jc w:val="center"/>
                    <w:rPr>
                      <w:color w:val="000000"/>
                      <w:szCs w:val="21"/>
                    </w:rPr>
                  </w:pPr>
                  <w:r>
                    <w:rPr>
                      <w:rFonts w:hint="eastAsia"/>
                      <w:color w:val="000000"/>
                      <w:szCs w:val="21"/>
                    </w:rPr>
                    <w:t>/</w:t>
                  </w:r>
                </w:p>
              </w:tc>
              <w:tc>
                <w:tcPr>
                  <w:tcW w:w="2642" w:type="dxa"/>
                  <w:vAlign w:val="center"/>
                </w:tcPr>
                <w:p w14:paraId="50B45F7E">
                  <w:pPr>
                    <w:pStyle w:val="22"/>
                    <w:wordWrap w:val="0"/>
                    <w:adjustRightInd w:val="0"/>
                    <w:snapToGrid w:val="0"/>
                    <w:spacing w:after="0"/>
                    <w:ind w:left="0" w:leftChars="0" w:firstLine="0"/>
                    <w:jc w:val="center"/>
                    <w:rPr>
                      <w:color w:val="000000"/>
                      <w:szCs w:val="21"/>
                    </w:rPr>
                  </w:pPr>
                  <w:r>
                    <w:rPr>
                      <w:rFonts w:eastAsiaTheme="minorEastAsia"/>
                      <w:color w:val="000000"/>
                      <w:szCs w:val="21"/>
                    </w:rPr>
                    <w:t>选用低噪声设备，并采取减振、隔声等降噪措施</w:t>
                  </w:r>
                </w:p>
              </w:tc>
            </w:tr>
            <w:tr w14:paraId="294D5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vAlign w:val="center"/>
                </w:tcPr>
                <w:p w14:paraId="16FD7E61">
                  <w:pPr>
                    <w:pStyle w:val="22"/>
                    <w:wordWrap w:val="0"/>
                    <w:adjustRightInd w:val="0"/>
                    <w:snapToGrid w:val="0"/>
                    <w:spacing w:after="0"/>
                    <w:ind w:left="0" w:leftChars="0" w:firstLine="0"/>
                    <w:jc w:val="center"/>
                    <w:rPr>
                      <w:color w:val="000000"/>
                      <w:szCs w:val="21"/>
                    </w:rPr>
                  </w:pPr>
                  <w:r>
                    <w:rPr>
                      <w:rFonts w:hint="eastAsia"/>
                      <w:color w:val="000000"/>
                      <w:szCs w:val="21"/>
                    </w:rPr>
                    <w:t>固体废物</w:t>
                  </w:r>
                </w:p>
              </w:tc>
              <w:tc>
                <w:tcPr>
                  <w:tcW w:w="1266" w:type="dxa"/>
                  <w:vMerge w:val="restart"/>
                  <w:vAlign w:val="center"/>
                </w:tcPr>
                <w:p w14:paraId="15E607D0">
                  <w:pPr>
                    <w:pStyle w:val="22"/>
                    <w:wordWrap w:val="0"/>
                    <w:adjustRightInd w:val="0"/>
                    <w:snapToGrid w:val="0"/>
                    <w:spacing w:after="0"/>
                    <w:ind w:left="0" w:leftChars="0" w:firstLine="0"/>
                    <w:jc w:val="center"/>
                    <w:rPr>
                      <w:color w:val="000000"/>
                      <w:szCs w:val="21"/>
                    </w:rPr>
                  </w:pPr>
                  <w:r>
                    <w:rPr>
                      <w:rFonts w:hint="eastAsia"/>
                      <w:color w:val="000000"/>
                      <w:szCs w:val="21"/>
                    </w:rPr>
                    <w:t>运营期间</w:t>
                  </w:r>
                </w:p>
              </w:tc>
              <w:tc>
                <w:tcPr>
                  <w:tcW w:w="1415" w:type="dxa"/>
                  <w:vAlign w:val="center"/>
                </w:tcPr>
                <w:p w14:paraId="34C66F5C">
                  <w:pPr>
                    <w:pStyle w:val="22"/>
                    <w:wordWrap w:val="0"/>
                    <w:adjustRightInd w:val="0"/>
                    <w:snapToGrid w:val="0"/>
                    <w:spacing w:after="0"/>
                    <w:ind w:left="0" w:leftChars="0" w:firstLine="0"/>
                    <w:jc w:val="center"/>
                    <w:rPr>
                      <w:color w:val="000000"/>
                      <w:szCs w:val="21"/>
                    </w:rPr>
                  </w:pPr>
                  <w:r>
                    <w:t>切割边角料</w:t>
                  </w:r>
                </w:p>
              </w:tc>
              <w:tc>
                <w:tcPr>
                  <w:tcW w:w="1558" w:type="dxa"/>
                  <w:vAlign w:val="center"/>
                </w:tcPr>
                <w:p w14:paraId="3BAAEA20">
                  <w:pPr>
                    <w:pStyle w:val="22"/>
                    <w:wordWrap w:val="0"/>
                    <w:adjustRightInd w:val="0"/>
                    <w:snapToGrid w:val="0"/>
                    <w:spacing w:after="0"/>
                    <w:ind w:left="0" w:leftChars="0" w:firstLine="0"/>
                    <w:jc w:val="center"/>
                    <w:rPr>
                      <w:color w:val="000000"/>
                      <w:szCs w:val="21"/>
                    </w:rPr>
                  </w:pPr>
                  <w:r>
                    <w:rPr>
                      <w:rFonts w:hint="eastAsia"/>
                      <w:color w:val="000000" w:themeColor="text1"/>
                      <w:kern w:val="48"/>
                      <w:szCs w:val="21"/>
                      <w14:textFill>
                        <w14:solidFill>
                          <w14:schemeClr w14:val="tx1"/>
                        </w14:solidFill>
                      </w14:textFill>
                    </w:rPr>
                    <w:t>30.85</w:t>
                  </w:r>
                </w:p>
              </w:tc>
              <w:tc>
                <w:tcPr>
                  <w:tcW w:w="2642" w:type="dxa"/>
                  <w:vMerge w:val="restart"/>
                  <w:vAlign w:val="center"/>
                </w:tcPr>
                <w:p w14:paraId="26E48EF7">
                  <w:pPr>
                    <w:pStyle w:val="22"/>
                    <w:wordWrap w:val="0"/>
                    <w:adjustRightInd w:val="0"/>
                    <w:snapToGrid w:val="0"/>
                    <w:spacing w:after="0"/>
                    <w:ind w:left="0" w:leftChars="0" w:firstLine="0"/>
                    <w:jc w:val="center"/>
                    <w:rPr>
                      <w:color w:val="000000"/>
                      <w:szCs w:val="21"/>
                    </w:rPr>
                  </w:pPr>
                  <w:r>
                    <w:rPr>
                      <w:rFonts w:hint="eastAsia"/>
                      <w:color w:val="000000" w:themeColor="text1"/>
                      <w:szCs w:val="21"/>
                      <w14:textFill>
                        <w14:solidFill>
                          <w14:schemeClr w14:val="tx1"/>
                        </w14:solidFill>
                      </w14:textFill>
                    </w:rPr>
                    <w:t>类收集于一般固废暂存间，定期综合利用</w:t>
                  </w:r>
                </w:p>
              </w:tc>
            </w:tr>
            <w:tr w14:paraId="03D9C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13" w:type="dxa"/>
                  <w:vMerge w:val="continue"/>
                  <w:vAlign w:val="center"/>
                </w:tcPr>
                <w:p w14:paraId="17D6A210">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2014069F">
                  <w:pPr>
                    <w:pStyle w:val="22"/>
                    <w:wordWrap w:val="0"/>
                    <w:adjustRightInd w:val="0"/>
                    <w:snapToGrid w:val="0"/>
                    <w:spacing w:after="0"/>
                    <w:ind w:left="0" w:leftChars="0" w:firstLine="0"/>
                    <w:jc w:val="center"/>
                    <w:rPr>
                      <w:color w:val="000000"/>
                      <w:szCs w:val="21"/>
                    </w:rPr>
                  </w:pPr>
                </w:p>
              </w:tc>
              <w:tc>
                <w:tcPr>
                  <w:tcW w:w="1415" w:type="dxa"/>
                  <w:vAlign w:val="center"/>
                </w:tcPr>
                <w:p w14:paraId="3B4ECE30">
                  <w:pPr>
                    <w:pStyle w:val="22"/>
                    <w:wordWrap w:val="0"/>
                    <w:adjustRightInd w:val="0"/>
                    <w:snapToGrid w:val="0"/>
                    <w:spacing w:after="0"/>
                    <w:ind w:left="0" w:leftChars="0" w:firstLine="0"/>
                    <w:jc w:val="center"/>
                    <w:rPr>
                      <w:color w:val="000000"/>
                      <w:szCs w:val="21"/>
                    </w:rPr>
                  </w:pPr>
                  <w:r>
                    <w:t>焊渣</w:t>
                  </w:r>
                </w:p>
              </w:tc>
              <w:tc>
                <w:tcPr>
                  <w:tcW w:w="1558" w:type="dxa"/>
                  <w:vAlign w:val="center"/>
                </w:tcPr>
                <w:p w14:paraId="5948EBC4">
                  <w:pPr>
                    <w:pStyle w:val="22"/>
                    <w:wordWrap w:val="0"/>
                    <w:adjustRightInd w:val="0"/>
                    <w:snapToGrid w:val="0"/>
                    <w:spacing w:after="0"/>
                    <w:ind w:left="0" w:leftChars="0" w:firstLine="0"/>
                    <w:jc w:val="center"/>
                    <w:rPr>
                      <w:color w:val="000000"/>
                      <w:szCs w:val="21"/>
                    </w:rPr>
                  </w:pPr>
                  <w:r>
                    <w:rPr>
                      <w:rFonts w:hint="eastAsia"/>
                      <w:color w:val="000000" w:themeColor="text1"/>
                      <w:kern w:val="48"/>
                      <w:szCs w:val="21"/>
                      <w14:textFill>
                        <w14:solidFill>
                          <w14:schemeClr w14:val="tx1"/>
                        </w14:solidFill>
                      </w14:textFill>
                    </w:rPr>
                    <w:t>5.31</w:t>
                  </w:r>
                </w:p>
              </w:tc>
              <w:tc>
                <w:tcPr>
                  <w:tcW w:w="2642" w:type="dxa"/>
                  <w:vMerge w:val="continue"/>
                  <w:vAlign w:val="center"/>
                </w:tcPr>
                <w:p w14:paraId="5D89A05C">
                  <w:pPr>
                    <w:pStyle w:val="22"/>
                    <w:wordWrap w:val="0"/>
                    <w:adjustRightInd w:val="0"/>
                    <w:snapToGrid w:val="0"/>
                    <w:spacing w:after="0"/>
                    <w:ind w:left="0" w:leftChars="0" w:firstLine="0"/>
                    <w:jc w:val="center"/>
                    <w:rPr>
                      <w:color w:val="000000"/>
                      <w:szCs w:val="21"/>
                    </w:rPr>
                  </w:pPr>
                </w:p>
              </w:tc>
            </w:tr>
            <w:tr w14:paraId="2CFDD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3" w:type="dxa"/>
                  <w:vMerge w:val="continue"/>
                  <w:vAlign w:val="center"/>
                </w:tcPr>
                <w:p w14:paraId="53D9F660">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6BCD9252">
                  <w:pPr>
                    <w:pStyle w:val="22"/>
                    <w:wordWrap w:val="0"/>
                    <w:adjustRightInd w:val="0"/>
                    <w:snapToGrid w:val="0"/>
                    <w:spacing w:after="0"/>
                    <w:ind w:left="0" w:leftChars="0" w:firstLine="0"/>
                    <w:jc w:val="center"/>
                    <w:rPr>
                      <w:color w:val="000000"/>
                      <w:szCs w:val="21"/>
                    </w:rPr>
                  </w:pPr>
                </w:p>
              </w:tc>
              <w:tc>
                <w:tcPr>
                  <w:tcW w:w="1415" w:type="dxa"/>
                  <w:vAlign w:val="center"/>
                </w:tcPr>
                <w:p w14:paraId="48733EA3">
                  <w:pPr>
                    <w:pStyle w:val="22"/>
                    <w:wordWrap w:val="0"/>
                    <w:adjustRightInd w:val="0"/>
                    <w:snapToGrid w:val="0"/>
                    <w:spacing w:after="0"/>
                    <w:ind w:left="0" w:leftChars="0" w:firstLine="0"/>
                    <w:jc w:val="center"/>
                    <w:rPr>
                      <w:color w:val="000000"/>
                      <w:szCs w:val="21"/>
                    </w:rPr>
                  </w:pPr>
                  <w:r>
                    <w:rPr>
                      <w:rFonts w:hint="eastAsia"/>
                      <w:color w:val="000000" w:themeColor="text1"/>
                      <w:kern w:val="0"/>
                      <w:szCs w:val="21"/>
                      <w:lang w:bidi="ar"/>
                      <w14:textFill>
                        <w14:solidFill>
                          <w14:schemeClr w14:val="tx1"/>
                        </w14:solidFill>
                      </w14:textFill>
                    </w:rPr>
                    <w:t>废钢丸</w:t>
                  </w:r>
                </w:p>
              </w:tc>
              <w:tc>
                <w:tcPr>
                  <w:tcW w:w="1558" w:type="dxa"/>
                  <w:vAlign w:val="center"/>
                </w:tcPr>
                <w:p w14:paraId="0836CDF5">
                  <w:pPr>
                    <w:pStyle w:val="22"/>
                    <w:wordWrap w:val="0"/>
                    <w:adjustRightInd w:val="0"/>
                    <w:snapToGrid w:val="0"/>
                    <w:spacing w:after="0"/>
                    <w:ind w:left="0" w:leftChars="0" w:firstLine="0"/>
                    <w:jc w:val="center"/>
                    <w:rPr>
                      <w:color w:val="000000"/>
                      <w:szCs w:val="21"/>
                    </w:rPr>
                  </w:pPr>
                  <w:r>
                    <w:rPr>
                      <w:rFonts w:hint="eastAsia"/>
                      <w:color w:val="000000" w:themeColor="text1"/>
                      <w:kern w:val="48"/>
                      <w:szCs w:val="21"/>
                      <w14:textFill>
                        <w14:solidFill>
                          <w14:schemeClr w14:val="tx1"/>
                        </w14:solidFill>
                      </w14:textFill>
                    </w:rPr>
                    <w:t>3</w:t>
                  </w:r>
                </w:p>
              </w:tc>
              <w:tc>
                <w:tcPr>
                  <w:tcW w:w="2642" w:type="dxa"/>
                  <w:vMerge w:val="continue"/>
                  <w:vAlign w:val="center"/>
                </w:tcPr>
                <w:p w14:paraId="3987E235">
                  <w:pPr>
                    <w:pStyle w:val="22"/>
                    <w:wordWrap w:val="0"/>
                    <w:adjustRightInd w:val="0"/>
                    <w:snapToGrid w:val="0"/>
                    <w:spacing w:after="0"/>
                    <w:ind w:left="0" w:leftChars="0" w:firstLine="0"/>
                    <w:jc w:val="center"/>
                    <w:rPr>
                      <w:color w:val="000000"/>
                      <w:szCs w:val="21"/>
                    </w:rPr>
                  </w:pPr>
                </w:p>
              </w:tc>
            </w:tr>
            <w:tr w14:paraId="75BE4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vAlign w:val="center"/>
                </w:tcPr>
                <w:p w14:paraId="218FEF4F">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29DC718F">
                  <w:pPr>
                    <w:pStyle w:val="22"/>
                    <w:wordWrap w:val="0"/>
                    <w:adjustRightInd w:val="0"/>
                    <w:snapToGrid w:val="0"/>
                    <w:spacing w:after="0"/>
                    <w:ind w:left="0" w:leftChars="0" w:firstLine="0"/>
                    <w:jc w:val="center"/>
                    <w:rPr>
                      <w:color w:val="000000"/>
                      <w:szCs w:val="21"/>
                    </w:rPr>
                  </w:pPr>
                </w:p>
              </w:tc>
              <w:tc>
                <w:tcPr>
                  <w:tcW w:w="1415" w:type="dxa"/>
                  <w:vAlign w:val="center"/>
                </w:tcPr>
                <w:p w14:paraId="08FD35D9">
                  <w:pPr>
                    <w:pStyle w:val="22"/>
                    <w:wordWrap w:val="0"/>
                    <w:adjustRightInd w:val="0"/>
                    <w:snapToGrid w:val="0"/>
                    <w:spacing w:after="0"/>
                    <w:ind w:left="0" w:leftChars="0" w:firstLine="0"/>
                    <w:jc w:val="center"/>
                    <w:rPr>
                      <w:color w:val="000000"/>
                      <w:szCs w:val="21"/>
                    </w:rPr>
                  </w:pPr>
                  <w:r>
                    <w:rPr>
                      <w:rFonts w:hint="eastAsia"/>
                      <w:color w:val="000000" w:themeColor="text1"/>
                      <w:kern w:val="0"/>
                      <w:szCs w:val="21"/>
                      <w:lang w:bidi="ar"/>
                      <w14:textFill>
                        <w14:solidFill>
                          <w14:schemeClr w14:val="tx1"/>
                        </w14:solidFill>
                      </w14:textFill>
                    </w:rPr>
                    <w:t>生活垃圾</w:t>
                  </w:r>
                </w:p>
              </w:tc>
              <w:tc>
                <w:tcPr>
                  <w:tcW w:w="1558" w:type="dxa"/>
                  <w:vAlign w:val="center"/>
                </w:tcPr>
                <w:p w14:paraId="75077077">
                  <w:pPr>
                    <w:pStyle w:val="22"/>
                    <w:wordWrap w:val="0"/>
                    <w:adjustRightInd w:val="0"/>
                    <w:snapToGrid w:val="0"/>
                    <w:spacing w:after="0"/>
                    <w:ind w:left="0" w:leftChars="0" w:firstLine="0"/>
                    <w:jc w:val="center"/>
                    <w:rPr>
                      <w:color w:val="000000"/>
                      <w:szCs w:val="21"/>
                    </w:rPr>
                  </w:pPr>
                  <w:r>
                    <w:rPr>
                      <w:rFonts w:hint="eastAsia"/>
                      <w:color w:val="000000" w:themeColor="text1"/>
                      <w:kern w:val="0"/>
                      <w:szCs w:val="21"/>
                      <w:lang w:bidi="ar"/>
                      <w14:textFill>
                        <w14:solidFill>
                          <w14:schemeClr w14:val="tx1"/>
                        </w14:solidFill>
                      </w14:textFill>
                    </w:rPr>
                    <w:t>7.8</w:t>
                  </w:r>
                </w:p>
              </w:tc>
              <w:tc>
                <w:tcPr>
                  <w:tcW w:w="2642" w:type="dxa"/>
                  <w:vAlign w:val="center"/>
                </w:tcPr>
                <w:p w14:paraId="39726CA2">
                  <w:pPr>
                    <w:pStyle w:val="22"/>
                    <w:wordWrap w:val="0"/>
                    <w:adjustRightInd w:val="0"/>
                    <w:snapToGrid w:val="0"/>
                    <w:spacing w:after="0"/>
                    <w:ind w:left="0" w:leftChars="0" w:firstLine="0"/>
                    <w:jc w:val="center"/>
                    <w:rPr>
                      <w:color w:val="000000"/>
                      <w:szCs w:val="21"/>
                    </w:rPr>
                  </w:pPr>
                  <w:r>
                    <w:rPr>
                      <w:rFonts w:hint="eastAsia"/>
                      <w:color w:val="000000" w:themeColor="text1"/>
                      <w:kern w:val="0"/>
                      <w:szCs w:val="21"/>
                      <w:lang w:bidi="ar"/>
                      <w14:textFill>
                        <w14:solidFill>
                          <w14:schemeClr w14:val="tx1"/>
                        </w14:solidFill>
                      </w14:textFill>
                    </w:rPr>
                    <w:t>集中收集，由环卫部门统一清运</w:t>
                  </w:r>
                </w:p>
              </w:tc>
            </w:tr>
            <w:tr w14:paraId="65FF7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Merge w:val="continue"/>
                  <w:vAlign w:val="center"/>
                </w:tcPr>
                <w:p w14:paraId="21085A38">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5879DBCD">
                  <w:pPr>
                    <w:pStyle w:val="22"/>
                    <w:wordWrap w:val="0"/>
                    <w:adjustRightInd w:val="0"/>
                    <w:snapToGrid w:val="0"/>
                    <w:spacing w:after="0"/>
                    <w:ind w:left="0" w:leftChars="0" w:firstLine="0"/>
                    <w:jc w:val="center"/>
                    <w:rPr>
                      <w:color w:val="000000"/>
                      <w:szCs w:val="21"/>
                    </w:rPr>
                  </w:pPr>
                </w:p>
              </w:tc>
              <w:tc>
                <w:tcPr>
                  <w:tcW w:w="1415" w:type="dxa"/>
                  <w:vAlign w:val="center"/>
                </w:tcPr>
                <w:p w14:paraId="55F22FEC">
                  <w:pPr>
                    <w:pStyle w:val="22"/>
                    <w:wordWrap w:val="0"/>
                    <w:adjustRightInd w:val="0"/>
                    <w:snapToGrid w:val="0"/>
                    <w:spacing w:after="0"/>
                    <w:ind w:left="0" w:leftChars="0" w:firstLine="0"/>
                    <w:jc w:val="center"/>
                    <w:rPr>
                      <w:color w:val="000000"/>
                      <w:szCs w:val="21"/>
                    </w:rPr>
                  </w:pPr>
                  <w:r>
                    <w:rPr>
                      <w:rFonts w:hint="eastAsia"/>
                      <w:color w:val="000000" w:themeColor="text1"/>
                      <w:kern w:val="0"/>
                      <w:szCs w:val="21"/>
                      <w:lang w:bidi="ar"/>
                      <w14:textFill>
                        <w14:solidFill>
                          <w14:schemeClr w14:val="tx1"/>
                        </w14:solidFill>
                      </w14:textFill>
                    </w:rPr>
                    <w:t>废水性漆桶</w:t>
                  </w:r>
                </w:p>
              </w:tc>
              <w:tc>
                <w:tcPr>
                  <w:tcW w:w="1558" w:type="dxa"/>
                  <w:vAlign w:val="center"/>
                </w:tcPr>
                <w:p w14:paraId="47255284">
                  <w:pPr>
                    <w:pStyle w:val="22"/>
                    <w:wordWrap w:val="0"/>
                    <w:adjustRightInd w:val="0"/>
                    <w:snapToGrid w:val="0"/>
                    <w:spacing w:after="0"/>
                    <w:ind w:left="0" w:leftChars="0" w:firstLine="0"/>
                    <w:jc w:val="center"/>
                    <w:rPr>
                      <w:color w:val="000000"/>
                      <w:szCs w:val="21"/>
                    </w:rPr>
                  </w:pPr>
                  <w:r>
                    <w:rPr>
                      <w:rFonts w:hint="eastAsia"/>
                      <w:color w:val="000000"/>
                    </w:rPr>
                    <w:t>0.2854</w:t>
                  </w:r>
                </w:p>
              </w:tc>
              <w:tc>
                <w:tcPr>
                  <w:tcW w:w="2642" w:type="dxa"/>
                  <w:vMerge w:val="restart"/>
                  <w:vAlign w:val="center"/>
                </w:tcPr>
                <w:p w14:paraId="7DDB6D5D">
                  <w:pPr>
                    <w:pStyle w:val="22"/>
                    <w:wordWrap w:val="0"/>
                    <w:adjustRightInd w:val="0"/>
                    <w:snapToGrid w:val="0"/>
                    <w:spacing w:after="0"/>
                    <w:ind w:left="0" w:leftChars="0" w:firstLine="0"/>
                    <w:jc w:val="center"/>
                    <w:rPr>
                      <w:color w:val="000000"/>
                      <w:szCs w:val="21"/>
                    </w:rPr>
                  </w:pPr>
                  <w:r>
                    <w:rPr>
                      <w:rFonts w:hint="eastAsia"/>
                      <w:color w:val="000000" w:themeColor="text1"/>
                      <w:kern w:val="0"/>
                      <w:szCs w:val="21"/>
                      <w:lang w:bidi="ar"/>
                      <w14:textFill>
                        <w14:solidFill>
                          <w14:schemeClr w14:val="tx1"/>
                        </w14:solidFill>
                      </w14:textFill>
                    </w:rPr>
                    <w:t>分类收集暂存于危废暂存间，定期交由有资质单位处置</w:t>
                  </w:r>
                </w:p>
              </w:tc>
            </w:tr>
            <w:tr w14:paraId="3C631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Merge w:val="continue"/>
                  <w:vAlign w:val="center"/>
                </w:tcPr>
                <w:p w14:paraId="14ECBE0B">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594362B1">
                  <w:pPr>
                    <w:pStyle w:val="22"/>
                    <w:wordWrap w:val="0"/>
                    <w:adjustRightInd w:val="0"/>
                    <w:snapToGrid w:val="0"/>
                    <w:spacing w:after="0"/>
                    <w:ind w:left="0" w:leftChars="0" w:firstLine="0"/>
                    <w:jc w:val="center"/>
                    <w:rPr>
                      <w:color w:val="000000"/>
                      <w:szCs w:val="21"/>
                    </w:rPr>
                  </w:pPr>
                </w:p>
              </w:tc>
              <w:tc>
                <w:tcPr>
                  <w:tcW w:w="1415" w:type="dxa"/>
                  <w:vAlign w:val="center"/>
                </w:tcPr>
                <w:p w14:paraId="092E1112">
                  <w:pPr>
                    <w:pStyle w:val="22"/>
                    <w:wordWrap w:val="0"/>
                    <w:adjustRightInd w:val="0"/>
                    <w:snapToGrid w:val="0"/>
                    <w:spacing w:after="0"/>
                    <w:ind w:left="0" w:leftChars="0" w:firstLine="0"/>
                    <w:jc w:val="center"/>
                    <w:rPr>
                      <w:color w:val="000000"/>
                      <w:szCs w:val="21"/>
                    </w:rPr>
                  </w:pPr>
                  <w:r>
                    <w:rPr>
                      <w:rFonts w:hint="eastAsia"/>
                      <w:color w:val="000000"/>
                      <w:szCs w:val="21"/>
                    </w:rPr>
                    <w:t>废水性漆渣</w:t>
                  </w:r>
                </w:p>
              </w:tc>
              <w:tc>
                <w:tcPr>
                  <w:tcW w:w="1558" w:type="dxa"/>
                  <w:vAlign w:val="center"/>
                </w:tcPr>
                <w:p w14:paraId="4751A12D">
                  <w:pPr>
                    <w:pStyle w:val="22"/>
                    <w:wordWrap w:val="0"/>
                    <w:adjustRightInd w:val="0"/>
                    <w:snapToGrid w:val="0"/>
                    <w:spacing w:after="0"/>
                    <w:ind w:left="0" w:leftChars="0" w:firstLine="0"/>
                    <w:jc w:val="center"/>
                    <w:rPr>
                      <w:color w:val="000000"/>
                      <w:szCs w:val="21"/>
                    </w:rPr>
                  </w:pPr>
                  <w:r>
                    <w:rPr>
                      <w:rFonts w:hint="eastAsia"/>
                      <w:color w:val="000000"/>
                    </w:rPr>
                    <w:t>0.1998</w:t>
                  </w:r>
                </w:p>
              </w:tc>
              <w:tc>
                <w:tcPr>
                  <w:tcW w:w="2642" w:type="dxa"/>
                  <w:vMerge w:val="continue"/>
                  <w:vAlign w:val="center"/>
                </w:tcPr>
                <w:p w14:paraId="21A119AF">
                  <w:pPr>
                    <w:pStyle w:val="22"/>
                    <w:wordWrap w:val="0"/>
                    <w:adjustRightInd w:val="0"/>
                    <w:snapToGrid w:val="0"/>
                    <w:spacing w:after="0"/>
                    <w:ind w:left="0" w:leftChars="0" w:firstLine="0"/>
                    <w:jc w:val="center"/>
                    <w:rPr>
                      <w:color w:val="000000"/>
                      <w:szCs w:val="21"/>
                    </w:rPr>
                  </w:pPr>
                </w:p>
              </w:tc>
            </w:tr>
            <w:tr w14:paraId="315D4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Merge w:val="continue"/>
                  <w:vAlign w:val="center"/>
                </w:tcPr>
                <w:p w14:paraId="41437100">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5352F1B4">
                  <w:pPr>
                    <w:pStyle w:val="22"/>
                    <w:wordWrap w:val="0"/>
                    <w:adjustRightInd w:val="0"/>
                    <w:snapToGrid w:val="0"/>
                    <w:spacing w:after="0"/>
                    <w:ind w:left="0" w:leftChars="0" w:firstLine="0"/>
                    <w:jc w:val="center"/>
                    <w:rPr>
                      <w:color w:val="000000"/>
                      <w:szCs w:val="21"/>
                    </w:rPr>
                  </w:pPr>
                </w:p>
              </w:tc>
              <w:tc>
                <w:tcPr>
                  <w:tcW w:w="1415" w:type="dxa"/>
                  <w:vAlign w:val="center"/>
                </w:tcPr>
                <w:p w14:paraId="300F6507">
                  <w:pPr>
                    <w:pStyle w:val="22"/>
                    <w:wordWrap w:val="0"/>
                    <w:adjustRightInd w:val="0"/>
                    <w:snapToGrid w:val="0"/>
                    <w:spacing w:after="0"/>
                    <w:ind w:left="0" w:leftChars="0" w:firstLine="0"/>
                    <w:jc w:val="center"/>
                    <w:rPr>
                      <w:color w:val="000000"/>
                      <w:szCs w:val="21"/>
                    </w:rPr>
                  </w:pPr>
                  <w:r>
                    <w:rPr>
                      <w:rFonts w:hint="eastAsia"/>
                      <w:color w:val="000000"/>
                      <w:szCs w:val="21"/>
                    </w:rPr>
                    <w:t>废润滑油及其包装桶</w:t>
                  </w:r>
                </w:p>
              </w:tc>
              <w:tc>
                <w:tcPr>
                  <w:tcW w:w="1558" w:type="dxa"/>
                  <w:vAlign w:val="center"/>
                </w:tcPr>
                <w:p w14:paraId="59A380D4">
                  <w:pPr>
                    <w:pStyle w:val="22"/>
                    <w:wordWrap w:val="0"/>
                    <w:adjustRightInd w:val="0"/>
                    <w:snapToGrid w:val="0"/>
                    <w:spacing w:after="0"/>
                    <w:ind w:left="0" w:leftChars="0" w:firstLine="0"/>
                    <w:jc w:val="center"/>
                    <w:rPr>
                      <w:color w:val="000000"/>
                      <w:szCs w:val="21"/>
                    </w:rPr>
                  </w:pPr>
                  <w:r>
                    <w:rPr>
                      <w:rFonts w:hint="eastAsia"/>
                      <w:color w:val="000000"/>
                    </w:rPr>
                    <w:t>0.125</w:t>
                  </w:r>
                </w:p>
              </w:tc>
              <w:tc>
                <w:tcPr>
                  <w:tcW w:w="2642" w:type="dxa"/>
                  <w:vMerge w:val="continue"/>
                  <w:vAlign w:val="center"/>
                </w:tcPr>
                <w:p w14:paraId="70922333">
                  <w:pPr>
                    <w:pStyle w:val="22"/>
                    <w:wordWrap w:val="0"/>
                    <w:adjustRightInd w:val="0"/>
                    <w:snapToGrid w:val="0"/>
                    <w:spacing w:after="0"/>
                    <w:ind w:left="0" w:leftChars="0" w:firstLine="0"/>
                    <w:jc w:val="center"/>
                    <w:rPr>
                      <w:color w:val="000000"/>
                      <w:szCs w:val="21"/>
                    </w:rPr>
                  </w:pPr>
                </w:p>
              </w:tc>
            </w:tr>
            <w:tr w14:paraId="2F7F7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vAlign w:val="center"/>
                </w:tcPr>
                <w:p w14:paraId="61AF737B">
                  <w:pPr>
                    <w:pStyle w:val="22"/>
                    <w:wordWrap w:val="0"/>
                    <w:adjustRightInd w:val="0"/>
                    <w:snapToGrid w:val="0"/>
                    <w:spacing w:after="0"/>
                    <w:ind w:left="0" w:leftChars="0" w:firstLine="0"/>
                    <w:jc w:val="center"/>
                    <w:rPr>
                      <w:color w:val="000000"/>
                      <w:szCs w:val="21"/>
                    </w:rPr>
                  </w:pPr>
                </w:p>
              </w:tc>
              <w:tc>
                <w:tcPr>
                  <w:tcW w:w="1266" w:type="dxa"/>
                  <w:vMerge w:val="continue"/>
                  <w:vAlign w:val="center"/>
                </w:tcPr>
                <w:p w14:paraId="22EE19A4">
                  <w:pPr>
                    <w:pStyle w:val="22"/>
                    <w:wordWrap w:val="0"/>
                    <w:adjustRightInd w:val="0"/>
                    <w:snapToGrid w:val="0"/>
                    <w:spacing w:after="0"/>
                    <w:ind w:left="0" w:leftChars="0" w:firstLine="0"/>
                    <w:jc w:val="center"/>
                    <w:rPr>
                      <w:color w:val="000000"/>
                      <w:szCs w:val="21"/>
                    </w:rPr>
                  </w:pPr>
                </w:p>
              </w:tc>
              <w:tc>
                <w:tcPr>
                  <w:tcW w:w="1415" w:type="dxa"/>
                  <w:vAlign w:val="center"/>
                </w:tcPr>
                <w:p w14:paraId="235A67E5">
                  <w:pPr>
                    <w:pStyle w:val="22"/>
                    <w:wordWrap w:val="0"/>
                    <w:adjustRightInd w:val="0"/>
                    <w:snapToGrid w:val="0"/>
                    <w:spacing w:after="0"/>
                    <w:ind w:left="0" w:leftChars="0" w:firstLine="0"/>
                    <w:jc w:val="center"/>
                    <w:rPr>
                      <w:color w:val="000000"/>
                      <w:szCs w:val="21"/>
                    </w:rPr>
                  </w:pPr>
                  <w:r>
                    <w:rPr>
                      <w:rFonts w:hint="eastAsia"/>
                      <w:color w:val="000000"/>
                      <w:szCs w:val="21"/>
                    </w:rPr>
                    <w:t>含油抹布及手套</w:t>
                  </w:r>
                </w:p>
              </w:tc>
              <w:tc>
                <w:tcPr>
                  <w:tcW w:w="1558" w:type="dxa"/>
                  <w:vAlign w:val="center"/>
                </w:tcPr>
                <w:p w14:paraId="5E508253">
                  <w:pPr>
                    <w:pStyle w:val="22"/>
                    <w:wordWrap w:val="0"/>
                    <w:adjustRightInd w:val="0"/>
                    <w:snapToGrid w:val="0"/>
                    <w:spacing w:after="0"/>
                    <w:ind w:left="0" w:leftChars="0" w:firstLine="0"/>
                    <w:jc w:val="center"/>
                    <w:rPr>
                      <w:color w:val="000000"/>
                      <w:szCs w:val="21"/>
                    </w:rPr>
                  </w:pPr>
                  <w:r>
                    <w:rPr>
                      <w:rFonts w:hint="eastAsia"/>
                      <w:color w:val="000000"/>
                    </w:rPr>
                    <w:t>0.05</w:t>
                  </w:r>
                </w:p>
              </w:tc>
              <w:tc>
                <w:tcPr>
                  <w:tcW w:w="2642" w:type="dxa"/>
                  <w:vMerge w:val="continue"/>
                  <w:vAlign w:val="center"/>
                </w:tcPr>
                <w:p w14:paraId="51A48497">
                  <w:pPr>
                    <w:pStyle w:val="22"/>
                    <w:wordWrap w:val="0"/>
                    <w:adjustRightInd w:val="0"/>
                    <w:snapToGrid w:val="0"/>
                    <w:spacing w:after="0"/>
                    <w:ind w:left="0" w:leftChars="0" w:firstLine="0"/>
                    <w:jc w:val="center"/>
                    <w:rPr>
                      <w:color w:val="000000"/>
                      <w:szCs w:val="21"/>
                    </w:rPr>
                  </w:pPr>
                </w:p>
              </w:tc>
            </w:tr>
          </w:tbl>
          <w:p w14:paraId="082CDF66">
            <w:pPr>
              <w:pStyle w:val="29"/>
              <w:adjustRightInd/>
              <w:ind w:firstLine="0" w:firstLineChars="0"/>
              <w:jc w:val="both"/>
              <w:rPr>
                <w:rFonts w:ascii="Times New Roman" w:eastAsia="宋体" w:cs="Times New Roman"/>
                <w:b/>
                <w:bCs/>
              </w:rPr>
            </w:pPr>
            <w:r>
              <w:rPr>
                <w:rFonts w:hint="eastAsia" w:ascii="Times New Roman" w:eastAsia="宋体" w:cs="Times New Roman"/>
                <w:b/>
                <w:bCs/>
              </w:rPr>
              <w:t>5</w:t>
            </w:r>
            <w:r>
              <w:rPr>
                <w:rFonts w:ascii="Times New Roman" w:eastAsia="宋体" w:cs="Times New Roman"/>
                <w:b/>
                <w:bCs/>
              </w:rPr>
              <w:t>、现有工程存在的环境问题及“以新带老”措施</w:t>
            </w:r>
          </w:p>
          <w:p w14:paraId="6C7005E4">
            <w:pPr>
              <w:pStyle w:val="68"/>
              <w:ind w:firstLine="480"/>
            </w:pPr>
            <w:r>
              <w:rPr>
                <w:rFonts w:hint="eastAsia"/>
              </w:rPr>
              <w:t>根据调查，现有工程存在的环境问题如下：</w:t>
            </w:r>
          </w:p>
          <w:p w14:paraId="6E0200F8">
            <w:pPr>
              <w:pStyle w:val="68"/>
              <w:ind w:firstLine="480"/>
            </w:pPr>
            <w:r>
              <w:rPr>
                <w:rFonts w:hint="eastAsia"/>
              </w:rPr>
              <w:t>（1）喷漆、晾干废气设置收集处理设施；</w:t>
            </w:r>
          </w:p>
          <w:p w14:paraId="4CF2A4C1">
            <w:pPr>
              <w:pStyle w:val="68"/>
              <w:ind w:firstLine="480"/>
            </w:pPr>
            <w:r>
              <w:rPr>
                <w:rFonts w:hint="eastAsia"/>
              </w:rPr>
              <w:t>（2）下料、焊接废气未设置废气处理设施。</w:t>
            </w:r>
          </w:p>
          <w:p w14:paraId="48B902C5">
            <w:pPr>
              <w:pStyle w:val="68"/>
              <w:ind w:firstLine="480"/>
            </w:pPr>
            <w:r>
              <w:rPr>
                <w:rFonts w:hint="eastAsia"/>
              </w:rPr>
              <w:t>（3）现有工程VOCs、CODcr、NH</w:t>
            </w:r>
            <w:r>
              <w:rPr>
                <w:rFonts w:hint="eastAsia"/>
                <w:vertAlign w:val="subscript"/>
              </w:rPr>
              <w:t>3</w:t>
            </w:r>
            <w:r>
              <w:rPr>
                <w:rFonts w:hint="eastAsia"/>
              </w:rPr>
              <w:t>-N未购买排污总量。</w:t>
            </w:r>
          </w:p>
          <w:p w14:paraId="4A214CE8">
            <w:pPr>
              <w:pStyle w:val="68"/>
              <w:ind w:firstLine="480"/>
            </w:pPr>
            <w:r>
              <w:rPr>
                <w:rFonts w:hint="eastAsia"/>
              </w:rPr>
              <w:t>本次环评提出的主要整改措施如下：</w:t>
            </w:r>
          </w:p>
          <w:p w14:paraId="7F04B00C">
            <w:pPr>
              <w:pStyle w:val="68"/>
              <w:ind w:firstLine="480"/>
            </w:pPr>
            <w:r>
              <w:rPr>
                <w:rFonts w:hint="eastAsia"/>
              </w:rPr>
              <w:t>（1）本次迁建后喷漆、晾干废气处理设施更新为喷漆房密闭负压收集+干式过滤器+三级活性炭吸附+15m排气筒（DA001）等设施处理后有组织排放。</w:t>
            </w:r>
          </w:p>
          <w:p w14:paraId="56BA4D89">
            <w:pPr>
              <w:pStyle w:val="68"/>
              <w:ind w:firstLine="480"/>
              <w:rPr>
                <w:color w:val="000000"/>
              </w:rPr>
            </w:pPr>
            <w:r>
              <w:rPr>
                <w:rFonts w:hint="eastAsia"/>
              </w:rPr>
              <w:t>（2）本次迁建后下料、焊接废气处理设施设置移动式</w:t>
            </w:r>
            <w:r>
              <w:rPr>
                <w:rFonts w:hint="eastAsia"/>
                <w:color w:val="000000"/>
              </w:rPr>
              <w:t>袋式除尘器收集处理后无组织排放。</w:t>
            </w:r>
          </w:p>
          <w:p w14:paraId="1F57747C">
            <w:pPr>
              <w:pStyle w:val="68"/>
              <w:ind w:firstLine="480"/>
            </w:pPr>
            <w:r>
              <w:rPr>
                <w:rFonts w:hint="eastAsia"/>
                <w:color w:val="000000"/>
              </w:rPr>
              <w:t>（3）本次迁建后，需根据</w:t>
            </w:r>
            <w:r>
              <w:rPr>
                <w:rFonts w:hint="eastAsia"/>
              </w:rPr>
              <w:t>VOCs、CODcr、NH</w:t>
            </w:r>
            <w:r>
              <w:rPr>
                <w:rFonts w:hint="eastAsia"/>
                <w:vertAlign w:val="subscript"/>
              </w:rPr>
              <w:t>3</w:t>
            </w:r>
            <w:r>
              <w:rPr>
                <w:rFonts w:hint="eastAsia"/>
              </w:rPr>
              <w:t>-N全厂排放量购买排污总量。</w:t>
            </w:r>
          </w:p>
          <w:p w14:paraId="2C22F16A">
            <w:pPr>
              <w:pStyle w:val="29"/>
              <w:adjustRightInd/>
              <w:ind w:firstLine="0" w:firstLineChars="0"/>
              <w:jc w:val="both"/>
              <w:rPr>
                <w:rFonts w:ascii="Times New Roman" w:eastAsia="宋体" w:cs="Times New Roman"/>
                <w:b/>
                <w:bCs/>
              </w:rPr>
            </w:pPr>
            <w:r>
              <w:rPr>
                <w:rFonts w:hint="eastAsia" w:ascii="Times New Roman" w:eastAsia="宋体" w:cs="Times New Roman"/>
                <w:b/>
                <w:bCs/>
              </w:rPr>
              <w:t>6、现有项目搬迁情况及环境管理要求</w:t>
            </w:r>
          </w:p>
          <w:p w14:paraId="53943B69">
            <w:pPr>
              <w:ind w:firstLine="480" w:firstLineChars="200"/>
            </w:pPr>
            <w:r>
              <w:rPr>
                <w:rFonts w:hint="eastAsia"/>
              </w:rPr>
              <w:t>（1）搬迁情况</w:t>
            </w:r>
          </w:p>
          <w:p w14:paraId="78B8050E">
            <w:pPr>
              <w:wordWrap w:val="0"/>
              <w:spacing w:line="360" w:lineRule="auto"/>
              <w:ind w:firstLine="480" w:firstLineChars="200"/>
            </w:pPr>
            <w:r>
              <w:rPr>
                <w:rFonts w:hint="eastAsia"/>
              </w:rPr>
              <w:t>根据现场调查情况，原址暂存的危险废物已交由有资质单位进行处置；原址暂存的生活垃圾已由环卫部门清运，废钢材边角料、焊渣、废钢丸等一般固废均已外售综合利用，因此现有项目无污染物遗留。</w:t>
            </w:r>
          </w:p>
          <w:p w14:paraId="46A6E917">
            <w:pPr>
              <w:wordWrap w:val="0"/>
              <w:spacing w:line="360" w:lineRule="auto"/>
              <w:ind w:firstLine="480" w:firstLineChars="200"/>
            </w:pPr>
            <w:r>
              <w:rPr>
                <w:rFonts w:hint="eastAsia"/>
              </w:rPr>
              <w:t>（2）环境管理要求</w:t>
            </w:r>
          </w:p>
          <w:p w14:paraId="0C48ECB4">
            <w:pPr>
              <w:wordWrap w:val="0"/>
              <w:spacing w:line="360" w:lineRule="auto"/>
              <w:ind w:firstLine="480" w:firstLineChars="200"/>
            </w:pPr>
            <w:r>
              <w:rPr>
                <w:rFonts w:hint="eastAsia"/>
              </w:rPr>
              <w:t>1）建设单位负责原有项目场地内清理工作，原有设备全部搬迁至新场地，全部利用。</w:t>
            </w:r>
          </w:p>
          <w:p w14:paraId="64AD6498">
            <w:pPr>
              <w:wordWrap w:val="0"/>
              <w:spacing w:line="360" w:lineRule="auto"/>
              <w:ind w:firstLine="480" w:firstLineChars="200"/>
              <w:rPr>
                <w:u w:val="single"/>
              </w:rPr>
            </w:pPr>
            <w:r>
              <w:rPr>
                <w:rFonts w:hint="eastAsia"/>
              </w:rPr>
              <w:t>2）现有产生的各项污染物均需妥善处理，保证迁建完成后现有项目场地无任何遗留污染物。</w:t>
            </w:r>
          </w:p>
        </w:tc>
      </w:tr>
    </w:tbl>
    <w:p w14:paraId="6E5C3569">
      <w:pPr>
        <w:sectPr>
          <w:pgSz w:w="11906" w:h="16838"/>
          <w:pgMar w:top="1440" w:right="1800" w:bottom="1440" w:left="1800" w:header="851" w:footer="992" w:gutter="0"/>
          <w:cols w:space="425" w:num="1"/>
          <w:docGrid w:type="lines" w:linePitch="312" w:charSpace="0"/>
        </w:sectPr>
      </w:pPr>
    </w:p>
    <w:p w14:paraId="6279DC60">
      <w:pPr>
        <w:pStyle w:val="20"/>
        <w:spacing w:before="0" w:beforeAutospacing="0" w:after="0" w:afterAutospacing="0"/>
        <w:jc w:val="center"/>
        <w:outlineLvl w:val="0"/>
        <w:rPr>
          <w:rFonts w:hint="eastAsia" w:ascii="黑体" w:hAnsi="黑体" w:eastAsia="黑体"/>
          <w:snapToGrid w:val="0"/>
          <w:color w:val="000000"/>
          <w:sz w:val="30"/>
          <w:szCs w:val="30"/>
        </w:rPr>
      </w:pPr>
      <w:bookmarkStart w:id="31" w:name="_Toc15648"/>
      <w:bookmarkStart w:id="32" w:name="_Toc5414"/>
      <w:bookmarkStart w:id="33" w:name="_Toc17389"/>
      <w:bookmarkStart w:id="34" w:name="_Toc189746364"/>
      <w:bookmarkStart w:id="35" w:name="_Toc8261"/>
      <w:bookmarkStart w:id="36" w:name="_Toc121"/>
      <w:r>
        <w:rPr>
          <w:rFonts w:hint="eastAsia" w:ascii="黑体" w:hAnsi="黑体" w:eastAsia="黑体"/>
          <w:snapToGrid w:val="0"/>
          <w:color w:val="000000"/>
          <w:sz w:val="30"/>
          <w:szCs w:val="30"/>
        </w:rPr>
        <w:t>三、区域环境质量现状、环境保护目标及评价标准</w:t>
      </w:r>
      <w:bookmarkEnd w:id="31"/>
      <w:bookmarkEnd w:id="32"/>
      <w:bookmarkEnd w:id="33"/>
      <w:bookmarkEnd w:id="34"/>
      <w:bookmarkEnd w:id="35"/>
      <w:bookmarkEnd w:id="36"/>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75EC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456" w:type="dxa"/>
            <w:vAlign w:val="center"/>
          </w:tcPr>
          <w:p w14:paraId="780849FB">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区域</w:t>
            </w:r>
          </w:p>
          <w:p w14:paraId="710B0CBB">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w:t>
            </w:r>
          </w:p>
          <w:p w14:paraId="4FF44729">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质量</w:t>
            </w:r>
          </w:p>
          <w:p w14:paraId="695AD904">
            <w:pPr>
              <w:pStyle w:val="20"/>
              <w:spacing w:before="0" w:beforeAutospacing="0" w:after="0" w:afterAutospacing="0"/>
              <w:jc w:val="center"/>
              <w:rPr>
                <w:rFonts w:hint="eastAsia" w:ascii="黑体" w:hAnsi="黑体" w:eastAsia="黑体"/>
                <w:snapToGrid w:val="0"/>
                <w:color w:val="000000"/>
                <w:sz w:val="30"/>
                <w:szCs w:val="30"/>
              </w:rPr>
            </w:pPr>
            <w:r>
              <w:rPr>
                <w:color w:val="000000" w:themeColor="text1"/>
                <w14:textFill>
                  <w14:solidFill>
                    <w14:schemeClr w14:val="tx1"/>
                  </w14:solidFill>
                </w14:textFill>
              </w:rPr>
              <w:t>现状</w:t>
            </w:r>
          </w:p>
        </w:tc>
        <w:tc>
          <w:tcPr>
            <w:tcW w:w="8066" w:type="dxa"/>
          </w:tcPr>
          <w:p w14:paraId="5D446896">
            <w:pPr>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w:t>
            </w:r>
            <w:r>
              <w:rPr>
                <w:b/>
                <w:bCs/>
                <w:color w:val="000000" w:themeColor="text1"/>
                <w14:textFill>
                  <w14:solidFill>
                    <w14:schemeClr w14:val="tx1"/>
                  </w14:solidFill>
                </w14:textFill>
              </w:rPr>
              <w:t>大气环境质量现状</w:t>
            </w:r>
          </w:p>
          <w:p w14:paraId="246D1F2E">
            <w:pPr>
              <w:spacing w:line="360" w:lineRule="auto"/>
              <w:rPr>
                <w:b/>
                <w:bCs/>
                <w:color w:val="000000" w:themeColor="text1"/>
                <w:u w:val="single"/>
                <w14:textFill>
                  <w14:solidFill>
                    <w14:schemeClr w14:val="tx1"/>
                  </w14:solidFill>
                </w14:textFill>
              </w:rPr>
            </w:pPr>
            <w:r>
              <w:rPr>
                <w:b/>
                <w:bCs/>
                <w:color w:val="000000" w:themeColor="text1"/>
                <w:u w:val="single"/>
                <w14:textFill>
                  <w14:solidFill>
                    <w14:schemeClr w14:val="tx1"/>
                  </w14:solidFill>
                </w14:textFill>
              </w:rPr>
              <w:t>1</w:t>
            </w:r>
            <w:r>
              <w:rPr>
                <w:rFonts w:hint="eastAsia"/>
                <w:b/>
                <w:bCs/>
                <w:color w:val="000000" w:themeColor="text1"/>
                <w:u w:val="single"/>
                <w14:textFill>
                  <w14:solidFill>
                    <w14:schemeClr w14:val="tx1"/>
                  </w14:solidFill>
                </w14:textFill>
              </w:rPr>
              <w:t>、</w:t>
            </w:r>
            <w:r>
              <w:rPr>
                <w:b/>
                <w:bCs/>
                <w:color w:val="000000" w:themeColor="text1"/>
                <w:u w:val="single"/>
                <w14:textFill>
                  <w14:solidFill>
                    <w14:schemeClr w14:val="tx1"/>
                  </w14:solidFill>
                </w14:textFill>
              </w:rPr>
              <w:t>区域环境质量现状</w:t>
            </w:r>
          </w:p>
          <w:p w14:paraId="7CC46EFB">
            <w:pPr>
              <w:pStyle w:val="4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根据《环境影响评价技术导则 大气环境》（HJ2.2-2018）中“6.2.1.1项目所在区域达标判定，优先采用国家或生态环境主管部门发布的平均基准年环境质量公告或环境质量报告中的数据或结论”，为了解项目所在区域环境空气质量现状，本次评价采用2024年益阳市环境空气污染浓度均值统计数据。其统计分析结果详见表3-1。</w:t>
            </w:r>
          </w:p>
          <w:p w14:paraId="32D79FEA">
            <w:pPr>
              <w:jc w:val="center"/>
              <w:rPr>
                <w:b/>
                <w:szCs w:val="21"/>
                <w:u w:val="single"/>
              </w:rPr>
            </w:pPr>
            <w:r>
              <w:rPr>
                <w:b/>
                <w:szCs w:val="21"/>
                <w:u w:val="single"/>
              </w:rPr>
              <w:t xml:space="preserve">表3-1  </w:t>
            </w:r>
            <w:r>
              <w:rPr>
                <w:rFonts w:hint="eastAsia"/>
                <w:b/>
                <w:szCs w:val="21"/>
                <w:u w:val="single"/>
              </w:rPr>
              <w:t>2024年益阳市环境空气质量状况</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autofit"/>
              <w:tblCellMar>
                <w:top w:w="0" w:type="dxa"/>
                <w:left w:w="108" w:type="dxa"/>
                <w:bottom w:w="0" w:type="dxa"/>
                <w:right w:w="108" w:type="dxa"/>
              </w:tblCellMar>
            </w:tblPr>
            <w:tblGrid>
              <w:gridCol w:w="748"/>
              <w:gridCol w:w="1692"/>
              <w:gridCol w:w="1282"/>
              <w:gridCol w:w="1469"/>
              <w:gridCol w:w="1326"/>
              <w:gridCol w:w="1303"/>
            </w:tblGrid>
            <w:tr w14:paraId="42DF5B5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151E931A">
                  <w:pPr>
                    <w:adjustRightInd w:val="0"/>
                    <w:snapToGrid w:val="0"/>
                    <w:jc w:val="center"/>
                    <w:rPr>
                      <w:b/>
                      <w:sz w:val="21"/>
                      <w:szCs w:val="21"/>
                      <w:u w:val="single"/>
                    </w:rPr>
                  </w:pPr>
                  <w:r>
                    <w:rPr>
                      <w:b/>
                      <w:sz w:val="21"/>
                      <w:szCs w:val="21"/>
                      <w:u w:val="single"/>
                    </w:rPr>
                    <w:t>污染物</w:t>
                  </w:r>
                </w:p>
              </w:tc>
              <w:tc>
                <w:tcPr>
                  <w:tcW w:w="1082" w:type="pct"/>
                  <w:tcBorders>
                    <w:tl2br w:val="nil"/>
                    <w:tr2bl w:val="nil"/>
                  </w:tcBorders>
                  <w:vAlign w:val="center"/>
                </w:tcPr>
                <w:p w14:paraId="50FDFDAC">
                  <w:pPr>
                    <w:adjustRightInd w:val="0"/>
                    <w:snapToGrid w:val="0"/>
                    <w:jc w:val="center"/>
                    <w:rPr>
                      <w:b/>
                      <w:sz w:val="21"/>
                      <w:szCs w:val="21"/>
                      <w:u w:val="single"/>
                    </w:rPr>
                  </w:pPr>
                  <w:r>
                    <w:rPr>
                      <w:b/>
                      <w:sz w:val="21"/>
                      <w:szCs w:val="21"/>
                      <w:u w:val="single"/>
                    </w:rPr>
                    <w:t>年评价指标</w:t>
                  </w:r>
                </w:p>
              </w:tc>
              <w:tc>
                <w:tcPr>
                  <w:tcW w:w="820" w:type="pct"/>
                  <w:tcBorders>
                    <w:tl2br w:val="nil"/>
                    <w:tr2bl w:val="nil"/>
                  </w:tcBorders>
                  <w:vAlign w:val="center"/>
                </w:tcPr>
                <w:p w14:paraId="3AF99649">
                  <w:pPr>
                    <w:adjustRightInd w:val="0"/>
                    <w:snapToGrid w:val="0"/>
                    <w:jc w:val="center"/>
                    <w:rPr>
                      <w:b/>
                      <w:sz w:val="21"/>
                      <w:szCs w:val="21"/>
                      <w:u w:val="single"/>
                    </w:rPr>
                  </w:pPr>
                  <w:r>
                    <w:rPr>
                      <w:b/>
                      <w:sz w:val="21"/>
                      <w:szCs w:val="21"/>
                      <w:u w:val="single"/>
                    </w:rPr>
                    <w:t>评价标准（μg/m</w:t>
                  </w:r>
                  <w:r>
                    <w:rPr>
                      <w:b/>
                      <w:sz w:val="21"/>
                      <w:szCs w:val="21"/>
                      <w:u w:val="single"/>
                      <w:vertAlign w:val="superscript"/>
                    </w:rPr>
                    <w:t>3</w:t>
                  </w:r>
                  <w:r>
                    <w:rPr>
                      <w:b/>
                      <w:sz w:val="21"/>
                      <w:szCs w:val="21"/>
                      <w:u w:val="single"/>
                    </w:rPr>
                    <w:t>）</w:t>
                  </w:r>
                </w:p>
              </w:tc>
              <w:tc>
                <w:tcPr>
                  <w:tcW w:w="939" w:type="pct"/>
                  <w:tcBorders>
                    <w:tl2br w:val="nil"/>
                    <w:tr2bl w:val="nil"/>
                  </w:tcBorders>
                  <w:vAlign w:val="center"/>
                </w:tcPr>
                <w:p w14:paraId="14075074">
                  <w:pPr>
                    <w:adjustRightInd w:val="0"/>
                    <w:snapToGrid w:val="0"/>
                    <w:jc w:val="center"/>
                    <w:rPr>
                      <w:b/>
                      <w:sz w:val="21"/>
                      <w:szCs w:val="21"/>
                      <w:u w:val="single"/>
                    </w:rPr>
                  </w:pPr>
                  <w:r>
                    <w:rPr>
                      <w:b/>
                      <w:sz w:val="21"/>
                      <w:szCs w:val="21"/>
                      <w:u w:val="single"/>
                    </w:rPr>
                    <w:t>现状浓度（μg/m</w:t>
                  </w:r>
                  <w:r>
                    <w:rPr>
                      <w:b/>
                      <w:sz w:val="21"/>
                      <w:szCs w:val="21"/>
                      <w:u w:val="single"/>
                      <w:vertAlign w:val="superscript"/>
                    </w:rPr>
                    <w:t>3</w:t>
                  </w:r>
                  <w:r>
                    <w:rPr>
                      <w:b/>
                      <w:sz w:val="21"/>
                      <w:szCs w:val="21"/>
                      <w:u w:val="single"/>
                    </w:rPr>
                    <w:t>）</w:t>
                  </w:r>
                </w:p>
              </w:tc>
              <w:tc>
                <w:tcPr>
                  <w:tcW w:w="848" w:type="pct"/>
                  <w:tcBorders>
                    <w:tl2br w:val="nil"/>
                    <w:tr2bl w:val="nil"/>
                  </w:tcBorders>
                  <w:vAlign w:val="center"/>
                </w:tcPr>
                <w:p w14:paraId="77A63520">
                  <w:pPr>
                    <w:adjustRightInd w:val="0"/>
                    <w:snapToGrid w:val="0"/>
                    <w:jc w:val="center"/>
                    <w:rPr>
                      <w:b/>
                      <w:sz w:val="21"/>
                      <w:szCs w:val="21"/>
                      <w:u w:val="single"/>
                    </w:rPr>
                  </w:pPr>
                  <w:r>
                    <w:rPr>
                      <w:b/>
                      <w:sz w:val="21"/>
                      <w:szCs w:val="21"/>
                      <w:u w:val="single"/>
                    </w:rPr>
                    <w:t>最大浓度占标率（%）</w:t>
                  </w:r>
                </w:p>
              </w:tc>
              <w:tc>
                <w:tcPr>
                  <w:tcW w:w="834" w:type="pct"/>
                  <w:tcBorders>
                    <w:tl2br w:val="nil"/>
                    <w:tr2bl w:val="nil"/>
                  </w:tcBorders>
                  <w:vAlign w:val="center"/>
                </w:tcPr>
                <w:p w14:paraId="3E50F54D">
                  <w:pPr>
                    <w:adjustRightInd w:val="0"/>
                    <w:snapToGrid w:val="0"/>
                    <w:jc w:val="center"/>
                    <w:rPr>
                      <w:b/>
                      <w:sz w:val="21"/>
                      <w:szCs w:val="21"/>
                      <w:u w:val="single"/>
                    </w:rPr>
                  </w:pPr>
                  <w:r>
                    <w:rPr>
                      <w:b/>
                      <w:sz w:val="21"/>
                      <w:szCs w:val="21"/>
                      <w:u w:val="single"/>
                    </w:rPr>
                    <w:t>达标情况</w:t>
                  </w:r>
                </w:p>
              </w:tc>
            </w:tr>
            <w:tr w14:paraId="0CA8862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0DC12188">
                  <w:pPr>
                    <w:widowControl/>
                    <w:adjustRightInd w:val="0"/>
                    <w:snapToGrid w:val="0"/>
                    <w:jc w:val="center"/>
                    <w:rPr>
                      <w:sz w:val="21"/>
                      <w:szCs w:val="21"/>
                      <w:u w:val="single"/>
                    </w:rPr>
                  </w:pPr>
                  <w:r>
                    <w:rPr>
                      <w:sz w:val="21"/>
                      <w:szCs w:val="21"/>
                      <w:u w:val="single"/>
                    </w:rPr>
                    <w:t>SO</w:t>
                  </w:r>
                  <w:r>
                    <w:rPr>
                      <w:sz w:val="21"/>
                      <w:szCs w:val="21"/>
                      <w:u w:val="single"/>
                      <w:vertAlign w:val="subscript"/>
                    </w:rPr>
                    <w:t>2</w:t>
                  </w:r>
                </w:p>
              </w:tc>
              <w:tc>
                <w:tcPr>
                  <w:tcW w:w="1082" w:type="pct"/>
                  <w:tcBorders>
                    <w:tl2br w:val="nil"/>
                    <w:tr2bl w:val="nil"/>
                  </w:tcBorders>
                  <w:vAlign w:val="center"/>
                </w:tcPr>
                <w:p w14:paraId="453025F6">
                  <w:pPr>
                    <w:adjustRightInd w:val="0"/>
                    <w:snapToGrid w:val="0"/>
                    <w:jc w:val="center"/>
                    <w:rPr>
                      <w:sz w:val="21"/>
                      <w:szCs w:val="21"/>
                      <w:u w:val="single"/>
                    </w:rPr>
                  </w:pPr>
                  <w:r>
                    <w:rPr>
                      <w:sz w:val="21"/>
                      <w:szCs w:val="21"/>
                      <w:u w:val="single"/>
                    </w:rPr>
                    <w:t>年均浓度</w:t>
                  </w:r>
                </w:p>
              </w:tc>
              <w:tc>
                <w:tcPr>
                  <w:tcW w:w="820" w:type="pct"/>
                  <w:tcBorders>
                    <w:tl2br w:val="nil"/>
                    <w:tr2bl w:val="nil"/>
                  </w:tcBorders>
                  <w:vAlign w:val="center"/>
                </w:tcPr>
                <w:p w14:paraId="632D3A1D">
                  <w:pPr>
                    <w:adjustRightInd w:val="0"/>
                    <w:snapToGrid w:val="0"/>
                    <w:jc w:val="center"/>
                    <w:rPr>
                      <w:sz w:val="21"/>
                      <w:szCs w:val="21"/>
                      <w:u w:val="single"/>
                    </w:rPr>
                  </w:pPr>
                  <w:r>
                    <w:rPr>
                      <w:sz w:val="21"/>
                      <w:szCs w:val="21"/>
                      <w:u w:val="single"/>
                    </w:rPr>
                    <w:t>60</w:t>
                  </w:r>
                </w:p>
              </w:tc>
              <w:tc>
                <w:tcPr>
                  <w:tcW w:w="939" w:type="pct"/>
                  <w:tcBorders>
                    <w:tl2br w:val="nil"/>
                    <w:tr2bl w:val="nil"/>
                  </w:tcBorders>
                  <w:vAlign w:val="center"/>
                </w:tcPr>
                <w:p w14:paraId="591B4C04">
                  <w:pPr>
                    <w:pStyle w:val="35"/>
                    <w:kinsoku w:val="0"/>
                    <w:overflowPunct w:val="0"/>
                    <w:rPr>
                      <w:rFonts w:ascii="Times New Roman" w:hAnsi="Times New Roman" w:cs="Times New Roman"/>
                      <w:sz w:val="21"/>
                      <w:szCs w:val="21"/>
                      <w:u w:val="single"/>
                    </w:rPr>
                  </w:pPr>
                  <w:r>
                    <w:rPr>
                      <w:rFonts w:ascii="Times New Roman" w:hAnsi="Times New Roman" w:cs="Times New Roman"/>
                      <w:sz w:val="21"/>
                      <w:szCs w:val="21"/>
                      <w:u w:val="single"/>
                    </w:rPr>
                    <w:t>6</w:t>
                  </w:r>
                </w:p>
              </w:tc>
              <w:tc>
                <w:tcPr>
                  <w:tcW w:w="848" w:type="pct"/>
                  <w:tcBorders>
                    <w:tl2br w:val="nil"/>
                    <w:tr2bl w:val="nil"/>
                  </w:tcBorders>
                  <w:vAlign w:val="center"/>
                </w:tcPr>
                <w:p w14:paraId="07401B5C">
                  <w:pPr>
                    <w:pStyle w:val="35"/>
                    <w:kinsoku w:val="0"/>
                    <w:overflowPunct w:val="0"/>
                    <w:rPr>
                      <w:rFonts w:ascii="Times New Roman" w:hAnsi="Times New Roman" w:cs="Times New Roman"/>
                      <w:sz w:val="21"/>
                      <w:szCs w:val="21"/>
                      <w:u w:val="single"/>
                    </w:rPr>
                  </w:pPr>
                  <w:r>
                    <w:rPr>
                      <w:rFonts w:ascii="Times New Roman" w:hAnsi="Times New Roman" w:cs="Times New Roman"/>
                      <w:sz w:val="21"/>
                      <w:szCs w:val="21"/>
                      <w:u w:val="single"/>
                    </w:rPr>
                    <w:t>10.0</w:t>
                  </w:r>
                </w:p>
              </w:tc>
              <w:tc>
                <w:tcPr>
                  <w:tcW w:w="834" w:type="pct"/>
                  <w:tcBorders>
                    <w:tl2br w:val="nil"/>
                    <w:tr2bl w:val="nil"/>
                  </w:tcBorders>
                  <w:vAlign w:val="center"/>
                </w:tcPr>
                <w:p w14:paraId="41664D19">
                  <w:pPr>
                    <w:widowControl/>
                    <w:adjustRightInd w:val="0"/>
                    <w:snapToGrid w:val="0"/>
                    <w:jc w:val="center"/>
                    <w:rPr>
                      <w:sz w:val="21"/>
                      <w:szCs w:val="21"/>
                      <w:u w:val="single"/>
                    </w:rPr>
                  </w:pPr>
                  <w:r>
                    <w:rPr>
                      <w:sz w:val="21"/>
                      <w:szCs w:val="21"/>
                      <w:u w:val="single"/>
                    </w:rPr>
                    <w:t>达标</w:t>
                  </w:r>
                </w:p>
              </w:tc>
            </w:tr>
            <w:tr w14:paraId="222EECD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382F90B6">
                  <w:pPr>
                    <w:widowControl/>
                    <w:adjustRightInd w:val="0"/>
                    <w:snapToGrid w:val="0"/>
                    <w:jc w:val="center"/>
                    <w:rPr>
                      <w:sz w:val="21"/>
                      <w:szCs w:val="21"/>
                      <w:u w:val="single"/>
                    </w:rPr>
                  </w:pPr>
                  <w:r>
                    <w:rPr>
                      <w:sz w:val="21"/>
                      <w:szCs w:val="21"/>
                      <w:u w:val="single"/>
                    </w:rPr>
                    <w:t>NO</w:t>
                  </w:r>
                  <w:r>
                    <w:rPr>
                      <w:sz w:val="21"/>
                      <w:szCs w:val="21"/>
                      <w:u w:val="single"/>
                      <w:vertAlign w:val="subscript"/>
                    </w:rPr>
                    <w:t>2</w:t>
                  </w:r>
                </w:p>
              </w:tc>
              <w:tc>
                <w:tcPr>
                  <w:tcW w:w="1082" w:type="pct"/>
                  <w:tcBorders>
                    <w:tl2br w:val="nil"/>
                    <w:tr2bl w:val="nil"/>
                  </w:tcBorders>
                  <w:vAlign w:val="center"/>
                </w:tcPr>
                <w:p w14:paraId="13CF6A57">
                  <w:pPr>
                    <w:adjustRightInd w:val="0"/>
                    <w:snapToGrid w:val="0"/>
                    <w:jc w:val="center"/>
                    <w:rPr>
                      <w:sz w:val="21"/>
                      <w:szCs w:val="21"/>
                      <w:u w:val="single"/>
                    </w:rPr>
                  </w:pPr>
                  <w:r>
                    <w:rPr>
                      <w:sz w:val="21"/>
                      <w:szCs w:val="21"/>
                      <w:u w:val="single"/>
                    </w:rPr>
                    <w:t>年均浓度</w:t>
                  </w:r>
                </w:p>
              </w:tc>
              <w:tc>
                <w:tcPr>
                  <w:tcW w:w="820" w:type="pct"/>
                  <w:tcBorders>
                    <w:tl2br w:val="nil"/>
                    <w:tr2bl w:val="nil"/>
                  </w:tcBorders>
                  <w:vAlign w:val="center"/>
                </w:tcPr>
                <w:p w14:paraId="172F4561">
                  <w:pPr>
                    <w:adjustRightInd w:val="0"/>
                    <w:snapToGrid w:val="0"/>
                    <w:jc w:val="center"/>
                    <w:rPr>
                      <w:sz w:val="21"/>
                      <w:szCs w:val="21"/>
                      <w:u w:val="single"/>
                    </w:rPr>
                  </w:pPr>
                  <w:r>
                    <w:rPr>
                      <w:sz w:val="21"/>
                      <w:szCs w:val="21"/>
                      <w:u w:val="single"/>
                    </w:rPr>
                    <w:t>40</w:t>
                  </w:r>
                </w:p>
              </w:tc>
              <w:tc>
                <w:tcPr>
                  <w:tcW w:w="939" w:type="pct"/>
                  <w:tcBorders>
                    <w:tl2br w:val="nil"/>
                    <w:tr2bl w:val="nil"/>
                  </w:tcBorders>
                  <w:vAlign w:val="center"/>
                </w:tcPr>
                <w:p w14:paraId="0B854F71">
                  <w:pPr>
                    <w:pStyle w:val="35"/>
                    <w:kinsoku w:val="0"/>
                    <w:overflowPunct w:val="0"/>
                    <w:rPr>
                      <w:rFonts w:ascii="Times New Roman" w:hAnsi="Times New Roman" w:cs="Times New Roman"/>
                      <w:sz w:val="21"/>
                      <w:szCs w:val="21"/>
                      <w:u w:val="single"/>
                      <w:lang w:val="en-US"/>
                    </w:rPr>
                  </w:pPr>
                  <w:r>
                    <w:rPr>
                      <w:rFonts w:ascii="Times New Roman" w:hAnsi="Times New Roman" w:cs="Times New Roman"/>
                      <w:sz w:val="21"/>
                      <w:szCs w:val="21"/>
                      <w:u w:val="single"/>
                      <w:lang w:val="en-US"/>
                    </w:rPr>
                    <w:t>16</w:t>
                  </w:r>
                </w:p>
              </w:tc>
              <w:tc>
                <w:tcPr>
                  <w:tcW w:w="848" w:type="pct"/>
                  <w:tcBorders>
                    <w:tl2br w:val="nil"/>
                    <w:tr2bl w:val="nil"/>
                  </w:tcBorders>
                  <w:vAlign w:val="center"/>
                </w:tcPr>
                <w:p w14:paraId="1445542E">
                  <w:pPr>
                    <w:pStyle w:val="35"/>
                    <w:kinsoku w:val="0"/>
                    <w:overflowPunct w:val="0"/>
                    <w:rPr>
                      <w:rFonts w:ascii="Times New Roman" w:hAnsi="Times New Roman" w:cs="Times New Roman"/>
                      <w:sz w:val="21"/>
                      <w:szCs w:val="21"/>
                      <w:u w:val="single"/>
                      <w:lang w:val="en-US"/>
                    </w:rPr>
                  </w:pPr>
                  <w:r>
                    <w:rPr>
                      <w:rFonts w:ascii="Times New Roman" w:hAnsi="Times New Roman" w:cs="Times New Roman"/>
                      <w:sz w:val="21"/>
                      <w:szCs w:val="21"/>
                      <w:u w:val="single"/>
                      <w:lang w:val="en-US"/>
                    </w:rPr>
                    <w:t>40.0</w:t>
                  </w:r>
                </w:p>
              </w:tc>
              <w:tc>
                <w:tcPr>
                  <w:tcW w:w="834" w:type="pct"/>
                  <w:tcBorders>
                    <w:tl2br w:val="nil"/>
                    <w:tr2bl w:val="nil"/>
                  </w:tcBorders>
                  <w:vAlign w:val="center"/>
                </w:tcPr>
                <w:p w14:paraId="42BB300B">
                  <w:pPr>
                    <w:widowControl/>
                    <w:adjustRightInd w:val="0"/>
                    <w:snapToGrid w:val="0"/>
                    <w:jc w:val="center"/>
                    <w:rPr>
                      <w:sz w:val="21"/>
                      <w:szCs w:val="21"/>
                      <w:u w:val="single"/>
                    </w:rPr>
                  </w:pPr>
                  <w:r>
                    <w:rPr>
                      <w:sz w:val="21"/>
                      <w:szCs w:val="21"/>
                      <w:u w:val="single"/>
                    </w:rPr>
                    <w:t>达标</w:t>
                  </w:r>
                </w:p>
              </w:tc>
            </w:tr>
            <w:tr w14:paraId="20FAB68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7D40BB95">
                  <w:pPr>
                    <w:widowControl/>
                    <w:adjustRightInd w:val="0"/>
                    <w:snapToGrid w:val="0"/>
                    <w:jc w:val="center"/>
                    <w:rPr>
                      <w:sz w:val="21"/>
                      <w:szCs w:val="21"/>
                      <w:u w:val="single"/>
                    </w:rPr>
                  </w:pPr>
                  <w:r>
                    <w:rPr>
                      <w:sz w:val="21"/>
                      <w:szCs w:val="21"/>
                      <w:u w:val="single"/>
                    </w:rPr>
                    <w:t>PM</w:t>
                  </w:r>
                  <w:r>
                    <w:rPr>
                      <w:sz w:val="21"/>
                      <w:szCs w:val="21"/>
                      <w:u w:val="single"/>
                      <w:vertAlign w:val="subscript"/>
                    </w:rPr>
                    <w:t>2.5</w:t>
                  </w:r>
                </w:p>
              </w:tc>
              <w:tc>
                <w:tcPr>
                  <w:tcW w:w="1082" w:type="pct"/>
                  <w:tcBorders>
                    <w:tl2br w:val="nil"/>
                    <w:tr2bl w:val="nil"/>
                  </w:tcBorders>
                  <w:vAlign w:val="center"/>
                </w:tcPr>
                <w:p w14:paraId="37694E46">
                  <w:pPr>
                    <w:adjustRightInd w:val="0"/>
                    <w:snapToGrid w:val="0"/>
                    <w:jc w:val="center"/>
                    <w:rPr>
                      <w:sz w:val="21"/>
                      <w:szCs w:val="21"/>
                      <w:u w:val="single"/>
                    </w:rPr>
                  </w:pPr>
                  <w:r>
                    <w:rPr>
                      <w:sz w:val="21"/>
                      <w:szCs w:val="21"/>
                      <w:u w:val="single"/>
                    </w:rPr>
                    <w:t>年均浓度</w:t>
                  </w:r>
                </w:p>
              </w:tc>
              <w:tc>
                <w:tcPr>
                  <w:tcW w:w="820" w:type="pct"/>
                  <w:tcBorders>
                    <w:tl2br w:val="nil"/>
                    <w:tr2bl w:val="nil"/>
                  </w:tcBorders>
                  <w:vAlign w:val="center"/>
                </w:tcPr>
                <w:p w14:paraId="5DEC92BE">
                  <w:pPr>
                    <w:adjustRightInd w:val="0"/>
                    <w:snapToGrid w:val="0"/>
                    <w:jc w:val="center"/>
                    <w:rPr>
                      <w:sz w:val="21"/>
                      <w:szCs w:val="21"/>
                      <w:u w:val="single"/>
                    </w:rPr>
                  </w:pPr>
                  <w:r>
                    <w:rPr>
                      <w:sz w:val="21"/>
                      <w:szCs w:val="21"/>
                      <w:u w:val="single"/>
                    </w:rPr>
                    <w:t>35</w:t>
                  </w:r>
                </w:p>
              </w:tc>
              <w:tc>
                <w:tcPr>
                  <w:tcW w:w="939" w:type="pct"/>
                  <w:tcBorders>
                    <w:tl2br w:val="nil"/>
                    <w:tr2bl w:val="nil"/>
                  </w:tcBorders>
                  <w:vAlign w:val="center"/>
                </w:tcPr>
                <w:p w14:paraId="57C66F85">
                  <w:pPr>
                    <w:pStyle w:val="35"/>
                    <w:kinsoku w:val="0"/>
                    <w:overflowPunct w:val="0"/>
                    <w:rPr>
                      <w:rFonts w:ascii="Times New Roman" w:hAnsi="Times New Roman" w:cs="Times New Roman"/>
                      <w:sz w:val="21"/>
                      <w:szCs w:val="21"/>
                      <w:u w:val="single"/>
                      <w:lang w:val="en-US"/>
                    </w:rPr>
                  </w:pPr>
                  <w:r>
                    <w:rPr>
                      <w:rFonts w:ascii="Times New Roman" w:hAnsi="Times New Roman" w:cs="Times New Roman"/>
                      <w:sz w:val="21"/>
                      <w:szCs w:val="21"/>
                      <w:u w:val="single"/>
                      <w:lang w:val="en-US"/>
                    </w:rPr>
                    <w:t>44.38</w:t>
                  </w:r>
                </w:p>
              </w:tc>
              <w:tc>
                <w:tcPr>
                  <w:tcW w:w="848" w:type="pct"/>
                  <w:tcBorders>
                    <w:tl2br w:val="nil"/>
                    <w:tr2bl w:val="nil"/>
                  </w:tcBorders>
                  <w:vAlign w:val="center"/>
                </w:tcPr>
                <w:p w14:paraId="72B11BC1">
                  <w:pPr>
                    <w:adjustRightInd w:val="0"/>
                    <w:snapToGrid w:val="0"/>
                    <w:jc w:val="center"/>
                    <w:rPr>
                      <w:sz w:val="21"/>
                      <w:szCs w:val="21"/>
                      <w:u w:val="single"/>
                    </w:rPr>
                  </w:pPr>
                  <w:r>
                    <w:rPr>
                      <w:sz w:val="21"/>
                      <w:szCs w:val="21"/>
                      <w:u w:val="single"/>
                    </w:rPr>
                    <w:t>126.8</w:t>
                  </w:r>
                </w:p>
              </w:tc>
              <w:tc>
                <w:tcPr>
                  <w:tcW w:w="834" w:type="pct"/>
                  <w:tcBorders>
                    <w:tl2br w:val="nil"/>
                    <w:tr2bl w:val="nil"/>
                  </w:tcBorders>
                  <w:vAlign w:val="center"/>
                </w:tcPr>
                <w:p w14:paraId="0F829E2C">
                  <w:pPr>
                    <w:widowControl/>
                    <w:adjustRightInd w:val="0"/>
                    <w:snapToGrid w:val="0"/>
                    <w:jc w:val="center"/>
                    <w:rPr>
                      <w:sz w:val="21"/>
                      <w:szCs w:val="21"/>
                      <w:u w:val="single"/>
                    </w:rPr>
                  </w:pPr>
                  <w:r>
                    <w:rPr>
                      <w:sz w:val="21"/>
                      <w:szCs w:val="21"/>
                      <w:u w:val="single"/>
                    </w:rPr>
                    <w:t>不达标</w:t>
                  </w:r>
                </w:p>
              </w:tc>
            </w:tr>
            <w:tr w14:paraId="7FE08D2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4D3A44BF">
                  <w:pPr>
                    <w:widowControl/>
                    <w:adjustRightInd w:val="0"/>
                    <w:snapToGrid w:val="0"/>
                    <w:jc w:val="center"/>
                    <w:rPr>
                      <w:sz w:val="21"/>
                      <w:szCs w:val="21"/>
                      <w:u w:val="single"/>
                    </w:rPr>
                  </w:pPr>
                  <w:r>
                    <w:rPr>
                      <w:sz w:val="21"/>
                      <w:szCs w:val="21"/>
                      <w:u w:val="single"/>
                    </w:rPr>
                    <w:t>PM</w:t>
                  </w:r>
                  <w:r>
                    <w:rPr>
                      <w:sz w:val="21"/>
                      <w:szCs w:val="21"/>
                      <w:u w:val="single"/>
                      <w:vertAlign w:val="subscript"/>
                    </w:rPr>
                    <w:t>10</w:t>
                  </w:r>
                </w:p>
              </w:tc>
              <w:tc>
                <w:tcPr>
                  <w:tcW w:w="1082" w:type="pct"/>
                  <w:tcBorders>
                    <w:tl2br w:val="nil"/>
                    <w:tr2bl w:val="nil"/>
                  </w:tcBorders>
                  <w:vAlign w:val="center"/>
                </w:tcPr>
                <w:p w14:paraId="4F6C2116">
                  <w:pPr>
                    <w:adjustRightInd w:val="0"/>
                    <w:snapToGrid w:val="0"/>
                    <w:jc w:val="center"/>
                    <w:rPr>
                      <w:sz w:val="21"/>
                      <w:szCs w:val="21"/>
                      <w:u w:val="single"/>
                    </w:rPr>
                  </w:pPr>
                  <w:r>
                    <w:rPr>
                      <w:sz w:val="21"/>
                      <w:szCs w:val="21"/>
                      <w:u w:val="single"/>
                    </w:rPr>
                    <w:t>年均浓度</w:t>
                  </w:r>
                </w:p>
              </w:tc>
              <w:tc>
                <w:tcPr>
                  <w:tcW w:w="820" w:type="pct"/>
                  <w:tcBorders>
                    <w:tl2br w:val="nil"/>
                    <w:tr2bl w:val="nil"/>
                  </w:tcBorders>
                  <w:vAlign w:val="center"/>
                </w:tcPr>
                <w:p w14:paraId="023E30B2">
                  <w:pPr>
                    <w:adjustRightInd w:val="0"/>
                    <w:snapToGrid w:val="0"/>
                    <w:jc w:val="center"/>
                    <w:rPr>
                      <w:sz w:val="21"/>
                      <w:szCs w:val="21"/>
                      <w:u w:val="single"/>
                    </w:rPr>
                  </w:pPr>
                  <w:r>
                    <w:rPr>
                      <w:sz w:val="21"/>
                      <w:szCs w:val="21"/>
                      <w:u w:val="single"/>
                    </w:rPr>
                    <w:t>70</w:t>
                  </w:r>
                </w:p>
              </w:tc>
              <w:tc>
                <w:tcPr>
                  <w:tcW w:w="939" w:type="pct"/>
                  <w:tcBorders>
                    <w:tl2br w:val="nil"/>
                    <w:tr2bl w:val="nil"/>
                  </w:tcBorders>
                  <w:vAlign w:val="center"/>
                </w:tcPr>
                <w:p w14:paraId="26DEDF21">
                  <w:pPr>
                    <w:pStyle w:val="35"/>
                    <w:kinsoku w:val="0"/>
                    <w:overflowPunct w:val="0"/>
                    <w:rPr>
                      <w:rFonts w:ascii="Times New Roman" w:hAnsi="Times New Roman" w:cs="Times New Roman"/>
                      <w:sz w:val="21"/>
                      <w:szCs w:val="21"/>
                      <w:u w:val="single"/>
                      <w:lang w:val="en-US"/>
                    </w:rPr>
                  </w:pPr>
                  <w:r>
                    <w:rPr>
                      <w:rFonts w:ascii="Times New Roman" w:hAnsi="Times New Roman" w:cs="Times New Roman"/>
                      <w:sz w:val="21"/>
                      <w:szCs w:val="21"/>
                      <w:u w:val="single"/>
                      <w:lang w:val="en-US"/>
                    </w:rPr>
                    <w:t>64</w:t>
                  </w:r>
                </w:p>
              </w:tc>
              <w:tc>
                <w:tcPr>
                  <w:tcW w:w="848" w:type="pct"/>
                  <w:tcBorders>
                    <w:tl2br w:val="nil"/>
                    <w:tr2bl w:val="nil"/>
                  </w:tcBorders>
                  <w:vAlign w:val="center"/>
                </w:tcPr>
                <w:p w14:paraId="4F22ACE3">
                  <w:pPr>
                    <w:adjustRightInd w:val="0"/>
                    <w:snapToGrid w:val="0"/>
                    <w:jc w:val="center"/>
                    <w:rPr>
                      <w:sz w:val="21"/>
                      <w:szCs w:val="21"/>
                      <w:u w:val="single"/>
                    </w:rPr>
                  </w:pPr>
                  <w:r>
                    <w:rPr>
                      <w:sz w:val="21"/>
                      <w:szCs w:val="21"/>
                      <w:u w:val="single"/>
                    </w:rPr>
                    <w:t>91.4</w:t>
                  </w:r>
                </w:p>
              </w:tc>
              <w:tc>
                <w:tcPr>
                  <w:tcW w:w="834" w:type="pct"/>
                  <w:tcBorders>
                    <w:tl2br w:val="nil"/>
                    <w:tr2bl w:val="nil"/>
                  </w:tcBorders>
                  <w:vAlign w:val="center"/>
                </w:tcPr>
                <w:p w14:paraId="004F5E47">
                  <w:pPr>
                    <w:widowControl/>
                    <w:adjustRightInd w:val="0"/>
                    <w:snapToGrid w:val="0"/>
                    <w:jc w:val="center"/>
                    <w:rPr>
                      <w:sz w:val="21"/>
                      <w:szCs w:val="21"/>
                      <w:u w:val="single"/>
                    </w:rPr>
                  </w:pPr>
                  <w:r>
                    <w:rPr>
                      <w:sz w:val="21"/>
                      <w:szCs w:val="21"/>
                      <w:u w:val="single"/>
                    </w:rPr>
                    <w:t>达标</w:t>
                  </w:r>
                </w:p>
              </w:tc>
            </w:tr>
            <w:tr w14:paraId="31768AB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6493F652">
                  <w:pPr>
                    <w:adjustRightInd w:val="0"/>
                    <w:snapToGrid w:val="0"/>
                    <w:jc w:val="center"/>
                    <w:rPr>
                      <w:sz w:val="21"/>
                      <w:szCs w:val="21"/>
                      <w:u w:val="single"/>
                    </w:rPr>
                  </w:pPr>
                  <w:r>
                    <w:rPr>
                      <w:sz w:val="21"/>
                      <w:szCs w:val="21"/>
                      <w:u w:val="single"/>
                    </w:rPr>
                    <w:t>CO</w:t>
                  </w:r>
                </w:p>
              </w:tc>
              <w:tc>
                <w:tcPr>
                  <w:tcW w:w="1082" w:type="pct"/>
                  <w:tcBorders>
                    <w:tl2br w:val="nil"/>
                    <w:tr2bl w:val="nil"/>
                  </w:tcBorders>
                  <w:vAlign w:val="center"/>
                </w:tcPr>
                <w:p w14:paraId="1B5D9842">
                  <w:pPr>
                    <w:adjustRightInd w:val="0"/>
                    <w:snapToGrid w:val="0"/>
                    <w:jc w:val="center"/>
                    <w:rPr>
                      <w:sz w:val="21"/>
                      <w:szCs w:val="21"/>
                      <w:u w:val="single"/>
                    </w:rPr>
                  </w:pPr>
                  <w:r>
                    <w:rPr>
                      <w:sz w:val="21"/>
                      <w:szCs w:val="21"/>
                      <w:u w:val="single"/>
                    </w:rPr>
                    <w:t>日均值95%位数值</w:t>
                  </w:r>
                </w:p>
              </w:tc>
              <w:tc>
                <w:tcPr>
                  <w:tcW w:w="820" w:type="pct"/>
                  <w:tcBorders>
                    <w:tl2br w:val="nil"/>
                    <w:tr2bl w:val="nil"/>
                  </w:tcBorders>
                  <w:vAlign w:val="center"/>
                </w:tcPr>
                <w:p w14:paraId="70A6E81A">
                  <w:pPr>
                    <w:adjustRightInd w:val="0"/>
                    <w:snapToGrid w:val="0"/>
                    <w:jc w:val="center"/>
                    <w:rPr>
                      <w:sz w:val="21"/>
                      <w:szCs w:val="21"/>
                      <w:u w:val="single"/>
                    </w:rPr>
                  </w:pPr>
                  <w:r>
                    <w:rPr>
                      <w:sz w:val="21"/>
                      <w:szCs w:val="21"/>
                      <w:u w:val="single"/>
                    </w:rPr>
                    <w:t>4</w:t>
                  </w:r>
                  <w:r>
                    <w:rPr>
                      <w:bCs/>
                      <w:sz w:val="21"/>
                      <w:szCs w:val="21"/>
                      <w:u w:val="single"/>
                    </w:rPr>
                    <w:t>（mg/m</w:t>
                  </w:r>
                  <w:r>
                    <w:rPr>
                      <w:bCs/>
                      <w:sz w:val="21"/>
                      <w:szCs w:val="21"/>
                      <w:u w:val="single"/>
                      <w:vertAlign w:val="superscript"/>
                    </w:rPr>
                    <w:t>3</w:t>
                  </w:r>
                  <w:r>
                    <w:rPr>
                      <w:bCs/>
                      <w:sz w:val="21"/>
                      <w:szCs w:val="21"/>
                      <w:u w:val="single"/>
                    </w:rPr>
                    <w:t>）</w:t>
                  </w:r>
                </w:p>
              </w:tc>
              <w:tc>
                <w:tcPr>
                  <w:tcW w:w="939" w:type="pct"/>
                  <w:tcBorders>
                    <w:tl2br w:val="nil"/>
                    <w:tr2bl w:val="nil"/>
                  </w:tcBorders>
                  <w:vAlign w:val="center"/>
                </w:tcPr>
                <w:p w14:paraId="4E231C44">
                  <w:pPr>
                    <w:adjustRightInd w:val="0"/>
                    <w:snapToGrid w:val="0"/>
                    <w:jc w:val="center"/>
                    <w:rPr>
                      <w:sz w:val="21"/>
                      <w:szCs w:val="21"/>
                      <w:u w:val="single"/>
                    </w:rPr>
                  </w:pPr>
                  <w:r>
                    <w:rPr>
                      <w:sz w:val="21"/>
                      <w:szCs w:val="21"/>
                      <w:u w:val="single"/>
                    </w:rPr>
                    <w:t>1.2</w:t>
                  </w:r>
                  <w:r>
                    <w:rPr>
                      <w:bCs/>
                      <w:sz w:val="21"/>
                      <w:szCs w:val="21"/>
                      <w:u w:val="single"/>
                    </w:rPr>
                    <w:t>（mg/m</w:t>
                  </w:r>
                  <w:r>
                    <w:rPr>
                      <w:bCs/>
                      <w:sz w:val="21"/>
                      <w:szCs w:val="21"/>
                      <w:u w:val="single"/>
                      <w:vertAlign w:val="superscript"/>
                    </w:rPr>
                    <w:t>3</w:t>
                  </w:r>
                  <w:r>
                    <w:rPr>
                      <w:bCs/>
                      <w:sz w:val="21"/>
                      <w:szCs w:val="21"/>
                      <w:u w:val="single"/>
                    </w:rPr>
                    <w:t>）</w:t>
                  </w:r>
                </w:p>
              </w:tc>
              <w:tc>
                <w:tcPr>
                  <w:tcW w:w="848" w:type="pct"/>
                  <w:tcBorders>
                    <w:tl2br w:val="nil"/>
                    <w:tr2bl w:val="nil"/>
                  </w:tcBorders>
                  <w:vAlign w:val="center"/>
                </w:tcPr>
                <w:p w14:paraId="3400290E">
                  <w:pPr>
                    <w:adjustRightInd w:val="0"/>
                    <w:snapToGrid w:val="0"/>
                    <w:jc w:val="center"/>
                    <w:rPr>
                      <w:sz w:val="21"/>
                      <w:szCs w:val="21"/>
                      <w:u w:val="single"/>
                    </w:rPr>
                  </w:pPr>
                  <w:r>
                    <w:rPr>
                      <w:sz w:val="21"/>
                      <w:szCs w:val="21"/>
                      <w:u w:val="single"/>
                    </w:rPr>
                    <w:t>30.0</w:t>
                  </w:r>
                </w:p>
              </w:tc>
              <w:tc>
                <w:tcPr>
                  <w:tcW w:w="834" w:type="pct"/>
                  <w:tcBorders>
                    <w:tl2br w:val="nil"/>
                    <w:tr2bl w:val="nil"/>
                  </w:tcBorders>
                  <w:vAlign w:val="center"/>
                </w:tcPr>
                <w:p w14:paraId="0533DB73">
                  <w:pPr>
                    <w:adjustRightInd w:val="0"/>
                    <w:snapToGrid w:val="0"/>
                    <w:jc w:val="center"/>
                    <w:rPr>
                      <w:sz w:val="21"/>
                      <w:szCs w:val="21"/>
                      <w:u w:val="single"/>
                    </w:rPr>
                  </w:pPr>
                  <w:r>
                    <w:rPr>
                      <w:sz w:val="21"/>
                      <w:szCs w:val="21"/>
                      <w:u w:val="single"/>
                    </w:rPr>
                    <w:t>达标</w:t>
                  </w:r>
                </w:p>
              </w:tc>
            </w:tr>
            <w:tr w14:paraId="2F48B90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54" w:hRule="atLeast"/>
              </w:trPr>
              <w:tc>
                <w:tcPr>
                  <w:tcW w:w="478" w:type="pct"/>
                  <w:tcBorders>
                    <w:tl2br w:val="nil"/>
                    <w:tr2bl w:val="nil"/>
                  </w:tcBorders>
                  <w:vAlign w:val="center"/>
                </w:tcPr>
                <w:p w14:paraId="2BB37FD2">
                  <w:pPr>
                    <w:adjustRightInd w:val="0"/>
                    <w:snapToGrid w:val="0"/>
                    <w:jc w:val="center"/>
                    <w:rPr>
                      <w:sz w:val="21"/>
                      <w:szCs w:val="21"/>
                      <w:u w:val="single"/>
                    </w:rPr>
                  </w:pPr>
                  <w:r>
                    <w:rPr>
                      <w:sz w:val="21"/>
                      <w:szCs w:val="21"/>
                      <w:u w:val="single"/>
                    </w:rPr>
                    <w:t>O</w:t>
                  </w:r>
                  <w:r>
                    <w:rPr>
                      <w:sz w:val="21"/>
                      <w:szCs w:val="21"/>
                      <w:u w:val="single"/>
                      <w:vertAlign w:val="subscript"/>
                    </w:rPr>
                    <w:t>3</w:t>
                  </w:r>
                </w:p>
              </w:tc>
              <w:tc>
                <w:tcPr>
                  <w:tcW w:w="1082" w:type="pct"/>
                  <w:tcBorders>
                    <w:tl2br w:val="nil"/>
                    <w:tr2bl w:val="nil"/>
                  </w:tcBorders>
                  <w:vAlign w:val="center"/>
                </w:tcPr>
                <w:p w14:paraId="203B54C3">
                  <w:pPr>
                    <w:adjustRightInd w:val="0"/>
                    <w:snapToGrid w:val="0"/>
                    <w:jc w:val="center"/>
                    <w:rPr>
                      <w:sz w:val="21"/>
                      <w:szCs w:val="21"/>
                      <w:u w:val="single"/>
                    </w:rPr>
                  </w:pPr>
                  <w:r>
                    <w:rPr>
                      <w:sz w:val="21"/>
                      <w:szCs w:val="21"/>
                      <w:u w:val="single"/>
                    </w:rPr>
                    <w:t>日最大8小时值90%位数值</w:t>
                  </w:r>
                </w:p>
              </w:tc>
              <w:tc>
                <w:tcPr>
                  <w:tcW w:w="820" w:type="pct"/>
                  <w:tcBorders>
                    <w:tl2br w:val="nil"/>
                    <w:tr2bl w:val="nil"/>
                  </w:tcBorders>
                  <w:vAlign w:val="center"/>
                </w:tcPr>
                <w:p w14:paraId="1F2F7C88">
                  <w:pPr>
                    <w:adjustRightInd w:val="0"/>
                    <w:snapToGrid w:val="0"/>
                    <w:jc w:val="center"/>
                    <w:rPr>
                      <w:sz w:val="21"/>
                      <w:szCs w:val="21"/>
                      <w:u w:val="single"/>
                    </w:rPr>
                  </w:pPr>
                  <w:r>
                    <w:rPr>
                      <w:sz w:val="21"/>
                      <w:szCs w:val="21"/>
                      <w:u w:val="single"/>
                    </w:rPr>
                    <w:t>160</w:t>
                  </w:r>
                </w:p>
              </w:tc>
              <w:tc>
                <w:tcPr>
                  <w:tcW w:w="939" w:type="pct"/>
                  <w:tcBorders>
                    <w:tl2br w:val="nil"/>
                    <w:tr2bl w:val="nil"/>
                  </w:tcBorders>
                  <w:vAlign w:val="center"/>
                </w:tcPr>
                <w:p w14:paraId="7BC93004">
                  <w:pPr>
                    <w:adjustRightInd w:val="0"/>
                    <w:snapToGrid w:val="0"/>
                    <w:jc w:val="center"/>
                    <w:rPr>
                      <w:sz w:val="21"/>
                      <w:szCs w:val="21"/>
                      <w:u w:val="single"/>
                    </w:rPr>
                  </w:pPr>
                  <w:r>
                    <w:rPr>
                      <w:sz w:val="21"/>
                      <w:szCs w:val="21"/>
                      <w:u w:val="single"/>
                    </w:rPr>
                    <w:t>144</w:t>
                  </w:r>
                </w:p>
              </w:tc>
              <w:tc>
                <w:tcPr>
                  <w:tcW w:w="848" w:type="pct"/>
                  <w:tcBorders>
                    <w:tl2br w:val="nil"/>
                    <w:tr2bl w:val="nil"/>
                  </w:tcBorders>
                  <w:vAlign w:val="center"/>
                </w:tcPr>
                <w:p w14:paraId="7043F5A6">
                  <w:pPr>
                    <w:adjustRightInd w:val="0"/>
                    <w:snapToGrid w:val="0"/>
                    <w:jc w:val="center"/>
                    <w:rPr>
                      <w:sz w:val="21"/>
                      <w:szCs w:val="21"/>
                      <w:u w:val="single"/>
                    </w:rPr>
                  </w:pPr>
                  <w:r>
                    <w:rPr>
                      <w:sz w:val="21"/>
                      <w:szCs w:val="21"/>
                      <w:u w:val="single"/>
                    </w:rPr>
                    <w:t>90.0</w:t>
                  </w:r>
                </w:p>
              </w:tc>
              <w:tc>
                <w:tcPr>
                  <w:tcW w:w="834" w:type="pct"/>
                  <w:tcBorders>
                    <w:tl2br w:val="nil"/>
                    <w:tr2bl w:val="nil"/>
                  </w:tcBorders>
                  <w:vAlign w:val="center"/>
                </w:tcPr>
                <w:p w14:paraId="7A33C63B">
                  <w:pPr>
                    <w:adjustRightInd w:val="0"/>
                    <w:snapToGrid w:val="0"/>
                    <w:jc w:val="center"/>
                    <w:rPr>
                      <w:sz w:val="21"/>
                      <w:szCs w:val="21"/>
                      <w:u w:val="single"/>
                    </w:rPr>
                  </w:pPr>
                  <w:r>
                    <w:rPr>
                      <w:sz w:val="21"/>
                      <w:szCs w:val="21"/>
                      <w:u w:val="single"/>
                    </w:rPr>
                    <w:t>达标</w:t>
                  </w:r>
                </w:p>
              </w:tc>
            </w:tr>
          </w:tbl>
          <w:p w14:paraId="13EFE5B1">
            <w:pPr>
              <w:widowControl/>
              <w:spacing w:line="360" w:lineRule="auto"/>
              <w:ind w:firstLine="480" w:firstLineChars="200"/>
              <w:rPr>
                <w:color w:val="000000"/>
                <w:szCs w:val="32"/>
                <w:u w:val="single"/>
              </w:rPr>
            </w:pPr>
            <w:r>
              <w:rPr>
                <w:rFonts w:hint="eastAsia"/>
                <w:color w:val="000000"/>
                <w:szCs w:val="32"/>
                <w:u w:val="single"/>
              </w:rPr>
              <w:t>由上表可知，2024年益阳市大气环境质量主要指标中SO</w:t>
            </w:r>
            <w:r>
              <w:rPr>
                <w:rFonts w:hint="eastAsia"/>
                <w:color w:val="000000"/>
                <w:szCs w:val="32"/>
                <w:u w:val="single"/>
                <w:vertAlign w:val="subscript"/>
              </w:rPr>
              <w:t>2</w:t>
            </w:r>
            <w:r>
              <w:rPr>
                <w:rFonts w:hint="eastAsia"/>
                <w:color w:val="000000"/>
                <w:szCs w:val="32"/>
                <w:u w:val="single"/>
              </w:rPr>
              <w:t>年均浓度、NO</w:t>
            </w:r>
            <w:r>
              <w:rPr>
                <w:rFonts w:hint="eastAsia"/>
                <w:color w:val="000000"/>
                <w:szCs w:val="32"/>
                <w:u w:val="single"/>
                <w:vertAlign w:val="subscript"/>
              </w:rPr>
              <w:t>2</w:t>
            </w:r>
            <w:r>
              <w:rPr>
                <w:rFonts w:hint="eastAsia"/>
                <w:color w:val="000000"/>
                <w:szCs w:val="32"/>
                <w:u w:val="single"/>
              </w:rPr>
              <w:t>年均浓度PM</w:t>
            </w:r>
            <w:r>
              <w:rPr>
                <w:rFonts w:hint="eastAsia"/>
                <w:color w:val="000000"/>
                <w:szCs w:val="32"/>
                <w:u w:val="single"/>
                <w:vertAlign w:val="subscript"/>
              </w:rPr>
              <w:t>10</w:t>
            </w:r>
            <w:r>
              <w:rPr>
                <w:rFonts w:hint="eastAsia"/>
                <w:color w:val="000000"/>
                <w:szCs w:val="32"/>
                <w:u w:val="single"/>
              </w:rPr>
              <w:t>、CO日平均第95百分位数浓度、O</w:t>
            </w:r>
            <w:r>
              <w:rPr>
                <w:rFonts w:hint="eastAsia"/>
                <w:color w:val="000000"/>
                <w:szCs w:val="32"/>
                <w:u w:val="single"/>
                <w:vertAlign w:val="subscript"/>
              </w:rPr>
              <w:t>3</w:t>
            </w:r>
            <w:r>
              <w:rPr>
                <w:rFonts w:hint="eastAsia"/>
                <w:color w:val="000000"/>
                <w:szCs w:val="32"/>
                <w:u w:val="single"/>
              </w:rPr>
              <w:t>8小时平均第 90 百分位数浓度均能满足《环境空气质量标准》（GB3095-2012）中二级标准限值，PM</w:t>
            </w:r>
            <w:r>
              <w:rPr>
                <w:rFonts w:hint="eastAsia"/>
                <w:color w:val="000000"/>
                <w:szCs w:val="32"/>
                <w:u w:val="single"/>
                <w:vertAlign w:val="subscript"/>
              </w:rPr>
              <w:t>2.5</w:t>
            </w:r>
            <w:r>
              <w:rPr>
                <w:rFonts w:hint="eastAsia"/>
                <w:color w:val="000000"/>
                <w:szCs w:val="32"/>
                <w:u w:val="single"/>
              </w:rPr>
              <w:t>年平均质量浓度超标，根据《环境影响评价技术导则大气环境》（HJ2.2-2018），判定项目所在区域为不达标区。</w:t>
            </w:r>
          </w:p>
          <w:p w14:paraId="754B7317">
            <w:pPr>
              <w:widowControl/>
              <w:spacing w:line="360" w:lineRule="auto"/>
              <w:ind w:firstLine="480" w:firstLineChars="200"/>
              <w:rPr>
                <w:color w:val="000000"/>
                <w:u w:val="single"/>
              </w:rPr>
            </w:pPr>
            <w:r>
              <w:rPr>
                <w:rFonts w:hint="eastAsia"/>
                <w:color w:val="000000"/>
                <w:szCs w:val="32"/>
                <w:u w:val="single"/>
              </w:rPr>
              <w:t>目前益阳市发布了《益阳市大气环境质量限期达标规划（2020-2025）》，规划范围为益阳市行政区域，总面积12144平方公里。包括市辖3县（桃江、安化南县）、1市（沅江）、3区（资阳、赫山、大通湖区）和国家级益阳高新技术产业开发区。规划基准年为2017年，规划期限从2020年到2025年。总体目标：益阳市环境空气质量在2025年实现达标。近期规划到2023年，PM</w:t>
            </w:r>
            <w:r>
              <w:rPr>
                <w:rFonts w:hint="eastAsia"/>
                <w:color w:val="000000"/>
                <w:szCs w:val="32"/>
                <w:u w:val="single"/>
                <w:vertAlign w:val="subscript"/>
              </w:rPr>
              <w:t>2.5</w:t>
            </w:r>
            <w:r>
              <w:rPr>
                <w:rFonts w:hint="eastAsia"/>
                <w:color w:val="000000"/>
                <w:szCs w:val="32"/>
                <w:u w:val="single"/>
              </w:rPr>
              <w:t>、PM</w:t>
            </w:r>
            <w:r>
              <w:rPr>
                <w:rFonts w:hint="eastAsia"/>
                <w:color w:val="000000"/>
                <w:szCs w:val="32"/>
                <w:u w:val="single"/>
                <w:vertAlign w:val="subscript"/>
              </w:rPr>
              <w:t>10</w:t>
            </w:r>
            <w:r>
              <w:rPr>
                <w:rFonts w:hint="eastAsia"/>
                <w:color w:val="000000"/>
                <w:szCs w:val="32"/>
                <w:u w:val="single"/>
              </w:rPr>
              <w:t>年均浓度和特护期浓度显著下降，且PM</w:t>
            </w:r>
            <w:r>
              <w:rPr>
                <w:rFonts w:hint="eastAsia"/>
                <w:color w:val="000000"/>
                <w:szCs w:val="32"/>
                <w:u w:val="single"/>
                <w:vertAlign w:val="subscript"/>
              </w:rPr>
              <w:t>10</w:t>
            </w:r>
            <w:r>
              <w:rPr>
                <w:rFonts w:hint="eastAsia"/>
                <w:color w:val="000000"/>
                <w:szCs w:val="32"/>
                <w:u w:val="single"/>
              </w:rPr>
              <w:t>年均浓度实现达标。中期规划到2025年，PM</w:t>
            </w:r>
            <w:r>
              <w:rPr>
                <w:rFonts w:hint="eastAsia"/>
                <w:color w:val="000000"/>
                <w:szCs w:val="32"/>
                <w:u w:val="single"/>
                <w:vertAlign w:val="subscript"/>
              </w:rPr>
              <w:t>2.5</w:t>
            </w:r>
            <w:r>
              <w:rPr>
                <w:rFonts w:hint="eastAsia"/>
                <w:color w:val="000000"/>
                <w:szCs w:val="32"/>
                <w:u w:val="single"/>
              </w:rPr>
              <w:t>年均浓度低于35</w:t>
            </w:r>
            <w:r>
              <w:rPr>
                <w:color w:val="000000"/>
                <w:szCs w:val="32"/>
                <w:u w:val="single"/>
              </w:rPr>
              <w:t>μ</w:t>
            </w:r>
            <w:r>
              <w:rPr>
                <w:rFonts w:hint="eastAsia"/>
                <w:color w:val="000000"/>
                <w:szCs w:val="32"/>
                <w:u w:val="single"/>
              </w:rPr>
              <w:t>g/m</w:t>
            </w:r>
            <w:r>
              <w:rPr>
                <w:rFonts w:hint="eastAsia"/>
                <w:color w:val="000000"/>
                <w:szCs w:val="32"/>
                <w:u w:val="single"/>
                <w:vertAlign w:val="superscript"/>
              </w:rPr>
              <w:t>3</w:t>
            </w:r>
            <w:r>
              <w:rPr>
                <w:rFonts w:hint="eastAsia"/>
                <w:color w:val="000000"/>
                <w:szCs w:val="32"/>
                <w:u w:val="single"/>
              </w:rPr>
              <w:t>，实现达标，O</w:t>
            </w:r>
            <w:r>
              <w:rPr>
                <w:rFonts w:hint="eastAsia"/>
                <w:color w:val="000000"/>
                <w:szCs w:val="32"/>
                <w:u w:val="single"/>
                <w:vertAlign w:val="subscript"/>
              </w:rPr>
              <w:t>3</w:t>
            </w:r>
            <w:r>
              <w:rPr>
                <w:rFonts w:hint="eastAsia"/>
                <w:color w:val="000000"/>
                <w:szCs w:val="32"/>
                <w:u w:val="single"/>
              </w:rPr>
              <w:t>污染形势得到有效遏制。</w:t>
            </w:r>
          </w:p>
          <w:p w14:paraId="31C28123">
            <w:pPr>
              <w:pStyle w:val="4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（2）特征污染因子</w:t>
            </w:r>
          </w:p>
          <w:p w14:paraId="0DE0E5AC">
            <w:pPr>
              <w:pStyle w:val="4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1）VOCs</w:t>
            </w:r>
          </w:p>
          <w:p w14:paraId="07D7B5AE">
            <w:pPr>
              <w:pStyle w:val="4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根据《建设项目环境影响报告表编制技术指南》中提到“排放国家、地方环境空气质量标准中有标准限值要求的特征污染物”。本项目特征污染物VOCs不属于“</w:t>
            </w:r>
            <w:r>
              <w:rPr>
                <w:rFonts w:ascii="Times New Roman" w:hAnsi="Times New Roman"/>
                <w:color w:val="000000" w:themeColor="text1"/>
                <w:sz w:val="24"/>
                <w:szCs w:val="24"/>
                <w:u w:val="single"/>
                <w14:textFill>
                  <w14:solidFill>
                    <w14:schemeClr w14:val="tx1"/>
                  </w14:solidFill>
                </w14:textFill>
              </w:rPr>
              <w:t>国家、地方环境空气质量标准</w:t>
            </w:r>
            <w:r>
              <w:rPr>
                <w:rFonts w:hint="eastAsia" w:ascii="Times New Roman" w:hAnsi="Times New Roman"/>
                <w:color w:val="000000" w:themeColor="text1"/>
                <w:sz w:val="24"/>
                <w:szCs w:val="24"/>
                <w:u w:val="single"/>
                <w14:textFill>
                  <w14:solidFill>
                    <w14:schemeClr w14:val="tx1"/>
                  </w14:solidFill>
                </w14:textFill>
              </w:rPr>
              <w:t>”中有标准限值要求的污染物，因此根据相关要求，无需监测。</w:t>
            </w:r>
          </w:p>
          <w:p w14:paraId="79617E8B">
            <w:pPr>
              <w:pStyle w:val="4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2</w:t>
            </w:r>
            <w:r>
              <w:rPr>
                <w:rFonts w:hint="eastAsia" w:hAnsi="宋体" w:cs="宋体"/>
                <w:color w:val="000000" w:themeColor="text1"/>
                <w:sz w:val="24"/>
                <w:szCs w:val="24"/>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TSP</w:t>
            </w:r>
          </w:p>
          <w:p w14:paraId="2C408C63">
            <w:pPr>
              <w:pStyle w:val="4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本项目</w:t>
            </w:r>
            <w:r>
              <w:rPr>
                <w:rFonts w:hint="eastAsia" w:ascii="Times New Roman" w:hAnsi="Times New Roman"/>
                <w:color w:val="000000" w:themeColor="text1"/>
                <w:sz w:val="24"/>
                <w:szCs w:val="24"/>
                <w:u w:val="single"/>
                <w14:textFill>
                  <w14:solidFill>
                    <w14:schemeClr w14:val="tx1"/>
                  </w14:solidFill>
                </w14:textFill>
              </w:rPr>
              <w:t>委托湖南聚鸿环保科技有限公司对项目下风向处进行大气现状监测，监测时间为2025年12月12日-12月15日，具体数据见下表</w:t>
            </w:r>
            <w:r>
              <w:rPr>
                <w:rFonts w:ascii="Times New Roman" w:hAnsi="Times New Roman"/>
                <w:color w:val="000000" w:themeColor="text1"/>
                <w:sz w:val="24"/>
                <w:szCs w:val="24"/>
                <w:u w:val="single"/>
                <w14:textFill>
                  <w14:solidFill>
                    <w14:schemeClr w14:val="tx1"/>
                  </w14:solidFill>
                </w14:textFill>
              </w:rPr>
              <w:t>。</w:t>
            </w:r>
          </w:p>
          <w:p w14:paraId="43568F67">
            <w:pPr>
              <w:pStyle w:val="40"/>
              <w:adjustRightInd w:val="0"/>
              <w:snapToGrid w:val="0"/>
              <w:ind w:firstLine="0" w:firstLineChars="0"/>
              <w:jc w:val="center"/>
              <w:rPr>
                <w:rFonts w:ascii="Times New Roman" w:hAnsi="Times New Roman"/>
                <w:b/>
                <w:bCs/>
                <w:color w:val="000000" w:themeColor="text1"/>
                <w:sz w:val="24"/>
                <w:szCs w:val="24"/>
                <w:u w:val="single"/>
                <w14:textFill>
                  <w14:solidFill>
                    <w14:schemeClr w14:val="tx1"/>
                  </w14:solidFill>
                </w14:textFill>
              </w:rPr>
            </w:pPr>
            <w:r>
              <w:rPr>
                <w:rFonts w:hint="eastAsia" w:ascii="Times New Roman" w:hAnsi="Times New Roman"/>
                <w:b/>
                <w:bCs/>
                <w:color w:val="000000" w:themeColor="text1"/>
                <w:sz w:val="24"/>
                <w:szCs w:val="24"/>
                <w:u w:val="single"/>
                <w14:textFill>
                  <w14:solidFill>
                    <w14:schemeClr w14:val="tx1"/>
                  </w14:solidFill>
                </w14:textFill>
              </w:rPr>
              <w:t>表3-2  大气监测工作内容一览表 单位：mg/m</w:t>
            </w:r>
            <w:r>
              <w:rPr>
                <w:rFonts w:hint="eastAsia" w:ascii="Times New Roman" w:hAnsi="Times New Roman"/>
                <w:b/>
                <w:bCs/>
                <w:color w:val="000000" w:themeColor="text1"/>
                <w:sz w:val="24"/>
                <w:szCs w:val="24"/>
                <w:u w:val="single"/>
                <w:vertAlign w:val="superscript"/>
                <w14:textFill>
                  <w14:solidFill>
                    <w14:schemeClr w14:val="tx1"/>
                  </w14:solidFill>
                </w14:textFill>
              </w:rPr>
              <w:t>3</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1267"/>
              <w:gridCol w:w="2620"/>
              <w:gridCol w:w="1481"/>
              <w:gridCol w:w="1111"/>
            </w:tblGrid>
            <w:tr w14:paraId="13BF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857" w:type="pct"/>
                  <w:tcBorders>
                    <w:tl2br w:val="nil"/>
                    <w:tr2bl w:val="nil"/>
                  </w:tcBorders>
                  <w:vAlign w:val="center"/>
                </w:tcPr>
                <w:p w14:paraId="6AC8294C">
                  <w:pPr>
                    <w:pStyle w:val="40"/>
                    <w:adjustRightInd w:val="0"/>
                    <w:snapToGrid w:val="0"/>
                    <w:ind w:firstLine="0" w:firstLineChars="0"/>
                    <w:jc w:val="center"/>
                    <w:rPr>
                      <w:rFonts w:ascii="Times New Roman" w:hAnsi="Times New Roman"/>
                      <w:b/>
                      <w:bCs/>
                      <w:color w:val="000000" w:themeColor="text1"/>
                      <w:szCs w:val="21"/>
                      <w:u w:val="single"/>
                      <w14:textFill>
                        <w14:solidFill>
                          <w14:schemeClr w14:val="tx1"/>
                        </w14:solidFill>
                      </w14:textFill>
                    </w:rPr>
                  </w:pPr>
                  <w:r>
                    <w:rPr>
                      <w:rFonts w:hint="eastAsia" w:ascii="Times New Roman" w:hAnsi="Times New Roman"/>
                      <w:b/>
                      <w:bCs/>
                      <w:color w:val="000000" w:themeColor="text1"/>
                      <w:szCs w:val="21"/>
                      <w:u w:val="single"/>
                      <w14:textFill>
                        <w14:solidFill>
                          <w14:schemeClr w14:val="tx1"/>
                        </w14:solidFill>
                      </w14:textFill>
                    </w:rPr>
                    <w:t>监测点名称</w:t>
                  </w:r>
                </w:p>
              </w:tc>
              <w:tc>
                <w:tcPr>
                  <w:tcW w:w="810" w:type="pct"/>
                  <w:tcBorders>
                    <w:tl2br w:val="nil"/>
                    <w:tr2bl w:val="nil"/>
                  </w:tcBorders>
                  <w:vAlign w:val="center"/>
                </w:tcPr>
                <w:p w14:paraId="452FF06E">
                  <w:pPr>
                    <w:pStyle w:val="40"/>
                    <w:adjustRightInd w:val="0"/>
                    <w:snapToGrid w:val="0"/>
                    <w:ind w:firstLine="0" w:firstLineChars="0"/>
                    <w:jc w:val="center"/>
                    <w:rPr>
                      <w:rFonts w:ascii="Times New Roman" w:hAnsi="Times New Roman"/>
                      <w:b/>
                      <w:bCs/>
                      <w:color w:val="000000" w:themeColor="text1"/>
                      <w:szCs w:val="21"/>
                      <w:u w:val="single"/>
                      <w14:textFill>
                        <w14:solidFill>
                          <w14:schemeClr w14:val="tx1"/>
                        </w14:solidFill>
                      </w14:textFill>
                    </w:rPr>
                  </w:pPr>
                  <w:r>
                    <w:rPr>
                      <w:rFonts w:hint="eastAsia" w:ascii="Times New Roman" w:hAnsi="Times New Roman"/>
                      <w:b/>
                      <w:bCs/>
                      <w:color w:val="000000" w:themeColor="text1"/>
                      <w:szCs w:val="21"/>
                      <w:u w:val="single"/>
                      <w14:textFill>
                        <w14:solidFill>
                          <w14:schemeClr w14:val="tx1"/>
                        </w14:solidFill>
                      </w14:textFill>
                    </w:rPr>
                    <w:t>监测因子</w:t>
                  </w:r>
                </w:p>
              </w:tc>
              <w:tc>
                <w:tcPr>
                  <w:tcW w:w="1675" w:type="pct"/>
                  <w:tcBorders>
                    <w:tl2br w:val="nil"/>
                    <w:tr2bl w:val="nil"/>
                  </w:tcBorders>
                  <w:vAlign w:val="center"/>
                </w:tcPr>
                <w:p w14:paraId="5B279575">
                  <w:pPr>
                    <w:pStyle w:val="40"/>
                    <w:adjustRightInd w:val="0"/>
                    <w:snapToGrid w:val="0"/>
                    <w:ind w:firstLine="0" w:firstLineChars="0"/>
                    <w:jc w:val="center"/>
                    <w:rPr>
                      <w:rFonts w:ascii="Times New Roman" w:hAnsi="Times New Roman"/>
                      <w:b/>
                      <w:bCs/>
                      <w:color w:val="000000" w:themeColor="text1"/>
                      <w:szCs w:val="21"/>
                      <w:u w:val="single"/>
                      <w14:textFill>
                        <w14:solidFill>
                          <w14:schemeClr w14:val="tx1"/>
                        </w14:solidFill>
                      </w14:textFill>
                    </w:rPr>
                  </w:pPr>
                  <w:r>
                    <w:rPr>
                      <w:rFonts w:hint="eastAsia" w:ascii="Times New Roman" w:hAnsi="Times New Roman"/>
                      <w:b/>
                      <w:bCs/>
                      <w:color w:val="000000" w:themeColor="text1"/>
                      <w:szCs w:val="21"/>
                      <w:u w:val="single"/>
                      <w14:textFill>
                        <w14:solidFill>
                          <w14:schemeClr w14:val="tx1"/>
                        </w14:solidFill>
                      </w14:textFill>
                    </w:rPr>
                    <w:t>监测时间</w:t>
                  </w:r>
                </w:p>
              </w:tc>
              <w:tc>
                <w:tcPr>
                  <w:tcW w:w="947" w:type="pct"/>
                  <w:tcBorders>
                    <w:tl2br w:val="nil"/>
                    <w:tr2bl w:val="nil"/>
                  </w:tcBorders>
                  <w:vAlign w:val="center"/>
                </w:tcPr>
                <w:p w14:paraId="189DA01E">
                  <w:pPr>
                    <w:pStyle w:val="40"/>
                    <w:adjustRightInd w:val="0"/>
                    <w:snapToGrid w:val="0"/>
                    <w:ind w:firstLine="0" w:firstLineChars="0"/>
                    <w:jc w:val="center"/>
                    <w:rPr>
                      <w:rFonts w:ascii="Times New Roman" w:hAnsi="Times New Roman"/>
                      <w:b/>
                      <w:bCs/>
                      <w:color w:val="000000" w:themeColor="text1"/>
                      <w:szCs w:val="21"/>
                      <w:u w:val="single"/>
                      <w14:textFill>
                        <w14:solidFill>
                          <w14:schemeClr w14:val="tx1"/>
                        </w14:solidFill>
                      </w14:textFill>
                    </w:rPr>
                  </w:pPr>
                  <w:r>
                    <w:rPr>
                      <w:rFonts w:hint="eastAsia" w:ascii="Times New Roman" w:hAnsi="Times New Roman"/>
                      <w:b/>
                      <w:bCs/>
                      <w:color w:val="000000" w:themeColor="text1"/>
                      <w:szCs w:val="21"/>
                      <w:u w:val="single"/>
                      <w14:textFill>
                        <w14:solidFill>
                          <w14:schemeClr w14:val="tx1"/>
                        </w14:solidFill>
                      </w14:textFill>
                    </w:rPr>
                    <w:t>监测结果</w:t>
                  </w:r>
                </w:p>
              </w:tc>
              <w:tc>
                <w:tcPr>
                  <w:tcW w:w="710" w:type="pct"/>
                  <w:tcBorders>
                    <w:tl2br w:val="nil"/>
                    <w:tr2bl w:val="nil"/>
                  </w:tcBorders>
                  <w:vAlign w:val="center"/>
                </w:tcPr>
                <w:p w14:paraId="721466FA">
                  <w:pPr>
                    <w:pStyle w:val="40"/>
                    <w:adjustRightInd w:val="0"/>
                    <w:snapToGrid w:val="0"/>
                    <w:ind w:firstLine="0" w:firstLineChars="0"/>
                    <w:jc w:val="center"/>
                    <w:rPr>
                      <w:rFonts w:ascii="Times New Roman" w:hAnsi="Times New Roman"/>
                      <w:b/>
                      <w:bCs/>
                      <w:color w:val="000000" w:themeColor="text1"/>
                      <w:szCs w:val="21"/>
                      <w:u w:val="single"/>
                      <w14:textFill>
                        <w14:solidFill>
                          <w14:schemeClr w14:val="tx1"/>
                        </w14:solidFill>
                      </w14:textFill>
                    </w:rPr>
                  </w:pPr>
                  <w:r>
                    <w:rPr>
                      <w:rFonts w:hint="eastAsia" w:ascii="Times New Roman" w:hAnsi="Times New Roman"/>
                      <w:b/>
                      <w:bCs/>
                      <w:color w:val="000000" w:themeColor="text1"/>
                      <w:szCs w:val="21"/>
                      <w:u w:val="single"/>
                      <w14:textFill>
                        <w14:solidFill>
                          <w14:schemeClr w14:val="tx1"/>
                        </w14:solidFill>
                      </w14:textFill>
                    </w:rPr>
                    <w:t>标准值</w:t>
                  </w:r>
                </w:p>
              </w:tc>
            </w:tr>
            <w:tr w14:paraId="19200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57" w:type="pct"/>
                  <w:tcBorders>
                    <w:tl2br w:val="nil"/>
                    <w:tr2bl w:val="nil"/>
                  </w:tcBorders>
                  <w:vAlign w:val="center"/>
                </w:tcPr>
                <w:p w14:paraId="33DDDA42">
                  <w:pPr>
                    <w:pStyle w:val="40"/>
                    <w:adjustRightInd w:val="0"/>
                    <w:snapToGrid w:val="0"/>
                    <w:ind w:firstLine="0" w:firstLineChars="0"/>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G1项目下风向</w:t>
                  </w:r>
                </w:p>
              </w:tc>
              <w:tc>
                <w:tcPr>
                  <w:tcW w:w="810" w:type="pct"/>
                  <w:tcBorders>
                    <w:tl2br w:val="nil"/>
                    <w:tr2bl w:val="nil"/>
                  </w:tcBorders>
                  <w:vAlign w:val="center"/>
                </w:tcPr>
                <w:p w14:paraId="791DF36F">
                  <w:pPr>
                    <w:pStyle w:val="40"/>
                    <w:adjustRightInd w:val="0"/>
                    <w:snapToGrid w:val="0"/>
                    <w:ind w:firstLine="0" w:firstLineChars="0"/>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TSP</w:t>
                  </w:r>
                </w:p>
              </w:tc>
              <w:tc>
                <w:tcPr>
                  <w:tcW w:w="1675" w:type="pct"/>
                  <w:tcBorders>
                    <w:tl2br w:val="nil"/>
                    <w:tr2bl w:val="nil"/>
                  </w:tcBorders>
                  <w:vAlign w:val="center"/>
                </w:tcPr>
                <w:p w14:paraId="0D10E75B">
                  <w:pPr>
                    <w:pStyle w:val="40"/>
                    <w:adjustRightInd w:val="0"/>
                    <w:snapToGrid w:val="0"/>
                    <w:ind w:firstLine="0" w:firstLineChars="0"/>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2025.12.12-2025.12.15</w:t>
                  </w:r>
                </w:p>
              </w:tc>
              <w:tc>
                <w:tcPr>
                  <w:tcW w:w="947" w:type="pct"/>
                  <w:tcBorders>
                    <w:tl2br w:val="nil"/>
                    <w:tr2bl w:val="nil"/>
                  </w:tcBorders>
                  <w:vAlign w:val="center"/>
                </w:tcPr>
                <w:p w14:paraId="5C88559D">
                  <w:pPr>
                    <w:pStyle w:val="40"/>
                    <w:adjustRightInd w:val="0"/>
                    <w:snapToGrid w:val="0"/>
                    <w:ind w:firstLine="0" w:firstLineChars="0"/>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0.117-0.144</w:t>
                  </w:r>
                </w:p>
              </w:tc>
              <w:tc>
                <w:tcPr>
                  <w:tcW w:w="710" w:type="pct"/>
                  <w:tcBorders>
                    <w:tl2br w:val="nil"/>
                    <w:tr2bl w:val="nil"/>
                  </w:tcBorders>
                  <w:vAlign w:val="center"/>
                </w:tcPr>
                <w:p w14:paraId="754953C7">
                  <w:pPr>
                    <w:pStyle w:val="40"/>
                    <w:adjustRightInd w:val="0"/>
                    <w:snapToGrid w:val="0"/>
                    <w:ind w:firstLine="0" w:firstLineChars="0"/>
                    <w:jc w:val="center"/>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0.3</w:t>
                  </w:r>
                </w:p>
              </w:tc>
            </w:tr>
          </w:tbl>
          <w:p w14:paraId="7BD881B0">
            <w:pPr>
              <w:pStyle w:val="40"/>
              <w:adjustRightInd w:val="0"/>
              <w:snapToGrid w:val="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根据上表可知，区域TSP满足《环境空气质量标准》（GB3095-2012）中二级标准限值要求，区域环境空气质量良好。</w:t>
            </w:r>
          </w:p>
          <w:p w14:paraId="3BF4454F">
            <w:pPr>
              <w:adjustRightInd w:val="0"/>
              <w:snapToGrid w:val="0"/>
              <w:spacing w:line="360" w:lineRule="auto"/>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二、</w:t>
            </w:r>
            <w:r>
              <w:rPr>
                <w:b/>
                <w:bCs/>
                <w:color w:val="000000" w:themeColor="text1"/>
                <w:u w:val="single"/>
                <w14:textFill>
                  <w14:solidFill>
                    <w14:schemeClr w14:val="tx1"/>
                  </w14:solidFill>
                </w14:textFill>
              </w:rPr>
              <w:t>地表水环境质量现状</w:t>
            </w:r>
          </w:p>
          <w:p w14:paraId="2513B1A8">
            <w:pPr>
              <w:pStyle w:val="40"/>
              <w:adjustRightInd w:val="0"/>
              <w:snapToGrid w:val="0"/>
              <w:spacing w:line="360" w:lineRule="auto"/>
              <w:ind w:firstLine="480"/>
              <w:rPr>
                <w:rFonts w:ascii="Times New Roman" w:hAnsi="Times New Roman"/>
                <w:color w:val="000000" w:themeColor="text1"/>
                <w:sz w:val="24"/>
                <w:szCs w:val="24"/>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根据《建设项目环境影响报告表编制技术指南》</w:t>
            </w:r>
            <w:r>
              <w:rPr>
                <w:rFonts w:hint="eastAsia" w:hAnsi="宋体" w:cs="宋体"/>
                <w:color w:val="000000" w:themeColor="text1"/>
                <w:sz w:val="24"/>
                <w:szCs w:val="24"/>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2021</w:t>
            </w:r>
            <w:r>
              <w:rPr>
                <w:rFonts w:hint="eastAsia" w:hAnsi="宋体" w:cs="宋体"/>
                <w:color w:val="000000" w:themeColor="text1"/>
                <w:sz w:val="24"/>
                <w:szCs w:val="24"/>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p>
          <w:p w14:paraId="7F933838">
            <w:pPr>
              <w:pStyle w:val="2"/>
              <w:keepNext w:val="0"/>
              <w:keepLines w:val="0"/>
              <w:kinsoku w:val="0"/>
              <w:wordWrap w:val="0"/>
              <w:adjustRightInd w:val="0"/>
              <w:snapToGrid w:val="0"/>
              <w:spacing w:before="0" w:after="0" w:line="360" w:lineRule="auto"/>
              <w:ind w:firstLine="480" w:firstLineChars="200"/>
              <w:rPr>
                <w:b w:val="0"/>
                <w:bCs w:val="0"/>
                <w:color w:val="000000" w:themeColor="text1"/>
                <w:sz w:val="24"/>
                <w:szCs w:val="24"/>
                <w:u w:val="single"/>
                <w14:textFill>
                  <w14:solidFill>
                    <w14:schemeClr w14:val="tx1"/>
                  </w14:solidFill>
                </w14:textFill>
              </w:rPr>
            </w:pPr>
            <w:bookmarkStart w:id="37" w:name="_Toc189746365"/>
            <w:r>
              <w:rPr>
                <w:rFonts w:hint="eastAsia"/>
                <w:b w:val="0"/>
                <w:bCs w:val="0"/>
                <w:color w:val="000000" w:themeColor="text1"/>
                <w:sz w:val="24"/>
                <w:szCs w:val="24"/>
                <w:u w:val="single"/>
                <w14:textFill>
                  <w14:solidFill>
                    <w14:schemeClr w14:val="tx1"/>
                  </w14:solidFill>
                </w14:textFill>
              </w:rPr>
              <w:t>为了解本项目区域的地表水质量现状，本次环评引用了《龙岭产业开发区调区扩区规划环境影响报告书》中于2024年7月22日至24日对泉交河地表水环境现状监测数据。引用数据满足与本项目距离近的近3年的监测数据，符合《建设项目环境影响报告表编制技术指南（污染影响类）（试行）》中数据引用要求，引用数据可行。</w:t>
            </w:r>
            <w:bookmarkEnd w:id="37"/>
          </w:p>
          <w:p w14:paraId="4DE0B367">
            <w:pPr>
              <w:pStyle w:val="2"/>
              <w:keepNext w:val="0"/>
              <w:keepLines w:val="0"/>
              <w:kinsoku w:val="0"/>
              <w:wordWrap w:val="0"/>
              <w:adjustRightInd w:val="0"/>
              <w:snapToGrid w:val="0"/>
              <w:spacing w:before="0" w:after="0" w:line="360" w:lineRule="auto"/>
              <w:ind w:firstLine="480" w:firstLineChars="200"/>
              <w:rPr>
                <w:b w:val="0"/>
                <w:bCs w:val="0"/>
                <w:color w:val="000000" w:themeColor="text1"/>
                <w:sz w:val="24"/>
                <w:szCs w:val="24"/>
                <w:u w:val="single"/>
                <w14:textFill>
                  <w14:solidFill>
                    <w14:schemeClr w14:val="tx1"/>
                  </w14:solidFill>
                </w14:textFill>
              </w:rPr>
            </w:pPr>
            <w:bookmarkStart w:id="38" w:name="_Toc189746366"/>
            <w:r>
              <w:rPr>
                <w:rFonts w:hint="eastAsia"/>
                <w:b w:val="0"/>
                <w:bCs w:val="0"/>
                <w:color w:val="000000" w:themeColor="text1"/>
                <w:sz w:val="24"/>
                <w:szCs w:val="24"/>
                <w:u w:val="single"/>
                <w14:textFill>
                  <w14:solidFill>
                    <w14:schemeClr w14:val="tx1"/>
                  </w14:solidFill>
                </w14:textFill>
              </w:rPr>
              <w:t>（1）监测点位设置：W1衡龙新区污水处理厂排污口上游500m泉交河断面；W2衡龙新区污水处理厂排污口下游1000m泉交河断面。</w:t>
            </w:r>
            <w:bookmarkEnd w:id="38"/>
          </w:p>
          <w:p w14:paraId="404F6862">
            <w:pPr>
              <w:pStyle w:val="2"/>
              <w:keepNext w:val="0"/>
              <w:keepLines w:val="0"/>
              <w:kinsoku w:val="0"/>
              <w:wordWrap w:val="0"/>
              <w:adjustRightInd w:val="0"/>
              <w:snapToGrid w:val="0"/>
              <w:spacing w:before="0" w:after="0" w:line="360" w:lineRule="auto"/>
              <w:ind w:firstLine="480" w:firstLineChars="200"/>
              <w:rPr>
                <w:b w:val="0"/>
                <w:bCs w:val="0"/>
                <w:color w:val="000000" w:themeColor="text1"/>
                <w:sz w:val="24"/>
                <w:szCs w:val="24"/>
                <w:u w:val="single"/>
                <w14:textFill>
                  <w14:solidFill>
                    <w14:schemeClr w14:val="tx1"/>
                  </w14:solidFill>
                </w14:textFill>
              </w:rPr>
            </w:pPr>
            <w:bookmarkStart w:id="39" w:name="_Toc189746367"/>
            <w:r>
              <w:rPr>
                <w:rFonts w:hint="eastAsia"/>
                <w:b w:val="0"/>
                <w:bCs w:val="0"/>
                <w:color w:val="000000" w:themeColor="text1"/>
                <w:sz w:val="24"/>
                <w:szCs w:val="24"/>
                <w:u w:val="single"/>
                <w14:textFill>
                  <w14:solidFill>
                    <w14:schemeClr w14:val="tx1"/>
                  </w14:solidFill>
                </w14:textFill>
              </w:rPr>
              <w:t>（2）监测因子：pH、溶解氧、COD、BOD</w:t>
            </w:r>
            <w:r>
              <w:rPr>
                <w:rFonts w:hint="eastAsia"/>
                <w:b w:val="0"/>
                <w:bCs w:val="0"/>
                <w:color w:val="000000" w:themeColor="text1"/>
                <w:sz w:val="24"/>
                <w:szCs w:val="24"/>
                <w:u w:val="single"/>
                <w:vertAlign w:val="subscript"/>
                <w14:textFill>
                  <w14:solidFill>
                    <w14:schemeClr w14:val="tx1"/>
                  </w14:solidFill>
                </w14:textFill>
              </w:rPr>
              <w:t>5</w:t>
            </w:r>
            <w:r>
              <w:rPr>
                <w:rFonts w:hint="eastAsia"/>
                <w:b w:val="0"/>
                <w:bCs w:val="0"/>
                <w:color w:val="000000" w:themeColor="text1"/>
                <w:sz w:val="24"/>
                <w:szCs w:val="24"/>
                <w:u w:val="single"/>
                <w14:textFill>
                  <w14:solidFill>
                    <w14:schemeClr w14:val="tx1"/>
                  </w14:solidFill>
                </w14:textFill>
              </w:rPr>
              <w:t>、氨氮、总磷、总氮、六价铬、LAS、挥发酚、氟化物、氰化物、硫化物、石油类、硫酸盐、氯化物、铜、锌、砷、铅、镉、铁、锰、镍、汞、铬、。</w:t>
            </w:r>
            <w:bookmarkEnd w:id="39"/>
          </w:p>
          <w:p w14:paraId="41645C01">
            <w:pPr>
              <w:kinsoku w:val="0"/>
              <w:wordWrap w:val="0"/>
              <w:adjustRightInd w:val="0"/>
              <w:snapToGrid w:val="0"/>
              <w:spacing w:line="360" w:lineRule="auto"/>
              <w:ind w:firstLine="480" w:firstLineChars="200"/>
              <w:rPr>
                <w:u w:val="single"/>
              </w:rPr>
            </w:pPr>
            <w:r>
              <w:rPr>
                <w:rFonts w:hint="eastAsia"/>
                <w:color w:val="000000" w:themeColor="text1"/>
                <w:u w:val="single"/>
                <w14:textFill>
                  <w14:solidFill>
                    <w14:schemeClr w14:val="tx1"/>
                  </w14:solidFill>
                </w14:textFill>
              </w:rPr>
              <w:t>（3）监测时间及频率：水质连续监测3天，1天1次。</w:t>
            </w:r>
          </w:p>
          <w:p w14:paraId="422A7B7D">
            <w:pPr>
              <w:pStyle w:val="2"/>
              <w:adjustRightInd w:val="0"/>
              <w:snapToGrid w:val="0"/>
              <w:spacing w:before="0" w:after="0" w:line="240" w:lineRule="auto"/>
              <w:jc w:val="center"/>
              <w:rPr>
                <w:color w:val="000000" w:themeColor="text1"/>
                <w:sz w:val="24"/>
                <w:szCs w:val="24"/>
                <w:u w:val="single"/>
                <w14:textFill>
                  <w14:solidFill>
                    <w14:schemeClr w14:val="tx1"/>
                  </w14:solidFill>
                </w14:textFill>
              </w:rPr>
            </w:pPr>
            <w:bookmarkStart w:id="40" w:name="_Toc189746368"/>
            <w:r>
              <w:rPr>
                <w:rFonts w:hint="eastAsia"/>
                <w:color w:val="000000" w:themeColor="text1"/>
                <w:sz w:val="24"/>
                <w:szCs w:val="24"/>
                <w:u w:val="single"/>
                <w14:textFill>
                  <w14:solidFill>
                    <w14:schemeClr w14:val="tx1"/>
                  </w14:solidFill>
                </w14:textFill>
              </w:rPr>
              <w:t>表3-3  地表水环境质量现状监测结果分析表</w:t>
            </w:r>
            <w:bookmarkEnd w:id="40"/>
          </w:p>
          <w:tbl>
            <w:tblPr>
              <w:tblStyle w:val="24"/>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311"/>
              <w:gridCol w:w="847"/>
              <w:gridCol w:w="1035"/>
              <w:gridCol w:w="1027"/>
              <w:gridCol w:w="1124"/>
              <w:gridCol w:w="1039"/>
            </w:tblGrid>
            <w:tr w14:paraId="58BB4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restart"/>
                  <w:tcBorders>
                    <w:tl2br w:val="nil"/>
                    <w:tr2bl w:val="nil"/>
                  </w:tcBorders>
                  <w:vAlign w:val="center"/>
                </w:tcPr>
                <w:p w14:paraId="72D03E2D">
                  <w:pPr>
                    <w:pStyle w:val="2"/>
                    <w:keepNext w:val="0"/>
                    <w:keepLines w:val="0"/>
                    <w:spacing w:before="0" w:after="0" w:line="240" w:lineRule="auto"/>
                    <w:jc w:val="center"/>
                    <w:rPr>
                      <w:color w:val="000000" w:themeColor="text1"/>
                      <w:sz w:val="21"/>
                      <w:szCs w:val="21"/>
                      <w:u w:val="single"/>
                      <w14:textFill>
                        <w14:solidFill>
                          <w14:schemeClr w14:val="tx1"/>
                        </w14:solidFill>
                      </w14:textFill>
                    </w:rPr>
                  </w:pPr>
                  <w:bookmarkStart w:id="41" w:name="_Toc189746369"/>
                  <w:r>
                    <w:rPr>
                      <w:rFonts w:hint="eastAsia"/>
                      <w:color w:val="000000" w:themeColor="text1"/>
                      <w:sz w:val="21"/>
                      <w:szCs w:val="21"/>
                      <w:u w:val="single"/>
                      <w14:textFill>
                        <w14:solidFill>
                          <w14:schemeClr w14:val="tx1"/>
                        </w14:solidFill>
                      </w14:textFill>
                    </w:rPr>
                    <w:t>监测点位</w:t>
                  </w:r>
                  <w:bookmarkEnd w:id="41"/>
                </w:p>
              </w:tc>
              <w:tc>
                <w:tcPr>
                  <w:tcW w:w="839" w:type="pct"/>
                  <w:vMerge w:val="restart"/>
                  <w:tcBorders>
                    <w:tl2br w:val="nil"/>
                    <w:tr2bl w:val="nil"/>
                  </w:tcBorders>
                  <w:vAlign w:val="center"/>
                </w:tcPr>
                <w:p w14:paraId="39EE4766">
                  <w:pPr>
                    <w:pStyle w:val="2"/>
                    <w:keepNext w:val="0"/>
                    <w:keepLines w:val="0"/>
                    <w:spacing w:before="0" w:after="0" w:line="240" w:lineRule="auto"/>
                    <w:jc w:val="center"/>
                    <w:rPr>
                      <w:color w:val="000000" w:themeColor="text1"/>
                      <w:sz w:val="21"/>
                      <w:szCs w:val="21"/>
                      <w:highlight w:val="yellow"/>
                      <w:u w:val="single"/>
                      <w14:textFill>
                        <w14:solidFill>
                          <w14:schemeClr w14:val="tx1"/>
                        </w14:solidFill>
                      </w14:textFill>
                    </w:rPr>
                  </w:pPr>
                  <w:bookmarkStart w:id="42" w:name="_Toc189746370"/>
                  <w:r>
                    <w:rPr>
                      <w:rFonts w:hint="eastAsia"/>
                      <w:color w:val="000000" w:themeColor="text1"/>
                      <w:sz w:val="21"/>
                      <w:szCs w:val="21"/>
                      <w:u w:val="single"/>
                      <w14:textFill>
                        <w14:solidFill>
                          <w14:schemeClr w14:val="tx1"/>
                        </w14:solidFill>
                      </w14:textFill>
                    </w:rPr>
                    <w:t>监测项目</w:t>
                  </w:r>
                  <w:bookmarkEnd w:id="42"/>
                </w:p>
              </w:tc>
              <w:tc>
                <w:tcPr>
                  <w:tcW w:w="542" w:type="pct"/>
                  <w:vMerge w:val="restart"/>
                  <w:tcBorders>
                    <w:tl2br w:val="nil"/>
                    <w:tr2bl w:val="nil"/>
                  </w:tcBorders>
                  <w:vAlign w:val="center"/>
                </w:tcPr>
                <w:p w14:paraId="0535E20F">
                  <w:pPr>
                    <w:pStyle w:val="2"/>
                    <w:keepNext w:val="0"/>
                    <w:keepLines w:val="0"/>
                    <w:spacing w:before="0" w:after="0" w:line="240" w:lineRule="auto"/>
                    <w:jc w:val="center"/>
                    <w:rPr>
                      <w:color w:val="000000" w:themeColor="text1"/>
                      <w:sz w:val="21"/>
                      <w:szCs w:val="21"/>
                      <w:u w:val="single"/>
                      <w14:textFill>
                        <w14:solidFill>
                          <w14:schemeClr w14:val="tx1"/>
                        </w14:solidFill>
                      </w14:textFill>
                    </w:rPr>
                  </w:pPr>
                  <w:bookmarkStart w:id="43" w:name="_Toc189746371"/>
                  <w:r>
                    <w:rPr>
                      <w:rFonts w:hint="eastAsia"/>
                      <w:color w:val="000000" w:themeColor="text1"/>
                      <w:sz w:val="21"/>
                      <w:szCs w:val="21"/>
                      <w:u w:val="single"/>
                      <w14:textFill>
                        <w14:solidFill>
                          <w14:schemeClr w14:val="tx1"/>
                        </w14:solidFill>
                      </w14:textFill>
                    </w:rPr>
                    <w:t>单位</w:t>
                  </w:r>
                  <w:bookmarkEnd w:id="43"/>
                </w:p>
              </w:tc>
              <w:tc>
                <w:tcPr>
                  <w:tcW w:w="2038" w:type="pct"/>
                  <w:gridSpan w:val="3"/>
                  <w:tcBorders>
                    <w:tl2br w:val="nil"/>
                    <w:tr2bl w:val="nil"/>
                  </w:tcBorders>
                  <w:vAlign w:val="center"/>
                </w:tcPr>
                <w:p w14:paraId="7F2E104B">
                  <w:pPr>
                    <w:pStyle w:val="2"/>
                    <w:keepNext w:val="0"/>
                    <w:keepLines w:val="0"/>
                    <w:spacing w:before="0" w:after="0" w:line="240" w:lineRule="auto"/>
                    <w:jc w:val="center"/>
                    <w:rPr>
                      <w:color w:val="000000" w:themeColor="text1"/>
                      <w:sz w:val="21"/>
                      <w:szCs w:val="21"/>
                      <w:u w:val="single"/>
                      <w14:textFill>
                        <w14:solidFill>
                          <w14:schemeClr w14:val="tx1"/>
                        </w14:solidFill>
                      </w14:textFill>
                    </w:rPr>
                  </w:pPr>
                  <w:bookmarkStart w:id="44" w:name="_Toc189746372"/>
                  <w:r>
                    <w:rPr>
                      <w:rFonts w:hint="eastAsia"/>
                      <w:color w:val="000000" w:themeColor="text1"/>
                      <w:sz w:val="21"/>
                      <w:szCs w:val="21"/>
                      <w:u w:val="single"/>
                      <w14:textFill>
                        <w14:solidFill>
                          <w14:schemeClr w14:val="tx1"/>
                        </w14:solidFill>
                      </w14:textFill>
                    </w:rPr>
                    <w:t>时间及结果（2024）</w:t>
                  </w:r>
                  <w:bookmarkEnd w:id="44"/>
                </w:p>
              </w:tc>
              <w:tc>
                <w:tcPr>
                  <w:tcW w:w="665" w:type="pct"/>
                  <w:vMerge w:val="restart"/>
                  <w:tcBorders>
                    <w:tl2br w:val="nil"/>
                    <w:tr2bl w:val="nil"/>
                  </w:tcBorders>
                  <w:vAlign w:val="center"/>
                </w:tcPr>
                <w:p w14:paraId="25340BF4">
                  <w:pPr>
                    <w:pStyle w:val="2"/>
                    <w:keepNext w:val="0"/>
                    <w:keepLines w:val="0"/>
                    <w:spacing w:before="0" w:after="0" w:line="240" w:lineRule="auto"/>
                    <w:jc w:val="center"/>
                    <w:rPr>
                      <w:color w:val="000000" w:themeColor="text1"/>
                      <w:sz w:val="21"/>
                      <w:szCs w:val="21"/>
                      <w:u w:val="single"/>
                      <w14:textFill>
                        <w14:solidFill>
                          <w14:schemeClr w14:val="tx1"/>
                        </w14:solidFill>
                      </w14:textFill>
                    </w:rPr>
                  </w:pPr>
                  <w:bookmarkStart w:id="45" w:name="_Toc189746373"/>
                  <w:r>
                    <w:rPr>
                      <w:rFonts w:hint="eastAsia"/>
                      <w:color w:val="000000" w:themeColor="text1"/>
                      <w:sz w:val="21"/>
                      <w:szCs w:val="21"/>
                      <w:u w:val="single"/>
                      <w14:textFill>
                        <w14:solidFill>
                          <w14:schemeClr w14:val="tx1"/>
                        </w14:solidFill>
                      </w14:textFill>
                    </w:rPr>
                    <w:t>标准限值</w:t>
                  </w:r>
                  <w:bookmarkEnd w:id="45"/>
                </w:p>
              </w:tc>
            </w:tr>
            <w:tr w14:paraId="50E71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3F09D3A">
                  <w:pPr>
                    <w:pStyle w:val="2"/>
                    <w:keepNext w:val="0"/>
                    <w:keepLines w:val="0"/>
                    <w:spacing w:before="0" w:after="0" w:line="240" w:lineRule="auto"/>
                    <w:jc w:val="center"/>
                    <w:rPr>
                      <w:color w:val="000000" w:themeColor="text1"/>
                      <w:sz w:val="21"/>
                      <w:szCs w:val="21"/>
                      <w:u w:val="single"/>
                      <w14:textFill>
                        <w14:solidFill>
                          <w14:schemeClr w14:val="tx1"/>
                        </w14:solidFill>
                      </w14:textFill>
                    </w:rPr>
                  </w:pPr>
                </w:p>
              </w:tc>
              <w:tc>
                <w:tcPr>
                  <w:tcW w:w="839" w:type="pct"/>
                  <w:vMerge w:val="continue"/>
                  <w:tcBorders>
                    <w:tl2br w:val="nil"/>
                    <w:tr2bl w:val="nil"/>
                  </w:tcBorders>
                  <w:vAlign w:val="center"/>
                </w:tcPr>
                <w:p w14:paraId="60CC7CAE">
                  <w:pPr>
                    <w:pStyle w:val="2"/>
                    <w:keepNext w:val="0"/>
                    <w:keepLines w:val="0"/>
                    <w:spacing w:before="0" w:after="0" w:line="240" w:lineRule="auto"/>
                    <w:jc w:val="center"/>
                    <w:rPr>
                      <w:color w:val="000000" w:themeColor="text1"/>
                      <w:sz w:val="21"/>
                      <w:szCs w:val="21"/>
                      <w:u w:val="single"/>
                      <w14:textFill>
                        <w14:solidFill>
                          <w14:schemeClr w14:val="tx1"/>
                        </w14:solidFill>
                      </w14:textFill>
                    </w:rPr>
                  </w:pPr>
                </w:p>
              </w:tc>
              <w:tc>
                <w:tcPr>
                  <w:tcW w:w="542" w:type="pct"/>
                  <w:vMerge w:val="continue"/>
                  <w:tcBorders>
                    <w:tl2br w:val="nil"/>
                    <w:tr2bl w:val="nil"/>
                  </w:tcBorders>
                  <w:vAlign w:val="center"/>
                </w:tcPr>
                <w:p w14:paraId="1FD80B69">
                  <w:pPr>
                    <w:pStyle w:val="2"/>
                    <w:keepNext w:val="0"/>
                    <w:keepLines w:val="0"/>
                    <w:spacing w:before="0" w:after="0" w:line="240" w:lineRule="auto"/>
                    <w:jc w:val="center"/>
                    <w:rPr>
                      <w:color w:val="000000" w:themeColor="text1"/>
                      <w:sz w:val="21"/>
                      <w:szCs w:val="21"/>
                      <w:u w:val="single"/>
                      <w14:textFill>
                        <w14:solidFill>
                          <w14:schemeClr w14:val="tx1"/>
                        </w14:solidFill>
                      </w14:textFill>
                    </w:rPr>
                  </w:pPr>
                </w:p>
              </w:tc>
              <w:tc>
                <w:tcPr>
                  <w:tcW w:w="662" w:type="pct"/>
                  <w:tcBorders>
                    <w:tl2br w:val="nil"/>
                    <w:tr2bl w:val="nil"/>
                  </w:tcBorders>
                  <w:vAlign w:val="center"/>
                </w:tcPr>
                <w:p w14:paraId="3E3A79B6">
                  <w:pPr>
                    <w:pStyle w:val="2"/>
                    <w:keepNext w:val="0"/>
                    <w:keepLines w:val="0"/>
                    <w:spacing w:before="0" w:after="0" w:line="240" w:lineRule="auto"/>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7.22</w:t>
                  </w:r>
                </w:p>
              </w:tc>
              <w:tc>
                <w:tcPr>
                  <w:tcW w:w="657" w:type="pct"/>
                  <w:tcBorders>
                    <w:tl2br w:val="nil"/>
                    <w:tr2bl w:val="nil"/>
                  </w:tcBorders>
                  <w:vAlign w:val="center"/>
                </w:tcPr>
                <w:p w14:paraId="645C084B">
                  <w:pPr>
                    <w:pStyle w:val="2"/>
                    <w:keepNext w:val="0"/>
                    <w:keepLines w:val="0"/>
                    <w:spacing w:before="0" w:after="0" w:line="240" w:lineRule="auto"/>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7.23</w:t>
                  </w:r>
                </w:p>
              </w:tc>
              <w:tc>
                <w:tcPr>
                  <w:tcW w:w="719" w:type="pct"/>
                  <w:tcBorders>
                    <w:tl2br w:val="nil"/>
                    <w:tr2bl w:val="nil"/>
                  </w:tcBorders>
                  <w:vAlign w:val="center"/>
                </w:tcPr>
                <w:p w14:paraId="39B70288">
                  <w:pPr>
                    <w:pStyle w:val="2"/>
                    <w:keepNext w:val="0"/>
                    <w:keepLines w:val="0"/>
                    <w:spacing w:before="0" w:after="0" w:line="240" w:lineRule="auto"/>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7.24</w:t>
                  </w:r>
                </w:p>
              </w:tc>
              <w:tc>
                <w:tcPr>
                  <w:tcW w:w="665" w:type="pct"/>
                  <w:vMerge w:val="continue"/>
                  <w:tcBorders>
                    <w:tl2br w:val="nil"/>
                    <w:tr2bl w:val="nil"/>
                  </w:tcBorders>
                  <w:vAlign w:val="center"/>
                </w:tcPr>
                <w:p w14:paraId="3CE8FAB7">
                  <w:pPr>
                    <w:pStyle w:val="2"/>
                    <w:keepNext w:val="0"/>
                    <w:keepLines w:val="0"/>
                    <w:spacing w:before="0" w:after="0" w:line="240" w:lineRule="auto"/>
                    <w:jc w:val="center"/>
                    <w:rPr>
                      <w:color w:val="000000" w:themeColor="text1"/>
                      <w:sz w:val="21"/>
                      <w:szCs w:val="21"/>
                      <w:u w:val="single"/>
                      <w14:textFill>
                        <w14:solidFill>
                          <w14:schemeClr w14:val="tx1"/>
                        </w14:solidFill>
                      </w14:textFill>
                    </w:rPr>
                  </w:pPr>
                </w:p>
              </w:tc>
            </w:tr>
            <w:tr w14:paraId="771DC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restart"/>
                  <w:tcBorders>
                    <w:tl2br w:val="nil"/>
                    <w:tr2bl w:val="nil"/>
                  </w:tcBorders>
                  <w:vAlign w:val="center"/>
                </w:tcPr>
                <w:p w14:paraId="4CE1D05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46" w:name="_Toc189746377"/>
                  <w:r>
                    <w:rPr>
                      <w:rFonts w:hint="eastAsia"/>
                      <w:b w:val="0"/>
                      <w:bCs w:val="0"/>
                      <w:color w:val="000000" w:themeColor="text1"/>
                      <w:sz w:val="21"/>
                      <w:szCs w:val="21"/>
                      <w:u w:val="single"/>
                      <w14:textFill>
                        <w14:solidFill>
                          <w14:schemeClr w14:val="tx1"/>
                        </w14:solidFill>
                      </w14:textFill>
                    </w:rPr>
                    <w:t>W1污水处理厂上游500m</w:t>
                  </w:r>
                  <w:bookmarkEnd w:id="46"/>
                  <w:r>
                    <w:rPr>
                      <w:rFonts w:hint="eastAsia"/>
                      <w:b w:val="0"/>
                      <w:bCs w:val="0"/>
                      <w:color w:val="000000" w:themeColor="text1"/>
                      <w:sz w:val="21"/>
                      <w:szCs w:val="21"/>
                      <w:u w:val="single"/>
                      <w14:textFill>
                        <w14:solidFill>
                          <w14:schemeClr w14:val="tx1"/>
                        </w14:solidFill>
                      </w14:textFill>
                    </w:rPr>
                    <w:t>泉交河断面</w:t>
                  </w:r>
                </w:p>
              </w:tc>
              <w:tc>
                <w:tcPr>
                  <w:tcW w:w="839" w:type="pct"/>
                  <w:tcBorders>
                    <w:tl2br w:val="nil"/>
                    <w:tr2bl w:val="nil"/>
                  </w:tcBorders>
                  <w:vAlign w:val="center"/>
                </w:tcPr>
                <w:p w14:paraId="0E031CA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47" w:name="_Toc189746378"/>
                  <w:r>
                    <w:rPr>
                      <w:rFonts w:hint="eastAsia"/>
                      <w:b w:val="0"/>
                      <w:bCs w:val="0"/>
                      <w:color w:val="000000" w:themeColor="text1"/>
                      <w:sz w:val="21"/>
                      <w:szCs w:val="21"/>
                      <w:u w:val="single"/>
                      <w14:textFill>
                        <w14:solidFill>
                          <w14:schemeClr w14:val="tx1"/>
                        </w14:solidFill>
                      </w14:textFill>
                    </w:rPr>
                    <w:t>pH</w:t>
                  </w:r>
                  <w:bookmarkEnd w:id="47"/>
                </w:p>
              </w:tc>
              <w:tc>
                <w:tcPr>
                  <w:tcW w:w="542" w:type="pct"/>
                  <w:tcBorders>
                    <w:tl2br w:val="nil"/>
                    <w:tr2bl w:val="nil"/>
                  </w:tcBorders>
                  <w:vAlign w:val="center"/>
                </w:tcPr>
                <w:p w14:paraId="286E4A1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48" w:name="_Toc189746379"/>
                  <w:r>
                    <w:rPr>
                      <w:rFonts w:hint="eastAsia"/>
                      <w:b w:val="0"/>
                      <w:bCs w:val="0"/>
                      <w:color w:val="000000" w:themeColor="text1"/>
                      <w:sz w:val="21"/>
                      <w:szCs w:val="21"/>
                      <w:u w:val="single"/>
                      <w14:textFill>
                        <w14:solidFill>
                          <w14:schemeClr w14:val="tx1"/>
                        </w14:solidFill>
                      </w14:textFill>
                    </w:rPr>
                    <w:t>无量纲</w:t>
                  </w:r>
                  <w:bookmarkEnd w:id="48"/>
                </w:p>
              </w:tc>
              <w:tc>
                <w:tcPr>
                  <w:tcW w:w="662" w:type="pct"/>
                  <w:tcBorders>
                    <w:tl2br w:val="nil"/>
                    <w:tr2bl w:val="nil"/>
                  </w:tcBorders>
                  <w:vAlign w:val="center"/>
                </w:tcPr>
                <w:p w14:paraId="2A1C588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6.8</w:t>
                  </w:r>
                </w:p>
              </w:tc>
              <w:tc>
                <w:tcPr>
                  <w:tcW w:w="657" w:type="pct"/>
                  <w:tcBorders>
                    <w:tl2br w:val="nil"/>
                    <w:tr2bl w:val="nil"/>
                  </w:tcBorders>
                  <w:vAlign w:val="center"/>
                </w:tcPr>
                <w:p w14:paraId="1C7BF6A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7</w:t>
                  </w:r>
                </w:p>
              </w:tc>
              <w:tc>
                <w:tcPr>
                  <w:tcW w:w="719" w:type="pct"/>
                  <w:tcBorders>
                    <w:tl2br w:val="nil"/>
                    <w:tr2bl w:val="nil"/>
                  </w:tcBorders>
                  <w:vAlign w:val="center"/>
                </w:tcPr>
                <w:p w14:paraId="5AB30BF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7</w:t>
                  </w:r>
                </w:p>
              </w:tc>
              <w:tc>
                <w:tcPr>
                  <w:tcW w:w="665" w:type="pct"/>
                  <w:tcBorders>
                    <w:tl2br w:val="nil"/>
                    <w:tr2bl w:val="nil"/>
                  </w:tcBorders>
                  <w:vAlign w:val="center"/>
                </w:tcPr>
                <w:p w14:paraId="21DEB04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49" w:name="_Toc189746383"/>
                  <w:r>
                    <w:rPr>
                      <w:rFonts w:hint="eastAsia"/>
                      <w:b w:val="0"/>
                      <w:bCs w:val="0"/>
                      <w:color w:val="000000" w:themeColor="text1"/>
                      <w:sz w:val="21"/>
                      <w:szCs w:val="21"/>
                      <w:u w:val="single"/>
                      <w14:textFill>
                        <w14:solidFill>
                          <w14:schemeClr w14:val="tx1"/>
                        </w14:solidFill>
                      </w14:textFill>
                    </w:rPr>
                    <w:t>6</w:t>
                  </w:r>
                  <w:r>
                    <w:rPr>
                      <w:rFonts w:hint="eastAsia" w:ascii="宋体" w:hAnsi="宋体" w:cs="宋体"/>
                      <w:b w:val="0"/>
                      <w:bCs w:val="0"/>
                      <w:color w:val="000000" w:themeColor="text1"/>
                      <w:sz w:val="21"/>
                      <w:szCs w:val="21"/>
                      <w:u w:val="single"/>
                      <w14:textFill>
                        <w14:solidFill>
                          <w14:schemeClr w14:val="tx1"/>
                        </w14:solidFill>
                      </w14:textFill>
                    </w:rPr>
                    <w:t>-</w:t>
                  </w:r>
                  <w:r>
                    <w:rPr>
                      <w:rFonts w:hint="eastAsia"/>
                      <w:b w:val="0"/>
                      <w:bCs w:val="0"/>
                      <w:color w:val="000000" w:themeColor="text1"/>
                      <w:sz w:val="21"/>
                      <w:szCs w:val="21"/>
                      <w:u w:val="single"/>
                      <w14:textFill>
                        <w14:solidFill>
                          <w14:schemeClr w14:val="tx1"/>
                        </w14:solidFill>
                      </w14:textFill>
                    </w:rPr>
                    <w:t>9</w:t>
                  </w:r>
                  <w:bookmarkEnd w:id="49"/>
                </w:p>
              </w:tc>
            </w:tr>
            <w:tr w14:paraId="22692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4D07102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230272C5">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溶解氧</w:t>
                  </w:r>
                </w:p>
              </w:tc>
              <w:tc>
                <w:tcPr>
                  <w:tcW w:w="542" w:type="pct"/>
                  <w:tcBorders>
                    <w:tl2br w:val="nil"/>
                    <w:tr2bl w:val="nil"/>
                  </w:tcBorders>
                  <w:vAlign w:val="center"/>
                </w:tcPr>
                <w:p w14:paraId="2FF9AC8F">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85DBE3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6.5</w:t>
                  </w:r>
                </w:p>
              </w:tc>
              <w:tc>
                <w:tcPr>
                  <w:tcW w:w="657" w:type="pct"/>
                  <w:tcBorders>
                    <w:tl2br w:val="nil"/>
                    <w:tr2bl w:val="nil"/>
                  </w:tcBorders>
                  <w:vAlign w:val="center"/>
                </w:tcPr>
                <w:p w14:paraId="5F5837A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6.7</w:t>
                  </w:r>
                </w:p>
              </w:tc>
              <w:tc>
                <w:tcPr>
                  <w:tcW w:w="719" w:type="pct"/>
                  <w:tcBorders>
                    <w:tl2br w:val="nil"/>
                    <w:tr2bl w:val="nil"/>
                  </w:tcBorders>
                  <w:vAlign w:val="center"/>
                </w:tcPr>
                <w:p w14:paraId="565ACC9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6.5</w:t>
                  </w:r>
                </w:p>
              </w:tc>
              <w:tc>
                <w:tcPr>
                  <w:tcW w:w="665" w:type="pct"/>
                  <w:tcBorders>
                    <w:tl2br w:val="nil"/>
                    <w:tr2bl w:val="nil"/>
                  </w:tcBorders>
                  <w:vAlign w:val="center"/>
                </w:tcPr>
                <w:p w14:paraId="7466AF8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5</w:t>
                  </w:r>
                </w:p>
              </w:tc>
            </w:tr>
            <w:tr w14:paraId="52A32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7AF380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8049B6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CODcr</w:t>
                  </w:r>
                </w:p>
              </w:tc>
              <w:tc>
                <w:tcPr>
                  <w:tcW w:w="542" w:type="pct"/>
                  <w:tcBorders>
                    <w:tl2br w:val="nil"/>
                    <w:tr2bl w:val="nil"/>
                  </w:tcBorders>
                  <w:vAlign w:val="center"/>
                </w:tcPr>
                <w:p w14:paraId="43CB008F">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DE139A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19</w:t>
                  </w:r>
                </w:p>
              </w:tc>
              <w:tc>
                <w:tcPr>
                  <w:tcW w:w="657" w:type="pct"/>
                  <w:tcBorders>
                    <w:tl2br w:val="nil"/>
                    <w:tr2bl w:val="nil"/>
                  </w:tcBorders>
                  <w:vAlign w:val="center"/>
                </w:tcPr>
                <w:p w14:paraId="246C9A8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18</w:t>
                  </w:r>
                </w:p>
              </w:tc>
              <w:tc>
                <w:tcPr>
                  <w:tcW w:w="719" w:type="pct"/>
                  <w:tcBorders>
                    <w:tl2br w:val="nil"/>
                    <w:tr2bl w:val="nil"/>
                  </w:tcBorders>
                  <w:vAlign w:val="center"/>
                </w:tcPr>
                <w:p w14:paraId="756FDF2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16</w:t>
                  </w:r>
                </w:p>
              </w:tc>
              <w:tc>
                <w:tcPr>
                  <w:tcW w:w="665" w:type="pct"/>
                  <w:tcBorders>
                    <w:tl2br w:val="nil"/>
                    <w:tr2bl w:val="nil"/>
                  </w:tcBorders>
                  <w:vAlign w:val="center"/>
                </w:tcPr>
                <w:p w14:paraId="5FD03C39">
                  <w:pPr>
                    <w:pStyle w:val="2"/>
                    <w:keepNext w:val="0"/>
                    <w:keepLines w:val="0"/>
                    <w:spacing w:before="0" w:after="0" w:line="240" w:lineRule="auto"/>
                    <w:jc w:val="center"/>
                    <w:rPr>
                      <w:rFonts w:hint="eastAsia" w:ascii="宋体" w:hAnsi="宋体" w:cs="宋体"/>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20</w:t>
                  </w:r>
                </w:p>
              </w:tc>
            </w:tr>
            <w:tr w14:paraId="46813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18531C5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4773CF6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BOD</w:t>
                  </w:r>
                  <w:r>
                    <w:rPr>
                      <w:rFonts w:hint="eastAsia"/>
                      <w:b w:val="0"/>
                      <w:bCs w:val="0"/>
                      <w:color w:val="000000" w:themeColor="text1"/>
                      <w:sz w:val="21"/>
                      <w:szCs w:val="21"/>
                      <w:u w:val="single"/>
                      <w:vertAlign w:val="subscript"/>
                      <w14:textFill>
                        <w14:solidFill>
                          <w14:schemeClr w14:val="tx1"/>
                        </w14:solidFill>
                      </w14:textFill>
                    </w:rPr>
                    <w:t>5</w:t>
                  </w:r>
                </w:p>
              </w:tc>
              <w:tc>
                <w:tcPr>
                  <w:tcW w:w="542" w:type="pct"/>
                  <w:tcBorders>
                    <w:tl2br w:val="nil"/>
                    <w:tr2bl w:val="nil"/>
                  </w:tcBorders>
                  <w:vAlign w:val="center"/>
                </w:tcPr>
                <w:p w14:paraId="40E8CEC1">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3E50934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3.9</w:t>
                  </w:r>
                </w:p>
              </w:tc>
              <w:tc>
                <w:tcPr>
                  <w:tcW w:w="657" w:type="pct"/>
                  <w:tcBorders>
                    <w:tl2br w:val="nil"/>
                    <w:tr2bl w:val="nil"/>
                  </w:tcBorders>
                  <w:vAlign w:val="center"/>
                </w:tcPr>
                <w:p w14:paraId="342E405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3.7</w:t>
                  </w:r>
                </w:p>
              </w:tc>
              <w:tc>
                <w:tcPr>
                  <w:tcW w:w="719" w:type="pct"/>
                  <w:tcBorders>
                    <w:tl2br w:val="nil"/>
                    <w:tr2bl w:val="nil"/>
                  </w:tcBorders>
                  <w:vAlign w:val="center"/>
                </w:tcPr>
                <w:p w14:paraId="6D66282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3.2</w:t>
                  </w:r>
                </w:p>
              </w:tc>
              <w:tc>
                <w:tcPr>
                  <w:tcW w:w="665" w:type="pct"/>
                  <w:tcBorders>
                    <w:tl2br w:val="nil"/>
                    <w:tr2bl w:val="nil"/>
                  </w:tcBorders>
                  <w:vAlign w:val="center"/>
                </w:tcPr>
                <w:p w14:paraId="031E8FD9">
                  <w:pPr>
                    <w:pStyle w:val="2"/>
                    <w:keepNext w:val="0"/>
                    <w:keepLines w:val="0"/>
                    <w:spacing w:before="0" w:after="0" w:line="240" w:lineRule="auto"/>
                    <w:jc w:val="center"/>
                    <w:rPr>
                      <w:rFonts w:hint="eastAsia" w:ascii="宋体" w:hAnsi="宋体" w:cs="宋体"/>
                      <w:b w:val="0"/>
                      <w:bCs w:val="0"/>
                      <w:color w:val="000000" w:themeColor="text1"/>
                      <w:sz w:val="21"/>
                      <w:szCs w:val="21"/>
                      <w:u w:val="single"/>
                      <w14:textFill>
                        <w14:solidFill>
                          <w14:schemeClr w14:val="tx1"/>
                        </w14:solidFill>
                      </w14:textFill>
                    </w:rPr>
                  </w:pPr>
                  <w:r>
                    <w:rPr>
                      <w:rFonts w:hint="eastAsia" w:ascii="宋体" w:hAnsi="宋体" w:cs="宋体"/>
                      <w:b w:val="0"/>
                      <w:bCs w:val="0"/>
                      <w:color w:val="000000" w:themeColor="text1"/>
                      <w:sz w:val="21"/>
                      <w:szCs w:val="21"/>
                      <w:u w:val="single"/>
                      <w14:textFill>
                        <w14:solidFill>
                          <w14:schemeClr w14:val="tx1"/>
                        </w14:solidFill>
                      </w14:textFill>
                    </w:rPr>
                    <w:t>4</w:t>
                  </w:r>
                </w:p>
              </w:tc>
            </w:tr>
            <w:tr w14:paraId="2CD9B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9733D9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350DB7A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0" w:name="_Toc189746393"/>
                  <w:r>
                    <w:rPr>
                      <w:rFonts w:hint="eastAsia"/>
                      <w:b w:val="0"/>
                      <w:bCs w:val="0"/>
                      <w:color w:val="000000" w:themeColor="text1"/>
                      <w:sz w:val="21"/>
                      <w:szCs w:val="21"/>
                      <w:u w:val="single"/>
                      <w14:textFill>
                        <w14:solidFill>
                          <w14:schemeClr w14:val="tx1"/>
                        </w14:solidFill>
                      </w14:textFill>
                    </w:rPr>
                    <w:t>氨氮</w:t>
                  </w:r>
                  <w:bookmarkEnd w:id="50"/>
                </w:p>
              </w:tc>
              <w:tc>
                <w:tcPr>
                  <w:tcW w:w="542" w:type="pct"/>
                  <w:tcBorders>
                    <w:tl2br w:val="nil"/>
                    <w:tr2bl w:val="nil"/>
                  </w:tcBorders>
                  <w:vAlign w:val="center"/>
                </w:tcPr>
                <w:p w14:paraId="6A4C0CB6">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02908A0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1" w:name="_Toc189746394"/>
                  <w:r>
                    <w:rPr>
                      <w:rFonts w:hint="eastAsia"/>
                      <w:b w:val="0"/>
                      <w:bCs w:val="0"/>
                      <w:color w:val="000000" w:themeColor="text1"/>
                      <w:sz w:val="21"/>
                      <w:szCs w:val="21"/>
                      <w:u w:val="single"/>
                      <w14:textFill>
                        <w14:solidFill>
                          <w14:schemeClr w14:val="tx1"/>
                        </w14:solidFill>
                      </w14:textFill>
                    </w:rPr>
                    <w:t>0.</w:t>
                  </w:r>
                  <w:bookmarkEnd w:id="51"/>
                  <w:r>
                    <w:rPr>
                      <w:rFonts w:hint="eastAsia"/>
                      <w:b w:val="0"/>
                      <w:bCs w:val="0"/>
                      <w:color w:val="000000" w:themeColor="text1"/>
                      <w:sz w:val="21"/>
                      <w:szCs w:val="21"/>
                      <w:u w:val="single"/>
                      <w14:textFill>
                        <w14:solidFill>
                          <w14:schemeClr w14:val="tx1"/>
                        </w14:solidFill>
                      </w14:textFill>
                    </w:rPr>
                    <w:t>315</w:t>
                  </w:r>
                </w:p>
              </w:tc>
              <w:tc>
                <w:tcPr>
                  <w:tcW w:w="657" w:type="pct"/>
                  <w:tcBorders>
                    <w:tl2br w:val="nil"/>
                    <w:tr2bl w:val="nil"/>
                  </w:tcBorders>
                  <w:vAlign w:val="center"/>
                </w:tcPr>
                <w:p w14:paraId="7E0C9F5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2" w:name="_Toc189746395"/>
                  <w:r>
                    <w:rPr>
                      <w:rFonts w:hint="eastAsia"/>
                      <w:b w:val="0"/>
                      <w:bCs w:val="0"/>
                      <w:color w:val="000000" w:themeColor="text1"/>
                      <w:sz w:val="21"/>
                      <w:szCs w:val="21"/>
                      <w:u w:val="single"/>
                      <w14:textFill>
                        <w14:solidFill>
                          <w14:schemeClr w14:val="tx1"/>
                        </w14:solidFill>
                      </w14:textFill>
                    </w:rPr>
                    <w:t>0.</w:t>
                  </w:r>
                  <w:bookmarkEnd w:id="52"/>
                  <w:r>
                    <w:rPr>
                      <w:rFonts w:hint="eastAsia"/>
                      <w:b w:val="0"/>
                      <w:bCs w:val="0"/>
                      <w:color w:val="000000" w:themeColor="text1"/>
                      <w:sz w:val="21"/>
                      <w:szCs w:val="21"/>
                      <w:u w:val="single"/>
                      <w14:textFill>
                        <w14:solidFill>
                          <w14:schemeClr w14:val="tx1"/>
                        </w14:solidFill>
                      </w14:textFill>
                    </w:rPr>
                    <w:t>307</w:t>
                  </w:r>
                </w:p>
              </w:tc>
              <w:tc>
                <w:tcPr>
                  <w:tcW w:w="719" w:type="pct"/>
                  <w:tcBorders>
                    <w:tl2br w:val="nil"/>
                    <w:tr2bl w:val="nil"/>
                  </w:tcBorders>
                  <w:vAlign w:val="center"/>
                </w:tcPr>
                <w:p w14:paraId="454A84A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3" w:name="_Toc189746396"/>
                  <w:r>
                    <w:rPr>
                      <w:rFonts w:hint="eastAsia"/>
                      <w:b w:val="0"/>
                      <w:bCs w:val="0"/>
                      <w:color w:val="000000" w:themeColor="text1"/>
                      <w:sz w:val="21"/>
                      <w:szCs w:val="21"/>
                      <w:u w:val="single"/>
                      <w14:textFill>
                        <w14:solidFill>
                          <w14:schemeClr w14:val="tx1"/>
                        </w14:solidFill>
                      </w14:textFill>
                    </w:rPr>
                    <w:t>0.</w:t>
                  </w:r>
                  <w:bookmarkEnd w:id="53"/>
                  <w:r>
                    <w:rPr>
                      <w:rFonts w:hint="eastAsia"/>
                      <w:b w:val="0"/>
                      <w:bCs w:val="0"/>
                      <w:color w:val="000000" w:themeColor="text1"/>
                      <w:sz w:val="21"/>
                      <w:szCs w:val="21"/>
                      <w:u w:val="single"/>
                      <w14:textFill>
                        <w14:solidFill>
                          <w14:schemeClr w14:val="tx1"/>
                        </w14:solidFill>
                      </w14:textFill>
                    </w:rPr>
                    <w:t>323</w:t>
                  </w:r>
                </w:p>
              </w:tc>
              <w:tc>
                <w:tcPr>
                  <w:tcW w:w="665" w:type="pct"/>
                  <w:tcBorders>
                    <w:tl2br w:val="nil"/>
                    <w:tr2bl w:val="nil"/>
                  </w:tcBorders>
                  <w:vAlign w:val="center"/>
                </w:tcPr>
                <w:p w14:paraId="56D10C8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4" w:name="_Toc189746397"/>
                  <w:r>
                    <w:rPr>
                      <w:b w:val="0"/>
                      <w:bCs w:val="0"/>
                      <w:color w:val="000000" w:themeColor="text1"/>
                      <w:sz w:val="21"/>
                      <w:szCs w:val="21"/>
                      <w:u w:val="single"/>
                      <w14:textFill>
                        <w14:solidFill>
                          <w14:schemeClr w14:val="tx1"/>
                        </w14:solidFill>
                      </w14:textFill>
                    </w:rPr>
                    <w:t>1.0</w:t>
                  </w:r>
                  <w:bookmarkEnd w:id="54"/>
                </w:p>
              </w:tc>
            </w:tr>
            <w:tr w14:paraId="24E81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736C1A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4AB07E7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5" w:name="_Toc189746398"/>
                  <w:r>
                    <w:rPr>
                      <w:rFonts w:hint="eastAsia"/>
                      <w:b w:val="0"/>
                      <w:bCs w:val="0"/>
                      <w:color w:val="000000" w:themeColor="text1"/>
                      <w:sz w:val="21"/>
                      <w:szCs w:val="21"/>
                      <w:u w:val="single"/>
                      <w14:textFill>
                        <w14:solidFill>
                          <w14:schemeClr w14:val="tx1"/>
                        </w14:solidFill>
                      </w14:textFill>
                    </w:rPr>
                    <w:t>总磷</w:t>
                  </w:r>
                  <w:bookmarkEnd w:id="55"/>
                </w:p>
              </w:tc>
              <w:tc>
                <w:tcPr>
                  <w:tcW w:w="542" w:type="pct"/>
                  <w:tcBorders>
                    <w:tl2br w:val="nil"/>
                    <w:tr2bl w:val="nil"/>
                  </w:tcBorders>
                  <w:vAlign w:val="center"/>
                </w:tcPr>
                <w:p w14:paraId="6FF03753">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D876FC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c>
                <w:tcPr>
                  <w:tcW w:w="657" w:type="pct"/>
                  <w:tcBorders>
                    <w:tl2br w:val="nil"/>
                    <w:tr2bl w:val="nil"/>
                  </w:tcBorders>
                  <w:vAlign w:val="center"/>
                </w:tcPr>
                <w:p w14:paraId="7FD7EC3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6" w:name="_Toc189746400"/>
                  <w:r>
                    <w:rPr>
                      <w:rFonts w:hint="eastAsia"/>
                      <w:b w:val="0"/>
                      <w:bCs w:val="0"/>
                      <w:color w:val="000000" w:themeColor="text1"/>
                      <w:sz w:val="21"/>
                      <w:szCs w:val="21"/>
                      <w:u w:val="single"/>
                      <w14:textFill>
                        <w14:solidFill>
                          <w14:schemeClr w14:val="tx1"/>
                        </w14:solidFill>
                      </w14:textFill>
                    </w:rPr>
                    <w:t>0.0</w:t>
                  </w:r>
                  <w:bookmarkEnd w:id="56"/>
                  <w:r>
                    <w:rPr>
                      <w:rFonts w:hint="eastAsia"/>
                      <w:b w:val="0"/>
                      <w:bCs w:val="0"/>
                      <w:color w:val="000000" w:themeColor="text1"/>
                      <w:sz w:val="21"/>
                      <w:szCs w:val="21"/>
                      <w:u w:val="single"/>
                      <w14:textFill>
                        <w14:solidFill>
                          <w14:schemeClr w14:val="tx1"/>
                        </w14:solidFill>
                      </w14:textFill>
                    </w:rPr>
                    <w:t>6</w:t>
                  </w:r>
                </w:p>
              </w:tc>
              <w:tc>
                <w:tcPr>
                  <w:tcW w:w="719" w:type="pct"/>
                  <w:tcBorders>
                    <w:tl2br w:val="nil"/>
                    <w:tr2bl w:val="nil"/>
                  </w:tcBorders>
                  <w:vAlign w:val="center"/>
                </w:tcPr>
                <w:p w14:paraId="198F2DB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7" w:name="_Toc189746401"/>
                  <w:r>
                    <w:rPr>
                      <w:rFonts w:hint="eastAsia"/>
                      <w:b w:val="0"/>
                      <w:bCs w:val="0"/>
                      <w:color w:val="000000" w:themeColor="text1"/>
                      <w:sz w:val="21"/>
                      <w:szCs w:val="21"/>
                      <w:u w:val="single"/>
                      <w14:textFill>
                        <w14:solidFill>
                          <w14:schemeClr w14:val="tx1"/>
                        </w14:solidFill>
                      </w14:textFill>
                    </w:rPr>
                    <w:t>0.0</w:t>
                  </w:r>
                  <w:bookmarkEnd w:id="57"/>
                  <w:r>
                    <w:rPr>
                      <w:rFonts w:hint="eastAsia"/>
                      <w:b w:val="0"/>
                      <w:bCs w:val="0"/>
                      <w:color w:val="000000" w:themeColor="text1"/>
                      <w:sz w:val="21"/>
                      <w:szCs w:val="21"/>
                      <w:u w:val="single"/>
                      <w14:textFill>
                        <w14:solidFill>
                          <w14:schemeClr w14:val="tx1"/>
                        </w14:solidFill>
                      </w14:textFill>
                    </w:rPr>
                    <w:t>7</w:t>
                  </w:r>
                </w:p>
              </w:tc>
              <w:tc>
                <w:tcPr>
                  <w:tcW w:w="665" w:type="pct"/>
                  <w:tcBorders>
                    <w:tl2br w:val="nil"/>
                    <w:tr2bl w:val="nil"/>
                  </w:tcBorders>
                  <w:vAlign w:val="center"/>
                </w:tcPr>
                <w:p w14:paraId="24D89C1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8" w:name="_Toc189746402"/>
                  <w:r>
                    <w:rPr>
                      <w:b w:val="0"/>
                      <w:bCs w:val="0"/>
                      <w:color w:val="000000" w:themeColor="text1"/>
                      <w:sz w:val="21"/>
                      <w:szCs w:val="21"/>
                      <w:u w:val="single"/>
                      <w14:textFill>
                        <w14:solidFill>
                          <w14:schemeClr w14:val="tx1"/>
                        </w14:solidFill>
                      </w14:textFill>
                    </w:rPr>
                    <w:t>0.2</w:t>
                  </w:r>
                  <w:bookmarkEnd w:id="58"/>
                </w:p>
              </w:tc>
            </w:tr>
            <w:tr w14:paraId="5AE0D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77D1008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280F6AA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59" w:name="_Toc189746403"/>
                  <w:r>
                    <w:rPr>
                      <w:rFonts w:hint="eastAsia"/>
                      <w:b w:val="0"/>
                      <w:bCs w:val="0"/>
                      <w:color w:val="000000" w:themeColor="text1"/>
                      <w:sz w:val="21"/>
                      <w:szCs w:val="21"/>
                      <w:u w:val="single"/>
                      <w14:textFill>
                        <w14:solidFill>
                          <w14:schemeClr w14:val="tx1"/>
                        </w14:solidFill>
                      </w14:textFill>
                    </w:rPr>
                    <w:t>总氮</w:t>
                  </w:r>
                  <w:bookmarkEnd w:id="59"/>
                </w:p>
              </w:tc>
              <w:tc>
                <w:tcPr>
                  <w:tcW w:w="542" w:type="pct"/>
                  <w:tcBorders>
                    <w:tl2br w:val="nil"/>
                    <w:tr2bl w:val="nil"/>
                  </w:tcBorders>
                  <w:vAlign w:val="center"/>
                </w:tcPr>
                <w:p w14:paraId="727A85EA">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17063A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0.62</w:t>
                  </w:r>
                </w:p>
              </w:tc>
              <w:tc>
                <w:tcPr>
                  <w:tcW w:w="657" w:type="pct"/>
                  <w:tcBorders>
                    <w:tl2br w:val="nil"/>
                    <w:tr2bl w:val="nil"/>
                  </w:tcBorders>
                  <w:vAlign w:val="center"/>
                </w:tcPr>
                <w:p w14:paraId="2FAB20F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60" w:name="_Toc189746405"/>
                  <w:r>
                    <w:rPr>
                      <w:rFonts w:hint="eastAsia"/>
                      <w:b w:val="0"/>
                      <w:bCs w:val="0"/>
                      <w:color w:val="000000" w:themeColor="text1"/>
                      <w:sz w:val="21"/>
                      <w:szCs w:val="21"/>
                      <w:u w:val="single"/>
                      <w14:textFill>
                        <w14:solidFill>
                          <w14:schemeClr w14:val="tx1"/>
                        </w14:solidFill>
                      </w14:textFill>
                    </w:rPr>
                    <w:t>0.65</w:t>
                  </w:r>
                  <w:bookmarkEnd w:id="60"/>
                </w:p>
              </w:tc>
              <w:tc>
                <w:tcPr>
                  <w:tcW w:w="719" w:type="pct"/>
                  <w:tcBorders>
                    <w:tl2br w:val="nil"/>
                    <w:tr2bl w:val="nil"/>
                  </w:tcBorders>
                  <w:vAlign w:val="center"/>
                </w:tcPr>
                <w:p w14:paraId="531D22EF">
                  <w:pPr>
                    <w:pStyle w:val="2"/>
                    <w:keepNext w:val="0"/>
                    <w:keepLines w:val="0"/>
                    <w:spacing w:before="0" w:after="0" w:line="240" w:lineRule="auto"/>
                    <w:jc w:val="center"/>
                    <w:rPr>
                      <w:u w:val="single"/>
                    </w:rPr>
                  </w:pPr>
                  <w:bookmarkStart w:id="61" w:name="_Toc189746406"/>
                  <w:r>
                    <w:rPr>
                      <w:rFonts w:hint="eastAsia"/>
                      <w:b w:val="0"/>
                      <w:bCs w:val="0"/>
                      <w:color w:val="000000" w:themeColor="text1"/>
                      <w:sz w:val="21"/>
                      <w:szCs w:val="21"/>
                      <w:u w:val="single"/>
                      <w14:textFill>
                        <w14:solidFill>
                          <w14:schemeClr w14:val="tx1"/>
                        </w14:solidFill>
                      </w14:textFill>
                    </w:rPr>
                    <w:t>0.</w:t>
                  </w:r>
                  <w:bookmarkEnd w:id="61"/>
                  <w:r>
                    <w:rPr>
                      <w:rFonts w:hint="eastAsia"/>
                      <w:b w:val="0"/>
                      <w:bCs w:val="0"/>
                      <w:color w:val="000000" w:themeColor="text1"/>
                      <w:sz w:val="21"/>
                      <w:szCs w:val="21"/>
                      <w:u w:val="single"/>
                      <w14:textFill>
                        <w14:solidFill>
                          <w14:schemeClr w14:val="tx1"/>
                        </w14:solidFill>
                      </w14:textFill>
                    </w:rPr>
                    <w:t>62</w:t>
                  </w:r>
                </w:p>
              </w:tc>
              <w:tc>
                <w:tcPr>
                  <w:tcW w:w="665" w:type="pct"/>
                  <w:tcBorders>
                    <w:tl2br w:val="nil"/>
                    <w:tr2bl w:val="nil"/>
                  </w:tcBorders>
                  <w:vAlign w:val="center"/>
                </w:tcPr>
                <w:p w14:paraId="1FD21E4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62" w:name="_Toc189746407"/>
                  <w:r>
                    <w:rPr>
                      <w:b w:val="0"/>
                      <w:bCs w:val="0"/>
                      <w:color w:val="000000" w:themeColor="text1"/>
                      <w:sz w:val="21"/>
                      <w:szCs w:val="21"/>
                      <w:u w:val="single"/>
                      <w14:textFill>
                        <w14:solidFill>
                          <w14:schemeClr w14:val="tx1"/>
                        </w14:solidFill>
                      </w14:textFill>
                    </w:rPr>
                    <w:t>1.0</w:t>
                  </w:r>
                  <w:bookmarkEnd w:id="62"/>
                </w:p>
              </w:tc>
            </w:tr>
            <w:tr w14:paraId="6FAD3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7E132EF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63" w:name="_Hlk215560939"/>
                </w:p>
              </w:tc>
              <w:tc>
                <w:tcPr>
                  <w:tcW w:w="839" w:type="pct"/>
                  <w:tcBorders>
                    <w:tl2br w:val="nil"/>
                    <w:tr2bl w:val="nil"/>
                  </w:tcBorders>
                  <w:vAlign w:val="center"/>
                </w:tcPr>
                <w:p w14:paraId="40FD484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六价铬</w:t>
                  </w:r>
                </w:p>
              </w:tc>
              <w:tc>
                <w:tcPr>
                  <w:tcW w:w="542" w:type="pct"/>
                  <w:tcBorders>
                    <w:tl2br w:val="nil"/>
                    <w:tr2bl w:val="nil"/>
                  </w:tcBorders>
                  <w:vAlign w:val="center"/>
                </w:tcPr>
                <w:p w14:paraId="4FCA3BD5">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C66402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0.004L</w:t>
                  </w:r>
                </w:p>
              </w:tc>
              <w:tc>
                <w:tcPr>
                  <w:tcW w:w="657" w:type="pct"/>
                  <w:tcBorders>
                    <w:tl2br w:val="nil"/>
                    <w:tr2bl w:val="nil"/>
                  </w:tcBorders>
                </w:tcPr>
                <w:p w14:paraId="19B7257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0.004L</w:t>
                  </w:r>
                </w:p>
              </w:tc>
              <w:tc>
                <w:tcPr>
                  <w:tcW w:w="719" w:type="pct"/>
                  <w:tcBorders>
                    <w:tl2br w:val="nil"/>
                    <w:tr2bl w:val="nil"/>
                  </w:tcBorders>
                </w:tcPr>
                <w:p w14:paraId="2224A97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0.004L</w:t>
                  </w:r>
                </w:p>
              </w:tc>
              <w:tc>
                <w:tcPr>
                  <w:tcW w:w="665" w:type="pct"/>
                  <w:tcBorders>
                    <w:tl2br w:val="nil"/>
                    <w:tr2bl w:val="nil"/>
                  </w:tcBorders>
                  <w:vAlign w:val="center"/>
                </w:tcPr>
                <w:p w14:paraId="7385D0E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bookmarkEnd w:id="63"/>
            <w:tr w14:paraId="2EB22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63E6FB1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2F3CBA1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LAS</w:t>
                  </w:r>
                </w:p>
              </w:tc>
              <w:tc>
                <w:tcPr>
                  <w:tcW w:w="542" w:type="pct"/>
                  <w:tcBorders>
                    <w:tl2br w:val="nil"/>
                    <w:tr2bl w:val="nil"/>
                  </w:tcBorders>
                  <w:vAlign w:val="center"/>
                </w:tcPr>
                <w:p w14:paraId="47BBD86D">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0C6A9FC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0.05L</w:t>
                  </w:r>
                </w:p>
              </w:tc>
              <w:tc>
                <w:tcPr>
                  <w:tcW w:w="657" w:type="pct"/>
                  <w:tcBorders>
                    <w:tl2br w:val="nil"/>
                    <w:tr2bl w:val="nil"/>
                  </w:tcBorders>
                </w:tcPr>
                <w:p w14:paraId="7181128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0.05L</w:t>
                  </w:r>
                </w:p>
              </w:tc>
              <w:tc>
                <w:tcPr>
                  <w:tcW w:w="719" w:type="pct"/>
                  <w:tcBorders>
                    <w:tl2br w:val="nil"/>
                    <w:tr2bl w:val="nil"/>
                  </w:tcBorders>
                </w:tcPr>
                <w:p w14:paraId="7FB182F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0.05L</w:t>
                  </w:r>
                </w:p>
              </w:tc>
              <w:tc>
                <w:tcPr>
                  <w:tcW w:w="665" w:type="pct"/>
                  <w:tcBorders>
                    <w:tl2br w:val="nil"/>
                    <w:tr2bl w:val="nil"/>
                  </w:tcBorders>
                  <w:vAlign w:val="center"/>
                </w:tcPr>
                <w:p w14:paraId="57FA0C2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b w:val="0"/>
                      <w:bCs w:val="0"/>
                      <w:color w:val="000000" w:themeColor="text1"/>
                      <w:sz w:val="21"/>
                      <w:szCs w:val="21"/>
                      <w:u w:val="single"/>
                      <w14:textFill>
                        <w14:solidFill>
                          <w14:schemeClr w14:val="tx1"/>
                        </w14:solidFill>
                      </w14:textFill>
                    </w:rPr>
                    <w:t>0.2</w:t>
                  </w:r>
                </w:p>
              </w:tc>
            </w:tr>
            <w:tr w14:paraId="14BE4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2B9D90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2EC68C8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挥发酚</w:t>
                  </w:r>
                </w:p>
              </w:tc>
              <w:tc>
                <w:tcPr>
                  <w:tcW w:w="542" w:type="pct"/>
                  <w:tcBorders>
                    <w:tl2br w:val="nil"/>
                    <w:tr2bl w:val="nil"/>
                  </w:tcBorders>
                  <w:vAlign w:val="center"/>
                </w:tcPr>
                <w:p w14:paraId="1209BB04">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A5833C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0.0003L</w:t>
                  </w:r>
                </w:p>
              </w:tc>
              <w:tc>
                <w:tcPr>
                  <w:tcW w:w="657" w:type="pct"/>
                  <w:tcBorders>
                    <w:tl2br w:val="nil"/>
                    <w:tr2bl w:val="nil"/>
                  </w:tcBorders>
                </w:tcPr>
                <w:p w14:paraId="44C6993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0.0003L</w:t>
                  </w:r>
                </w:p>
              </w:tc>
              <w:tc>
                <w:tcPr>
                  <w:tcW w:w="719" w:type="pct"/>
                  <w:tcBorders>
                    <w:tl2br w:val="nil"/>
                    <w:tr2bl w:val="nil"/>
                  </w:tcBorders>
                </w:tcPr>
                <w:p w14:paraId="11F13AA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0.0003L</w:t>
                  </w:r>
                </w:p>
              </w:tc>
              <w:tc>
                <w:tcPr>
                  <w:tcW w:w="665" w:type="pct"/>
                  <w:tcBorders>
                    <w:tl2br w:val="nil"/>
                    <w:tr2bl w:val="nil"/>
                  </w:tcBorders>
                  <w:vAlign w:val="center"/>
                </w:tcPr>
                <w:p w14:paraId="6E64312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bookmarkStart w:id="64" w:name="_Toc189746418"/>
                  <w:r>
                    <w:rPr>
                      <w:b w:val="0"/>
                      <w:bCs w:val="0"/>
                      <w:color w:val="000000" w:themeColor="text1"/>
                      <w:sz w:val="21"/>
                      <w:szCs w:val="21"/>
                      <w:u w:val="single"/>
                      <w14:textFill>
                        <w14:solidFill>
                          <w14:schemeClr w14:val="tx1"/>
                        </w14:solidFill>
                      </w14:textFill>
                    </w:rPr>
                    <w:t>0.0</w:t>
                  </w:r>
                  <w:bookmarkEnd w:id="64"/>
                  <w:r>
                    <w:rPr>
                      <w:rFonts w:hint="eastAsia"/>
                      <w:b w:val="0"/>
                      <w:bCs w:val="0"/>
                      <w:color w:val="000000" w:themeColor="text1"/>
                      <w:sz w:val="21"/>
                      <w:szCs w:val="21"/>
                      <w:u w:val="single"/>
                      <w14:textFill>
                        <w14:solidFill>
                          <w14:schemeClr w14:val="tx1"/>
                        </w14:solidFill>
                      </w14:textFill>
                    </w:rPr>
                    <w:t>05</w:t>
                  </w:r>
                </w:p>
              </w:tc>
            </w:tr>
            <w:tr w14:paraId="5BE60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6347BBB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1F8316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氟化物</w:t>
                  </w:r>
                </w:p>
              </w:tc>
              <w:tc>
                <w:tcPr>
                  <w:tcW w:w="542" w:type="pct"/>
                  <w:tcBorders>
                    <w:tl2br w:val="nil"/>
                    <w:tr2bl w:val="nil"/>
                  </w:tcBorders>
                  <w:vAlign w:val="center"/>
                </w:tcPr>
                <w:p w14:paraId="398BBD18">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40E20D8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0.217</w:t>
                  </w:r>
                </w:p>
              </w:tc>
              <w:tc>
                <w:tcPr>
                  <w:tcW w:w="657" w:type="pct"/>
                  <w:tcBorders>
                    <w:tl2br w:val="nil"/>
                    <w:tr2bl w:val="nil"/>
                  </w:tcBorders>
                  <w:vAlign w:val="center"/>
                </w:tcPr>
                <w:p w14:paraId="3B2E86C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0.236</w:t>
                  </w:r>
                </w:p>
              </w:tc>
              <w:tc>
                <w:tcPr>
                  <w:tcW w:w="719" w:type="pct"/>
                  <w:tcBorders>
                    <w:tl2br w:val="nil"/>
                    <w:tr2bl w:val="nil"/>
                  </w:tcBorders>
                  <w:vAlign w:val="center"/>
                </w:tcPr>
                <w:p w14:paraId="02F6699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0.23</w:t>
                  </w:r>
                </w:p>
              </w:tc>
              <w:tc>
                <w:tcPr>
                  <w:tcW w:w="665" w:type="pct"/>
                  <w:tcBorders>
                    <w:tl2br w:val="nil"/>
                    <w:tr2bl w:val="nil"/>
                  </w:tcBorders>
                  <w:vAlign w:val="center"/>
                </w:tcPr>
                <w:p w14:paraId="423DE77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1.0</w:t>
                  </w:r>
                </w:p>
              </w:tc>
            </w:tr>
            <w:tr w14:paraId="59AC7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01D85E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17A6B38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氰化物</w:t>
                  </w:r>
                </w:p>
              </w:tc>
              <w:tc>
                <w:tcPr>
                  <w:tcW w:w="542" w:type="pct"/>
                  <w:tcBorders>
                    <w:tl2br w:val="nil"/>
                    <w:tr2bl w:val="nil"/>
                  </w:tcBorders>
                </w:tcPr>
                <w:p w14:paraId="714310BF">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34E6582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0.001L</w:t>
                  </w:r>
                </w:p>
              </w:tc>
              <w:tc>
                <w:tcPr>
                  <w:tcW w:w="657" w:type="pct"/>
                  <w:tcBorders>
                    <w:tl2br w:val="nil"/>
                    <w:tr2bl w:val="nil"/>
                  </w:tcBorders>
                </w:tcPr>
                <w:p w14:paraId="03D00E2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0.001L</w:t>
                  </w:r>
                </w:p>
              </w:tc>
              <w:tc>
                <w:tcPr>
                  <w:tcW w:w="719" w:type="pct"/>
                  <w:tcBorders>
                    <w:tl2br w:val="nil"/>
                    <w:tr2bl w:val="nil"/>
                  </w:tcBorders>
                </w:tcPr>
                <w:p w14:paraId="5FBBED6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0.001L</w:t>
                  </w:r>
                </w:p>
              </w:tc>
              <w:tc>
                <w:tcPr>
                  <w:tcW w:w="665" w:type="pct"/>
                  <w:tcBorders>
                    <w:tl2br w:val="nil"/>
                    <w:tr2bl w:val="nil"/>
                  </w:tcBorders>
                  <w:vAlign w:val="center"/>
                </w:tcPr>
                <w:p w14:paraId="478F25D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w:t>
                  </w:r>
                </w:p>
              </w:tc>
            </w:tr>
            <w:tr w14:paraId="24482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528579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7B519A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硫化物</w:t>
                  </w:r>
                </w:p>
              </w:tc>
              <w:tc>
                <w:tcPr>
                  <w:tcW w:w="542" w:type="pct"/>
                  <w:tcBorders>
                    <w:tl2br w:val="nil"/>
                    <w:tr2bl w:val="nil"/>
                  </w:tcBorders>
                </w:tcPr>
                <w:p w14:paraId="79A6787A">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0268EBE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57" w:type="pct"/>
                  <w:tcBorders>
                    <w:tl2br w:val="nil"/>
                    <w:tr2bl w:val="nil"/>
                  </w:tcBorders>
                </w:tcPr>
                <w:p w14:paraId="0E2F32C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719" w:type="pct"/>
                  <w:tcBorders>
                    <w:tl2br w:val="nil"/>
                    <w:tr2bl w:val="nil"/>
                  </w:tcBorders>
                </w:tcPr>
                <w:p w14:paraId="43BB835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65" w:type="pct"/>
                  <w:tcBorders>
                    <w:tl2br w:val="nil"/>
                    <w:tr2bl w:val="nil"/>
                  </w:tcBorders>
                  <w:vAlign w:val="center"/>
                </w:tcPr>
                <w:p w14:paraId="0BAA6DE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w:t>
                  </w:r>
                </w:p>
              </w:tc>
            </w:tr>
            <w:tr w14:paraId="14D2F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7B7D1A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1F3417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石油类</w:t>
                  </w:r>
                </w:p>
              </w:tc>
              <w:tc>
                <w:tcPr>
                  <w:tcW w:w="542" w:type="pct"/>
                  <w:tcBorders>
                    <w:tl2br w:val="nil"/>
                    <w:tr2bl w:val="nil"/>
                  </w:tcBorders>
                </w:tcPr>
                <w:p w14:paraId="7C247DB3">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tcPr>
                <w:p w14:paraId="1EF730B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57" w:type="pct"/>
                  <w:tcBorders>
                    <w:tl2br w:val="nil"/>
                    <w:tr2bl w:val="nil"/>
                  </w:tcBorders>
                </w:tcPr>
                <w:p w14:paraId="0C13C91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719" w:type="pct"/>
                  <w:tcBorders>
                    <w:tl2br w:val="nil"/>
                    <w:tr2bl w:val="nil"/>
                  </w:tcBorders>
                </w:tcPr>
                <w:p w14:paraId="6E1692E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65" w:type="pct"/>
                  <w:tcBorders>
                    <w:tl2br w:val="nil"/>
                    <w:tr2bl w:val="nil"/>
                  </w:tcBorders>
                  <w:vAlign w:val="center"/>
                </w:tcPr>
                <w:p w14:paraId="730EAB6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733FC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65AE114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1D92B6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硫酸盐</w:t>
                  </w:r>
                </w:p>
              </w:tc>
              <w:tc>
                <w:tcPr>
                  <w:tcW w:w="542" w:type="pct"/>
                  <w:tcBorders>
                    <w:tl2br w:val="nil"/>
                    <w:tr2bl w:val="nil"/>
                  </w:tcBorders>
                </w:tcPr>
                <w:p w14:paraId="6362F61E">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688C5B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13.6</w:t>
                  </w:r>
                </w:p>
              </w:tc>
              <w:tc>
                <w:tcPr>
                  <w:tcW w:w="657" w:type="pct"/>
                  <w:tcBorders>
                    <w:tl2br w:val="nil"/>
                    <w:tr2bl w:val="nil"/>
                  </w:tcBorders>
                  <w:vAlign w:val="center"/>
                </w:tcPr>
                <w:p w14:paraId="2816287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15.2</w:t>
                  </w:r>
                </w:p>
              </w:tc>
              <w:tc>
                <w:tcPr>
                  <w:tcW w:w="719" w:type="pct"/>
                  <w:tcBorders>
                    <w:tl2br w:val="nil"/>
                    <w:tr2bl w:val="nil"/>
                  </w:tcBorders>
                  <w:vAlign w:val="center"/>
                </w:tcPr>
                <w:p w14:paraId="751B4A6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14.5</w:t>
                  </w:r>
                </w:p>
              </w:tc>
              <w:tc>
                <w:tcPr>
                  <w:tcW w:w="665" w:type="pct"/>
                  <w:tcBorders>
                    <w:tl2br w:val="nil"/>
                    <w:tr2bl w:val="nil"/>
                  </w:tcBorders>
                  <w:vAlign w:val="center"/>
                </w:tcPr>
                <w:p w14:paraId="33021DD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2A047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597982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33B5DAA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氯化物</w:t>
                  </w:r>
                </w:p>
              </w:tc>
              <w:tc>
                <w:tcPr>
                  <w:tcW w:w="542" w:type="pct"/>
                  <w:tcBorders>
                    <w:tl2br w:val="nil"/>
                    <w:tr2bl w:val="nil"/>
                  </w:tcBorders>
                </w:tcPr>
                <w:p w14:paraId="62930100">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3C9A5B4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12.2</w:t>
                  </w:r>
                </w:p>
              </w:tc>
              <w:tc>
                <w:tcPr>
                  <w:tcW w:w="657" w:type="pct"/>
                  <w:tcBorders>
                    <w:tl2br w:val="nil"/>
                    <w:tr2bl w:val="nil"/>
                  </w:tcBorders>
                  <w:vAlign w:val="center"/>
                </w:tcPr>
                <w:p w14:paraId="08ABA8E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13.3</w:t>
                  </w:r>
                </w:p>
              </w:tc>
              <w:tc>
                <w:tcPr>
                  <w:tcW w:w="719" w:type="pct"/>
                  <w:tcBorders>
                    <w:tl2br w:val="nil"/>
                    <w:tr2bl w:val="nil"/>
                  </w:tcBorders>
                  <w:vAlign w:val="center"/>
                </w:tcPr>
                <w:p w14:paraId="3C7C5D8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12.8</w:t>
                  </w:r>
                </w:p>
              </w:tc>
              <w:tc>
                <w:tcPr>
                  <w:tcW w:w="665" w:type="pct"/>
                  <w:tcBorders>
                    <w:tl2br w:val="nil"/>
                    <w:tr2bl w:val="nil"/>
                  </w:tcBorders>
                  <w:vAlign w:val="center"/>
                </w:tcPr>
                <w:p w14:paraId="0A1D885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3074F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7ABA29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E88DE4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铜</w:t>
                  </w:r>
                </w:p>
              </w:tc>
              <w:tc>
                <w:tcPr>
                  <w:tcW w:w="542" w:type="pct"/>
                  <w:tcBorders>
                    <w:tl2br w:val="nil"/>
                    <w:tr2bl w:val="nil"/>
                  </w:tcBorders>
                </w:tcPr>
                <w:p w14:paraId="43C54EA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0367EB6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0.00187</w:t>
                  </w:r>
                </w:p>
              </w:tc>
              <w:tc>
                <w:tcPr>
                  <w:tcW w:w="657" w:type="pct"/>
                  <w:tcBorders>
                    <w:tl2br w:val="nil"/>
                    <w:tr2bl w:val="nil"/>
                  </w:tcBorders>
                  <w:vAlign w:val="center"/>
                </w:tcPr>
                <w:p w14:paraId="44BDF2B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0.0051</w:t>
                  </w:r>
                </w:p>
              </w:tc>
              <w:tc>
                <w:tcPr>
                  <w:tcW w:w="719" w:type="pct"/>
                  <w:tcBorders>
                    <w:tl2br w:val="nil"/>
                    <w:tr2bl w:val="nil"/>
                  </w:tcBorders>
                  <w:vAlign w:val="center"/>
                </w:tcPr>
                <w:p w14:paraId="4614D70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0.00166</w:t>
                  </w:r>
                </w:p>
              </w:tc>
              <w:tc>
                <w:tcPr>
                  <w:tcW w:w="665" w:type="pct"/>
                  <w:tcBorders>
                    <w:tl2br w:val="nil"/>
                    <w:tr2bl w:val="nil"/>
                  </w:tcBorders>
                  <w:vAlign w:val="center"/>
                </w:tcPr>
                <w:p w14:paraId="2889259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1.0</w:t>
                  </w:r>
                </w:p>
              </w:tc>
            </w:tr>
            <w:tr w14:paraId="2B1F4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85F953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5ED5A1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锌</w:t>
                  </w:r>
                </w:p>
              </w:tc>
              <w:tc>
                <w:tcPr>
                  <w:tcW w:w="542" w:type="pct"/>
                  <w:tcBorders>
                    <w:tl2br w:val="nil"/>
                    <w:tr2bl w:val="nil"/>
                  </w:tcBorders>
                </w:tcPr>
                <w:p w14:paraId="0DA70EA3">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CE93F9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0.00405</w:t>
                  </w:r>
                </w:p>
              </w:tc>
              <w:tc>
                <w:tcPr>
                  <w:tcW w:w="657" w:type="pct"/>
                  <w:tcBorders>
                    <w:tl2br w:val="nil"/>
                    <w:tr2bl w:val="nil"/>
                  </w:tcBorders>
                  <w:vAlign w:val="center"/>
                </w:tcPr>
                <w:p w14:paraId="7B3A069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0.00927</w:t>
                  </w:r>
                </w:p>
              </w:tc>
              <w:tc>
                <w:tcPr>
                  <w:tcW w:w="719" w:type="pct"/>
                  <w:tcBorders>
                    <w:tl2br w:val="nil"/>
                    <w:tr2bl w:val="nil"/>
                  </w:tcBorders>
                  <w:vAlign w:val="center"/>
                </w:tcPr>
                <w:p w14:paraId="7C1B63D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0.00421</w:t>
                  </w:r>
                </w:p>
              </w:tc>
              <w:tc>
                <w:tcPr>
                  <w:tcW w:w="665" w:type="pct"/>
                  <w:tcBorders>
                    <w:tl2br w:val="nil"/>
                    <w:tr2bl w:val="nil"/>
                  </w:tcBorders>
                  <w:vAlign w:val="center"/>
                </w:tcPr>
                <w:p w14:paraId="41D1DD3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1.0</w:t>
                  </w:r>
                </w:p>
              </w:tc>
            </w:tr>
            <w:tr w14:paraId="2861A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6A478C9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5E9EBC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砷</w:t>
                  </w:r>
                </w:p>
              </w:tc>
              <w:tc>
                <w:tcPr>
                  <w:tcW w:w="542" w:type="pct"/>
                  <w:tcBorders>
                    <w:tl2br w:val="nil"/>
                    <w:tr2bl w:val="nil"/>
                  </w:tcBorders>
                </w:tcPr>
                <w:p w14:paraId="0A07FAFB">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F342B0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0.00247</w:t>
                  </w:r>
                </w:p>
              </w:tc>
              <w:tc>
                <w:tcPr>
                  <w:tcW w:w="657" w:type="pct"/>
                  <w:tcBorders>
                    <w:tl2br w:val="nil"/>
                    <w:tr2bl w:val="nil"/>
                  </w:tcBorders>
                  <w:vAlign w:val="center"/>
                </w:tcPr>
                <w:p w14:paraId="3F64709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0.00279</w:t>
                  </w:r>
                </w:p>
              </w:tc>
              <w:tc>
                <w:tcPr>
                  <w:tcW w:w="719" w:type="pct"/>
                  <w:tcBorders>
                    <w:tl2br w:val="nil"/>
                    <w:tr2bl w:val="nil"/>
                  </w:tcBorders>
                  <w:vAlign w:val="center"/>
                </w:tcPr>
                <w:p w14:paraId="0B3FDC7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0.00267</w:t>
                  </w:r>
                </w:p>
              </w:tc>
              <w:tc>
                <w:tcPr>
                  <w:tcW w:w="665" w:type="pct"/>
                  <w:tcBorders>
                    <w:tl2br w:val="nil"/>
                    <w:tr2bl w:val="nil"/>
                  </w:tcBorders>
                  <w:vAlign w:val="center"/>
                </w:tcPr>
                <w:p w14:paraId="2BF9C75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06934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45480D6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8367AC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铅</w:t>
                  </w:r>
                </w:p>
              </w:tc>
              <w:tc>
                <w:tcPr>
                  <w:tcW w:w="542" w:type="pct"/>
                  <w:tcBorders>
                    <w:tl2br w:val="nil"/>
                    <w:tr2bl w:val="nil"/>
                  </w:tcBorders>
                </w:tcPr>
                <w:p w14:paraId="5D115978">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7DA2328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0.00015</w:t>
                  </w:r>
                </w:p>
              </w:tc>
              <w:tc>
                <w:tcPr>
                  <w:tcW w:w="657" w:type="pct"/>
                  <w:tcBorders>
                    <w:tl2br w:val="nil"/>
                    <w:tr2bl w:val="nil"/>
                  </w:tcBorders>
                  <w:vAlign w:val="center"/>
                </w:tcPr>
                <w:p w14:paraId="5279280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0.00023</w:t>
                  </w:r>
                </w:p>
              </w:tc>
              <w:tc>
                <w:tcPr>
                  <w:tcW w:w="719" w:type="pct"/>
                  <w:tcBorders>
                    <w:tl2br w:val="nil"/>
                    <w:tr2bl w:val="nil"/>
                  </w:tcBorders>
                  <w:vAlign w:val="center"/>
                </w:tcPr>
                <w:p w14:paraId="0D017D5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0.0002</w:t>
                  </w:r>
                </w:p>
              </w:tc>
              <w:tc>
                <w:tcPr>
                  <w:tcW w:w="665" w:type="pct"/>
                  <w:tcBorders>
                    <w:tl2br w:val="nil"/>
                    <w:tr2bl w:val="nil"/>
                  </w:tcBorders>
                  <w:vAlign w:val="center"/>
                </w:tcPr>
                <w:p w14:paraId="0D335D6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580E6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775B135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C01D44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镉</w:t>
                  </w:r>
                </w:p>
              </w:tc>
              <w:tc>
                <w:tcPr>
                  <w:tcW w:w="542" w:type="pct"/>
                  <w:tcBorders>
                    <w:tl2br w:val="nil"/>
                    <w:tr2bl w:val="nil"/>
                  </w:tcBorders>
                </w:tcPr>
                <w:p w14:paraId="6D38D84B">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38CE99E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0.00005L</w:t>
                  </w:r>
                </w:p>
              </w:tc>
              <w:tc>
                <w:tcPr>
                  <w:tcW w:w="657" w:type="pct"/>
                  <w:tcBorders>
                    <w:tl2br w:val="nil"/>
                    <w:tr2bl w:val="nil"/>
                  </w:tcBorders>
                </w:tcPr>
                <w:p w14:paraId="68F1FE1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0.00005L</w:t>
                  </w:r>
                </w:p>
              </w:tc>
              <w:tc>
                <w:tcPr>
                  <w:tcW w:w="719" w:type="pct"/>
                  <w:tcBorders>
                    <w:tl2br w:val="nil"/>
                    <w:tr2bl w:val="nil"/>
                  </w:tcBorders>
                </w:tcPr>
                <w:p w14:paraId="26AE934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0.00005L</w:t>
                  </w:r>
                </w:p>
              </w:tc>
              <w:tc>
                <w:tcPr>
                  <w:tcW w:w="665" w:type="pct"/>
                  <w:tcBorders>
                    <w:tl2br w:val="nil"/>
                    <w:tr2bl w:val="nil"/>
                  </w:tcBorders>
                  <w:vAlign w:val="center"/>
                </w:tcPr>
                <w:p w14:paraId="1254BE1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0.005</w:t>
                  </w:r>
                </w:p>
              </w:tc>
            </w:tr>
            <w:tr w14:paraId="6F187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CC50E4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EC13A8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铁</w:t>
                  </w:r>
                </w:p>
              </w:tc>
              <w:tc>
                <w:tcPr>
                  <w:tcW w:w="542" w:type="pct"/>
                  <w:tcBorders>
                    <w:tl2br w:val="nil"/>
                    <w:tr2bl w:val="nil"/>
                  </w:tcBorders>
                </w:tcPr>
                <w:p w14:paraId="05EFB94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8A4412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0.00475</w:t>
                  </w:r>
                </w:p>
              </w:tc>
              <w:tc>
                <w:tcPr>
                  <w:tcW w:w="657" w:type="pct"/>
                  <w:tcBorders>
                    <w:tl2br w:val="nil"/>
                    <w:tr2bl w:val="nil"/>
                  </w:tcBorders>
                  <w:vAlign w:val="center"/>
                </w:tcPr>
                <w:p w14:paraId="30640C8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0.00514</w:t>
                  </w:r>
                </w:p>
              </w:tc>
              <w:tc>
                <w:tcPr>
                  <w:tcW w:w="719" w:type="pct"/>
                  <w:tcBorders>
                    <w:tl2br w:val="nil"/>
                    <w:tr2bl w:val="nil"/>
                  </w:tcBorders>
                  <w:vAlign w:val="center"/>
                </w:tcPr>
                <w:p w14:paraId="0942241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0.00324</w:t>
                  </w:r>
                </w:p>
              </w:tc>
              <w:tc>
                <w:tcPr>
                  <w:tcW w:w="665" w:type="pct"/>
                  <w:tcBorders>
                    <w:tl2br w:val="nil"/>
                    <w:tr2bl w:val="nil"/>
                  </w:tcBorders>
                  <w:vAlign w:val="center"/>
                </w:tcPr>
                <w:p w14:paraId="49702A6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2298C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17F8650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2F48BFD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锰</w:t>
                  </w:r>
                </w:p>
              </w:tc>
              <w:tc>
                <w:tcPr>
                  <w:tcW w:w="542" w:type="pct"/>
                  <w:tcBorders>
                    <w:tl2br w:val="nil"/>
                    <w:tr2bl w:val="nil"/>
                  </w:tcBorders>
                </w:tcPr>
                <w:p w14:paraId="14F49671">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063C1FC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0.00012L</w:t>
                  </w:r>
                </w:p>
              </w:tc>
              <w:tc>
                <w:tcPr>
                  <w:tcW w:w="657" w:type="pct"/>
                  <w:tcBorders>
                    <w:tl2br w:val="nil"/>
                    <w:tr2bl w:val="nil"/>
                  </w:tcBorders>
                  <w:vAlign w:val="center"/>
                </w:tcPr>
                <w:p w14:paraId="4B9BEE0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0.00012L</w:t>
                  </w:r>
                </w:p>
              </w:tc>
              <w:tc>
                <w:tcPr>
                  <w:tcW w:w="719" w:type="pct"/>
                  <w:tcBorders>
                    <w:tl2br w:val="nil"/>
                    <w:tr2bl w:val="nil"/>
                  </w:tcBorders>
                  <w:vAlign w:val="center"/>
                </w:tcPr>
                <w:p w14:paraId="38069EF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0.00012L</w:t>
                  </w:r>
                </w:p>
              </w:tc>
              <w:tc>
                <w:tcPr>
                  <w:tcW w:w="665" w:type="pct"/>
                  <w:tcBorders>
                    <w:tl2br w:val="nil"/>
                    <w:tr2bl w:val="nil"/>
                  </w:tcBorders>
                  <w:vAlign w:val="center"/>
                </w:tcPr>
                <w:p w14:paraId="710D343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6C89F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9AC98F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4D7643C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镍</w:t>
                  </w:r>
                </w:p>
              </w:tc>
              <w:tc>
                <w:tcPr>
                  <w:tcW w:w="542" w:type="pct"/>
                  <w:tcBorders>
                    <w:tl2br w:val="nil"/>
                    <w:tr2bl w:val="nil"/>
                  </w:tcBorders>
                </w:tcPr>
                <w:p w14:paraId="4D122A24">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4CE7778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0.00043</w:t>
                  </w:r>
                </w:p>
              </w:tc>
              <w:tc>
                <w:tcPr>
                  <w:tcW w:w="657" w:type="pct"/>
                  <w:tcBorders>
                    <w:tl2br w:val="nil"/>
                    <w:tr2bl w:val="nil"/>
                  </w:tcBorders>
                  <w:vAlign w:val="center"/>
                </w:tcPr>
                <w:p w14:paraId="66E2393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0.00095</w:t>
                  </w:r>
                </w:p>
              </w:tc>
              <w:tc>
                <w:tcPr>
                  <w:tcW w:w="719" w:type="pct"/>
                  <w:tcBorders>
                    <w:tl2br w:val="nil"/>
                    <w:tr2bl w:val="nil"/>
                  </w:tcBorders>
                  <w:vAlign w:val="center"/>
                </w:tcPr>
                <w:p w14:paraId="0FB9900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0.00037</w:t>
                  </w:r>
                </w:p>
              </w:tc>
              <w:tc>
                <w:tcPr>
                  <w:tcW w:w="665" w:type="pct"/>
                  <w:tcBorders>
                    <w:tl2br w:val="nil"/>
                    <w:tr2bl w:val="nil"/>
                  </w:tcBorders>
                  <w:vAlign w:val="center"/>
                </w:tcPr>
                <w:p w14:paraId="5CD82ED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43F96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2FBFE2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38523C0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汞</w:t>
                  </w:r>
                </w:p>
              </w:tc>
              <w:tc>
                <w:tcPr>
                  <w:tcW w:w="542" w:type="pct"/>
                  <w:tcBorders>
                    <w:tl2br w:val="nil"/>
                    <w:tr2bl w:val="nil"/>
                  </w:tcBorders>
                </w:tcPr>
                <w:p w14:paraId="45D640F8">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4787552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0.00004L</w:t>
                  </w:r>
                </w:p>
              </w:tc>
              <w:tc>
                <w:tcPr>
                  <w:tcW w:w="657" w:type="pct"/>
                  <w:tcBorders>
                    <w:tl2br w:val="nil"/>
                    <w:tr2bl w:val="nil"/>
                  </w:tcBorders>
                </w:tcPr>
                <w:p w14:paraId="2DDB1BC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0.00004L</w:t>
                  </w:r>
                </w:p>
              </w:tc>
              <w:tc>
                <w:tcPr>
                  <w:tcW w:w="719" w:type="pct"/>
                  <w:tcBorders>
                    <w:tl2br w:val="nil"/>
                    <w:tr2bl w:val="nil"/>
                  </w:tcBorders>
                </w:tcPr>
                <w:p w14:paraId="49C4796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0.00004L</w:t>
                  </w:r>
                </w:p>
              </w:tc>
              <w:tc>
                <w:tcPr>
                  <w:tcW w:w="665" w:type="pct"/>
                  <w:tcBorders>
                    <w:tl2br w:val="nil"/>
                    <w:tr2bl w:val="nil"/>
                  </w:tcBorders>
                  <w:vAlign w:val="center"/>
                </w:tcPr>
                <w:p w14:paraId="117155E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w:t>
                  </w:r>
                </w:p>
              </w:tc>
            </w:tr>
            <w:tr w14:paraId="3AB80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2CB79B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30A7E1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铬</w:t>
                  </w:r>
                </w:p>
              </w:tc>
              <w:tc>
                <w:tcPr>
                  <w:tcW w:w="542" w:type="pct"/>
                  <w:tcBorders>
                    <w:tl2br w:val="nil"/>
                    <w:tr2bl w:val="nil"/>
                  </w:tcBorders>
                </w:tcPr>
                <w:p w14:paraId="2494DD54">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7DFB9B3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0.00011L</w:t>
                  </w:r>
                </w:p>
              </w:tc>
              <w:tc>
                <w:tcPr>
                  <w:tcW w:w="657" w:type="pct"/>
                  <w:tcBorders>
                    <w:tl2br w:val="nil"/>
                    <w:tr2bl w:val="nil"/>
                  </w:tcBorders>
                </w:tcPr>
                <w:p w14:paraId="387F1DB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0.00011L</w:t>
                  </w:r>
                </w:p>
              </w:tc>
              <w:tc>
                <w:tcPr>
                  <w:tcW w:w="719" w:type="pct"/>
                  <w:tcBorders>
                    <w:tl2br w:val="nil"/>
                    <w:tr2bl w:val="nil"/>
                  </w:tcBorders>
                </w:tcPr>
                <w:p w14:paraId="7FA3FC4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0.00011L</w:t>
                  </w:r>
                </w:p>
              </w:tc>
              <w:tc>
                <w:tcPr>
                  <w:tcW w:w="665" w:type="pct"/>
                  <w:tcBorders>
                    <w:tl2br w:val="nil"/>
                    <w:tr2bl w:val="nil"/>
                  </w:tcBorders>
                  <w:vAlign w:val="center"/>
                </w:tcPr>
                <w:p w14:paraId="511200D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65601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restart"/>
                  <w:tcBorders>
                    <w:tl2br w:val="nil"/>
                    <w:tr2bl w:val="nil"/>
                  </w:tcBorders>
                  <w:vAlign w:val="center"/>
                </w:tcPr>
                <w:p w14:paraId="18DD4CB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W1污水处理厂下游1000m泉交河断面</w:t>
                  </w:r>
                </w:p>
              </w:tc>
              <w:tc>
                <w:tcPr>
                  <w:tcW w:w="839" w:type="pct"/>
                  <w:tcBorders>
                    <w:tl2br w:val="nil"/>
                    <w:tr2bl w:val="nil"/>
                  </w:tcBorders>
                  <w:vAlign w:val="center"/>
                </w:tcPr>
                <w:p w14:paraId="7CD53D8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pH</w:t>
                  </w:r>
                </w:p>
              </w:tc>
              <w:tc>
                <w:tcPr>
                  <w:tcW w:w="542" w:type="pct"/>
                  <w:tcBorders>
                    <w:tl2br w:val="nil"/>
                    <w:tr2bl w:val="nil"/>
                  </w:tcBorders>
                  <w:vAlign w:val="center"/>
                </w:tcPr>
                <w:p w14:paraId="1BA57813">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无量纲</w:t>
                  </w:r>
                </w:p>
              </w:tc>
              <w:tc>
                <w:tcPr>
                  <w:tcW w:w="662" w:type="pct"/>
                  <w:tcBorders>
                    <w:tl2br w:val="nil"/>
                    <w:tr2bl w:val="nil"/>
                  </w:tcBorders>
                  <w:vAlign w:val="center"/>
                </w:tcPr>
                <w:p w14:paraId="35FC2E4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7.2</w:t>
                  </w:r>
                </w:p>
              </w:tc>
              <w:tc>
                <w:tcPr>
                  <w:tcW w:w="657" w:type="pct"/>
                  <w:tcBorders>
                    <w:tl2br w:val="nil"/>
                    <w:tr2bl w:val="nil"/>
                  </w:tcBorders>
                  <w:vAlign w:val="center"/>
                </w:tcPr>
                <w:p w14:paraId="2687DDD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7</w:t>
                  </w:r>
                </w:p>
              </w:tc>
              <w:tc>
                <w:tcPr>
                  <w:tcW w:w="719" w:type="pct"/>
                  <w:tcBorders>
                    <w:tl2br w:val="nil"/>
                    <w:tr2bl w:val="nil"/>
                  </w:tcBorders>
                  <w:vAlign w:val="center"/>
                </w:tcPr>
                <w:p w14:paraId="4556539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7</w:t>
                  </w:r>
                </w:p>
              </w:tc>
              <w:tc>
                <w:tcPr>
                  <w:tcW w:w="665" w:type="pct"/>
                  <w:tcBorders>
                    <w:tl2br w:val="nil"/>
                    <w:tr2bl w:val="nil"/>
                  </w:tcBorders>
                  <w:vAlign w:val="center"/>
                </w:tcPr>
                <w:p w14:paraId="1BD2144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w:t>
                  </w:r>
                  <w:r>
                    <w:rPr>
                      <w:rFonts w:hint="eastAsia" w:ascii="宋体" w:hAnsi="宋体" w:cs="宋体"/>
                      <w:b w:val="0"/>
                      <w:bCs w:val="0"/>
                      <w:color w:val="000000" w:themeColor="text1"/>
                      <w:sz w:val="21"/>
                      <w:szCs w:val="21"/>
                      <w:u w:val="single"/>
                      <w14:textFill>
                        <w14:solidFill>
                          <w14:schemeClr w14:val="tx1"/>
                        </w14:solidFill>
                      </w14:textFill>
                    </w:rPr>
                    <w:t>-</w:t>
                  </w:r>
                  <w:r>
                    <w:rPr>
                      <w:rFonts w:hint="eastAsia"/>
                      <w:b w:val="0"/>
                      <w:bCs w:val="0"/>
                      <w:color w:val="000000" w:themeColor="text1"/>
                      <w:sz w:val="21"/>
                      <w:szCs w:val="21"/>
                      <w:u w:val="single"/>
                      <w14:textFill>
                        <w14:solidFill>
                          <w14:schemeClr w14:val="tx1"/>
                        </w14:solidFill>
                      </w14:textFill>
                    </w:rPr>
                    <w:t>9</w:t>
                  </w:r>
                </w:p>
              </w:tc>
            </w:tr>
            <w:tr w14:paraId="416A3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2295E7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8197A1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溶解氧</w:t>
                  </w:r>
                </w:p>
              </w:tc>
              <w:tc>
                <w:tcPr>
                  <w:tcW w:w="542" w:type="pct"/>
                  <w:tcBorders>
                    <w:tl2br w:val="nil"/>
                    <w:tr2bl w:val="nil"/>
                  </w:tcBorders>
                  <w:vAlign w:val="center"/>
                </w:tcPr>
                <w:p w14:paraId="046E4237">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4EEFAB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6.7</w:t>
                  </w:r>
                </w:p>
              </w:tc>
              <w:tc>
                <w:tcPr>
                  <w:tcW w:w="657" w:type="pct"/>
                  <w:tcBorders>
                    <w:tl2br w:val="nil"/>
                    <w:tr2bl w:val="nil"/>
                  </w:tcBorders>
                  <w:vAlign w:val="center"/>
                </w:tcPr>
                <w:p w14:paraId="2F161EC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6.5</w:t>
                  </w:r>
                </w:p>
              </w:tc>
              <w:tc>
                <w:tcPr>
                  <w:tcW w:w="719" w:type="pct"/>
                  <w:tcBorders>
                    <w:tl2br w:val="nil"/>
                    <w:tr2bl w:val="nil"/>
                  </w:tcBorders>
                  <w:vAlign w:val="center"/>
                </w:tcPr>
                <w:p w14:paraId="7EA82E6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6.5</w:t>
                  </w:r>
                </w:p>
              </w:tc>
              <w:tc>
                <w:tcPr>
                  <w:tcW w:w="665" w:type="pct"/>
                  <w:tcBorders>
                    <w:tl2br w:val="nil"/>
                    <w:tr2bl w:val="nil"/>
                  </w:tcBorders>
                  <w:vAlign w:val="center"/>
                </w:tcPr>
                <w:p w14:paraId="150A264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5</w:t>
                  </w:r>
                </w:p>
              </w:tc>
            </w:tr>
            <w:tr w14:paraId="5DABC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3792D3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AC9362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CODcr</w:t>
                  </w:r>
                </w:p>
              </w:tc>
              <w:tc>
                <w:tcPr>
                  <w:tcW w:w="542" w:type="pct"/>
                  <w:tcBorders>
                    <w:tl2br w:val="nil"/>
                    <w:tr2bl w:val="nil"/>
                  </w:tcBorders>
                  <w:vAlign w:val="center"/>
                </w:tcPr>
                <w:p w14:paraId="14306552">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FABAFC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17</w:t>
                  </w:r>
                </w:p>
              </w:tc>
              <w:tc>
                <w:tcPr>
                  <w:tcW w:w="657" w:type="pct"/>
                  <w:tcBorders>
                    <w:tl2br w:val="nil"/>
                    <w:tr2bl w:val="nil"/>
                  </w:tcBorders>
                  <w:vAlign w:val="center"/>
                </w:tcPr>
                <w:p w14:paraId="1882B5C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15</w:t>
                  </w:r>
                </w:p>
              </w:tc>
              <w:tc>
                <w:tcPr>
                  <w:tcW w:w="719" w:type="pct"/>
                  <w:tcBorders>
                    <w:tl2br w:val="nil"/>
                    <w:tr2bl w:val="nil"/>
                  </w:tcBorders>
                  <w:vAlign w:val="center"/>
                </w:tcPr>
                <w:p w14:paraId="6984DA1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17</w:t>
                  </w:r>
                </w:p>
              </w:tc>
              <w:tc>
                <w:tcPr>
                  <w:tcW w:w="665" w:type="pct"/>
                  <w:tcBorders>
                    <w:tl2br w:val="nil"/>
                    <w:tr2bl w:val="nil"/>
                  </w:tcBorders>
                  <w:vAlign w:val="center"/>
                </w:tcPr>
                <w:p w14:paraId="28AF06F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20</w:t>
                  </w:r>
                </w:p>
              </w:tc>
            </w:tr>
            <w:tr w14:paraId="73EBA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17B741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18214FF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BOD</w:t>
                  </w:r>
                  <w:r>
                    <w:rPr>
                      <w:rFonts w:hint="eastAsia"/>
                      <w:b w:val="0"/>
                      <w:bCs w:val="0"/>
                      <w:color w:val="000000" w:themeColor="text1"/>
                      <w:sz w:val="21"/>
                      <w:szCs w:val="21"/>
                      <w:u w:val="single"/>
                      <w:vertAlign w:val="subscript"/>
                      <w14:textFill>
                        <w14:solidFill>
                          <w14:schemeClr w14:val="tx1"/>
                        </w14:solidFill>
                      </w14:textFill>
                    </w:rPr>
                    <w:t>5</w:t>
                  </w:r>
                </w:p>
              </w:tc>
              <w:tc>
                <w:tcPr>
                  <w:tcW w:w="542" w:type="pct"/>
                  <w:tcBorders>
                    <w:tl2br w:val="nil"/>
                    <w:tr2bl w:val="nil"/>
                  </w:tcBorders>
                  <w:vAlign w:val="center"/>
                </w:tcPr>
                <w:p w14:paraId="5105F772">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CF2B12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3.4</w:t>
                  </w:r>
                </w:p>
              </w:tc>
              <w:tc>
                <w:tcPr>
                  <w:tcW w:w="657" w:type="pct"/>
                  <w:tcBorders>
                    <w:tl2br w:val="nil"/>
                    <w:tr2bl w:val="nil"/>
                  </w:tcBorders>
                  <w:vAlign w:val="center"/>
                </w:tcPr>
                <w:p w14:paraId="3582C56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3</w:t>
                  </w:r>
                </w:p>
              </w:tc>
              <w:tc>
                <w:tcPr>
                  <w:tcW w:w="719" w:type="pct"/>
                  <w:tcBorders>
                    <w:tl2br w:val="nil"/>
                    <w:tr2bl w:val="nil"/>
                  </w:tcBorders>
                  <w:vAlign w:val="center"/>
                </w:tcPr>
                <w:p w14:paraId="74DB44F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3.4</w:t>
                  </w:r>
                </w:p>
              </w:tc>
              <w:tc>
                <w:tcPr>
                  <w:tcW w:w="665" w:type="pct"/>
                  <w:tcBorders>
                    <w:tl2br w:val="nil"/>
                    <w:tr2bl w:val="nil"/>
                  </w:tcBorders>
                  <w:vAlign w:val="center"/>
                </w:tcPr>
                <w:p w14:paraId="1AF2E94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ascii="宋体" w:hAnsi="宋体" w:cs="宋体"/>
                      <w:b w:val="0"/>
                      <w:bCs w:val="0"/>
                      <w:color w:val="000000" w:themeColor="text1"/>
                      <w:sz w:val="21"/>
                      <w:szCs w:val="21"/>
                      <w:u w:val="single"/>
                      <w14:textFill>
                        <w14:solidFill>
                          <w14:schemeClr w14:val="tx1"/>
                        </w14:solidFill>
                      </w14:textFill>
                    </w:rPr>
                    <w:t>4</w:t>
                  </w:r>
                </w:p>
              </w:tc>
            </w:tr>
            <w:tr w14:paraId="5F833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397BAB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EE3097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氨氮</w:t>
                  </w:r>
                </w:p>
              </w:tc>
              <w:tc>
                <w:tcPr>
                  <w:tcW w:w="542" w:type="pct"/>
                  <w:tcBorders>
                    <w:tl2br w:val="nil"/>
                    <w:tr2bl w:val="nil"/>
                  </w:tcBorders>
                  <w:vAlign w:val="center"/>
                </w:tcPr>
                <w:p w14:paraId="46EF3E9F">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342478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0.273</w:t>
                  </w:r>
                </w:p>
              </w:tc>
              <w:tc>
                <w:tcPr>
                  <w:tcW w:w="657" w:type="pct"/>
                  <w:tcBorders>
                    <w:tl2br w:val="nil"/>
                    <w:tr2bl w:val="nil"/>
                  </w:tcBorders>
                  <w:vAlign w:val="center"/>
                </w:tcPr>
                <w:p w14:paraId="00BF0A3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0.263</w:t>
                  </w:r>
                </w:p>
              </w:tc>
              <w:tc>
                <w:tcPr>
                  <w:tcW w:w="719" w:type="pct"/>
                  <w:tcBorders>
                    <w:tl2br w:val="nil"/>
                    <w:tr2bl w:val="nil"/>
                  </w:tcBorders>
                  <w:vAlign w:val="center"/>
                </w:tcPr>
                <w:p w14:paraId="3BF7C9B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0.286</w:t>
                  </w:r>
                </w:p>
              </w:tc>
              <w:tc>
                <w:tcPr>
                  <w:tcW w:w="665" w:type="pct"/>
                  <w:tcBorders>
                    <w:tl2br w:val="nil"/>
                    <w:tr2bl w:val="nil"/>
                  </w:tcBorders>
                  <w:vAlign w:val="center"/>
                </w:tcPr>
                <w:p w14:paraId="2C01E38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b w:val="0"/>
                      <w:bCs w:val="0"/>
                      <w:color w:val="000000" w:themeColor="text1"/>
                      <w:sz w:val="21"/>
                      <w:szCs w:val="21"/>
                      <w:u w:val="single"/>
                      <w14:textFill>
                        <w14:solidFill>
                          <w14:schemeClr w14:val="tx1"/>
                        </w14:solidFill>
                      </w14:textFill>
                    </w:rPr>
                    <w:t>1.0</w:t>
                  </w:r>
                </w:p>
              </w:tc>
            </w:tr>
            <w:tr w14:paraId="19FCB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483023E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9DE24A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总磷</w:t>
                  </w:r>
                </w:p>
              </w:tc>
              <w:tc>
                <w:tcPr>
                  <w:tcW w:w="542" w:type="pct"/>
                  <w:tcBorders>
                    <w:tl2br w:val="nil"/>
                    <w:tr2bl w:val="nil"/>
                  </w:tcBorders>
                  <w:vAlign w:val="center"/>
                </w:tcPr>
                <w:p w14:paraId="5A308B9B">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368A60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0.06</w:t>
                  </w:r>
                </w:p>
              </w:tc>
              <w:tc>
                <w:tcPr>
                  <w:tcW w:w="657" w:type="pct"/>
                  <w:tcBorders>
                    <w:tl2br w:val="nil"/>
                    <w:tr2bl w:val="nil"/>
                  </w:tcBorders>
                  <w:vAlign w:val="center"/>
                </w:tcPr>
                <w:p w14:paraId="30B649E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0.07</w:t>
                  </w:r>
                </w:p>
              </w:tc>
              <w:tc>
                <w:tcPr>
                  <w:tcW w:w="719" w:type="pct"/>
                  <w:tcBorders>
                    <w:tl2br w:val="nil"/>
                    <w:tr2bl w:val="nil"/>
                  </w:tcBorders>
                  <w:vAlign w:val="center"/>
                </w:tcPr>
                <w:p w14:paraId="5C3D602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0.08</w:t>
                  </w:r>
                </w:p>
              </w:tc>
              <w:tc>
                <w:tcPr>
                  <w:tcW w:w="665" w:type="pct"/>
                  <w:tcBorders>
                    <w:tl2br w:val="nil"/>
                    <w:tr2bl w:val="nil"/>
                  </w:tcBorders>
                  <w:vAlign w:val="center"/>
                </w:tcPr>
                <w:p w14:paraId="399EBE7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b w:val="0"/>
                      <w:bCs w:val="0"/>
                      <w:color w:val="000000" w:themeColor="text1"/>
                      <w:sz w:val="21"/>
                      <w:szCs w:val="21"/>
                      <w:u w:val="single"/>
                      <w14:textFill>
                        <w14:solidFill>
                          <w14:schemeClr w14:val="tx1"/>
                        </w14:solidFill>
                      </w14:textFill>
                    </w:rPr>
                    <w:t>0.2</w:t>
                  </w:r>
                </w:p>
              </w:tc>
            </w:tr>
            <w:tr w14:paraId="40F77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FB9F39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BC36DE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总氮</w:t>
                  </w:r>
                </w:p>
              </w:tc>
              <w:tc>
                <w:tcPr>
                  <w:tcW w:w="542" w:type="pct"/>
                  <w:tcBorders>
                    <w:tl2br w:val="nil"/>
                    <w:tr2bl w:val="nil"/>
                  </w:tcBorders>
                  <w:vAlign w:val="center"/>
                </w:tcPr>
                <w:p w14:paraId="435B3225">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C9F946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0.65</w:t>
                  </w:r>
                </w:p>
              </w:tc>
              <w:tc>
                <w:tcPr>
                  <w:tcW w:w="657" w:type="pct"/>
                  <w:tcBorders>
                    <w:tl2br w:val="nil"/>
                    <w:tr2bl w:val="nil"/>
                  </w:tcBorders>
                  <w:vAlign w:val="center"/>
                </w:tcPr>
                <w:p w14:paraId="310C060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0.69</w:t>
                  </w:r>
                </w:p>
              </w:tc>
              <w:tc>
                <w:tcPr>
                  <w:tcW w:w="719" w:type="pct"/>
                  <w:tcBorders>
                    <w:tl2br w:val="nil"/>
                    <w:tr2bl w:val="nil"/>
                  </w:tcBorders>
                  <w:vAlign w:val="center"/>
                </w:tcPr>
                <w:p w14:paraId="355054F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0.66</w:t>
                  </w:r>
                </w:p>
              </w:tc>
              <w:tc>
                <w:tcPr>
                  <w:tcW w:w="665" w:type="pct"/>
                  <w:tcBorders>
                    <w:tl2br w:val="nil"/>
                    <w:tr2bl w:val="nil"/>
                  </w:tcBorders>
                  <w:vAlign w:val="center"/>
                </w:tcPr>
                <w:p w14:paraId="65D895C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b w:val="0"/>
                      <w:bCs w:val="0"/>
                      <w:color w:val="000000" w:themeColor="text1"/>
                      <w:sz w:val="21"/>
                      <w:szCs w:val="21"/>
                      <w:u w:val="single"/>
                      <w14:textFill>
                        <w14:solidFill>
                          <w14:schemeClr w14:val="tx1"/>
                        </w14:solidFill>
                      </w14:textFill>
                    </w:rPr>
                    <w:t>1.0</w:t>
                  </w:r>
                </w:p>
              </w:tc>
            </w:tr>
            <w:tr w14:paraId="2D566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7066404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1DBD90C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六价铬</w:t>
                  </w:r>
                </w:p>
              </w:tc>
              <w:tc>
                <w:tcPr>
                  <w:tcW w:w="542" w:type="pct"/>
                  <w:tcBorders>
                    <w:tl2br w:val="nil"/>
                    <w:tr2bl w:val="nil"/>
                  </w:tcBorders>
                  <w:vAlign w:val="center"/>
                </w:tcPr>
                <w:p w14:paraId="0C681529">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0008AD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0.004L</w:t>
                  </w:r>
                </w:p>
              </w:tc>
              <w:tc>
                <w:tcPr>
                  <w:tcW w:w="657" w:type="pct"/>
                  <w:tcBorders>
                    <w:tl2br w:val="nil"/>
                    <w:tr2bl w:val="nil"/>
                  </w:tcBorders>
                </w:tcPr>
                <w:p w14:paraId="7FDAC50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0.004L</w:t>
                  </w:r>
                </w:p>
              </w:tc>
              <w:tc>
                <w:tcPr>
                  <w:tcW w:w="719" w:type="pct"/>
                  <w:tcBorders>
                    <w:tl2br w:val="nil"/>
                    <w:tr2bl w:val="nil"/>
                  </w:tcBorders>
                </w:tcPr>
                <w:p w14:paraId="06C65BF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0.004L</w:t>
                  </w:r>
                </w:p>
              </w:tc>
              <w:tc>
                <w:tcPr>
                  <w:tcW w:w="665" w:type="pct"/>
                  <w:tcBorders>
                    <w:tl2br w:val="nil"/>
                    <w:tr2bl w:val="nil"/>
                  </w:tcBorders>
                  <w:vAlign w:val="center"/>
                </w:tcPr>
                <w:p w14:paraId="02C3D1D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23F4C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661FCEF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D52ADE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LAS</w:t>
                  </w:r>
                </w:p>
              </w:tc>
              <w:tc>
                <w:tcPr>
                  <w:tcW w:w="542" w:type="pct"/>
                  <w:tcBorders>
                    <w:tl2br w:val="nil"/>
                    <w:tr2bl w:val="nil"/>
                  </w:tcBorders>
                  <w:vAlign w:val="center"/>
                </w:tcPr>
                <w:p w14:paraId="17E6FD52">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390EA7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0.05L</w:t>
                  </w:r>
                </w:p>
              </w:tc>
              <w:tc>
                <w:tcPr>
                  <w:tcW w:w="657" w:type="pct"/>
                  <w:tcBorders>
                    <w:tl2br w:val="nil"/>
                    <w:tr2bl w:val="nil"/>
                  </w:tcBorders>
                </w:tcPr>
                <w:p w14:paraId="397F892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0.05L</w:t>
                  </w:r>
                </w:p>
              </w:tc>
              <w:tc>
                <w:tcPr>
                  <w:tcW w:w="719" w:type="pct"/>
                  <w:tcBorders>
                    <w:tl2br w:val="nil"/>
                    <w:tr2bl w:val="nil"/>
                  </w:tcBorders>
                </w:tcPr>
                <w:p w14:paraId="6CBCB62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0.05L</w:t>
                  </w:r>
                </w:p>
              </w:tc>
              <w:tc>
                <w:tcPr>
                  <w:tcW w:w="665" w:type="pct"/>
                  <w:tcBorders>
                    <w:tl2br w:val="nil"/>
                    <w:tr2bl w:val="nil"/>
                  </w:tcBorders>
                  <w:vAlign w:val="center"/>
                </w:tcPr>
                <w:p w14:paraId="1EA4664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b w:val="0"/>
                      <w:bCs w:val="0"/>
                      <w:color w:val="000000" w:themeColor="text1"/>
                      <w:sz w:val="21"/>
                      <w:szCs w:val="21"/>
                      <w:u w:val="single"/>
                      <w14:textFill>
                        <w14:solidFill>
                          <w14:schemeClr w14:val="tx1"/>
                        </w14:solidFill>
                      </w14:textFill>
                    </w:rPr>
                    <w:t>0.2</w:t>
                  </w:r>
                </w:p>
              </w:tc>
            </w:tr>
            <w:tr w14:paraId="17037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031B4B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0DEECD8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挥发酚</w:t>
                  </w:r>
                </w:p>
              </w:tc>
              <w:tc>
                <w:tcPr>
                  <w:tcW w:w="542" w:type="pct"/>
                  <w:tcBorders>
                    <w:tl2br w:val="nil"/>
                    <w:tr2bl w:val="nil"/>
                  </w:tcBorders>
                  <w:vAlign w:val="center"/>
                </w:tcPr>
                <w:p w14:paraId="1D4FE0AF">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C6B483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0.003L</w:t>
                  </w:r>
                </w:p>
              </w:tc>
              <w:tc>
                <w:tcPr>
                  <w:tcW w:w="657" w:type="pct"/>
                  <w:tcBorders>
                    <w:tl2br w:val="nil"/>
                    <w:tr2bl w:val="nil"/>
                  </w:tcBorders>
                </w:tcPr>
                <w:p w14:paraId="5ABF0DB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0.003L</w:t>
                  </w:r>
                </w:p>
              </w:tc>
              <w:tc>
                <w:tcPr>
                  <w:tcW w:w="719" w:type="pct"/>
                  <w:tcBorders>
                    <w:tl2br w:val="nil"/>
                    <w:tr2bl w:val="nil"/>
                  </w:tcBorders>
                </w:tcPr>
                <w:p w14:paraId="6E7E499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0.003L</w:t>
                  </w:r>
                </w:p>
              </w:tc>
              <w:tc>
                <w:tcPr>
                  <w:tcW w:w="665" w:type="pct"/>
                  <w:tcBorders>
                    <w:tl2br w:val="nil"/>
                    <w:tr2bl w:val="nil"/>
                  </w:tcBorders>
                  <w:vAlign w:val="center"/>
                </w:tcPr>
                <w:p w14:paraId="7DD95E4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b w:val="0"/>
                      <w:bCs w:val="0"/>
                      <w:color w:val="000000" w:themeColor="text1"/>
                      <w:sz w:val="21"/>
                      <w:szCs w:val="21"/>
                      <w:u w:val="single"/>
                      <w14:textFill>
                        <w14:solidFill>
                          <w14:schemeClr w14:val="tx1"/>
                        </w14:solidFill>
                      </w14:textFill>
                    </w:rPr>
                    <w:t>0.0</w:t>
                  </w:r>
                  <w:r>
                    <w:rPr>
                      <w:rFonts w:hint="eastAsia"/>
                      <w:b w:val="0"/>
                      <w:bCs w:val="0"/>
                      <w:color w:val="000000" w:themeColor="text1"/>
                      <w:sz w:val="21"/>
                      <w:szCs w:val="21"/>
                      <w:u w:val="single"/>
                      <w14:textFill>
                        <w14:solidFill>
                          <w14:schemeClr w14:val="tx1"/>
                        </w14:solidFill>
                      </w14:textFill>
                    </w:rPr>
                    <w:t>05</w:t>
                  </w:r>
                </w:p>
              </w:tc>
            </w:tr>
            <w:tr w14:paraId="218DF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7B1EA11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116BF1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氟化物</w:t>
                  </w:r>
                </w:p>
              </w:tc>
              <w:tc>
                <w:tcPr>
                  <w:tcW w:w="542" w:type="pct"/>
                  <w:tcBorders>
                    <w:tl2br w:val="nil"/>
                    <w:tr2bl w:val="nil"/>
                  </w:tcBorders>
                  <w:vAlign w:val="center"/>
                </w:tcPr>
                <w:p w14:paraId="40AD464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26E97E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0.248</w:t>
                  </w:r>
                </w:p>
              </w:tc>
              <w:tc>
                <w:tcPr>
                  <w:tcW w:w="657" w:type="pct"/>
                  <w:tcBorders>
                    <w:tl2br w:val="nil"/>
                    <w:tr2bl w:val="nil"/>
                  </w:tcBorders>
                  <w:vAlign w:val="center"/>
                </w:tcPr>
                <w:p w14:paraId="77C5EE3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0.276</w:t>
                  </w:r>
                </w:p>
              </w:tc>
              <w:tc>
                <w:tcPr>
                  <w:tcW w:w="719" w:type="pct"/>
                  <w:tcBorders>
                    <w:tl2br w:val="nil"/>
                    <w:tr2bl w:val="nil"/>
                  </w:tcBorders>
                  <w:vAlign w:val="center"/>
                </w:tcPr>
                <w:p w14:paraId="7F501BB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0.266</w:t>
                  </w:r>
                </w:p>
              </w:tc>
              <w:tc>
                <w:tcPr>
                  <w:tcW w:w="665" w:type="pct"/>
                  <w:tcBorders>
                    <w:tl2br w:val="nil"/>
                    <w:tr2bl w:val="nil"/>
                  </w:tcBorders>
                  <w:vAlign w:val="center"/>
                </w:tcPr>
                <w:p w14:paraId="3F43A7E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1.0</w:t>
                  </w:r>
                </w:p>
              </w:tc>
            </w:tr>
            <w:tr w14:paraId="3FE10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EA3CBC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4CCCB80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氰化物</w:t>
                  </w:r>
                </w:p>
              </w:tc>
              <w:tc>
                <w:tcPr>
                  <w:tcW w:w="542" w:type="pct"/>
                  <w:tcBorders>
                    <w:tl2br w:val="nil"/>
                    <w:tr2bl w:val="nil"/>
                  </w:tcBorders>
                </w:tcPr>
                <w:p w14:paraId="64BDBE1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E332DE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0.001L</w:t>
                  </w:r>
                </w:p>
              </w:tc>
              <w:tc>
                <w:tcPr>
                  <w:tcW w:w="657" w:type="pct"/>
                  <w:tcBorders>
                    <w:tl2br w:val="nil"/>
                    <w:tr2bl w:val="nil"/>
                  </w:tcBorders>
                </w:tcPr>
                <w:p w14:paraId="6C741EA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0.001L</w:t>
                  </w:r>
                </w:p>
              </w:tc>
              <w:tc>
                <w:tcPr>
                  <w:tcW w:w="719" w:type="pct"/>
                  <w:tcBorders>
                    <w:tl2br w:val="nil"/>
                    <w:tr2bl w:val="nil"/>
                  </w:tcBorders>
                </w:tcPr>
                <w:p w14:paraId="3DC8C78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0.001L</w:t>
                  </w:r>
                </w:p>
              </w:tc>
              <w:tc>
                <w:tcPr>
                  <w:tcW w:w="665" w:type="pct"/>
                  <w:tcBorders>
                    <w:tl2br w:val="nil"/>
                    <w:tr2bl w:val="nil"/>
                  </w:tcBorders>
                  <w:vAlign w:val="center"/>
                </w:tcPr>
                <w:p w14:paraId="5A9C792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w:t>
                  </w:r>
                </w:p>
              </w:tc>
            </w:tr>
            <w:tr w14:paraId="6631E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7C778D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A74C43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硫化物</w:t>
                  </w:r>
                </w:p>
              </w:tc>
              <w:tc>
                <w:tcPr>
                  <w:tcW w:w="542" w:type="pct"/>
                  <w:tcBorders>
                    <w:tl2br w:val="nil"/>
                    <w:tr2bl w:val="nil"/>
                  </w:tcBorders>
                </w:tcPr>
                <w:p w14:paraId="6C97B36A">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2CAD01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57" w:type="pct"/>
                  <w:tcBorders>
                    <w:tl2br w:val="nil"/>
                    <w:tr2bl w:val="nil"/>
                  </w:tcBorders>
                </w:tcPr>
                <w:p w14:paraId="099DA91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719" w:type="pct"/>
                  <w:tcBorders>
                    <w:tl2br w:val="nil"/>
                    <w:tr2bl w:val="nil"/>
                  </w:tcBorders>
                </w:tcPr>
                <w:p w14:paraId="006CD40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65" w:type="pct"/>
                  <w:tcBorders>
                    <w:tl2br w:val="nil"/>
                    <w:tr2bl w:val="nil"/>
                  </w:tcBorders>
                  <w:vAlign w:val="center"/>
                </w:tcPr>
                <w:p w14:paraId="6A0F40B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0.2</w:t>
                  </w:r>
                </w:p>
              </w:tc>
            </w:tr>
            <w:tr w14:paraId="164A4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48F7B5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2F7B155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石油类</w:t>
                  </w:r>
                </w:p>
              </w:tc>
              <w:tc>
                <w:tcPr>
                  <w:tcW w:w="542" w:type="pct"/>
                  <w:tcBorders>
                    <w:tl2br w:val="nil"/>
                    <w:tr2bl w:val="nil"/>
                  </w:tcBorders>
                </w:tcPr>
                <w:p w14:paraId="1FED8910">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tcPr>
                <w:p w14:paraId="76AFECF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57" w:type="pct"/>
                  <w:tcBorders>
                    <w:tl2br w:val="nil"/>
                    <w:tr2bl w:val="nil"/>
                  </w:tcBorders>
                </w:tcPr>
                <w:p w14:paraId="5622F53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719" w:type="pct"/>
                  <w:tcBorders>
                    <w:tl2br w:val="nil"/>
                    <w:tr2bl w:val="nil"/>
                  </w:tcBorders>
                </w:tcPr>
                <w:p w14:paraId="1625C9B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0.01L</w:t>
                  </w:r>
                </w:p>
              </w:tc>
              <w:tc>
                <w:tcPr>
                  <w:tcW w:w="665" w:type="pct"/>
                  <w:tcBorders>
                    <w:tl2br w:val="nil"/>
                    <w:tr2bl w:val="nil"/>
                  </w:tcBorders>
                  <w:vAlign w:val="center"/>
                </w:tcPr>
                <w:p w14:paraId="42B78A8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42B3A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3A9AF19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532AA7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硫酸盐</w:t>
                  </w:r>
                </w:p>
              </w:tc>
              <w:tc>
                <w:tcPr>
                  <w:tcW w:w="542" w:type="pct"/>
                  <w:tcBorders>
                    <w:tl2br w:val="nil"/>
                    <w:tr2bl w:val="nil"/>
                  </w:tcBorders>
                </w:tcPr>
                <w:p w14:paraId="63C32A37">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13771A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14.5</w:t>
                  </w:r>
                </w:p>
              </w:tc>
              <w:tc>
                <w:tcPr>
                  <w:tcW w:w="657" w:type="pct"/>
                  <w:tcBorders>
                    <w:tl2br w:val="nil"/>
                    <w:tr2bl w:val="nil"/>
                  </w:tcBorders>
                  <w:vAlign w:val="center"/>
                </w:tcPr>
                <w:p w14:paraId="570FB5D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16.2</w:t>
                  </w:r>
                </w:p>
              </w:tc>
              <w:tc>
                <w:tcPr>
                  <w:tcW w:w="719" w:type="pct"/>
                  <w:tcBorders>
                    <w:tl2br w:val="nil"/>
                    <w:tr2bl w:val="nil"/>
                  </w:tcBorders>
                  <w:vAlign w:val="center"/>
                </w:tcPr>
                <w:p w14:paraId="10BFA5F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15.1</w:t>
                  </w:r>
                </w:p>
              </w:tc>
              <w:tc>
                <w:tcPr>
                  <w:tcW w:w="665" w:type="pct"/>
                  <w:tcBorders>
                    <w:tl2br w:val="nil"/>
                    <w:tr2bl w:val="nil"/>
                  </w:tcBorders>
                  <w:vAlign w:val="center"/>
                </w:tcPr>
                <w:p w14:paraId="234FAD2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2AA57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15370A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9161ED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氯化物</w:t>
                  </w:r>
                </w:p>
              </w:tc>
              <w:tc>
                <w:tcPr>
                  <w:tcW w:w="542" w:type="pct"/>
                  <w:tcBorders>
                    <w:tl2br w:val="nil"/>
                    <w:tr2bl w:val="nil"/>
                  </w:tcBorders>
                </w:tcPr>
                <w:p w14:paraId="60AB272E">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210AF0B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12.8</w:t>
                  </w:r>
                </w:p>
              </w:tc>
              <w:tc>
                <w:tcPr>
                  <w:tcW w:w="657" w:type="pct"/>
                  <w:tcBorders>
                    <w:tl2br w:val="nil"/>
                    <w:tr2bl w:val="nil"/>
                  </w:tcBorders>
                  <w:vAlign w:val="center"/>
                </w:tcPr>
                <w:p w14:paraId="3BC28B7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14.4</w:t>
                  </w:r>
                </w:p>
              </w:tc>
              <w:tc>
                <w:tcPr>
                  <w:tcW w:w="719" w:type="pct"/>
                  <w:tcBorders>
                    <w:tl2br w:val="nil"/>
                    <w:tr2bl w:val="nil"/>
                  </w:tcBorders>
                  <w:vAlign w:val="center"/>
                </w:tcPr>
                <w:p w14:paraId="316DBB1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13.7</w:t>
                  </w:r>
                </w:p>
              </w:tc>
              <w:tc>
                <w:tcPr>
                  <w:tcW w:w="665" w:type="pct"/>
                  <w:tcBorders>
                    <w:tl2br w:val="nil"/>
                    <w:tr2bl w:val="nil"/>
                  </w:tcBorders>
                  <w:vAlign w:val="center"/>
                </w:tcPr>
                <w:p w14:paraId="59AF06D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309EE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928CF8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1DAF75D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铜</w:t>
                  </w:r>
                </w:p>
              </w:tc>
              <w:tc>
                <w:tcPr>
                  <w:tcW w:w="542" w:type="pct"/>
                  <w:tcBorders>
                    <w:tl2br w:val="nil"/>
                    <w:tr2bl w:val="nil"/>
                  </w:tcBorders>
                </w:tcPr>
                <w:p w14:paraId="6F48B196">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2D1CAB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0.00077</w:t>
                  </w:r>
                </w:p>
              </w:tc>
              <w:tc>
                <w:tcPr>
                  <w:tcW w:w="657" w:type="pct"/>
                  <w:tcBorders>
                    <w:tl2br w:val="nil"/>
                    <w:tr2bl w:val="nil"/>
                  </w:tcBorders>
                  <w:vAlign w:val="center"/>
                </w:tcPr>
                <w:p w14:paraId="5559C43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0.00112</w:t>
                  </w:r>
                </w:p>
              </w:tc>
              <w:tc>
                <w:tcPr>
                  <w:tcW w:w="719" w:type="pct"/>
                  <w:tcBorders>
                    <w:tl2br w:val="nil"/>
                    <w:tr2bl w:val="nil"/>
                  </w:tcBorders>
                  <w:vAlign w:val="center"/>
                </w:tcPr>
                <w:p w14:paraId="6FCA2D20">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0.00096</w:t>
                  </w:r>
                </w:p>
              </w:tc>
              <w:tc>
                <w:tcPr>
                  <w:tcW w:w="665" w:type="pct"/>
                  <w:tcBorders>
                    <w:tl2br w:val="nil"/>
                    <w:tr2bl w:val="nil"/>
                  </w:tcBorders>
                  <w:vAlign w:val="center"/>
                </w:tcPr>
                <w:p w14:paraId="3A32241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1.0</w:t>
                  </w:r>
                </w:p>
              </w:tc>
            </w:tr>
            <w:tr w14:paraId="7BA76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5BD2B84A">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3DF4DB9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锌</w:t>
                  </w:r>
                </w:p>
              </w:tc>
              <w:tc>
                <w:tcPr>
                  <w:tcW w:w="542" w:type="pct"/>
                  <w:tcBorders>
                    <w:tl2br w:val="nil"/>
                    <w:tr2bl w:val="nil"/>
                  </w:tcBorders>
                </w:tcPr>
                <w:p w14:paraId="75999249">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F8DF79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0.00067L</w:t>
                  </w:r>
                </w:p>
              </w:tc>
              <w:tc>
                <w:tcPr>
                  <w:tcW w:w="657" w:type="pct"/>
                  <w:tcBorders>
                    <w:tl2br w:val="nil"/>
                    <w:tr2bl w:val="nil"/>
                  </w:tcBorders>
                  <w:vAlign w:val="center"/>
                </w:tcPr>
                <w:p w14:paraId="245FA26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0.00067L</w:t>
                  </w:r>
                </w:p>
              </w:tc>
              <w:tc>
                <w:tcPr>
                  <w:tcW w:w="719" w:type="pct"/>
                  <w:tcBorders>
                    <w:tl2br w:val="nil"/>
                    <w:tr2bl w:val="nil"/>
                  </w:tcBorders>
                  <w:vAlign w:val="center"/>
                </w:tcPr>
                <w:p w14:paraId="03E57D9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0.00257</w:t>
                  </w:r>
                </w:p>
              </w:tc>
              <w:tc>
                <w:tcPr>
                  <w:tcW w:w="665" w:type="pct"/>
                  <w:tcBorders>
                    <w:tl2br w:val="nil"/>
                    <w:tr2bl w:val="nil"/>
                  </w:tcBorders>
                  <w:vAlign w:val="center"/>
                </w:tcPr>
                <w:p w14:paraId="160FEA9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1.0</w:t>
                  </w:r>
                </w:p>
              </w:tc>
            </w:tr>
            <w:tr w14:paraId="714A6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6084CB92">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18290C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砷</w:t>
                  </w:r>
                </w:p>
              </w:tc>
              <w:tc>
                <w:tcPr>
                  <w:tcW w:w="542" w:type="pct"/>
                  <w:tcBorders>
                    <w:tl2br w:val="nil"/>
                    <w:tr2bl w:val="nil"/>
                  </w:tcBorders>
                </w:tcPr>
                <w:p w14:paraId="68FA16D6">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D4AEE1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0.00194</w:t>
                  </w:r>
                </w:p>
              </w:tc>
              <w:tc>
                <w:tcPr>
                  <w:tcW w:w="657" w:type="pct"/>
                  <w:tcBorders>
                    <w:tl2br w:val="nil"/>
                    <w:tr2bl w:val="nil"/>
                  </w:tcBorders>
                  <w:vAlign w:val="center"/>
                </w:tcPr>
                <w:p w14:paraId="1E9C430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0.00192</w:t>
                  </w:r>
                </w:p>
              </w:tc>
              <w:tc>
                <w:tcPr>
                  <w:tcW w:w="719" w:type="pct"/>
                  <w:tcBorders>
                    <w:tl2br w:val="nil"/>
                    <w:tr2bl w:val="nil"/>
                  </w:tcBorders>
                  <w:vAlign w:val="center"/>
                </w:tcPr>
                <w:p w14:paraId="6BC4C54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0.00231</w:t>
                  </w:r>
                </w:p>
              </w:tc>
              <w:tc>
                <w:tcPr>
                  <w:tcW w:w="665" w:type="pct"/>
                  <w:tcBorders>
                    <w:tl2br w:val="nil"/>
                    <w:tr2bl w:val="nil"/>
                  </w:tcBorders>
                  <w:vAlign w:val="center"/>
                </w:tcPr>
                <w:p w14:paraId="76D1FFA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62919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4F7D4E6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1535D10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铅</w:t>
                  </w:r>
                </w:p>
              </w:tc>
              <w:tc>
                <w:tcPr>
                  <w:tcW w:w="542" w:type="pct"/>
                  <w:tcBorders>
                    <w:tl2br w:val="nil"/>
                    <w:tr2bl w:val="nil"/>
                  </w:tcBorders>
                </w:tcPr>
                <w:p w14:paraId="4CA022C7">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3662F91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0.00021</w:t>
                  </w:r>
                </w:p>
              </w:tc>
              <w:tc>
                <w:tcPr>
                  <w:tcW w:w="657" w:type="pct"/>
                  <w:tcBorders>
                    <w:tl2br w:val="nil"/>
                    <w:tr2bl w:val="nil"/>
                  </w:tcBorders>
                  <w:vAlign w:val="center"/>
                </w:tcPr>
                <w:p w14:paraId="0DFAEE8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w:t>
                  </w:r>
                </w:p>
              </w:tc>
              <w:tc>
                <w:tcPr>
                  <w:tcW w:w="719" w:type="pct"/>
                  <w:tcBorders>
                    <w:tl2br w:val="nil"/>
                    <w:tr2bl w:val="nil"/>
                  </w:tcBorders>
                  <w:vAlign w:val="center"/>
                </w:tcPr>
                <w:p w14:paraId="6E9D7E9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0.00016</w:t>
                  </w:r>
                </w:p>
              </w:tc>
              <w:tc>
                <w:tcPr>
                  <w:tcW w:w="665" w:type="pct"/>
                  <w:tcBorders>
                    <w:tl2br w:val="nil"/>
                    <w:tr2bl w:val="nil"/>
                  </w:tcBorders>
                  <w:vAlign w:val="center"/>
                </w:tcPr>
                <w:p w14:paraId="2B0E66F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0.05</w:t>
                  </w:r>
                </w:p>
              </w:tc>
            </w:tr>
            <w:tr w14:paraId="3AA76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729E08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C967A7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镉</w:t>
                  </w:r>
                </w:p>
              </w:tc>
              <w:tc>
                <w:tcPr>
                  <w:tcW w:w="542" w:type="pct"/>
                  <w:tcBorders>
                    <w:tl2br w:val="nil"/>
                    <w:tr2bl w:val="nil"/>
                  </w:tcBorders>
                </w:tcPr>
                <w:p w14:paraId="63E543FB">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D6DCDB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0.00005L</w:t>
                  </w:r>
                </w:p>
              </w:tc>
              <w:tc>
                <w:tcPr>
                  <w:tcW w:w="657" w:type="pct"/>
                  <w:tcBorders>
                    <w:tl2br w:val="nil"/>
                    <w:tr2bl w:val="nil"/>
                  </w:tcBorders>
                </w:tcPr>
                <w:p w14:paraId="287A0E5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0.00005L</w:t>
                  </w:r>
                </w:p>
              </w:tc>
              <w:tc>
                <w:tcPr>
                  <w:tcW w:w="719" w:type="pct"/>
                  <w:tcBorders>
                    <w:tl2br w:val="nil"/>
                    <w:tr2bl w:val="nil"/>
                  </w:tcBorders>
                </w:tcPr>
                <w:p w14:paraId="6D86162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0.00005L</w:t>
                  </w:r>
                </w:p>
              </w:tc>
              <w:tc>
                <w:tcPr>
                  <w:tcW w:w="665" w:type="pct"/>
                  <w:tcBorders>
                    <w:tl2br w:val="nil"/>
                    <w:tr2bl w:val="nil"/>
                  </w:tcBorders>
                  <w:vAlign w:val="center"/>
                </w:tcPr>
                <w:p w14:paraId="4C0D70A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0.005</w:t>
                  </w:r>
                </w:p>
              </w:tc>
            </w:tr>
            <w:tr w14:paraId="2D8FC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42696D1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618A88BB">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铁</w:t>
                  </w:r>
                </w:p>
              </w:tc>
              <w:tc>
                <w:tcPr>
                  <w:tcW w:w="542" w:type="pct"/>
                  <w:tcBorders>
                    <w:tl2br w:val="nil"/>
                    <w:tr2bl w:val="nil"/>
                  </w:tcBorders>
                </w:tcPr>
                <w:p w14:paraId="1AAC606D">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61FBFE0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0.00151</w:t>
                  </w:r>
                </w:p>
              </w:tc>
              <w:tc>
                <w:tcPr>
                  <w:tcW w:w="657" w:type="pct"/>
                  <w:tcBorders>
                    <w:tl2br w:val="nil"/>
                    <w:tr2bl w:val="nil"/>
                  </w:tcBorders>
                  <w:vAlign w:val="center"/>
                </w:tcPr>
                <w:p w14:paraId="1B4E2B5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0.00222</w:t>
                  </w:r>
                </w:p>
              </w:tc>
              <w:tc>
                <w:tcPr>
                  <w:tcW w:w="719" w:type="pct"/>
                  <w:tcBorders>
                    <w:tl2br w:val="nil"/>
                    <w:tr2bl w:val="nil"/>
                  </w:tcBorders>
                  <w:vAlign w:val="center"/>
                </w:tcPr>
                <w:p w14:paraId="20E2652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0.00458</w:t>
                  </w:r>
                </w:p>
              </w:tc>
              <w:tc>
                <w:tcPr>
                  <w:tcW w:w="665" w:type="pct"/>
                  <w:tcBorders>
                    <w:tl2br w:val="nil"/>
                    <w:tr2bl w:val="nil"/>
                  </w:tcBorders>
                  <w:vAlign w:val="center"/>
                </w:tcPr>
                <w:p w14:paraId="285059B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2CB6C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07FDD67">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445D665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锰</w:t>
                  </w:r>
                </w:p>
              </w:tc>
              <w:tc>
                <w:tcPr>
                  <w:tcW w:w="542" w:type="pct"/>
                  <w:tcBorders>
                    <w:tl2br w:val="nil"/>
                    <w:tr2bl w:val="nil"/>
                  </w:tcBorders>
                </w:tcPr>
                <w:p w14:paraId="4E2C4B6F">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456C43C">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0.00073</w:t>
                  </w:r>
                </w:p>
              </w:tc>
              <w:tc>
                <w:tcPr>
                  <w:tcW w:w="657" w:type="pct"/>
                  <w:tcBorders>
                    <w:tl2br w:val="nil"/>
                    <w:tr2bl w:val="nil"/>
                  </w:tcBorders>
                  <w:vAlign w:val="center"/>
                </w:tcPr>
                <w:p w14:paraId="5FB2DC48">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0.00012L</w:t>
                  </w:r>
                </w:p>
              </w:tc>
              <w:tc>
                <w:tcPr>
                  <w:tcW w:w="719" w:type="pct"/>
                  <w:tcBorders>
                    <w:tl2br w:val="nil"/>
                    <w:tr2bl w:val="nil"/>
                  </w:tcBorders>
                  <w:vAlign w:val="center"/>
                </w:tcPr>
                <w:p w14:paraId="6BB98F9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0.0024</w:t>
                  </w:r>
                </w:p>
              </w:tc>
              <w:tc>
                <w:tcPr>
                  <w:tcW w:w="665" w:type="pct"/>
                  <w:tcBorders>
                    <w:tl2br w:val="nil"/>
                    <w:tr2bl w:val="nil"/>
                  </w:tcBorders>
                  <w:vAlign w:val="center"/>
                </w:tcPr>
                <w:p w14:paraId="48C79BF4">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1B39A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7BFE926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7044ABED">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镍</w:t>
                  </w:r>
                </w:p>
              </w:tc>
              <w:tc>
                <w:tcPr>
                  <w:tcW w:w="542" w:type="pct"/>
                  <w:tcBorders>
                    <w:tl2br w:val="nil"/>
                    <w:tr2bl w:val="nil"/>
                  </w:tcBorders>
                </w:tcPr>
                <w:p w14:paraId="158489D4">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18A83EB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0.00075</w:t>
                  </w:r>
                </w:p>
              </w:tc>
              <w:tc>
                <w:tcPr>
                  <w:tcW w:w="657" w:type="pct"/>
                  <w:tcBorders>
                    <w:tl2br w:val="nil"/>
                    <w:tr2bl w:val="nil"/>
                  </w:tcBorders>
                  <w:vAlign w:val="center"/>
                </w:tcPr>
                <w:p w14:paraId="0979DA6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0.00083</w:t>
                  </w:r>
                </w:p>
              </w:tc>
              <w:tc>
                <w:tcPr>
                  <w:tcW w:w="719" w:type="pct"/>
                  <w:tcBorders>
                    <w:tl2br w:val="nil"/>
                    <w:tr2bl w:val="nil"/>
                  </w:tcBorders>
                  <w:vAlign w:val="center"/>
                </w:tcPr>
                <w:p w14:paraId="22BB790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0.00099</w:t>
                  </w:r>
                </w:p>
              </w:tc>
              <w:tc>
                <w:tcPr>
                  <w:tcW w:w="665" w:type="pct"/>
                  <w:tcBorders>
                    <w:tl2br w:val="nil"/>
                    <w:tr2bl w:val="nil"/>
                  </w:tcBorders>
                  <w:vAlign w:val="center"/>
                </w:tcPr>
                <w:p w14:paraId="0D1FE24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r w14:paraId="34F16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0E4D9929">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51F96C0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汞</w:t>
                  </w:r>
                </w:p>
              </w:tc>
              <w:tc>
                <w:tcPr>
                  <w:tcW w:w="542" w:type="pct"/>
                  <w:tcBorders>
                    <w:tl2br w:val="nil"/>
                    <w:tr2bl w:val="nil"/>
                  </w:tcBorders>
                </w:tcPr>
                <w:p w14:paraId="68B1E982">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0C581D6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0.00004L</w:t>
                  </w:r>
                </w:p>
              </w:tc>
              <w:tc>
                <w:tcPr>
                  <w:tcW w:w="657" w:type="pct"/>
                  <w:tcBorders>
                    <w:tl2br w:val="nil"/>
                    <w:tr2bl w:val="nil"/>
                  </w:tcBorders>
                </w:tcPr>
                <w:p w14:paraId="2B6DF2C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0.00004L</w:t>
                  </w:r>
                </w:p>
              </w:tc>
              <w:tc>
                <w:tcPr>
                  <w:tcW w:w="719" w:type="pct"/>
                  <w:tcBorders>
                    <w:tl2br w:val="nil"/>
                    <w:tr2bl w:val="nil"/>
                  </w:tcBorders>
                </w:tcPr>
                <w:p w14:paraId="3408AD9E">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0.00004L</w:t>
                  </w:r>
                </w:p>
              </w:tc>
              <w:tc>
                <w:tcPr>
                  <w:tcW w:w="665" w:type="pct"/>
                  <w:tcBorders>
                    <w:tl2br w:val="nil"/>
                    <w:tr2bl w:val="nil"/>
                  </w:tcBorders>
                  <w:vAlign w:val="center"/>
                </w:tcPr>
                <w:p w14:paraId="4BF945A3">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w:t>
                  </w:r>
                </w:p>
              </w:tc>
            </w:tr>
            <w:tr w14:paraId="0398F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6" w:type="pct"/>
                  <w:vMerge w:val="continue"/>
                  <w:tcBorders>
                    <w:tl2br w:val="nil"/>
                    <w:tr2bl w:val="nil"/>
                  </w:tcBorders>
                  <w:vAlign w:val="center"/>
                </w:tcPr>
                <w:p w14:paraId="2B8C4E96">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p>
              </w:tc>
              <w:tc>
                <w:tcPr>
                  <w:tcW w:w="839" w:type="pct"/>
                  <w:tcBorders>
                    <w:tl2br w:val="nil"/>
                    <w:tr2bl w:val="nil"/>
                  </w:tcBorders>
                  <w:vAlign w:val="center"/>
                </w:tcPr>
                <w:p w14:paraId="40AF8CC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铬</w:t>
                  </w:r>
                </w:p>
              </w:tc>
              <w:tc>
                <w:tcPr>
                  <w:tcW w:w="542" w:type="pct"/>
                  <w:tcBorders>
                    <w:tl2br w:val="nil"/>
                    <w:tr2bl w:val="nil"/>
                  </w:tcBorders>
                </w:tcPr>
                <w:p w14:paraId="29B9C382">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mg/L</w:t>
                  </w:r>
                </w:p>
              </w:tc>
              <w:tc>
                <w:tcPr>
                  <w:tcW w:w="662" w:type="pct"/>
                  <w:tcBorders>
                    <w:tl2br w:val="nil"/>
                    <w:tr2bl w:val="nil"/>
                  </w:tcBorders>
                  <w:vAlign w:val="center"/>
                </w:tcPr>
                <w:p w14:paraId="568E11B1">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0.00011L</w:t>
                  </w:r>
                </w:p>
              </w:tc>
              <w:tc>
                <w:tcPr>
                  <w:tcW w:w="657" w:type="pct"/>
                  <w:tcBorders>
                    <w:tl2br w:val="nil"/>
                    <w:tr2bl w:val="nil"/>
                  </w:tcBorders>
                </w:tcPr>
                <w:p w14:paraId="2349875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0.00011L</w:t>
                  </w:r>
                </w:p>
              </w:tc>
              <w:tc>
                <w:tcPr>
                  <w:tcW w:w="719" w:type="pct"/>
                  <w:tcBorders>
                    <w:tl2br w:val="nil"/>
                    <w:tr2bl w:val="nil"/>
                  </w:tcBorders>
                </w:tcPr>
                <w:p w14:paraId="56DB19B5">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0.00011L</w:t>
                  </w:r>
                </w:p>
              </w:tc>
              <w:tc>
                <w:tcPr>
                  <w:tcW w:w="665" w:type="pct"/>
                  <w:tcBorders>
                    <w:tl2br w:val="nil"/>
                    <w:tr2bl w:val="nil"/>
                  </w:tcBorders>
                  <w:vAlign w:val="center"/>
                </w:tcPr>
                <w:p w14:paraId="2E76188F">
                  <w:pPr>
                    <w:pStyle w:val="2"/>
                    <w:keepNext w:val="0"/>
                    <w:keepLines w:val="0"/>
                    <w:spacing w:before="0" w:after="0" w:line="240" w:lineRule="auto"/>
                    <w:jc w:val="center"/>
                    <w:rPr>
                      <w:b w:val="0"/>
                      <w:bCs w:val="0"/>
                      <w:color w:val="000000" w:themeColor="text1"/>
                      <w:sz w:val="21"/>
                      <w:szCs w:val="21"/>
                      <w:u w:val="single"/>
                      <w14:textFill>
                        <w14:solidFill>
                          <w14:schemeClr w14:val="tx1"/>
                        </w14:solidFill>
                      </w14:textFill>
                    </w:rPr>
                  </w:pPr>
                  <w:r>
                    <w:rPr>
                      <w:rFonts w:hint="eastAsia"/>
                      <w:b w:val="0"/>
                      <w:bCs w:val="0"/>
                      <w:color w:val="000000" w:themeColor="text1"/>
                      <w:sz w:val="21"/>
                      <w:szCs w:val="21"/>
                      <w:u w:val="single"/>
                      <w14:textFill>
                        <w14:solidFill>
                          <w14:schemeClr w14:val="tx1"/>
                        </w14:solidFill>
                      </w14:textFill>
                    </w:rPr>
                    <w:t>/</w:t>
                  </w:r>
                </w:p>
              </w:tc>
            </w:tr>
          </w:tbl>
          <w:p w14:paraId="28D1B4D0">
            <w:pPr>
              <w:pStyle w:val="2"/>
              <w:keepNext w:val="0"/>
              <w:keepLines w:val="0"/>
              <w:kinsoku w:val="0"/>
              <w:spacing w:before="0" w:after="0" w:line="360" w:lineRule="auto"/>
              <w:ind w:firstLine="480" w:firstLineChars="200"/>
              <w:rPr>
                <w:b w:val="0"/>
                <w:bCs w:val="0"/>
                <w:color w:val="000000" w:themeColor="text1"/>
                <w:sz w:val="24"/>
                <w:szCs w:val="24"/>
                <w:u w:val="single"/>
                <w14:textFill>
                  <w14:solidFill>
                    <w14:schemeClr w14:val="tx1"/>
                  </w14:solidFill>
                </w14:textFill>
              </w:rPr>
            </w:pPr>
            <w:bookmarkStart w:id="65" w:name="_Toc189746476"/>
            <w:r>
              <w:rPr>
                <w:b w:val="0"/>
                <w:bCs w:val="0"/>
                <w:color w:val="000000" w:themeColor="text1"/>
                <w:sz w:val="24"/>
                <w:szCs w:val="24"/>
                <w:u w:val="single"/>
                <w14:textFill>
                  <w14:solidFill>
                    <w14:schemeClr w14:val="tx1"/>
                  </w14:solidFill>
                </w14:textFill>
              </w:rPr>
              <w:t>根据上表可知，项目区域内</w:t>
            </w:r>
            <w:r>
              <w:rPr>
                <w:rFonts w:hint="eastAsia"/>
                <w:b w:val="0"/>
                <w:bCs w:val="0"/>
                <w:color w:val="000000" w:themeColor="text1"/>
                <w:sz w:val="24"/>
                <w:szCs w:val="24"/>
                <w:u w:val="single"/>
                <w14:textFill>
                  <w14:solidFill>
                    <w14:schemeClr w14:val="tx1"/>
                  </w14:solidFill>
                </w14:textFill>
              </w:rPr>
              <w:t>泉交河断面均满足</w:t>
            </w:r>
            <w:r>
              <w:rPr>
                <w:rFonts w:hint="eastAsia" w:ascii="宋体" w:hAnsi="宋体" w:cs="宋体"/>
                <w:b w:val="0"/>
                <w:bCs w:val="0"/>
                <w:color w:val="000000" w:themeColor="text1"/>
                <w:sz w:val="24"/>
                <w:szCs w:val="24"/>
                <w:u w:val="single"/>
                <w14:textFill>
                  <w14:solidFill>
                    <w14:schemeClr w14:val="tx1"/>
                  </w14:solidFill>
                </w14:textFill>
              </w:rPr>
              <w:t>《地表水环境质量标准》（</w:t>
            </w:r>
            <w:r>
              <w:rPr>
                <w:b w:val="0"/>
                <w:bCs w:val="0"/>
                <w:color w:val="000000" w:themeColor="text1"/>
                <w:sz w:val="24"/>
                <w:szCs w:val="24"/>
                <w:u w:val="single"/>
                <w14:textFill>
                  <w14:solidFill>
                    <w14:schemeClr w14:val="tx1"/>
                  </w14:solidFill>
                </w14:textFill>
              </w:rPr>
              <w:t>GB3838-2002</w:t>
            </w:r>
            <w:r>
              <w:rPr>
                <w:rFonts w:hint="eastAsia" w:ascii="宋体" w:hAnsi="宋体" w:cs="宋体"/>
                <w:b w:val="0"/>
                <w:bCs w:val="0"/>
                <w:color w:val="000000" w:themeColor="text1"/>
                <w:sz w:val="24"/>
                <w:szCs w:val="24"/>
                <w:u w:val="single"/>
                <w14:textFill>
                  <w14:solidFill>
                    <w14:schemeClr w14:val="tx1"/>
                  </w14:solidFill>
                </w14:textFill>
              </w:rPr>
              <w:t>）</w:t>
            </w:r>
            <w:r>
              <w:rPr>
                <w:b w:val="0"/>
                <w:bCs w:val="0"/>
                <w:color w:val="000000" w:themeColor="text1"/>
                <w:sz w:val="24"/>
                <w:szCs w:val="24"/>
                <w:u w:val="single"/>
                <w14:textFill>
                  <w14:solidFill>
                    <w14:schemeClr w14:val="tx1"/>
                  </w14:solidFill>
                </w14:textFill>
              </w:rPr>
              <w:t>Ⅲ</w:t>
            </w:r>
            <w:r>
              <w:rPr>
                <w:rFonts w:hint="eastAsia"/>
                <w:b w:val="0"/>
                <w:bCs w:val="0"/>
                <w:color w:val="000000" w:themeColor="text1"/>
                <w:sz w:val="24"/>
                <w:szCs w:val="24"/>
                <w:u w:val="single"/>
                <w14:textFill>
                  <w14:solidFill>
                    <w14:schemeClr w14:val="tx1"/>
                  </w14:solidFill>
                </w14:textFill>
              </w:rPr>
              <w:t>类水质标准。</w:t>
            </w:r>
            <w:bookmarkEnd w:id="65"/>
          </w:p>
          <w:p w14:paraId="10125EFD">
            <w:pPr>
              <w:pStyle w:val="2"/>
              <w:spacing w:before="0" w:after="0" w:line="360" w:lineRule="auto"/>
              <w:rPr>
                <w:color w:val="000000" w:themeColor="text1"/>
                <w:sz w:val="24"/>
                <w:szCs w:val="24"/>
                <w14:textFill>
                  <w14:solidFill>
                    <w14:schemeClr w14:val="tx1"/>
                  </w14:solidFill>
                </w14:textFill>
              </w:rPr>
            </w:pPr>
            <w:bookmarkStart w:id="66" w:name="_Toc189746477"/>
            <w:r>
              <w:rPr>
                <w:rFonts w:hint="eastAsia"/>
                <w:color w:val="000000" w:themeColor="text1"/>
                <w:sz w:val="24"/>
                <w:szCs w:val="24"/>
                <w14:textFill>
                  <w14:solidFill>
                    <w14:schemeClr w14:val="tx1"/>
                  </w14:solidFill>
                </w14:textFill>
              </w:rPr>
              <w:t>三、</w:t>
            </w:r>
            <w:r>
              <w:rPr>
                <w:color w:val="000000" w:themeColor="text1"/>
                <w:sz w:val="24"/>
                <w:szCs w:val="24"/>
                <w14:textFill>
                  <w14:solidFill>
                    <w14:schemeClr w14:val="tx1"/>
                  </w14:solidFill>
                </w14:textFill>
              </w:rPr>
              <w:t>声环境质量现状</w:t>
            </w:r>
            <w:bookmarkEnd w:id="66"/>
          </w:p>
          <w:p w14:paraId="2BD2D811">
            <w:pPr>
              <w:kinsoku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项目环境影响报告表编制技术指南（污染影响类）（试行）》中“厂界外周边50米范围内存在声环境保护目标的建设项目，应监测保护目标声环境质量现状并评价达标情况”，本项目厂界外50米范围内无声环境保护目标，因此无需进行声环境质量现状监测。</w:t>
            </w:r>
          </w:p>
          <w:p w14:paraId="52B7DAF1">
            <w:pPr>
              <w:pStyle w:val="2"/>
              <w:spacing w:before="0" w:after="0" w:line="480" w:lineRule="exact"/>
              <w:rPr>
                <w:color w:val="000000" w:themeColor="text1"/>
                <w:sz w:val="24"/>
                <w:szCs w:val="24"/>
                <w14:textFill>
                  <w14:solidFill>
                    <w14:schemeClr w14:val="tx1"/>
                  </w14:solidFill>
                </w14:textFill>
              </w:rPr>
            </w:pPr>
            <w:bookmarkStart w:id="67" w:name="_Toc189746478"/>
            <w:r>
              <w:rPr>
                <w:rFonts w:hint="eastAsia"/>
                <w:color w:val="000000" w:themeColor="text1"/>
                <w:sz w:val="24"/>
                <w:szCs w:val="24"/>
                <w14:textFill>
                  <w14:solidFill>
                    <w14:schemeClr w14:val="tx1"/>
                  </w14:solidFill>
                </w14:textFill>
              </w:rPr>
              <w:t>四、</w:t>
            </w:r>
            <w:r>
              <w:rPr>
                <w:color w:val="000000" w:themeColor="text1"/>
                <w:sz w:val="24"/>
                <w:szCs w:val="24"/>
                <w14:textFill>
                  <w14:solidFill>
                    <w14:schemeClr w14:val="tx1"/>
                  </w14:solidFill>
                </w14:textFill>
              </w:rPr>
              <w:t>生态环境</w:t>
            </w:r>
            <w:bookmarkEnd w:id="67"/>
          </w:p>
          <w:p w14:paraId="7257366D">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本项目租赁园区现有标准厂房进行生产，项目所在地块属于园区已建地块，不涉及自然保护区、风景名胜区等生态敏感区。</w:t>
            </w:r>
          </w:p>
          <w:p w14:paraId="16CFDC80">
            <w:pPr>
              <w:pStyle w:val="2"/>
              <w:spacing w:before="0" w:after="0" w:line="480" w:lineRule="exact"/>
              <w:rPr>
                <w:color w:val="000000" w:themeColor="text1"/>
                <w:sz w:val="24"/>
                <w:szCs w:val="24"/>
                <w14:textFill>
                  <w14:solidFill>
                    <w14:schemeClr w14:val="tx1"/>
                  </w14:solidFill>
                </w14:textFill>
              </w:rPr>
            </w:pPr>
            <w:bookmarkStart w:id="68" w:name="_Toc189746479"/>
            <w:r>
              <w:rPr>
                <w:rFonts w:hint="eastAsia"/>
                <w:color w:val="000000" w:themeColor="text1"/>
                <w:sz w:val="24"/>
                <w:szCs w:val="24"/>
                <w14:textFill>
                  <w14:solidFill>
                    <w14:schemeClr w14:val="tx1"/>
                  </w14:solidFill>
                </w14:textFill>
              </w:rPr>
              <w:t>五、</w:t>
            </w:r>
            <w:r>
              <w:rPr>
                <w:color w:val="000000" w:themeColor="text1"/>
                <w:sz w:val="24"/>
                <w:szCs w:val="24"/>
                <w14:textFill>
                  <w14:solidFill>
                    <w14:schemeClr w14:val="tx1"/>
                  </w14:solidFill>
                </w14:textFill>
              </w:rPr>
              <w:t>电磁辐射</w:t>
            </w:r>
            <w:bookmarkEnd w:id="68"/>
          </w:p>
          <w:p w14:paraId="3F4AD95D">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本项目不涉及电磁辐射设备，不进行电磁辐射影响评价，因此无需进行电磁辐射环境现状调查。</w:t>
            </w:r>
          </w:p>
          <w:p w14:paraId="3581ADD6">
            <w:pPr>
              <w:pStyle w:val="2"/>
              <w:spacing w:before="0" w:after="0" w:line="480" w:lineRule="exact"/>
              <w:rPr>
                <w:color w:val="000000" w:themeColor="text1"/>
                <w:sz w:val="24"/>
                <w:szCs w:val="24"/>
                <w14:textFill>
                  <w14:solidFill>
                    <w14:schemeClr w14:val="tx1"/>
                  </w14:solidFill>
                </w14:textFill>
              </w:rPr>
            </w:pPr>
            <w:bookmarkStart w:id="69" w:name="_Toc189746480"/>
            <w:r>
              <w:rPr>
                <w:rFonts w:hint="eastAsia"/>
                <w:color w:val="000000" w:themeColor="text1"/>
                <w:sz w:val="24"/>
                <w:szCs w:val="24"/>
                <w14:textFill>
                  <w14:solidFill>
                    <w14:schemeClr w14:val="tx1"/>
                  </w14:solidFill>
                </w14:textFill>
              </w:rPr>
              <w:t>六、</w:t>
            </w:r>
            <w:r>
              <w:rPr>
                <w:color w:val="000000" w:themeColor="text1"/>
                <w:sz w:val="24"/>
                <w:szCs w:val="24"/>
                <w14:textFill>
                  <w14:solidFill>
                    <w14:schemeClr w14:val="tx1"/>
                  </w14:solidFill>
                </w14:textFill>
              </w:rPr>
              <w:t>地下水、土壤环境</w:t>
            </w:r>
            <w:bookmarkEnd w:id="69"/>
          </w:p>
          <w:p w14:paraId="4AF6B78B">
            <w:pPr>
              <w:pStyle w:val="40"/>
              <w:spacing w:line="480" w:lineRule="exact"/>
              <w:ind w:firstLine="480"/>
              <w:rPr>
                <w:rFonts w:hint="eastAsia" w:ascii="黑体" w:hAnsi="黑体" w:eastAsia="黑体"/>
                <w:snapToGrid w:val="0"/>
                <w:color w:val="000000"/>
                <w:sz w:val="30"/>
                <w:szCs w:val="30"/>
              </w:rPr>
            </w:pPr>
            <w:r>
              <w:rPr>
                <w:rFonts w:hint="eastAsia" w:ascii="Times New Roman" w:hAnsi="Times New Roman"/>
                <w:bCs/>
                <w:color w:val="000000" w:themeColor="text1"/>
                <w:kern w:val="2"/>
                <w:sz w:val="24"/>
                <w:szCs w:val="24"/>
                <w14:textFill>
                  <w14:solidFill>
                    <w14:schemeClr w14:val="tx1"/>
                  </w14:solidFill>
                </w14:textFill>
              </w:rPr>
              <w:t>根据《建设项目环境影响报告表编制技术指南（污染影响类）（试行）》中提到的“原则上不开展环境质量现状调查。建设项目存在土壤、地下水环境污染途径的，应结合污染源、保护目标分布情况开展现状调查以留作背景值”。本项目所在建筑已进行场地硬底化，环评要求项目对水性漆贮存间、喷漆间、危废暂存间等区域进行重点防渗处理，落实环评所提措施后，项目不存在地下水、土壤环境污染途径，不需要进行地下水、土壤环境质量现状调查。</w:t>
            </w:r>
          </w:p>
        </w:tc>
      </w:tr>
      <w:tr w14:paraId="7E24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dxa"/>
            <w:vAlign w:val="center"/>
          </w:tcPr>
          <w:p w14:paraId="0105EDE4">
            <w:pPr>
              <w:pStyle w:val="20"/>
              <w:spacing w:before="0" w:beforeAutospacing="0" w:after="0" w:afterAutospacing="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环境保护目标</w:t>
            </w:r>
          </w:p>
        </w:tc>
        <w:tc>
          <w:tcPr>
            <w:tcW w:w="8066" w:type="dxa"/>
          </w:tcPr>
          <w:p w14:paraId="5B83F74D">
            <w:pPr>
              <w:pStyle w:val="40"/>
              <w:kinsoku w:val="0"/>
              <w:wordWrap w:val="0"/>
              <w:adjustRightInd w:val="0"/>
              <w:snapToGrid w:val="0"/>
              <w:spacing w:line="360" w:lineRule="auto"/>
              <w:ind w:firstLine="0" w:firstLineChars="0"/>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一、大气环境</w:t>
            </w:r>
          </w:p>
          <w:p w14:paraId="70B33D02">
            <w:pPr>
              <w:pStyle w:val="5"/>
              <w:kinsoku w:val="0"/>
              <w:wordWrap w:val="0"/>
              <w:adjustRightInd w:val="0"/>
              <w:snapToGrid w:val="0"/>
              <w:spacing w:line="360" w:lineRule="auto"/>
              <w:ind w:firstLine="480" w:firstLineChars="200"/>
              <w:rPr>
                <w:rFonts w:ascii="Times New Roman" w:hAnsi="Times New Roman" w:eastAsia="宋体"/>
                <w:bCs/>
                <w:color w:val="000000"/>
                <w:sz w:val="24"/>
                <w:szCs w:val="24"/>
              </w:rPr>
            </w:pPr>
            <w:r>
              <w:rPr>
                <w:rFonts w:hint="eastAsia" w:ascii="Times New Roman" w:hAnsi="Times New Roman" w:eastAsia="宋体"/>
                <w:bCs/>
                <w:color w:val="000000"/>
                <w:sz w:val="24"/>
                <w:szCs w:val="24"/>
              </w:rPr>
              <w:t>本次调查项目厂界周边500m范围内的环境空气保护目标，具体如下：</w:t>
            </w:r>
          </w:p>
          <w:p w14:paraId="27385A95">
            <w:pPr>
              <w:kinsoku w:val="0"/>
              <w:wordWrap w:val="0"/>
              <w:adjustRightInd w:val="0"/>
              <w:snapToGrid w:val="0"/>
              <w:jc w:val="center"/>
              <w:rPr>
                <w:b/>
              </w:rPr>
            </w:pPr>
            <w:r>
              <w:rPr>
                <w:rFonts w:hint="eastAsia"/>
                <w:b/>
                <w:color w:val="000000"/>
              </w:rPr>
              <w:t>表3-4  项目环境空气保护目标</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464"/>
              <w:gridCol w:w="1256"/>
              <w:gridCol w:w="1151"/>
              <w:gridCol w:w="1135"/>
              <w:gridCol w:w="665"/>
              <w:gridCol w:w="1118"/>
            </w:tblGrid>
            <w:tr w14:paraId="55BDD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9" w:type="pct"/>
                  <w:tcBorders>
                    <w:tl2br w:val="nil"/>
                    <w:tr2bl w:val="nil"/>
                  </w:tcBorders>
                  <w:vAlign w:val="center"/>
                </w:tcPr>
                <w:p w14:paraId="37F7CC7D">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名称</w:t>
                  </w:r>
                </w:p>
              </w:tc>
              <w:tc>
                <w:tcPr>
                  <w:tcW w:w="936" w:type="pct"/>
                  <w:tcBorders>
                    <w:tl2br w:val="nil"/>
                    <w:tr2bl w:val="nil"/>
                  </w:tcBorders>
                  <w:vAlign w:val="center"/>
                </w:tcPr>
                <w:p w14:paraId="386CA064">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坐标</w:t>
                  </w:r>
                </w:p>
              </w:tc>
              <w:tc>
                <w:tcPr>
                  <w:tcW w:w="803" w:type="pct"/>
                  <w:tcBorders>
                    <w:tl2br w:val="nil"/>
                    <w:tr2bl w:val="nil"/>
                  </w:tcBorders>
                  <w:vAlign w:val="center"/>
                </w:tcPr>
                <w:p w14:paraId="3A51F305">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保护对象</w:t>
                  </w:r>
                </w:p>
              </w:tc>
              <w:tc>
                <w:tcPr>
                  <w:tcW w:w="736" w:type="pct"/>
                  <w:tcBorders>
                    <w:tl2br w:val="nil"/>
                    <w:tr2bl w:val="nil"/>
                  </w:tcBorders>
                  <w:vAlign w:val="center"/>
                </w:tcPr>
                <w:p w14:paraId="74E4E6B9">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保护内容</w:t>
                  </w:r>
                </w:p>
              </w:tc>
              <w:tc>
                <w:tcPr>
                  <w:tcW w:w="726" w:type="pct"/>
                  <w:tcBorders>
                    <w:tl2br w:val="nil"/>
                    <w:tr2bl w:val="nil"/>
                  </w:tcBorders>
                  <w:vAlign w:val="center"/>
                </w:tcPr>
                <w:p w14:paraId="0C74343B">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执行标准</w:t>
                  </w:r>
                </w:p>
              </w:tc>
              <w:tc>
                <w:tcPr>
                  <w:tcW w:w="425" w:type="pct"/>
                  <w:tcBorders>
                    <w:tl2br w:val="nil"/>
                    <w:tr2bl w:val="nil"/>
                  </w:tcBorders>
                  <w:vAlign w:val="center"/>
                </w:tcPr>
                <w:p w14:paraId="610479FF">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相对厂区方位</w:t>
                  </w:r>
                </w:p>
              </w:tc>
              <w:tc>
                <w:tcPr>
                  <w:tcW w:w="715" w:type="pct"/>
                  <w:tcBorders>
                    <w:tl2br w:val="nil"/>
                    <w:tr2bl w:val="nil"/>
                  </w:tcBorders>
                  <w:vAlign w:val="center"/>
                </w:tcPr>
                <w:p w14:paraId="03C91F2E">
                  <w:pPr>
                    <w:adjustRightInd w:val="0"/>
                    <w:snapToGrid w:val="0"/>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相对厂界距离/m</w:t>
                  </w:r>
                </w:p>
              </w:tc>
            </w:tr>
            <w:tr w14:paraId="319A5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9" w:type="pct"/>
                  <w:tcBorders>
                    <w:tl2br w:val="nil"/>
                    <w:tr2bl w:val="nil"/>
                  </w:tcBorders>
                  <w:vAlign w:val="center"/>
                </w:tcPr>
                <w:p w14:paraId="7012CC28">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徐家冲居民</w:t>
                  </w:r>
                </w:p>
              </w:tc>
              <w:tc>
                <w:tcPr>
                  <w:tcW w:w="936" w:type="pct"/>
                  <w:tcBorders>
                    <w:tl2br w:val="nil"/>
                    <w:tr2bl w:val="nil"/>
                  </w:tcBorders>
                  <w:vAlign w:val="center"/>
                </w:tcPr>
                <w:p w14:paraId="1C2F1C89">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112.501266°E</w:t>
                  </w:r>
                </w:p>
                <w:p w14:paraId="56666CF0">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28.361259°N</w:t>
                  </w:r>
                </w:p>
              </w:tc>
              <w:tc>
                <w:tcPr>
                  <w:tcW w:w="803" w:type="pct"/>
                  <w:tcBorders>
                    <w:tl2br w:val="nil"/>
                    <w:tr2bl w:val="nil"/>
                  </w:tcBorders>
                  <w:vAlign w:val="center"/>
                </w:tcPr>
                <w:p w14:paraId="326E23BB">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居民</w:t>
                  </w:r>
                </w:p>
              </w:tc>
              <w:tc>
                <w:tcPr>
                  <w:tcW w:w="736" w:type="pct"/>
                  <w:tcBorders>
                    <w:tl2br w:val="nil"/>
                    <w:tr2bl w:val="nil"/>
                  </w:tcBorders>
                  <w:vAlign w:val="center"/>
                </w:tcPr>
                <w:p w14:paraId="465D9007">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约10户，约30人</w:t>
                  </w:r>
                </w:p>
              </w:tc>
              <w:tc>
                <w:tcPr>
                  <w:tcW w:w="726" w:type="pct"/>
                  <w:tcBorders>
                    <w:tl2br w:val="nil"/>
                    <w:tr2bl w:val="nil"/>
                  </w:tcBorders>
                  <w:vAlign w:val="center"/>
                </w:tcPr>
                <w:p w14:paraId="0E6B473F">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二类</w:t>
                  </w:r>
                </w:p>
              </w:tc>
              <w:tc>
                <w:tcPr>
                  <w:tcW w:w="425" w:type="pct"/>
                  <w:tcBorders>
                    <w:tl2br w:val="nil"/>
                    <w:tr2bl w:val="nil"/>
                  </w:tcBorders>
                  <w:vAlign w:val="center"/>
                </w:tcPr>
                <w:p w14:paraId="4498E22D">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西</w:t>
                  </w:r>
                </w:p>
              </w:tc>
              <w:tc>
                <w:tcPr>
                  <w:tcW w:w="715" w:type="pct"/>
                  <w:tcBorders>
                    <w:tl2br w:val="nil"/>
                    <w:tr2bl w:val="nil"/>
                  </w:tcBorders>
                  <w:vAlign w:val="center"/>
                </w:tcPr>
                <w:p w14:paraId="3829AB38">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284-383</w:t>
                  </w:r>
                </w:p>
              </w:tc>
            </w:tr>
            <w:tr w14:paraId="701EC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9" w:type="pct"/>
                  <w:tcBorders>
                    <w:tl2br w:val="nil"/>
                    <w:tr2bl w:val="nil"/>
                  </w:tcBorders>
                  <w:vAlign w:val="center"/>
                </w:tcPr>
                <w:p w14:paraId="095A6CBC">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月塘村居民</w:t>
                  </w:r>
                </w:p>
              </w:tc>
              <w:tc>
                <w:tcPr>
                  <w:tcW w:w="936" w:type="pct"/>
                  <w:tcBorders>
                    <w:tl2br w:val="nil"/>
                    <w:tr2bl w:val="nil"/>
                  </w:tcBorders>
                  <w:vAlign w:val="center"/>
                </w:tcPr>
                <w:p w14:paraId="6D0A13AE">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112.505139°E</w:t>
                  </w:r>
                </w:p>
                <w:p w14:paraId="36A1DA92">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28.365403°N</w:t>
                  </w:r>
                </w:p>
              </w:tc>
              <w:tc>
                <w:tcPr>
                  <w:tcW w:w="803" w:type="pct"/>
                  <w:tcBorders>
                    <w:tl2br w:val="nil"/>
                    <w:tr2bl w:val="nil"/>
                  </w:tcBorders>
                  <w:vAlign w:val="center"/>
                </w:tcPr>
                <w:p w14:paraId="7A4ADD4A">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居民</w:t>
                  </w:r>
                </w:p>
              </w:tc>
              <w:tc>
                <w:tcPr>
                  <w:tcW w:w="736" w:type="pct"/>
                  <w:tcBorders>
                    <w:tl2br w:val="nil"/>
                    <w:tr2bl w:val="nil"/>
                  </w:tcBorders>
                  <w:vAlign w:val="center"/>
                </w:tcPr>
                <w:p w14:paraId="25186050">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约11户，约33人</w:t>
                  </w:r>
                </w:p>
              </w:tc>
              <w:tc>
                <w:tcPr>
                  <w:tcW w:w="726" w:type="pct"/>
                  <w:tcBorders>
                    <w:tl2br w:val="nil"/>
                    <w:tr2bl w:val="nil"/>
                  </w:tcBorders>
                  <w:vAlign w:val="center"/>
                </w:tcPr>
                <w:p w14:paraId="33339D6D">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二类</w:t>
                  </w:r>
                </w:p>
              </w:tc>
              <w:tc>
                <w:tcPr>
                  <w:tcW w:w="425" w:type="pct"/>
                  <w:tcBorders>
                    <w:tl2br w:val="nil"/>
                    <w:tr2bl w:val="nil"/>
                  </w:tcBorders>
                  <w:vAlign w:val="center"/>
                </w:tcPr>
                <w:p w14:paraId="5E2B398F">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北</w:t>
                  </w:r>
                </w:p>
              </w:tc>
              <w:tc>
                <w:tcPr>
                  <w:tcW w:w="715" w:type="pct"/>
                  <w:tcBorders>
                    <w:tl2br w:val="nil"/>
                    <w:tr2bl w:val="nil"/>
                  </w:tcBorders>
                  <w:vAlign w:val="center"/>
                </w:tcPr>
                <w:p w14:paraId="3B4C106C">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281-500</w:t>
                  </w:r>
                </w:p>
              </w:tc>
            </w:tr>
            <w:tr w14:paraId="2594E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9" w:type="pct"/>
                  <w:tcBorders>
                    <w:tl2br w:val="nil"/>
                    <w:tr2bl w:val="nil"/>
                  </w:tcBorders>
                  <w:vAlign w:val="center"/>
                </w:tcPr>
                <w:p w14:paraId="66E588D4">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牛栏塘居民</w:t>
                  </w:r>
                </w:p>
              </w:tc>
              <w:tc>
                <w:tcPr>
                  <w:tcW w:w="936" w:type="pct"/>
                  <w:tcBorders>
                    <w:tl2br w:val="nil"/>
                    <w:tr2bl w:val="nil"/>
                  </w:tcBorders>
                  <w:vAlign w:val="center"/>
                </w:tcPr>
                <w:p w14:paraId="0EBF10C0">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112.508894°E</w:t>
                  </w:r>
                </w:p>
                <w:p w14:paraId="52F24029">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28.359191°N</w:t>
                  </w:r>
                </w:p>
              </w:tc>
              <w:tc>
                <w:tcPr>
                  <w:tcW w:w="803" w:type="pct"/>
                  <w:tcBorders>
                    <w:tl2br w:val="nil"/>
                    <w:tr2bl w:val="nil"/>
                  </w:tcBorders>
                  <w:vAlign w:val="center"/>
                </w:tcPr>
                <w:p w14:paraId="32943764">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居民</w:t>
                  </w:r>
                </w:p>
              </w:tc>
              <w:tc>
                <w:tcPr>
                  <w:tcW w:w="736" w:type="pct"/>
                  <w:tcBorders>
                    <w:tl2br w:val="nil"/>
                    <w:tr2bl w:val="nil"/>
                  </w:tcBorders>
                  <w:vAlign w:val="center"/>
                </w:tcPr>
                <w:p w14:paraId="7B1DD0A4">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约3户，约9人</w:t>
                  </w:r>
                </w:p>
              </w:tc>
              <w:tc>
                <w:tcPr>
                  <w:tcW w:w="726" w:type="pct"/>
                  <w:tcBorders>
                    <w:tl2br w:val="nil"/>
                    <w:tr2bl w:val="nil"/>
                  </w:tcBorders>
                  <w:vAlign w:val="center"/>
                </w:tcPr>
                <w:p w14:paraId="41DA1133">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二类</w:t>
                  </w:r>
                </w:p>
              </w:tc>
              <w:tc>
                <w:tcPr>
                  <w:tcW w:w="425" w:type="pct"/>
                  <w:tcBorders>
                    <w:tl2br w:val="nil"/>
                    <w:tr2bl w:val="nil"/>
                  </w:tcBorders>
                  <w:vAlign w:val="center"/>
                </w:tcPr>
                <w:p w14:paraId="65D2A179">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东南</w:t>
                  </w:r>
                </w:p>
              </w:tc>
              <w:tc>
                <w:tcPr>
                  <w:tcW w:w="715" w:type="pct"/>
                  <w:tcBorders>
                    <w:tl2br w:val="nil"/>
                    <w:tr2bl w:val="nil"/>
                  </w:tcBorders>
                  <w:vAlign w:val="center"/>
                </w:tcPr>
                <w:p w14:paraId="5C8997E4">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305-500</w:t>
                  </w:r>
                </w:p>
              </w:tc>
            </w:tr>
          </w:tbl>
          <w:p w14:paraId="5C4CA9AB">
            <w:pPr>
              <w:spacing w:line="360" w:lineRule="auto"/>
              <w:rPr>
                <w:b/>
                <w:color w:val="000000"/>
              </w:rPr>
            </w:pPr>
            <w:r>
              <w:rPr>
                <w:rFonts w:hint="eastAsia"/>
                <w:b/>
                <w:color w:val="000000"/>
              </w:rPr>
              <w:t>二、声环境</w:t>
            </w:r>
          </w:p>
          <w:p w14:paraId="0415FBBD">
            <w:pPr>
              <w:pStyle w:val="33"/>
              <w:ind w:firstLine="480"/>
              <w:rPr>
                <w:rFonts w:hint="default"/>
                <w:kern w:val="2"/>
              </w:rPr>
            </w:pPr>
            <w:r>
              <w:rPr>
                <w:kern w:val="2"/>
              </w:rPr>
              <w:t>本项目厂界50m范围内无声环境保护目标。</w:t>
            </w:r>
          </w:p>
          <w:p w14:paraId="5A672360">
            <w:pPr>
              <w:spacing w:line="360" w:lineRule="auto"/>
              <w:rPr>
                <w:b/>
                <w:color w:val="000000"/>
              </w:rPr>
            </w:pPr>
            <w:r>
              <w:rPr>
                <w:rFonts w:hint="eastAsia"/>
                <w:b/>
                <w:color w:val="000000"/>
              </w:rPr>
              <w:t>三、地下水环境</w:t>
            </w:r>
          </w:p>
          <w:p w14:paraId="41C5100A">
            <w:pPr>
              <w:pStyle w:val="33"/>
              <w:ind w:firstLine="480"/>
              <w:rPr>
                <w:rFonts w:hint="default"/>
                <w:kern w:val="2"/>
              </w:rPr>
            </w:pPr>
            <w:r>
              <w:rPr>
                <w:kern w:val="2"/>
              </w:rPr>
              <w:t>本项目厂界外500m范围内无地下水集中式饮用水水源和热水、矿泉水、温泉等特殊地下水资源。</w:t>
            </w:r>
          </w:p>
          <w:p w14:paraId="40051444">
            <w:pPr>
              <w:pStyle w:val="41"/>
              <w:spacing w:line="480" w:lineRule="exact"/>
              <w:rPr>
                <w:color w:val="000000" w:themeColor="text1"/>
                <w:kern w:val="2"/>
                <w:szCs w:val="21"/>
                <w14:textFill>
                  <w14:solidFill>
                    <w14:schemeClr w14:val="tx1"/>
                  </w14:solidFill>
                </w14:textFill>
              </w:rPr>
            </w:pPr>
            <w:r>
              <w:rPr>
                <w:color w:val="000000" w:themeColor="text1"/>
                <w:kern w:val="2"/>
                <w:szCs w:val="21"/>
                <w14:textFill>
                  <w14:solidFill>
                    <w14:schemeClr w14:val="tx1"/>
                  </w14:solidFill>
                </w14:textFill>
              </w:rPr>
              <w:t>表3-</w:t>
            </w:r>
            <w:r>
              <w:rPr>
                <w:rFonts w:hint="eastAsia"/>
                <w:color w:val="000000" w:themeColor="text1"/>
                <w:kern w:val="2"/>
                <w:szCs w:val="21"/>
                <w14:textFill>
                  <w14:solidFill>
                    <w14:schemeClr w14:val="tx1"/>
                  </w14:solidFill>
                </w14:textFill>
              </w:rPr>
              <w:t xml:space="preserve">5 </w:t>
            </w:r>
            <w:r>
              <w:rPr>
                <w:color w:val="000000" w:themeColor="text1"/>
                <w:kern w:val="2"/>
                <w:szCs w:val="21"/>
                <w14:textFill>
                  <w14:solidFill>
                    <w14:schemeClr w14:val="tx1"/>
                  </w14:solidFill>
                </w14:textFill>
              </w:rPr>
              <w:t xml:space="preserve"> 项目地表水环境保护目标</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708"/>
              <w:gridCol w:w="1126"/>
              <w:gridCol w:w="1300"/>
              <w:gridCol w:w="879"/>
              <w:gridCol w:w="921"/>
              <w:gridCol w:w="1073"/>
            </w:tblGrid>
            <w:tr w14:paraId="313B6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pct"/>
                  <w:vAlign w:val="center"/>
                </w:tcPr>
                <w:p w14:paraId="1DE75D3B">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名称</w:t>
                  </w:r>
                </w:p>
              </w:tc>
              <w:tc>
                <w:tcPr>
                  <w:tcW w:w="1092" w:type="pct"/>
                  <w:vAlign w:val="center"/>
                </w:tcPr>
                <w:p w14:paraId="4FF062D2">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坐标</w:t>
                  </w:r>
                </w:p>
              </w:tc>
              <w:tc>
                <w:tcPr>
                  <w:tcW w:w="720" w:type="pct"/>
                  <w:vAlign w:val="center"/>
                </w:tcPr>
                <w:p w14:paraId="540BE994">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环境保护目标</w:t>
                  </w:r>
                </w:p>
              </w:tc>
              <w:tc>
                <w:tcPr>
                  <w:tcW w:w="831" w:type="pct"/>
                  <w:vAlign w:val="center"/>
                </w:tcPr>
                <w:p w14:paraId="680CC40E">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功能及</w:t>
                  </w:r>
                </w:p>
                <w:p w14:paraId="4CCA3F80">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规模</w:t>
                  </w:r>
                </w:p>
              </w:tc>
              <w:tc>
                <w:tcPr>
                  <w:tcW w:w="562" w:type="pct"/>
                  <w:vAlign w:val="center"/>
                </w:tcPr>
                <w:p w14:paraId="05F2F95B">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相对厂区方位</w:t>
                  </w:r>
                </w:p>
              </w:tc>
              <w:tc>
                <w:tcPr>
                  <w:tcW w:w="589" w:type="pct"/>
                  <w:vAlign w:val="center"/>
                </w:tcPr>
                <w:p w14:paraId="5554C218">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sz w:val="21"/>
                      <w:szCs w:val="21"/>
                      <w14:textFill>
                        <w14:solidFill>
                          <w14:schemeClr w14:val="tx1"/>
                        </w14:solidFill>
                      </w14:textFill>
                    </w:rPr>
                    <w:t>相对厂界距离/m</w:t>
                  </w:r>
                </w:p>
              </w:tc>
              <w:tc>
                <w:tcPr>
                  <w:tcW w:w="686" w:type="pct"/>
                  <w:vAlign w:val="center"/>
                </w:tcPr>
                <w:p w14:paraId="2FA6E8BD">
                  <w:pPr>
                    <w:adjustRightInd w:val="0"/>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保护要求</w:t>
                  </w:r>
                </w:p>
              </w:tc>
            </w:tr>
            <w:tr w14:paraId="39536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pct"/>
                  <w:vAlign w:val="center"/>
                </w:tcPr>
                <w:p w14:paraId="4E33C3BA">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地表水</w:t>
                  </w:r>
                </w:p>
              </w:tc>
              <w:tc>
                <w:tcPr>
                  <w:tcW w:w="1092" w:type="pct"/>
                  <w:vAlign w:val="center"/>
                </w:tcPr>
                <w:p w14:paraId="32E8980E">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112.497360</w:t>
                  </w:r>
                  <w:r>
                    <w:rPr>
                      <w:bCs/>
                      <w:color w:val="000000"/>
                      <w:sz w:val="21"/>
                      <w:szCs w:val="21"/>
                    </w:rPr>
                    <w:t>°E</w:t>
                  </w:r>
                </w:p>
                <w:p w14:paraId="201E10A1">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 28.375844</w:t>
                  </w:r>
                  <w:r>
                    <w:rPr>
                      <w:bCs/>
                      <w:color w:val="000000"/>
                      <w:sz w:val="21"/>
                      <w:szCs w:val="21"/>
                    </w:rPr>
                    <w:t>°N</w:t>
                  </w:r>
                </w:p>
              </w:tc>
              <w:tc>
                <w:tcPr>
                  <w:tcW w:w="720" w:type="pct"/>
                  <w:vAlign w:val="center"/>
                </w:tcPr>
                <w:p w14:paraId="3C70A52A">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泉交河</w:t>
                  </w:r>
                </w:p>
              </w:tc>
              <w:tc>
                <w:tcPr>
                  <w:tcW w:w="831" w:type="pct"/>
                  <w:vAlign w:val="center"/>
                </w:tcPr>
                <w:p w14:paraId="487D0A55">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中</w:t>
                  </w:r>
                  <w:r>
                    <w:rPr>
                      <w:color w:val="000000" w:themeColor="text1"/>
                      <w:kern w:val="0"/>
                      <w:sz w:val="21"/>
                      <w:szCs w:val="21"/>
                      <w14:textFill>
                        <w14:solidFill>
                          <w14:schemeClr w14:val="tx1"/>
                        </w14:solidFill>
                      </w14:textFill>
                    </w:rPr>
                    <w:t>型河流</w:t>
                  </w:r>
                </w:p>
              </w:tc>
              <w:tc>
                <w:tcPr>
                  <w:tcW w:w="562" w:type="pct"/>
                  <w:vAlign w:val="center"/>
                </w:tcPr>
                <w:p w14:paraId="00024310">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西北偏北</w:t>
                  </w:r>
                </w:p>
              </w:tc>
              <w:tc>
                <w:tcPr>
                  <w:tcW w:w="589" w:type="pct"/>
                  <w:vAlign w:val="center"/>
                </w:tcPr>
                <w:p w14:paraId="71D36AAA">
                  <w:pPr>
                    <w:adjustRightInd w:val="0"/>
                    <w:snapToGrid w:val="0"/>
                    <w:jc w:val="center"/>
                    <w:rPr>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1760</w:t>
                  </w:r>
                </w:p>
              </w:tc>
              <w:tc>
                <w:tcPr>
                  <w:tcW w:w="686" w:type="pct"/>
                  <w:vAlign w:val="center"/>
                </w:tcPr>
                <w:p w14:paraId="56B00241">
                  <w:pPr>
                    <w:adjustRightInd w:val="0"/>
                    <w:snapToGrid w:val="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Ⅲ类</w:t>
                  </w:r>
                </w:p>
              </w:tc>
            </w:tr>
          </w:tbl>
          <w:p w14:paraId="4EBE85EA">
            <w:pPr>
              <w:pStyle w:val="40"/>
              <w:spacing w:line="360" w:lineRule="auto"/>
              <w:ind w:firstLine="0" w:firstLineChars="0"/>
              <w:rPr>
                <w:rFonts w:ascii="Times New Roman" w:hAnsi="Times New Roman"/>
                <w:color w:val="000000" w:themeColor="text1"/>
                <w:sz w:val="24"/>
                <w:szCs w:val="24"/>
                <w14:textFill>
                  <w14:solidFill>
                    <w14:schemeClr w14:val="tx1"/>
                  </w14:solidFill>
                </w14:textFill>
              </w:rPr>
            </w:pPr>
          </w:p>
        </w:tc>
      </w:tr>
      <w:tr w14:paraId="6480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4D0D9D0A">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w:t>
            </w:r>
          </w:p>
          <w:p w14:paraId="1E4E772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物排</w:t>
            </w:r>
          </w:p>
          <w:p w14:paraId="433DE9EF">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放控</w:t>
            </w:r>
          </w:p>
          <w:p w14:paraId="39445CB4">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制标</w:t>
            </w:r>
          </w:p>
          <w:p w14:paraId="0EA527EE">
            <w:pPr>
              <w:pStyle w:val="20"/>
              <w:spacing w:before="0" w:beforeAutospacing="0" w:after="0" w:afterAutospacing="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准</w:t>
            </w:r>
          </w:p>
        </w:tc>
        <w:tc>
          <w:tcPr>
            <w:tcW w:w="8066" w:type="dxa"/>
          </w:tcPr>
          <w:p w14:paraId="70F99453">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一、</w:t>
            </w:r>
            <w:r>
              <w:rPr>
                <w:rFonts w:hint="eastAsia"/>
                <w:b/>
                <w:bCs/>
                <w:color w:val="000000" w:themeColor="text1"/>
                <w14:textFill>
                  <w14:solidFill>
                    <w14:schemeClr w14:val="tx1"/>
                  </w14:solidFill>
                </w14:textFill>
              </w:rPr>
              <w:t>大气污染物排放标准</w:t>
            </w:r>
          </w:p>
          <w:p w14:paraId="31BC1D34">
            <w:pPr>
              <w:pStyle w:val="41"/>
              <w:kinsoku w:val="0"/>
              <w:wordWrap w:val="0"/>
              <w:adjustRightInd w:val="0"/>
              <w:snapToGrid w:val="0"/>
              <w:spacing w:line="360" w:lineRule="auto"/>
              <w:ind w:firstLine="480" w:firstLineChars="200"/>
              <w:jc w:val="both"/>
              <w:rPr>
                <w:b w:val="0"/>
                <w:color w:val="000000" w:themeColor="text1"/>
                <w:szCs w:val="24"/>
                <w14:textFill>
                  <w14:solidFill>
                    <w14:schemeClr w14:val="tx1"/>
                  </w14:solidFill>
                </w14:textFill>
              </w:rPr>
            </w:pPr>
            <w:r>
              <w:rPr>
                <w:rFonts w:hint="eastAsia"/>
                <w:b w:val="0"/>
                <w:color w:val="000000" w:themeColor="text1"/>
                <w:szCs w:val="24"/>
                <w14:textFill>
                  <w14:solidFill>
                    <w14:schemeClr w14:val="tx1"/>
                  </w14:solidFill>
                </w14:textFill>
              </w:rPr>
              <w:t>项目废气中颗粒物执行《大气污染物综合排放标准》（GB16297-1996）表2中二级排放标准及无组织监控点最高浓度限值；</w:t>
            </w:r>
          </w:p>
          <w:p w14:paraId="18B920D8">
            <w:pPr>
              <w:kinsoku w:val="0"/>
              <w:wordWrap w:val="0"/>
              <w:adjustRightInd w:val="0"/>
              <w:snapToGrid w:val="0"/>
              <w:spacing w:line="360" w:lineRule="auto"/>
              <w:ind w:firstLine="480" w:firstLineChars="200"/>
              <w:rPr>
                <w:rStyle w:val="28"/>
              </w:rPr>
            </w:pPr>
            <w:r>
              <w:rPr>
                <w:rFonts w:hint="eastAsia"/>
                <w:color w:val="000000" w:themeColor="text1"/>
                <w14:textFill>
                  <w14:solidFill>
                    <w14:schemeClr w14:val="tx1"/>
                  </w14:solidFill>
                </w14:textFill>
              </w:rPr>
              <w:t>项目废气中VOCs（以非甲烷总烃计）执行</w:t>
            </w:r>
            <w:r>
              <w:rPr>
                <w:rFonts w:hint="eastAsia"/>
              </w:rPr>
              <w:t>《表面涂装（汽车制造及维修）挥发性有机物、镍排放标准》（DB43</w:t>
            </w:r>
            <w:r>
              <w:t>/</w:t>
            </w:r>
            <w:r>
              <w:rPr>
                <w:rFonts w:hint="eastAsia"/>
              </w:rPr>
              <w:t>1356-2017）</w:t>
            </w:r>
            <w:r>
              <w:t>表</w:t>
            </w:r>
            <w:r>
              <w:rPr>
                <w:rFonts w:hint="eastAsia"/>
              </w:rPr>
              <w:t>1</w:t>
            </w:r>
            <w:r>
              <w:t>中</w:t>
            </w:r>
            <w:r>
              <w:rPr>
                <w:rFonts w:hint="eastAsia"/>
              </w:rPr>
              <w:t>其他车型</w:t>
            </w:r>
            <w:r>
              <w:t>及表3标准；</w:t>
            </w:r>
            <w:r>
              <w:rPr>
                <w:rFonts w:hint="eastAsia"/>
              </w:rPr>
              <w:t>厂区内VOC</w:t>
            </w:r>
            <w:r>
              <w:t>s</w:t>
            </w:r>
            <w:r>
              <w:rPr>
                <w:rFonts w:hint="eastAsia"/>
              </w:rPr>
              <w:t>无组织排放参考执行《挥发性有机物无组织排放控制标准》（GB37822-2019）附录A中无组织排放限值 ；</w:t>
            </w:r>
          </w:p>
          <w:p w14:paraId="0F979FE6">
            <w:pPr>
              <w:kinsoku w:val="0"/>
              <w:wordWrap w:val="0"/>
              <w:adjustRightInd w:val="0"/>
              <w:snapToGrid w:val="0"/>
              <w:spacing w:line="360" w:lineRule="auto"/>
              <w:ind w:firstLine="480" w:firstLineChars="200"/>
              <w:rPr>
                <w:rStyle w:val="28"/>
              </w:rPr>
            </w:pPr>
            <w:r>
              <w:rPr>
                <w:rFonts w:hint="eastAsia"/>
              </w:rPr>
              <w:t>臭气浓度执行《恶臭污染物排放标准》（GB14554-93）表2恶臭污染物排放标准值。</w:t>
            </w:r>
          </w:p>
          <w:p w14:paraId="112DC6DA">
            <w:pPr>
              <w:pStyle w:val="41"/>
              <w:kinsoku w:val="0"/>
              <w:wordWrap w:val="0"/>
              <w:autoSpaceDE w:val="0"/>
              <w:autoSpaceDN w:val="0"/>
              <w:adjustRightInd w:val="0"/>
              <w:snapToGrid w:val="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表3-6  污染源有组织废气排放限值</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965"/>
              <w:gridCol w:w="2317"/>
              <w:gridCol w:w="1533"/>
            </w:tblGrid>
            <w:tr w14:paraId="3184A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3" w:type="pct"/>
                  <w:vAlign w:val="center"/>
                </w:tcPr>
                <w:p w14:paraId="32E2C852">
                  <w:pPr>
                    <w:jc w:val="center"/>
                    <w:rPr>
                      <w:b/>
                      <w:bCs/>
                      <w:color w:val="000000"/>
                      <w:sz w:val="21"/>
                      <w:szCs w:val="21"/>
                      <w:lang w:bidi="ar"/>
                    </w:rPr>
                  </w:pPr>
                  <w:r>
                    <w:rPr>
                      <w:rFonts w:hint="eastAsia"/>
                      <w:b/>
                      <w:bCs/>
                      <w:color w:val="000000"/>
                      <w:sz w:val="21"/>
                      <w:szCs w:val="21"/>
                      <w:lang w:bidi="ar"/>
                    </w:rPr>
                    <w:t>类型</w:t>
                  </w:r>
                </w:p>
              </w:tc>
              <w:tc>
                <w:tcPr>
                  <w:tcW w:w="1895" w:type="pct"/>
                  <w:vAlign w:val="center"/>
                </w:tcPr>
                <w:p w14:paraId="412BCB8E">
                  <w:pPr>
                    <w:jc w:val="center"/>
                    <w:rPr>
                      <w:b/>
                      <w:bCs/>
                      <w:color w:val="000000"/>
                      <w:sz w:val="21"/>
                      <w:szCs w:val="21"/>
                      <w:lang w:bidi="ar"/>
                    </w:rPr>
                  </w:pPr>
                  <w:r>
                    <w:rPr>
                      <w:b/>
                      <w:bCs/>
                      <w:color w:val="000000"/>
                      <w:sz w:val="21"/>
                      <w:szCs w:val="21"/>
                      <w:lang w:bidi="ar"/>
                    </w:rPr>
                    <w:t>标准名称</w:t>
                  </w:r>
                </w:p>
              </w:tc>
              <w:tc>
                <w:tcPr>
                  <w:tcW w:w="1481" w:type="pct"/>
                  <w:vAlign w:val="center"/>
                </w:tcPr>
                <w:p w14:paraId="482CD14A">
                  <w:pPr>
                    <w:jc w:val="center"/>
                    <w:rPr>
                      <w:b/>
                      <w:bCs/>
                      <w:color w:val="000000"/>
                      <w:sz w:val="21"/>
                      <w:szCs w:val="21"/>
                      <w:lang w:bidi="ar"/>
                    </w:rPr>
                  </w:pPr>
                  <w:r>
                    <w:rPr>
                      <w:b/>
                      <w:bCs/>
                      <w:color w:val="000000"/>
                      <w:sz w:val="21"/>
                      <w:szCs w:val="21"/>
                      <w:lang w:bidi="ar"/>
                    </w:rPr>
                    <w:t>污染物</w:t>
                  </w:r>
                </w:p>
              </w:tc>
              <w:tc>
                <w:tcPr>
                  <w:tcW w:w="980" w:type="pct"/>
                  <w:vAlign w:val="center"/>
                </w:tcPr>
                <w:p w14:paraId="7A65E164">
                  <w:pPr>
                    <w:jc w:val="center"/>
                    <w:rPr>
                      <w:b/>
                      <w:bCs/>
                      <w:color w:val="000000"/>
                      <w:sz w:val="21"/>
                      <w:szCs w:val="21"/>
                      <w:lang w:bidi="ar"/>
                    </w:rPr>
                  </w:pPr>
                  <w:r>
                    <w:rPr>
                      <w:b/>
                      <w:bCs/>
                      <w:color w:val="000000"/>
                      <w:sz w:val="21"/>
                      <w:szCs w:val="21"/>
                      <w:lang w:bidi="ar"/>
                    </w:rPr>
                    <w:t>标准值</w:t>
                  </w:r>
                </w:p>
              </w:tc>
            </w:tr>
            <w:tr w14:paraId="16A29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3" w:type="pct"/>
                  <w:vMerge w:val="restart"/>
                  <w:vAlign w:val="center"/>
                </w:tcPr>
                <w:p w14:paraId="4A027CD8">
                  <w:pPr>
                    <w:jc w:val="center"/>
                    <w:rPr>
                      <w:color w:val="000000"/>
                      <w:sz w:val="21"/>
                      <w:szCs w:val="21"/>
                      <w:lang w:bidi="ar"/>
                    </w:rPr>
                  </w:pPr>
                  <w:r>
                    <w:rPr>
                      <w:rFonts w:hint="eastAsia"/>
                      <w:color w:val="000000"/>
                      <w:sz w:val="21"/>
                      <w:szCs w:val="21"/>
                      <w:lang w:bidi="ar"/>
                    </w:rPr>
                    <w:t>有组织废气</w:t>
                  </w:r>
                </w:p>
              </w:tc>
              <w:tc>
                <w:tcPr>
                  <w:tcW w:w="1895" w:type="pct"/>
                  <w:vAlign w:val="center"/>
                </w:tcPr>
                <w:p w14:paraId="5C7C5205">
                  <w:pPr>
                    <w:jc w:val="center"/>
                    <w:rPr>
                      <w:color w:val="000000"/>
                      <w:sz w:val="21"/>
                      <w:szCs w:val="21"/>
                      <w:lang w:bidi="ar"/>
                    </w:rPr>
                  </w:pPr>
                  <w:r>
                    <w:rPr>
                      <w:rFonts w:hint="eastAsia"/>
                      <w:bCs/>
                      <w:color w:val="000000"/>
                      <w:sz w:val="21"/>
                      <w:szCs w:val="21"/>
                    </w:rPr>
                    <w:t>《表面涂装（汽车制造及维修）挥发性有机物、镍排放标准》（DB43/1356-2017）</w:t>
                  </w:r>
                </w:p>
              </w:tc>
              <w:tc>
                <w:tcPr>
                  <w:tcW w:w="1481" w:type="pct"/>
                  <w:vAlign w:val="center"/>
                </w:tcPr>
                <w:p w14:paraId="286364B5">
                  <w:pPr>
                    <w:jc w:val="center"/>
                    <w:rPr>
                      <w:color w:val="000000"/>
                      <w:sz w:val="21"/>
                      <w:szCs w:val="21"/>
                      <w:lang w:bidi="ar"/>
                    </w:rPr>
                  </w:pPr>
                  <w:r>
                    <w:rPr>
                      <w:rFonts w:hint="eastAsia"/>
                      <w:color w:val="000000"/>
                      <w:sz w:val="21"/>
                      <w:szCs w:val="21"/>
                      <w:lang w:bidi="ar"/>
                    </w:rPr>
                    <w:t>非甲烷总烃（</w:t>
                  </w:r>
                  <w:r>
                    <w:rPr>
                      <w:color w:val="000000"/>
                      <w:sz w:val="21"/>
                      <w:szCs w:val="21"/>
                      <w:lang w:bidi="ar"/>
                    </w:rPr>
                    <w:t>mg/m</w:t>
                  </w:r>
                  <w:r>
                    <w:rPr>
                      <w:color w:val="000000"/>
                      <w:sz w:val="21"/>
                      <w:szCs w:val="21"/>
                      <w:vertAlign w:val="superscript"/>
                      <w:lang w:bidi="ar"/>
                    </w:rPr>
                    <w:t>3</w:t>
                  </w:r>
                  <w:r>
                    <w:rPr>
                      <w:rFonts w:hint="eastAsia"/>
                      <w:color w:val="000000"/>
                      <w:sz w:val="21"/>
                      <w:szCs w:val="21"/>
                      <w:lang w:bidi="ar"/>
                    </w:rPr>
                    <w:t>）</w:t>
                  </w:r>
                </w:p>
              </w:tc>
              <w:tc>
                <w:tcPr>
                  <w:tcW w:w="980" w:type="pct"/>
                  <w:vAlign w:val="center"/>
                </w:tcPr>
                <w:p w14:paraId="081B33E5">
                  <w:pPr>
                    <w:jc w:val="center"/>
                    <w:rPr>
                      <w:color w:val="000000"/>
                      <w:sz w:val="21"/>
                      <w:szCs w:val="21"/>
                      <w:lang w:bidi="ar"/>
                    </w:rPr>
                  </w:pPr>
                  <w:r>
                    <w:rPr>
                      <w:rFonts w:hint="eastAsia"/>
                      <w:color w:val="000000"/>
                      <w:sz w:val="21"/>
                      <w:szCs w:val="21"/>
                      <w:lang w:bidi="ar"/>
                    </w:rPr>
                    <w:t>80</w:t>
                  </w:r>
                </w:p>
              </w:tc>
            </w:tr>
            <w:tr w14:paraId="61CB9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3" w:type="pct"/>
                  <w:vMerge w:val="continue"/>
                </w:tcPr>
                <w:p w14:paraId="4C31BD9E">
                  <w:pPr>
                    <w:jc w:val="center"/>
                    <w:rPr>
                      <w:color w:val="000000" w:themeColor="text1"/>
                      <w:sz w:val="21"/>
                      <w:szCs w:val="21"/>
                      <w14:textFill>
                        <w14:solidFill>
                          <w14:schemeClr w14:val="tx1"/>
                        </w14:solidFill>
                      </w14:textFill>
                    </w:rPr>
                  </w:pPr>
                </w:p>
              </w:tc>
              <w:tc>
                <w:tcPr>
                  <w:tcW w:w="1895" w:type="pct"/>
                  <w:vAlign w:val="center"/>
                </w:tcPr>
                <w:p w14:paraId="2B442380">
                  <w:pPr>
                    <w:jc w:val="center"/>
                    <w:rPr>
                      <w:color w:val="000000"/>
                      <w:sz w:val="21"/>
                      <w:szCs w:val="21"/>
                      <w:lang w:bidi="ar"/>
                    </w:rPr>
                  </w:pPr>
                  <w:r>
                    <w:rPr>
                      <w:rFonts w:hint="eastAsia"/>
                      <w:color w:val="000000" w:themeColor="text1"/>
                      <w:sz w:val="21"/>
                      <w:szCs w:val="21"/>
                      <w14:textFill>
                        <w14:solidFill>
                          <w14:schemeClr w14:val="tx1"/>
                        </w14:solidFill>
                      </w14:textFill>
                    </w:rPr>
                    <w:t>《大气污染物综合排放标准》（</w:t>
                  </w:r>
                  <w:r>
                    <w:rPr>
                      <w:rFonts w:hint="eastAsia"/>
                      <w:bCs/>
                      <w:color w:val="000000"/>
                      <w:sz w:val="21"/>
                      <w:szCs w:val="21"/>
                    </w:rPr>
                    <w:t>GB16297-1996）</w:t>
                  </w:r>
                </w:p>
              </w:tc>
              <w:tc>
                <w:tcPr>
                  <w:tcW w:w="1481" w:type="pct"/>
                  <w:vAlign w:val="center"/>
                </w:tcPr>
                <w:p w14:paraId="7012BBD1">
                  <w:pPr>
                    <w:jc w:val="center"/>
                    <w:rPr>
                      <w:color w:val="000000"/>
                      <w:sz w:val="21"/>
                      <w:szCs w:val="21"/>
                      <w:lang w:bidi="ar"/>
                    </w:rPr>
                  </w:pPr>
                  <w:r>
                    <w:rPr>
                      <w:rFonts w:hint="eastAsia"/>
                      <w:color w:val="000000"/>
                      <w:sz w:val="21"/>
                      <w:szCs w:val="21"/>
                      <w:lang w:bidi="ar"/>
                    </w:rPr>
                    <w:t>颗粒物（</w:t>
                  </w:r>
                  <w:r>
                    <w:rPr>
                      <w:color w:val="000000"/>
                      <w:sz w:val="21"/>
                      <w:szCs w:val="21"/>
                      <w:lang w:bidi="ar"/>
                    </w:rPr>
                    <w:t>mg/m</w:t>
                  </w:r>
                  <w:r>
                    <w:rPr>
                      <w:color w:val="000000"/>
                      <w:sz w:val="21"/>
                      <w:szCs w:val="21"/>
                      <w:vertAlign w:val="superscript"/>
                      <w:lang w:bidi="ar"/>
                    </w:rPr>
                    <w:t>3</w:t>
                  </w:r>
                  <w:r>
                    <w:rPr>
                      <w:rFonts w:hint="eastAsia"/>
                      <w:color w:val="000000"/>
                      <w:sz w:val="21"/>
                      <w:szCs w:val="21"/>
                      <w:lang w:bidi="ar"/>
                    </w:rPr>
                    <w:t>）</w:t>
                  </w:r>
                </w:p>
              </w:tc>
              <w:tc>
                <w:tcPr>
                  <w:tcW w:w="980" w:type="pct"/>
                  <w:vAlign w:val="center"/>
                </w:tcPr>
                <w:p w14:paraId="19BC245C">
                  <w:pPr>
                    <w:jc w:val="center"/>
                    <w:rPr>
                      <w:color w:val="000000"/>
                      <w:sz w:val="21"/>
                      <w:szCs w:val="21"/>
                      <w:lang w:bidi="ar"/>
                    </w:rPr>
                  </w:pPr>
                  <w:r>
                    <w:rPr>
                      <w:rFonts w:hint="eastAsia"/>
                      <w:color w:val="000000"/>
                      <w:sz w:val="21"/>
                      <w:szCs w:val="21"/>
                      <w:lang w:bidi="ar"/>
                    </w:rPr>
                    <w:t>120</w:t>
                  </w:r>
                </w:p>
              </w:tc>
            </w:tr>
            <w:tr w14:paraId="152C2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3" w:type="pct"/>
                  <w:vMerge w:val="continue"/>
                </w:tcPr>
                <w:p w14:paraId="0EF75606">
                  <w:pPr>
                    <w:jc w:val="center"/>
                    <w:rPr>
                      <w:color w:val="000000" w:themeColor="text1"/>
                      <w:sz w:val="21"/>
                      <w:szCs w:val="21"/>
                      <w14:textFill>
                        <w14:solidFill>
                          <w14:schemeClr w14:val="tx1"/>
                        </w14:solidFill>
                      </w14:textFill>
                    </w:rPr>
                  </w:pPr>
                </w:p>
              </w:tc>
              <w:tc>
                <w:tcPr>
                  <w:tcW w:w="1895" w:type="pct"/>
                  <w:vAlign w:val="center"/>
                </w:tcPr>
                <w:p w14:paraId="58F4A56A">
                  <w:pPr>
                    <w:jc w:val="center"/>
                    <w:rPr>
                      <w:color w:val="000000" w:themeColor="text1"/>
                      <w:sz w:val="21"/>
                      <w:szCs w:val="21"/>
                      <w14:textFill>
                        <w14:solidFill>
                          <w14:schemeClr w14:val="tx1"/>
                        </w14:solidFill>
                      </w14:textFill>
                    </w:rPr>
                  </w:pPr>
                  <w:r>
                    <w:rPr>
                      <w:color w:val="000000"/>
                      <w:sz w:val="21"/>
                      <w:szCs w:val="21"/>
                      <w:lang w:bidi="ar"/>
                    </w:rPr>
                    <w:t>《恶臭污染物排放标准》（GB14554-93）</w:t>
                  </w:r>
                </w:p>
              </w:tc>
              <w:tc>
                <w:tcPr>
                  <w:tcW w:w="1481" w:type="pct"/>
                  <w:vAlign w:val="center"/>
                </w:tcPr>
                <w:p w14:paraId="0F4B7F21">
                  <w:pPr>
                    <w:jc w:val="center"/>
                    <w:rPr>
                      <w:color w:val="000000"/>
                      <w:sz w:val="21"/>
                      <w:szCs w:val="21"/>
                      <w:lang w:bidi="ar"/>
                    </w:rPr>
                  </w:pPr>
                  <w:r>
                    <w:rPr>
                      <w:color w:val="000000"/>
                      <w:sz w:val="21"/>
                      <w:szCs w:val="21"/>
                      <w:lang w:bidi="ar"/>
                    </w:rPr>
                    <w:t>臭气浓度（无量纲）</w:t>
                  </w:r>
                </w:p>
              </w:tc>
              <w:tc>
                <w:tcPr>
                  <w:tcW w:w="980" w:type="pct"/>
                  <w:vAlign w:val="center"/>
                </w:tcPr>
                <w:p w14:paraId="2B8DAD0B">
                  <w:pPr>
                    <w:jc w:val="center"/>
                    <w:rPr>
                      <w:color w:val="000000"/>
                      <w:sz w:val="21"/>
                      <w:szCs w:val="21"/>
                      <w:lang w:bidi="ar"/>
                    </w:rPr>
                  </w:pPr>
                  <w:r>
                    <w:rPr>
                      <w:rFonts w:hint="eastAsia"/>
                      <w:color w:val="000000"/>
                      <w:sz w:val="21"/>
                      <w:szCs w:val="21"/>
                      <w:lang w:bidi="ar"/>
                    </w:rPr>
                    <w:t>15m，</w:t>
                  </w:r>
                  <w:r>
                    <w:rPr>
                      <w:color w:val="000000"/>
                      <w:sz w:val="21"/>
                      <w:szCs w:val="21"/>
                      <w:lang w:bidi="ar"/>
                    </w:rPr>
                    <w:t>20</w:t>
                  </w:r>
                  <w:r>
                    <w:rPr>
                      <w:rFonts w:hint="eastAsia"/>
                      <w:color w:val="000000"/>
                      <w:sz w:val="21"/>
                      <w:szCs w:val="21"/>
                      <w:lang w:bidi="ar"/>
                    </w:rPr>
                    <w:t>00</w:t>
                  </w:r>
                </w:p>
              </w:tc>
            </w:tr>
            <w:tr w14:paraId="6F8B3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3" w:type="pct"/>
                  <w:vMerge w:val="restart"/>
                  <w:vAlign w:val="center"/>
                </w:tcPr>
                <w:p w14:paraId="59BC16A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无组织废气</w:t>
                  </w:r>
                </w:p>
              </w:tc>
              <w:tc>
                <w:tcPr>
                  <w:tcW w:w="1895" w:type="pct"/>
                  <w:vAlign w:val="center"/>
                </w:tcPr>
                <w:p w14:paraId="1FBD6546">
                  <w:pPr>
                    <w:jc w:val="center"/>
                    <w:rPr>
                      <w:color w:val="000000" w:themeColor="text1"/>
                      <w:sz w:val="21"/>
                      <w:szCs w:val="21"/>
                      <w14:textFill>
                        <w14:solidFill>
                          <w14:schemeClr w14:val="tx1"/>
                        </w14:solidFill>
                      </w14:textFill>
                    </w:rPr>
                  </w:pPr>
                  <w:r>
                    <w:rPr>
                      <w:rFonts w:hint="eastAsia"/>
                      <w:bCs/>
                      <w:color w:val="000000"/>
                      <w:sz w:val="21"/>
                      <w:szCs w:val="21"/>
                    </w:rPr>
                    <w:t>《表面涂装（汽车制造及维修）挥发性有机物、镍排放标准》（DB43/1356-2017）</w:t>
                  </w:r>
                </w:p>
              </w:tc>
              <w:tc>
                <w:tcPr>
                  <w:tcW w:w="1481" w:type="pct"/>
                  <w:vAlign w:val="center"/>
                </w:tcPr>
                <w:p w14:paraId="3FE30426">
                  <w:pPr>
                    <w:jc w:val="center"/>
                    <w:rPr>
                      <w:color w:val="000000"/>
                      <w:sz w:val="21"/>
                      <w:szCs w:val="21"/>
                      <w:lang w:bidi="ar"/>
                    </w:rPr>
                  </w:pPr>
                  <w:r>
                    <w:rPr>
                      <w:rFonts w:hint="eastAsia"/>
                      <w:color w:val="000000"/>
                      <w:sz w:val="21"/>
                      <w:szCs w:val="21"/>
                      <w:lang w:bidi="ar"/>
                    </w:rPr>
                    <w:t>非甲烷总烃（</w:t>
                  </w:r>
                  <w:r>
                    <w:rPr>
                      <w:color w:val="000000"/>
                      <w:sz w:val="21"/>
                      <w:szCs w:val="21"/>
                      <w:lang w:bidi="ar"/>
                    </w:rPr>
                    <w:t>mg/m</w:t>
                  </w:r>
                  <w:r>
                    <w:rPr>
                      <w:color w:val="000000"/>
                      <w:sz w:val="21"/>
                      <w:szCs w:val="21"/>
                      <w:vertAlign w:val="superscript"/>
                      <w:lang w:bidi="ar"/>
                    </w:rPr>
                    <w:t>3</w:t>
                  </w:r>
                  <w:r>
                    <w:rPr>
                      <w:rFonts w:hint="eastAsia"/>
                      <w:color w:val="000000"/>
                      <w:sz w:val="21"/>
                      <w:szCs w:val="21"/>
                      <w:lang w:bidi="ar"/>
                    </w:rPr>
                    <w:t>）</w:t>
                  </w:r>
                </w:p>
              </w:tc>
              <w:tc>
                <w:tcPr>
                  <w:tcW w:w="980" w:type="pct"/>
                  <w:vAlign w:val="center"/>
                </w:tcPr>
                <w:p w14:paraId="0322F7DB">
                  <w:pPr>
                    <w:jc w:val="center"/>
                    <w:rPr>
                      <w:color w:val="000000"/>
                      <w:sz w:val="21"/>
                      <w:szCs w:val="21"/>
                      <w:lang w:bidi="ar"/>
                    </w:rPr>
                  </w:pPr>
                  <w:r>
                    <w:rPr>
                      <w:rFonts w:hint="eastAsia"/>
                      <w:color w:val="000000"/>
                      <w:sz w:val="21"/>
                      <w:szCs w:val="21"/>
                      <w:lang w:bidi="ar"/>
                    </w:rPr>
                    <w:t>2</w:t>
                  </w:r>
                </w:p>
              </w:tc>
            </w:tr>
            <w:tr w14:paraId="090F4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3" w:type="pct"/>
                  <w:vMerge w:val="continue"/>
                </w:tcPr>
                <w:p w14:paraId="23544FCA">
                  <w:pPr>
                    <w:jc w:val="center"/>
                    <w:rPr>
                      <w:color w:val="000000" w:themeColor="text1"/>
                      <w:sz w:val="21"/>
                      <w:szCs w:val="21"/>
                      <w14:textFill>
                        <w14:solidFill>
                          <w14:schemeClr w14:val="tx1"/>
                        </w14:solidFill>
                      </w14:textFill>
                    </w:rPr>
                  </w:pPr>
                </w:p>
              </w:tc>
              <w:tc>
                <w:tcPr>
                  <w:tcW w:w="1895" w:type="pct"/>
                  <w:vAlign w:val="center"/>
                </w:tcPr>
                <w:p w14:paraId="7485C06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《大气污染物综合排放标准》（</w:t>
                  </w:r>
                  <w:r>
                    <w:rPr>
                      <w:rFonts w:hint="eastAsia"/>
                      <w:bCs/>
                      <w:color w:val="000000"/>
                      <w:sz w:val="21"/>
                      <w:szCs w:val="21"/>
                    </w:rPr>
                    <w:t>GB16297-1996）</w:t>
                  </w:r>
                </w:p>
              </w:tc>
              <w:tc>
                <w:tcPr>
                  <w:tcW w:w="1481" w:type="pct"/>
                  <w:vAlign w:val="center"/>
                </w:tcPr>
                <w:p w14:paraId="4A328528">
                  <w:pPr>
                    <w:jc w:val="center"/>
                    <w:rPr>
                      <w:color w:val="000000"/>
                      <w:sz w:val="21"/>
                      <w:szCs w:val="21"/>
                      <w:lang w:bidi="ar"/>
                    </w:rPr>
                  </w:pPr>
                  <w:r>
                    <w:rPr>
                      <w:rFonts w:hint="eastAsia"/>
                      <w:color w:val="000000"/>
                      <w:sz w:val="21"/>
                      <w:szCs w:val="21"/>
                      <w:lang w:bidi="ar"/>
                    </w:rPr>
                    <w:t>颗粒物（</w:t>
                  </w:r>
                  <w:r>
                    <w:rPr>
                      <w:color w:val="000000"/>
                      <w:sz w:val="21"/>
                      <w:szCs w:val="21"/>
                      <w:lang w:bidi="ar"/>
                    </w:rPr>
                    <w:t>mg/m</w:t>
                  </w:r>
                  <w:r>
                    <w:rPr>
                      <w:color w:val="000000"/>
                      <w:sz w:val="21"/>
                      <w:szCs w:val="21"/>
                      <w:vertAlign w:val="superscript"/>
                      <w:lang w:bidi="ar"/>
                    </w:rPr>
                    <w:t>3</w:t>
                  </w:r>
                  <w:r>
                    <w:rPr>
                      <w:rFonts w:hint="eastAsia"/>
                      <w:color w:val="000000"/>
                      <w:sz w:val="21"/>
                      <w:szCs w:val="21"/>
                      <w:lang w:bidi="ar"/>
                    </w:rPr>
                    <w:t>）</w:t>
                  </w:r>
                </w:p>
              </w:tc>
              <w:tc>
                <w:tcPr>
                  <w:tcW w:w="980" w:type="pct"/>
                  <w:vAlign w:val="center"/>
                </w:tcPr>
                <w:p w14:paraId="0F2B3EA7">
                  <w:pPr>
                    <w:jc w:val="center"/>
                    <w:rPr>
                      <w:color w:val="000000"/>
                      <w:sz w:val="21"/>
                      <w:szCs w:val="21"/>
                      <w:lang w:bidi="ar"/>
                    </w:rPr>
                  </w:pPr>
                  <w:r>
                    <w:rPr>
                      <w:rFonts w:hint="eastAsia"/>
                      <w:color w:val="000000"/>
                      <w:sz w:val="21"/>
                      <w:szCs w:val="21"/>
                      <w:lang w:bidi="ar"/>
                    </w:rPr>
                    <w:t>1.0</w:t>
                  </w:r>
                </w:p>
              </w:tc>
            </w:tr>
            <w:tr w14:paraId="012D7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3" w:type="pct"/>
                  <w:vMerge w:val="continue"/>
                </w:tcPr>
                <w:p w14:paraId="11C16FCC">
                  <w:pPr>
                    <w:jc w:val="center"/>
                    <w:rPr>
                      <w:color w:val="000000" w:themeColor="text1"/>
                      <w:sz w:val="21"/>
                      <w:szCs w:val="21"/>
                      <w14:textFill>
                        <w14:solidFill>
                          <w14:schemeClr w14:val="tx1"/>
                        </w14:solidFill>
                      </w14:textFill>
                    </w:rPr>
                  </w:pPr>
                </w:p>
              </w:tc>
              <w:tc>
                <w:tcPr>
                  <w:tcW w:w="1895" w:type="pct"/>
                  <w:vAlign w:val="center"/>
                </w:tcPr>
                <w:p w14:paraId="508D1A6F">
                  <w:pPr>
                    <w:jc w:val="center"/>
                    <w:rPr>
                      <w:color w:val="000000" w:themeColor="text1"/>
                      <w:sz w:val="21"/>
                      <w:szCs w:val="21"/>
                      <w14:textFill>
                        <w14:solidFill>
                          <w14:schemeClr w14:val="tx1"/>
                        </w14:solidFill>
                      </w14:textFill>
                    </w:rPr>
                  </w:pPr>
                  <w:r>
                    <w:rPr>
                      <w:color w:val="000000"/>
                      <w:sz w:val="21"/>
                      <w:szCs w:val="21"/>
                      <w:lang w:bidi="ar"/>
                    </w:rPr>
                    <w:t>《恶臭污染物排放标准》（GB14554-93）</w:t>
                  </w:r>
                </w:p>
              </w:tc>
              <w:tc>
                <w:tcPr>
                  <w:tcW w:w="1481" w:type="pct"/>
                  <w:vAlign w:val="center"/>
                </w:tcPr>
                <w:p w14:paraId="20EBA7AB">
                  <w:pPr>
                    <w:jc w:val="center"/>
                    <w:rPr>
                      <w:color w:val="000000"/>
                      <w:sz w:val="21"/>
                      <w:szCs w:val="21"/>
                      <w:lang w:bidi="ar"/>
                    </w:rPr>
                  </w:pPr>
                  <w:r>
                    <w:rPr>
                      <w:color w:val="000000"/>
                      <w:sz w:val="21"/>
                      <w:szCs w:val="21"/>
                      <w:lang w:bidi="ar"/>
                    </w:rPr>
                    <w:t>臭气浓度（无量纲）</w:t>
                  </w:r>
                </w:p>
              </w:tc>
              <w:tc>
                <w:tcPr>
                  <w:tcW w:w="980" w:type="pct"/>
                  <w:vAlign w:val="center"/>
                </w:tcPr>
                <w:p w14:paraId="1EB99AA8">
                  <w:pPr>
                    <w:jc w:val="center"/>
                    <w:rPr>
                      <w:color w:val="000000"/>
                      <w:sz w:val="21"/>
                      <w:szCs w:val="21"/>
                      <w:lang w:bidi="ar"/>
                    </w:rPr>
                  </w:pPr>
                  <w:r>
                    <w:rPr>
                      <w:color w:val="000000"/>
                      <w:sz w:val="21"/>
                      <w:szCs w:val="21"/>
                      <w:lang w:bidi="ar"/>
                    </w:rPr>
                    <w:t>20</w:t>
                  </w:r>
                </w:p>
              </w:tc>
            </w:tr>
          </w:tbl>
          <w:p w14:paraId="40DA65C9">
            <w:pPr>
              <w:adjustRightInd w:val="0"/>
              <w:snapToGri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表3-7  厂区内挥发性有机物无组织排放控制标准</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259"/>
              <w:gridCol w:w="1004"/>
              <w:gridCol w:w="2341"/>
              <w:gridCol w:w="2114"/>
            </w:tblGrid>
            <w:tr w14:paraId="2F349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2" w:hRule="atLeast"/>
              </w:trPr>
              <w:tc>
                <w:tcPr>
                  <w:tcW w:w="703" w:type="pct"/>
                  <w:tcBorders>
                    <w:tl2br w:val="nil"/>
                    <w:tr2bl w:val="nil"/>
                  </w:tcBorders>
                  <w:vAlign w:val="center"/>
                </w:tcPr>
                <w:p w14:paraId="157FABCF">
                  <w:pPr>
                    <w:kinsoku w:val="0"/>
                    <w:wordWrap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805" w:type="pct"/>
                  <w:tcBorders>
                    <w:tl2br w:val="nil"/>
                    <w:tr2bl w:val="nil"/>
                  </w:tcBorders>
                  <w:vAlign w:val="center"/>
                </w:tcPr>
                <w:p w14:paraId="5DEEEB3B">
                  <w:pPr>
                    <w:kinsoku w:val="0"/>
                    <w:wordWrap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最高允许排放浓度</w:t>
                  </w:r>
                </w:p>
              </w:tc>
              <w:tc>
                <w:tcPr>
                  <w:tcW w:w="642" w:type="pct"/>
                  <w:tcBorders>
                    <w:tl2br w:val="nil"/>
                    <w:tr2bl w:val="nil"/>
                  </w:tcBorders>
                  <w:vAlign w:val="center"/>
                </w:tcPr>
                <w:p w14:paraId="31C317C4">
                  <w:pPr>
                    <w:kinsoku w:val="0"/>
                    <w:wordWrap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特别排放限值</w:t>
                  </w:r>
                </w:p>
              </w:tc>
              <w:tc>
                <w:tcPr>
                  <w:tcW w:w="1497" w:type="pct"/>
                  <w:tcBorders>
                    <w:tl2br w:val="nil"/>
                    <w:tr2bl w:val="nil"/>
                  </w:tcBorders>
                  <w:vAlign w:val="center"/>
                </w:tcPr>
                <w:p w14:paraId="2473922C">
                  <w:pPr>
                    <w:kinsoku w:val="0"/>
                    <w:wordWrap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限值含义</w:t>
                  </w:r>
                </w:p>
              </w:tc>
              <w:tc>
                <w:tcPr>
                  <w:tcW w:w="1352" w:type="pct"/>
                  <w:tcBorders>
                    <w:tl2br w:val="nil"/>
                    <w:tr2bl w:val="nil"/>
                  </w:tcBorders>
                  <w:vAlign w:val="center"/>
                </w:tcPr>
                <w:p w14:paraId="00BB5EE8">
                  <w:pPr>
                    <w:kinsoku w:val="0"/>
                    <w:wordWrap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无组织排放监控</w:t>
                  </w:r>
                </w:p>
              </w:tc>
            </w:tr>
            <w:tr w14:paraId="7BF90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vMerge w:val="restart"/>
                  <w:tcBorders>
                    <w:tl2br w:val="nil"/>
                    <w:tr2bl w:val="nil"/>
                  </w:tcBorders>
                  <w:vAlign w:val="center"/>
                </w:tcPr>
                <w:p w14:paraId="0EB4E2C0">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非甲烷总烃</w:t>
                  </w:r>
                </w:p>
              </w:tc>
              <w:tc>
                <w:tcPr>
                  <w:tcW w:w="805" w:type="pct"/>
                  <w:tcBorders>
                    <w:tl2br w:val="nil"/>
                    <w:tr2bl w:val="nil"/>
                  </w:tcBorders>
                  <w:vAlign w:val="center"/>
                </w:tcPr>
                <w:p w14:paraId="4C6B9BF4">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10mg/m</w:t>
                  </w:r>
                  <w:r>
                    <w:rPr>
                      <w:rFonts w:hint="eastAsia"/>
                      <w:color w:val="000000" w:themeColor="text1"/>
                      <w:sz w:val="21"/>
                      <w:szCs w:val="21"/>
                      <w:vertAlign w:val="superscript"/>
                      <w14:textFill>
                        <w14:solidFill>
                          <w14:schemeClr w14:val="tx1"/>
                        </w14:solidFill>
                      </w14:textFill>
                    </w:rPr>
                    <w:t>3</w:t>
                  </w:r>
                </w:p>
              </w:tc>
              <w:tc>
                <w:tcPr>
                  <w:tcW w:w="642" w:type="pct"/>
                  <w:tcBorders>
                    <w:tl2br w:val="nil"/>
                    <w:tr2bl w:val="nil"/>
                  </w:tcBorders>
                  <w:vAlign w:val="center"/>
                </w:tcPr>
                <w:p w14:paraId="574ACAAD">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6mg/m</w:t>
                  </w:r>
                  <w:r>
                    <w:rPr>
                      <w:rFonts w:hint="eastAsia"/>
                      <w:color w:val="000000" w:themeColor="text1"/>
                      <w:sz w:val="21"/>
                      <w:szCs w:val="21"/>
                      <w:vertAlign w:val="superscript"/>
                      <w14:textFill>
                        <w14:solidFill>
                          <w14:schemeClr w14:val="tx1"/>
                        </w14:solidFill>
                      </w14:textFill>
                    </w:rPr>
                    <w:t>3</w:t>
                  </w:r>
                </w:p>
              </w:tc>
              <w:tc>
                <w:tcPr>
                  <w:tcW w:w="1497" w:type="pct"/>
                  <w:tcBorders>
                    <w:tl2br w:val="nil"/>
                    <w:tr2bl w:val="nil"/>
                  </w:tcBorders>
                  <w:vAlign w:val="center"/>
                </w:tcPr>
                <w:p w14:paraId="6B4E27B6">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监控点1h平均浓度值</w:t>
                  </w:r>
                </w:p>
              </w:tc>
              <w:tc>
                <w:tcPr>
                  <w:tcW w:w="1352" w:type="pct"/>
                  <w:vMerge w:val="restart"/>
                  <w:tcBorders>
                    <w:tl2br w:val="nil"/>
                    <w:tr2bl w:val="nil"/>
                  </w:tcBorders>
                  <w:vAlign w:val="center"/>
                </w:tcPr>
                <w:p w14:paraId="30565B4B">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在厂房外设置监控点</w:t>
                  </w:r>
                </w:p>
              </w:tc>
            </w:tr>
            <w:tr w14:paraId="1013E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pct"/>
                  <w:vMerge w:val="continue"/>
                  <w:tcBorders>
                    <w:tl2br w:val="nil"/>
                    <w:tr2bl w:val="nil"/>
                  </w:tcBorders>
                  <w:vAlign w:val="center"/>
                </w:tcPr>
                <w:p w14:paraId="1CB05446">
                  <w:pPr>
                    <w:kinsoku w:val="0"/>
                    <w:wordWrap w:val="0"/>
                    <w:adjustRightInd w:val="0"/>
                    <w:snapToGrid w:val="0"/>
                    <w:jc w:val="center"/>
                    <w:rPr>
                      <w:color w:val="000000" w:themeColor="text1"/>
                      <w:sz w:val="21"/>
                      <w:szCs w:val="21"/>
                      <w14:textFill>
                        <w14:solidFill>
                          <w14:schemeClr w14:val="tx1"/>
                        </w14:solidFill>
                      </w14:textFill>
                    </w:rPr>
                  </w:pPr>
                </w:p>
              </w:tc>
              <w:tc>
                <w:tcPr>
                  <w:tcW w:w="805" w:type="pct"/>
                  <w:tcBorders>
                    <w:tl2br w:val="nil"/>
                    <w:tr2bl w:val="nil"/>
                  </w:tcBorders>
                  <w:vAlign w:val="center"/>
                </w:tcPr>
                <w:p w14:paraId="339DD07B">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30mg/m</w:t>
                  </w:r>
                  <w:r>
                    <w:rPr>
                      <w:rFonts w:hint="eastAsia"/>
                      <w:color w:val="000000" w:themeColor="text1"/>
                      <w:sz w:val="21"/>
                      <w:szCs w:val="21"/>
                      <w:vertAlign w:val="superscript"/>
                      <w14:textFill>
                        <w14:solidFill>
                          <w14:schemeClr w14:val="tx1"/>
                        </w14:solidFill>
                      </w14:textFill>
                    </w:rPr>
                    <w:t>3</w:t>
                  </w:r>
                </w:p>
              </w:tc>
              <w:tc>
                <w:tcPr>
                  <w:tcW w:w="642" w:type="pct"/>
                  <w:tcBorders>
                    <w:tl2br w:val="nil"/>
                    <w:tr2bl w:val="nil"/>
                  </w:tcBorders>
                  <w:vAlign w:val="center"/>
                </w:tcPr>
                <w:p w14:paraId="4853CA5C">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20mg/m</w:t>
                  </w:r>
                  <w:r>
                    <w:rPr>
                      <w:rFonts w:hint="eastAsia"/>
                      <w:color w:val="000000" w:themeColor="text1"/>
                      <w:sz w:val="21"/>
                      <w:szCs w:val="21"/>
                      <w:vertAlign w:val="superscript"/>
                      <w14:textFill>
                        <w14:solidFill>
                          <w14:schemeClr w14:val="tx1"/>
                        </w14:solidFill>
                      </w14:textFill>
                    </w:rPr>
                    <w:t>3</w:t>
                  </w:r>
                </w:p>
              </w:tc>
              <w:tc>
                <w:tcPr>
                  <w:tcW w:w="1497" w:type="pct"/>
                  <w:tcBorders>
                    <w:tl2br w:val="nil"/>
                    <w:tr2bl w:val="nil"/>
                  </w:tcBorders>
                  <w:vAlign w:val="center"/>
                </w:tcPr>
                <w:p w14:paraId="518716CB">
                  <w:pPr>
                    <w:kinsoku w:val="0"/>
                    <w:wordWrap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监控任意一次浓度值</w:t>
                  </w:r>
                </w:p>
              </w:tc>
              <w:tc>
                <w:tcPr>
                  <w:tcW w:w="1352" w:type="pct"/>
                  <w:vMerge w:val="continue"/>
                  <w:tcBorders>
                    <w:tl2br w:val="nil"/>
                    <w:tr2bl w:val="nil"/>
                  </w:tcBorders>
                  <w:vAlign w:val="center"/>
                </w:tcPr>
                <w:p w14:paraId="46824EC0">
                  <w:pPr>
                    <w:kinsoku w:val="0"/>
                    <w:wordWrap w:val="0"/>
                    <w:adjustRightInd w:val="0"/>
                    <w:snapToGrid w:val="0"/>
                    <w:jc w:val="center"/>
                    <w:rPr>
                      <w:color w:val="000000" w:themeColor="text1"/>
                      <w:sz w:val="21"/>
                      <w:szCs w:val="21"/>
                      <w14:textFill>
                        <w14:solidFill>
                          <w14:schemeClr w14:val="tx1"/>
                        </w14:solidFill>
                      </w14:textFill>
                    </w:rPr>
                  </w:pPr>
                </w:p>
              </w:tc>
            </w:tr>
          </w:tbl>
          <w:p w14:paraId="67E6FD5B">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二、</w:t>
            </w:r>
            <w:r>
              <w:rPr>
                <w:rFonts w:hint="eastAsia"/>
                <w:b/>
                <w:bCs/>
                <w:color w:val="000000" w:themeColor="text1"/>
                <w14:textFill>
                  <w14:solidFill>
                    <w14:schemeClr w14:val="tx1"/>
                  </w14:solidFill>
                </w14:textFill>
              </w:rPr>
              <w:t>水污染物排放标准</w:t>
            </w:r>
          </w:p>
          <w:p w14:paraId="23926BB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生活污水经厂房已建化粪池预处理达到</w:t>
            </w:r>
            <w:bookmarkStart w:id="70" w:name="OLE_LINK6"/>
            <w:r>
              <w:rPr>
                <w:rFonts w:hint="eastAsia"/>
                <w:color w:val="000000" w:themeColor="text1"/>
                <w14:textFill>
                  <w14:solidFill>
                    <w14:schemeClr w14:val="tx1"/>
                  </w14:solidFill>
                </w14:textFill>
              </w:rPr>
              <w:t>《污水综合排放标准》</w:t>
            </w:r>
            <w:bookmarkEnd w:id="70"/>
            <w:r>
              <w:rPr>
                <w:rFonts w:hint="eastAsia"/>
                <w:color w:val="000000" w:themeColor="text1"/>
                <w14:textFill>
                  <w14:solidFill>
                    <w14:schemeClr w14:val="tx1"/>
                  </w14:solidFill>
                </w14:textFill>
              </w:rPr>
              <w:t>GB8978-1996中表4三级标准和衡龙新区污水处理厂进水水质要求较严值后通过园区市政管网排入衡龙新区污水处理厂处理达到《城镇污水处理厂污染物排放标准》（GB18918-2002）一级A标准后排入泉交河。</w:t>
            </w:r>
          </w:p>
          <w:p w14:paraId="433C3024">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表3-</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 xml:space="preserve">  生活污水排放执行标准  单位：mg/L</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32"/>
              <w:gridCol w:w="1361"/>
              <w:gridCol w:w="1005"/>
              <w:gridCol w:w="1275"/>
              <w:gridCol w:w="870"/>
              <w:gridCol w:w="871"/>
            </w:tblGrid>
            <w:tr w14:paraId="139C9D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0" w:hRule="atLeast"/>
                <w:jc w:val="center"/>
              </w:trPr>
              <w:tc>
                <w:tcPr>
                  <w:tcW w:w="1556" w:type="pct"/>
                  <w:vAlign w:val="center"/>
                </w:tcPr>
                <w:p w14:paraId="770F9FEE">
                  <w:pPr>
                    <w:pStyle w:val="4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871" w:type="pct"/>
                  <w:vAlign w:val="center"/>
                </w:tcPr>
                <w:p w14:paraId="2D7758E9">
                  <w:pPr>
                    <w:pStyle w:val="42"/>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p</w:t>
                  </w:r>
                  <w:r>
                    <w:rPr>
                      <w:b/>
                      <w:bCs/>
                      <w:color w:val="000000" w:themeColor="text1"/>
                      <w:sz w:val="21"/>
                      <w:szCs w:val="21"/>
                      <w14:textFill>
                        <w14:solidFill>
                          <w14:schemeClr w14:val="tx1"/>
                        </w14:solidFill>
                      </w14:textFill>
                    </w:rPr>
                    <w:t>H</w:t>
                  </w:r>
                </w:p>
              </w:tc>
              <w:tc>
                <w:tcPr>
                  <w:tcW w:w="643" w:type="pct"/>
                  <w:vAlign w:val="center"/>
                </w:tcPr>
                <w:p w14:paraId="569AA867">
                  <w:pPr>
                    <w:pStyle w:val="4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COD</w:t>
                  </w:r>
                </w:p>
              </w:tc>
              <w:tc>
                <w:tcPr>
                  <w:tcW w:w="816" w:type="pct"/>
                  <w:vAlign w:val="center"/>
                </w:tcPr>
                <w:p w14:paraId="063B5562">
                  <w:pPr>
                    <w:pStyle w:val="42"/>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BOD</w:t>
                  </w:r>
                  <w:r>
                    <w:rPr>
                      <w:rFonts w:hint="eastAsia"/>
                      <w:b/>
                      <w:bCs/>
                      <w:color w:val="000000" w:themeColor="text1"/>
                      <w:sz w:val="21"/>
                      <w:szCs w:val="21"/>
                      <w:vertAlign w:val="subscript"/>
                      <w14:textFill>
                        <w14:solidFill>
                          <w14:schemeClr w14:val="tx1"/>
                        </w14:solidFill>
                      </w14:textFill>
                    </w:rPr>
                    <w:t>5</w:t>
                  </w:r>
                </w:p>
              </w:tc>
              <w:tc>
                <w:tcPr>
                  <w:tcW w:w="557" w:type="pct"/>
                  <w:vAlign w:val="center"/>
                </w:tcPr>
                <w:p w14:paraId="2D473B89">
                  <w:pPr>
                    <w:pStyle w:val="4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SS</w:t>
                  </w:r>
                </w:p>
              </w:tc>
              <w:tc>
                <w:tcPr>
                  <w:tcW w:w="557" w:type="pct"/>
                  <w:vAlign w:val="center"/>
                </w:tcPr>
                <w:p w14:paraId="20C3D3AF">
                  <w:pPr>
                    <w:pStyle w:val="4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NH</w:t>
                  </w:r>
                  <w:r>
                    <w:rPr>
                      <w:b/>
                      <w:bCs/>
                      <w:color w:val="000000" w:themeColor="text1"/>
                      <w:sz w:val="21"/>
                      <w:szCs w:val="21"/>
                      <w:vertAlign w:val="subscript"/>
                      <w14:textFill>
                        <w14:solidFill>
                          <w14:schemeClr w14:val="tx1"/>
                        </w14:solidFill>
                      </w14:textFill>
                    </w:rPr>
                    <w:t>3</w:t>
                  </w:r>
                  <w:r>
                    <w:rPr>
                      <w:b/>
                      <w:bCs/>
                      <w:color w:val="000000" w:themeColor="text1"/>
                      <w:sz w:val="21"/>
                      <w:szCs w:val="21"/>
                      <w14:textFill>
                        <w14:solidFill>
                          <w14:schemeClr w14:val="tx1"/>
                        </w14:solidFill>
                      </w14:textFill>
                    </w:rPr>
                    <w:t>-N</w:t>
                  </w:r>
                </w:p>
              </w:tc>
            </w:tr>
            <w:tr w14:paraId="18F51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556" w:type="pct"/>
                  <w:vAlign w:val="center"/>
                </w:tcPr>
                <w:p w14:paraId="7A4178DF">
                  <w:pPr>
                    <w:pStyle w:val="42"/>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《污水综合排放标准》GB8978-1996</w:t>
                  </w:r>
                </w:p>
              </w:tc>
              <w:tc>
                <w:tcPr>
                  <w:tcW w:w="871" w:type="pct"/>
                  <w:vAlign w:val="center"/>
                </w:tcPr>
                <w:p w14:paraId="3CC706F6">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r>
                    <w:rPr>
                      <w:rFonts w:hint="eastAsia"/>
                      <w:color w:val="000000" w:themeColor="text1"/>
                      <w:sz w:val="21"/>
                      <w:szCs w:val="21"/>
                      <w14:textFill>
                        <w14:solidFill>
                          <w14:schemeClr w14:val="tx1"/>
                        </w14:solidFill>
                      </w14:textFill>
                    </w:rPr>
                    <w:t>（无量纲）</w:t>
                  </w:r>
                </w:p>
              </w:tc>
              <w:tc>
                <w:tcPr>
                  <w:tcW w:w="643" w:type="pct"/>
                  <w:vAlign w:val="center"/>
                </w:tcPr>
                <w:p w14:paraId="3A62E043">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c>
                <w:tcPr>
                  <w:tcW w:w="816" w:type="pct"/>
                  <w:vAlign w:val="center"/>
                </w:tcPr>
                <w:p w14:paraId="7E423C75">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557" w:type="pct"/>
                  <w:vAlign w:val="center"/>
                </w:tcPr>
                <w:p w14:paraId="4E1657B4">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557" w:type="pct"/>
                  <w:vAlign w:val="center"/>
                </w:tcPr>
                <w:p w14:paraId="4A2F7054">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345C8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556" w:type="pct"/>
                  <w:vAlign w:val="center"/>
                </w:tcPr>
                <w:p w14:paraId="0ED6A8B3">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衡龙新区污水处理厂进水水质要求</w:t>
                  </w:r>
                </w:p>
              </w:tc>
              <w:tc>
                <w:tcPr>
                  <w:tcW w:w="871" w:type="pct"/>
                  <w:vAlign w:val="center"/>
                </w:tcPr>
                <w:p w14:paraId="5C128356">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r>
                    <w:rPr>
                      <w:rFonts w:hint="eastAsia"/>
                      <w:color w:val="000000" w:themeColor="text1"/>
                      <w:sz w:val="21"/>
                      <w:szCs w:val="21"/>
                      <w14:textFill>
                        <w14:solidFill>
                          <w14:schemeClr w14:val="tx1"/>
                        </w14:solidFill>
                      </w14:textFill>
                    </w:rPr>
                    <w:t>（无量纲）</w:t>
                  </w:r>
                </w:p>
              </w:tc>
              <w:tc>
                <w:tcPr>
                  <w:tcW w:w="643" w:type="pct"/>
                  <w:vAlign w:val="center"/>
                </w:tcPr>
                <w:p w14:paraId="4D456FCE">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816" w:type="pct"/>
                  <w:vAlign w:val="center"/>
                </w:tcPr>
                <w:p w14:paraId="7BDF0B72">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557" w:type="pct"/>
                  <w:vAlign w:val="center"/>
                </w:tcPr>
                <w:p w14:paraId="36C71DE9">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330</w:t>
                  </w:r>
                </w:p>
              </w:tc>
              <w:tc>
                <w:tcPr>
                  <w:tcW w:w="557" w:type="pct"/>
                  <w:vAlign w:val="center"/>
                </w:tcPr>
                <w:p w14:paraId="0FD3331D">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r>
            <w:tr w14:paraId="37074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556" w:type="pct"/>
                  <w:vAlign w:val="center"/>
                </w:tcPr>
                <w:p w14:paraId="21D70DBF">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较严值</w:t>
                  </w:r>
                </w:p>
              </w:tc>
              <w:tc>
                <w:tcPr>
                  <w:tcW w:w="871" w:type="pct"/>
                  <w:vAlign w:val="center"/>
                </w:tcPr>
                <w:p w14:paraId="52370DE2">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r>
                    <w:rPr>
                      <w:rFonts w:hint="eastAsia"/>
                      <w:color w:val="000000" w:themeColor="text1"/>
                      <w:sz w:val="21"/>
                      <w:szCs w:val="21"/>
                      <w14:textFill>
                        <w14:solidFill>
                          <w14:schemeClr w14:val="tx1"/>
                        </w14:solidFill>
                      </w14:textFill>
                    </w:rPr>
                    <w:t>（无量纲）</w:t>
                  </w:r>
                </w:p>
              </w:tc>
              <w:tc>
                <w:tcPr>
                  <w:tcW w:w="643" w:type="pct"/>
                  <w:vAlign w:val="center"/>
                </w:tcPr>
                <w:p w14:paraId="251C8B78">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816" w:type="pct"/>
                  <w:vAlign w:val="center"/>
                </w:tcPr>
                <w:p w14:paraId="531F3171">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557" w:type="pct"/>
                  <w:vAlign w:val="center"/>
                </w:tcPr>
                <w:p w14:paraId="6EB89464">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330</w:t>
                  </w:r>
                </w:p>
              </w:tc>
              <w:tc>
                <w:tcPr>
                  <w:tcW w:w="557" w:type="pct"/>
                  <w:vAlign w:val="center"/>
                </w:tcPr>
                <w:p w14:paraId="3A21A016">
                  <w:pPr>
                    <w:pStyle w:val="4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r>
          </w:tbl>
          <w:p w14:paraId="0E2C3D24">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三、噪声排放标准</w:t>
            </w:r>
          </w:p>
          <w:p w14:paraId="5232406E">
            <w:pPr>
              <w:kinsoku w:val="0"/>
              <w:wordWrap w:val="0"/>
              <w:autoSpaceDE w:val="0"/>
              <w:autoSpaceDN w:val="0"/>
              <w:spacing w:line="360" w:lineRule="auto"/>
              <w:ind w:firstLine="480" w:firstLineChars="200"/>
              <w:rPr>
                <w:color w:val="000000" w:themeColor="text1"/>
                <w14:textFill>
                  <w14:solidFill>
                    <w14:schemeClr w14:val="tx1"/>
                  </w14:solidFill>
                </w14:textFill>
              </w:rPr>
            </w:pPr>
            <w:r>
              <w:t>项目</w:t>
            </w:r>
            <w:r>
              <w:rPr>
                <w:rFonts w:hint="eastAsia"/>
              </w:rPr>
              <w:t>施工期噪声执行《建筑施工场界环境噪声排放标准》（GB12523-2011）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营运期厂界噪声执行《工业企业厂界环境噪声排放标准》</w:t>
            </w:r>
            <w:r>
              <w:rPr>
                <w:rFonts w:hint="eastAsia"/>
                <w:color w:val="000000" w:themeColor="text1"/>
                <w14:textFill>
                  <w14:solidFill>
                    <w14:schemeClr w14:val="tx1"/>
                  </w14:solidFill>
                </w14:textFill>
              </w:rPr>
              <w:t>（GB12348-2008）</w:t>
            </w:r>
            <w:r>
              <w:rPr>
                <w:color w:val="000000" w:themeColor="text1"/>
                <w14:textFill>
                  <w14:solidFill>
                    <w14:schemeClr w14:val="tx1"/>
                  </w14:solidFill>
                </w14:textFill>
              </w:rPr>
              <w:t>中的3类功能区噪声排放标准</w:t>
            </w:r>
            <w:r>
              <w:rPr>
                <w:rFonts w:hint="eastAsia"/>
                <w:color w:val="000000" w:themeColor="text1"/>
                <w14:textFill>
                  <w14:solidFill>
                    <w14:schemeClr w14:val="tx1"/>
                  </w14:solidFill>
                </w14:textFill>
              </w:rPr>
              <w:t>。</w:t>
            </w:r>
          </w:p>
          <w:p w14:paraId="6CDE9832">
            <w:pPr>
              <w:pStyle w:val="45"/>
              <w:adjustRightInd w:val="0"/>
              <w:spacing w:line="240" w:lineRule="auto"/>
              <w:ind w:left="0" w:leftChars="0" w:firstLine="0" w:firstLineChars="0"/>
              <w:rPr>
                <w:rFonts w:ascii="Times New Roman"/>
                <w:b/>
                <w:snapToGrid/>
                <w:color w:val="000000" w:themeColor="text1"/>
                <w:spacing w:val="0"/>
                <w:kern w:val="2"/>
                <w14:textFill>
                  <w14:solidFill>
                    <w14:schemeClr w14:val="tx1"/>
                  </w14:solidFill>
                </w14:textFill>
              </w:rPr>
            </w:pPr>
            <w:r>
              <w:rPr>
                <w:rFonts w:ascii="Times New Roman"/>
                <w:b/>
                <w:snapToGrid/>
                <w:color w:val="000000" w:themeColor="text1"/>
                <w:spacing w:val="0"/>
                <w:kern w:val="2"/>
                <w:lang w:val="zh-CN"/>
                <w14:textFill>
                  <w14:solidFill>
                    <w14:schemeClr w14:val="tx1"/>
                  </w14:solidFill>
                </w14:textFill>
              </w:rPr>
              <w:t>表</w:t>
            </w:r>
            <w:r>
              <w:rPr>
                <w:rFonts w:ascii="Times New Roman"/>
                <w:b/>
                <w:snapToGrid/>
                <w:color w:val="000000" w:themeColor="text1"/>
                <w:spacing w:val="0"/>
                <w:kern w:val="2"/>
                <w14:textFill>
                  <w14:solidFill>
                    <w14:schemeClr w14:val="tx1"/>
                  </w14:solidFill>
                </w14:textFill>
              </w:rPr>
              <w:t>3</w:t>
            </w:r>
            <w:r>
              <w:rPr>
                <w:rFonts w:ascii="Times New Roman"/>
                <w:b/>
                <w:snapToGrid/>
                <w:color w:val="000000" w:themeColor="text1"/>
                <w:spacing w:val="0"/>
                <w:kern w:val="2"/>
                <w:lang w:val="zh-CN"/>
                <w14:textFill>
                  <w14:solidFill>
                    <w14:schemeClr w14:val="tx1"/>
                  </w14:solidFill>
                </w14:textFill>
              </w:rPr>
              <w:t>-</w:t>
            </w:r>
            <w:r>
              <w:rPr>
                <w:rFonts w:hint="eastAsia" w:ascii="Times New Roman"/>
                <w:b/>
                <w:snapToGrid/>
                <w:color w:val="000000" w:themeColor="text1"/>
                <w:spacing w:val="0"/>
                <w:kern w:val="2"/>
                <w14:textFill>
                  <w14:solidFill>
                    <w14:schemeClr w14:val="tx1"/>
                  </w14:solidFill>
                </w14:textFill>
              </w:rPr>
              <w:t>9</w:t>
            </w:r>
            <w:r>
              <w:rPr>
                <w:rFonts w:ascii="Times New Roman"/>
                <w:b/>
                <w:snapToGrid/>
                <w:color w:val="000000" w:themeColor="text1"/>
                <w:spacing w:val="0"/>
                <w:kern w:val="2"/>
                <w14:textFill>
                  <w14:solidFill>
                    <w14:schemeClr w14:val="tx1"/>
                  </w14:solidFill>
                </w14:textFill>
              </w:rPr>
              <w:t xml:space="preserve">  《</w:t>
            </w:r>
            <w:r>
              <w:rPr>
                <w:rFonts w:ascii="Times New Roman"/>
                <w:b/>
                <w:snapToGrid/>
                <w:color w:val="000000" w:themeColor="text1"/>
                <w:spacing w:val="0"/>
                <w:kern w:val="2"/>
                <w:lang w:val="zh-CN"/>
                <w14:textFill>
                  <w14:solidFill>
                    <w14:schemeClr w14:val="tx1"/>
                  </w14:solidFill>
                </w14:textFill>
              </w:rPr>
              <w:t>工业企业厂界环境噪声排放标准》</w:t>
            </w:r>
            <w:r>
              <w:rPr>
                <w:rFonts w:ascii="Times New Roman"/>
                <w:b/>
                <w:snapToGrid/>
                <w:color w:val="000000" w:themeColor="text1"/>
                <w:spacing w:val="0"/>
                <w:kern w:val="2"/>
                <w14:textFill>
                  <w14:solidFill>
                    <w14:schemeClr w14:val="tx1"/>
                  </w14:solidFill>
                </w14:textFill>
              </w:rPr>
              <w:t>（GB12348-2008） 单位dB(A)</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3248"/>
              <w:gridCol w:w="1128"/>
              <w:gridCol w:w="1010"/>
              <w:gridCol w:w="1037"/>
            </w:tblGrid>
            <w:tr w14:paraId="002E2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3" w:type="pct"/>
                  <w:vMerge w:val="restart"/>
                  <w:vAlign w:val="center"/>
                </w:tcPr>
                <w:p w14:paraId="32C6893F">
                  <w:pPr>
                    <w:jc w:val="center"/>
                    <w:rPr>
                      <w:b/>
                      <w:bCs/>
                      <w:color w:val="000000"/>
                      <w:sz w:val="21"/>
                      <w:szCs w:val="21"/>
                      <w:lang w:val="en-GB" w:bidi="ar"/>
                    </w:rPr>
                  </w:pPr>
                  <w:r>
                    <w:rPr>
                      <w:rFonts w:hint="eastAsia"/>
                      <w:b/>
                      <w:bCs/>
                      <w:color w:val="000000"/>
                      <w:sz w:val="21"/>
                      <w:szCs w:val="21"/>
                      <w:lang w:val="en-GB" w:bidi="ar"/>
                    </w:rPr>
                    <w:t>类型</w:t>
                  </w:r>
                </w:p>
              </w:tc>
              <w:tc>
                <w:tcPr>
                  <w:tcW w:w="2798" w:type="pct"/>
                  <w:gridSpan w:val="2"/>
                  <w:vMerge w:val="restart"/>
                  <w:vAlign w:val="center"/>
                </w:tcPr>
                <w:p w14:paraId="058C09BC">
                  <w:pPr>
                    <w:jc w:val="center"/>
                    <w:rPr>
                      <w:b/>
                      <w:bCs/>
                      <w:color w:val="000000"/>
                      <w:sz w:val="21"/>
                      <w:szCs w:val="21"/>
                      <w:lang w:val="en-GB" w:bidi="ar"/>
                    </w:rPr>
                  </w:pPr>
                  <w:r>
                    <w:rPr>
                      <w:b/>
                      <w:bCs/>
                      <w:color w:val="000000"/>
                      <w:sz w:val="21"/>
                      <w:szCs w:val="21"/>
                      <w:lang w:val="en-GB" w:bidi="ar"/>
                    </w:rPr>
                    <w:t>执行标准</w:t>
                  </w:r>
                </w:p>
              </w:tc>
              <w:tc>
                <w:tcPr>
                  <w:tcW w:w="1309" w:type="pct"/>
                  <w:gridSpan w:val="2"/>
                  <w:vAlign w:val="center"/>
                </w:tcPr>
                <w:p w14:paraId="685E2E96">
                  <w:pPr>
                    <w:jc w:val="center"/>
                    <w:rPr>
                      <w:b/>
                      <w:bCs/>
                      <w:color w:val="000000"/>
                      <w:sz w:val="21"/>
                      <w:szCs w:val="21"/>
                      <w:lang w:val="en-GB" w:bidi="ar"/>
                    </w:rPr>
                  </w:pPr>
                  <w:r>
                    <w:rPr>
                      <w:b/>
                      <w:bCs/>
                      <w:color w:val="000000"/>
                      <w:sz w:val="21"/>
                      <w:szCs w:val="21"/>
                      <w:lang w:val="en-GB" w:bidi="ar"/>
                    </w:rPr>
                    <w:t>标准值dB（A）</w:t>
                  </w:r>
                </w:p>
              </w:tc>
            </w:tr>
            <w:tr w14:paraId="5983D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3" w:type="pct"/>
                  <w:vMerge w:val="continue"/>
                  <w:vAlign w:val="center"/>
                </w:tcPr>
                <w:p w14:paraId="04A7CA04">
                  <w:pPr>
                    <w:jc w:val="center"/>
                    <w:rPr>
                      <w:b/>
                      <w:bCs/>
                      <w:color w:val="000000"/>
                      <w:sz w:val="21"/>
                      <w:szCs w:val="21"/>
                      <w:lang w:val="en-GB" w:bidi="ar"/>
                    </w:rPr>
                  </w:pPr>
                </w:p>
              </w:tc>
              <w:tc>
                <w:tcPr>
                  <w:tcW w:w="2798" w:type="pct"/>
                  <w:gridSpan w:val="2"/>
                  <w:vMerge w:val="continue"/>
                  <w:vAlign w:val="center"/>
                </w:tcPr>
                <w:p w14:paraId="33FDAE08">
                  <w:pPr>
                    <w:jc w:val="center"/>
                    <w:rPr>
                      <w:b/>
                      <w:bCs/>
                      <w:color w:val="000000"/>
                      <w:sz w:val="21"/>
                      <w:szCs w:val="21"/>
                      <w:lang w:val="en-GB" w:bidi="ar"/>
                    </w:rPr>
                  </w:pPr>
                </w:p>
              </w:tc>
              <w:tc>
                <w:tcPr>
                  <w:tcW w:w="646" w:type="pct"/>
                  <w:vAlign w:val="center"/>
                </w:tcPr>
                <w:p w14:paraId="260A420F">
                  <w:pPr>
                    <w:jc w:val="center"/>
                    <w:rPr>
                      <w:b/>
                      <w:bCs/>
                      <w:color w:val="000000"/>
                      <w:sz w:val="21"/>
                      <w:szCs w:val="21"/>
                      <w:lang w:val="en-GB" w:bidi="ar"/>
                    </w:rPr>
                  </w:pPr>
                  <w:r>
                    <w:rPr>
                      <w:b/>
                      <w:bCs/>
                      <w:color w:val="000000"/>
                      <w:sz w:val="21"/>
                      <w:szCs w:val="21"/>
                      <w:lang w:val="en-GB" w:bidi="ar"/>
                    </w:rPr>
                    <w:t>昼间</w:t>
                  </w:r>
                </w:p>
              </w:tc>
              <w:tc>
                <w:tcPr>
                  <w:tcW w:w="663" w:type="pct"/>
                  <w:vAlign w:val="center"/>
                </w:tcPr>
                <w:p w14:paraId="7295023D">
                  <w:pPr>
                    <w:jc w:val="center"/>
                    <w:rPr>
                      <w:b/>
                      <w:bCs/>
                      <w:color w:val="000000"/>
                      <w:sz w:val="21"/>
                      <w:szCs w:val="21"/>
                      <w:lang w:val="en-GB" w:bidi="ar"/>
                    </w:rPr>
                  </w:pPr>
                  <w:r>
                    <w:rPr>
                      <w:b/>
                      <w:bCs/>
                      <w:color w:val="000000"/>
                      <w:sz w:val="21"/>
                      <w:szCs w:val="21"/>
                      <w:lang w:val="en-GB" w:bidi="ar"/>
                    </w:rPr>
                    <w:t>夜间</w:t>
                  </w:r>
                </w:p>
              </w:tc>
            </w:tr>
            <w:tr w14:paraId="3849D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3" w:type="pct"/>
                  <w:vAlign w:val="center"/>
                </w:tcPr>
                <w:p w14:paraId="32C139F7">
                  <w:pPr>
                    <w:jc w:val="center"/>
                    <w:rPr>
                      <w:sz w:val="21"/>
                      <w:szCs w:val="21"/>
                    </w:rPr>
                  </w:pPr>
                  <w:r>
                    <w:rPr>
                      <w:rFonts w:hint="eastAsia"/>
                      <w:sz w:val="21"/>
                      <w:szCs w:val="21"/>
                    </w:rPr>
                    <w:t>施工期</w:t>
                  </w:r>
                </w:p>
              </w:tc>
              <w:tc>
                <w:tcPr>
                  <w:tcW w:w="2077" w:type="pct"/>
                  <w:vAlign w:val="center"/>
                </w:tcPr>
                <w:p w14:paraId="39D975B9">
                  <w:pPr>
                    <w:jc w:val="center"/>
                    <w:rPr>
                      <w:sz w:val="21"/>
                      <w:szCs w:val="21"/>
                    </w:rPr>
                  </w:pPr>
                  <w:r>
                    <w:rPr>
                      <w:rFonts w:hint="eastAsia"/>
                      <w:sz w:val="21"/>
                      <w:szCs w:val="21"/>
                    </w:rPr>
                    <w:t>《建筑施工场界环境噪声排放标准》（GB12523-2011）</w:t>
                  </w:r>
                </w:p>
              </w:tc>
              <w:tc>
                <w:tcPr>
                  <w:tcW w:w="721" w:type="pct"/>
                  <w:vAlign w:val="center"/>
                </w:tcPr>
                <w:p w14:paraId="66860E80">
                  <w:pPr>
                    <w:jc w:val="center"/>
                    <w:rPr>
                      <w:color w:val="000000"/>
                      <w:sz w:val="21"/>
                      <w:szCs w:val="21"/>
                      <w:lang w:bidi="ar"/>
                    </w:rPr>
                  </w:pPr>
                  <w:r>
                    <w:rPr>
                      <w:rFonts w:hint="eastAsia"/>
                      <w:color w:val="000000"/>
                      <w:sz w:val="21"/>
                      <w:szCs w:val="21"/>
                      <w:lang w:bidi="ar"/>
                    </w:rPr>
                    <w:t>/</w:t>
                  </w:r>
                </w:p>
              </w:tc>
              <w:tc>
                <w:tcPr>
                  <w:tcW w:w="646" w:type="pct"/>
                  <w:vAlign w:val="center"/>
                </w:tcPr>
                <w:p w14:paraId="3FE72B9A">
                  <w:pPr>
                    <w:jc w:val="center"/>
                    <w:rPr>
                      <w:color w:val="000000"/>
                      <w:sz w:val="21"/>
                      <w:szCs w:val="21"/>
                      <w:lang w:val="en-GB" w:bidi="ar"/>
                    </w:rPr>
                  </w:pPr>
                  <w:r>
                    <w:rPr>
                      <w:rFonts w:hint="eastAsia"/>
                      <w:color w:val="000000"/>
                      <w:sz w:val="21"/>
                      <w:szCs w:val="21"/>
                      <w:lang w:val="en-GB" w:bidi="ar"/>
                    </w:rPr>
                    <w:t>70</w:t>
                  </w:r>
                </w:p>
              </w:tc>
              <w:tc>
                <w:tcPr>
                  <w:tcW w:w="663" w:type="pct"/>
                  <w:vAlign w:val="center"/>
                </w:tcPr>
                <w:p w14:paraId="22808A64">
                  <w:pPr>
                    <w:jc w:val="center"/>
                    <w:rPr>
                      <w:color w:val="000000"/>
                      <w:sz w:val="21"/>
                      <w:szCs w:val="21"/>
                      <w:lang w:val="en-GB" w:bidi="ar"/>
                    </w:rPr>
                  </w:pPr>
                  <w:r>
                    <w:rPr>
                      <w:rFonts w:hint="eastAsia"/>
                      <w:color w:val="000000"/>
                      <w:sz w:val="21"/>
                      <w:szCs w:val="21"/>
                      <w:lang w:val="en-GB" w:bidi="ar"/>
                    </w:rPr>
                    <w:t>55</w:t>
                  </w:r>
                </w:p>
              </w:tc>
            </w:tr>
            <w:tr w14:paraId="4BE91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3" w:type="pct"/>
                  <w:vAlign w:val="center"/>
                </w:tcPr>
                <w:p w14:paraId="02DD3F31">
                  <w:pPr>
                    <w:jc w:val="center"/>
                    <w:rPr>
                      <w:sz w:val="21"/>
                      <w:szCs w:val="21"/>
                    </w:rPr>
                  </w:pPr>
                  <w:r>
                    <w:rPr>
                      <w:rFonts w:hint="eastAsia"/>
                      <w:sz w:val="21"/>
                      <w:szCs w:val="21"/>
                    </w:rPr>
                    <w:t>运营期</w:t>
                  </w:r>
                </w:p>
              </w:tc>
              <w:tc>
                <w:tcPr>
                  <w:tcW w:w="2077" w:type="pct"/>
                  <w:vAlign w:val="center"/>
                </w:tcPr>
                <w:p w14:paraId="7CCDFD09">
                  <w:pPr>
                    <w:jc w:val="center"/>
                    <w:rPr>
                      <w:color w:val="000000"/>
                      <w:sz w:val="21"/>
                      <w:szCs w:val="21"/>
                      <w:lang w:val="en-GB" w:bidi="ar"/>
                    </w:rPr>
                  </w:pPr>
                  <w:r>
                    <w:rPr>
                      <w:sz w:val="21"/>
                      <w:szCs w:val="21"/>
                    </w:rPr>
                    <w:t>《</w:t>
                  </w:r>
                  <w:r>
                    <w:rPr>
                      <w:rFonts w:hint="eastAsia"/>
                      <w:sz w:val="21"/>
                      <w:szCs w:val="21"/>
                    </w:rPr>
                    <w:t>工业企业厂界环境</w:t>
                  </w:r>
                  <w:r>
                    <w:rPr>
                      <w:sz w:val="21"/>
                      <w:szCs w:val="21"/>
                    </w:rPr>
                    <w:t>噪声排放标准》（GB</w:t>
                  </w:r>
                  <w:r>
                    <w:rPr>
                      <w:rFonts w:hint="eastAsia"/>
                      <w:sz w:val="21"/>
                      <w:szCs w:val="21"/>
                    </w:rPr>
                    <w:t>12348</w:t>
                  </w:r>
                  <w:r>
                    <w:rPr>
                      <w:sz w:val="21"/>
                      <w:szCs w:val="21"/>
                    </w:rPr>
                    <w:t>-2008）</w:t>
                  </w:r>
                </w:p>
              </w:tc>
              <w:tc>
                <w:tcPr>
                  <w:tcW w:w="721" w:type="pct"/>
                  <w:vAlign w:val="center"/>
                </w:tcPr>
                <w:p w14:paraId="057131FE">
                  <w:pPr>
                    <w:jc w:val="center"/>
                    <w:rPr>
                      <w:color w:val="000000"/>
                      <w:sz w:val="21"/>
                      <w:szCs w:val="21"/>
                      <w:lang w:bidi="ar"/>
                    </w:rPr>
                  </w:pPr>
                  <w:r>
                    <w:rPr>
                      <w:rFonts w:hint="eastAsia"/>
                      <w:color w:val="000000"/>
                      <w:sz w:val="21"/>
                      <w:szCs w:val="21"/>
                      <w:lang w:bidi="ar"/>
                    </w:rPr>
                    <w:t>3</w:t>
                  </w:r>
                  <w:r>
                    <w:rPr>
                      <w:color w:val="000000"/>
                      <w:sz w:val="21"/>
                      <w:szCs w:val="21"/>
                      <w:lang w:val="en-GB" w:bidi="ar"/>
                    </w:rPr>
                    <w:t>类</w:t>
                  </w:r>
                </w:p>
              </w:tc>
              <w:tc>
                <w:tcPr>
                  <w:tcW w:w="646" w:type="pct"/>
                  <w:vAlign w:val="center"/>
                </w:tcPr>
                <w:p w14:paraId="6297A115">
                  <w:pPr>
                    <w:jc w:val="center"/>
                    <w:rPr>
                      <w:color w:val="000000"/>
                      <w:sz w:val="21"/>
                      <w:szCs w:val="21"/>
                      <w:lang w:val="en-GB" w:bidi="ar"/>
                    </w:rPr>
                  </w:pPr>
                  <w:r>
                    <w:rPr>
                      <w:color w:val="000000"/>
                      <w:sz w:val="21"/>
                      <w:szCs w:val="21"/>
                      <w:lang w:val="en-GB" w:bidi="ar"/>
                    </w:rPr>
                    <w:t>6</w:t>
                  </w:r>
                  <w:r>
                    <w:rPr>
                      <w:rFonts w:hint="eastAsia"/>
                      <w:color w:val="000000"/>
                      <w:sz w:val="21"/>
                      <w:szCs w:val="21"/>
                      <w:lang w:bidi="ar"/>
                    </w:rPr>
                    <w:t>5</w:t>
                  </w:r>
                </w:p>
              </w:tc>
              <w:tc>
                <w:tcPr>
                  <w:tcW w:w="663" w:type="pct"/>
                  <w:vAlign w:val="center"/>
                </w:tcPr>
                <w:p w14:paraId="6E0B8B3A">
                  <w:pPr>
                    <w:jc w:val="center"/>
                    <w:rPr>
                      <w:color w:val="000000"/>
                      <w:sz w:val="21"/>
                      <w:szCs w:val="21"/>
                      <w:lang w:val="en-GB" w:bidi="ar"/>
                    </w:rPr>
                  </w:pPr>
                  <w:r>
                    <w:rPr>
                      <w:color w:val="000000"/>
                      <w:sz w:val="21"/>
                      <w:szCs w:val="21"/>
                      <w:lang w:val="en-GB" w:bidi="ar"/>
                    </w:rPr>
                    <w:t>5</w:t>
                  </w:r>
                  <w:r>
                    <w:rPr>
                      <w:rFonts w:hint="eastAsia"/>
                      <w:color w:val="000000"/>
                      <w:sz w:val="21"/>
                      <w:szCs w:val="21"/>
                      <w:lang w:bidi="ar"/>
                    </w:rPr>
                    <w:t>5</w:t>
                  </w:r>
                </w:p>
              </w:tc>
            </w:tr>
          </w:tbl>
          <w:p w14:paraId="115BA429">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四、固体废物</w:t>
            </w:r>
            <w:r>
              <w:rPr>
                <w:rFonts w:hint="eastAsia"/>
                <w:b/>
                <w:bCs/>
                <w:color w:val="000000" w:themeColor="text1"/>
                <w14:textFill>
                  <w14:solidFill>
                    <w14:schemeClr w14:val="tx1"/>
                  </w14:solidFill>
                </w14:textFill>
              </w:rPr>
              <w:t>控制标准</w:t>
            </w:r>
          </w:p>
          <w:p w14:paraId="03B57CC9">
            <w:pPr>
              <w:pStyle w:val="40"/>
              <w:spacing w:line="360" w:lineRule="auto"/>
              <w:ind w:firstLine="480"/>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项目一般固体废物执行《一般工业固体废物贮存和填埋污染控制标准》（GB18599-2020）；危险废物执行《危险废物贮存污染控制标准》（GB18597-2023）。</w:t>
            </w:r>
          </w:p>
        </w:tc>
      </w:tr>
      <w:tr w14:paraId="4A5A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3C665C8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总量</w:t>
            </w:r>
          </w:p>
          <w:p w14:paraId="3DF82DDD">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控制</w:t>
            </w:r>
          </w:p>
          <w:p w14:paraId="75043F10">
            <w:pPr>
              <w:pStyle w:val="20"/>
              <w:spacing w:before="0" w:beforeAutospacing="0" w:after="0" w:afterAutospacing="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指标</w:t>
            </w:r>
          </w:p>
        </w:tc>
        <w:tc>
          <w:tcPr>
            <w:tcW w:w="8066" w:type="dxa"/>
          </w:tcPr>
          <w:p w14:paraId="3EF44977">
            <w:pPr>
              <w:adjustRightInd w:val="0"/>
              <w:snapToGrid w:val="0"/>
              <w:spacing w:line="360" w:lineRule="auto"/>
              <w:ind w:firstLine="480" w:firstLineChars="200"/>
              <w:rPr>
                <w:color w:val="000000" w:themeColor="text1"/>
                <w:kern w:val="48"/>
                <w14:textFill>
                  <w14:solidFill>
                    <w14:schemeClr w14:val="tx1"/>
                  </w14:solidFill>
                </w14:textFill>
              </w:rPr>
            </w:pPr>
            <w:r>
              <w:rPr>
                <w:color w:val="000000" w:themeColor="text1"/>
                <w:kern w:val="48"/>
                <w14:textFill>
                  <w14:solidFill>
                    <w14:schemeClr w14:val="tx1"/>
                  </w14:solidFill>
                </w14:textFill>
              </w:rPr>
              <w:t>根据《湖南省主要污染物排污权有偿使用和交易管理暂行办法》（湘政办发〔2022〕23号），共有化学需氧量、氨氮、二氧化硫、氮氧化物、铅、镉、砷、汞、</w:t>
            </w:r>
            <w:r>
              <w:rPr>
                <w:kern w:val="48"/>
              </w:rPr>
              <w:t>铬</w:t>
            </w:r>
            <w:r>
              <w:rPr>
                <w:color w:val="000000" w:themeColor="text1"/>
                <w:kern w:val="48"/>
                <w14:textFill>
                  <w14:solidFill>
                    <w14:schemeClr w14:val="tx1"/>
                  </w14:solidFill>
                </w14:textFill>
              </w:rPr>
              <w:t>、挥发性有机物、</w:t>
            </w:r>
            <w:r>
              <w:rPr>
                <w:kern w:val="48"/>
              </w:rPr>
              <w:t>总磷</w:t>
            </w:r>
            <w:r>
              <w:rPr>
                <w:color w:val="000000" w:themeColor="text1"/>
                <w:kern w:val="48"/>
                <w14:textFill>
                  <w14:solidFill>
                    <w14:schemeClr w14:val="tx1"/>
                  </w14:solidFill>
                </w14:textFill>
              </w:rPr>
              <w:t>等十一类污染物需纳入总量控制。</w:t>
            </w:r>
          </w:p>
          <w:p w14:paraId="3CB32F6D">
            <w:pPr>
              <w:pStyle w:val="40"/>
              <w:spacing w:line="360" w:lineRule="auto"/>
              <w:ind w:firstLine="480"/>
              <w:rPr>
                <w:rFonts w:ascii="Times New Roman" w:hAnsi="Times New Roman"/>
                <w:color w:val="000000" w:themeColor="text1"/>
                <w:kern w:val="48"/>
                <w:sz w:val="24"/>
                <w14:textFill>
                  <w14:solidFill>
                    <w14:schemeClr w14:val="tx1"/>
                  </w14:solidFill>
                </w14:textFill>
              </w:rPr>
            </w:pPr>
            <w:r>
              <w:rPr>
                <w:rFonts w:ascii="Times New Roman" w:hAnsi="Times New Roman"/>
                <w:color w:val="000000" w:themeColor="text1"/>
                <w:kern w:val="48"/>
                <w:sz w:val="24"/>
                <w14:textFill>
                  <w14:solidFill>
                    <w14:schemeClr w14:val="tx1"/>
                  </w14:solidFill>
                </w14:textFill>
              </w:rPr>
              <w:t>项目生活污水经</w:t>
            </w:r>
            <w:r>
              <w:rPr>
                <w:rFonts w:hint="eastAsia" w:ascii="Times New Roman" w:hAnsi="Times New Roman"/>
                <w:color w:val="000000" w:themeColor="text1"/>
                <w:kern w:val="48"/>
                <w:sz w:val="24"/>
                <w14:textFill>
                  <w14:solidFill>
                    <w14:schemeClr w14:val="tx1"/>
                  </w14:solidFill>
                </w14:textFill>
              </w:rPr>
              <w:t>厂房已建</w:t>
            </w:r>
            <w:r>
              <w:rPr>
                <w:rFonts w:ascii="Times New Roman" w:hAnsi="Times New Roman"/>
                <w:color w:val="000000" w:themeColor="text1"/>
                <w:kern w:val="48"/>
                <w:sz w:val="24"/>
                <w14:textFill>
                  <w14:solidFill>
                    <w14:schemeClr w14:val="tx1"/>
                  </w14:solidFill>
                </w14:textFill>
              </w:rPr>
              <w:t>化粪池处理后排入</w:t>
            </w:r>
            <w:r>
              <w:rPr>
                <w:rFonts w:hint="eastAsia" w:ascii="Times New Roman" w:hAnsi="Times New Roman"/>
                <w:color w:val="000000" w:themeColor="text1"/>
                <w:kern w:val="48"/>
                <w:sz w:val="24"/>
                <w14:textFill>
                  <w14:solidFill>
                    <w14:schemeClr w14:val="tx1"/>
                  </w14:solidFill>
                </w14:textFill>
              </w:rPr>
              <w:t>衡龙新区污水处理厂</w:t>
            </w:r>
            <w:r>
              <w:rPr>
                <w:rFonts w:ascii="Times New Roman" w:hAnsi="Times New Roman"/>
                <w:color w:val="000000" w:themeColor="text1"/>
                <w:kern w:val="48"/>
                <w:sz w:val="24"/>
                <w14:textFill>
                  <w14:solidFill>
                    <w14:schemeClr w14:val="tx1"/>
                  </w14:solidFill>
                </w14:textFill>
              </w:rPr>
              <w:t>，其中COD</w:t>
            </w:r>
            <w:r>
              <w:rPr>
                <w:rFonts w:hint="eastAsia" w:ascii="Times New Roman" w:hAnsi="Times New Roman"/>
                <w:color w:val="000000" w:themeColor="text1"/>
                <w:kern w:val="48"/>
                <w:sz w:val="24"/>
                <w14:textFill>
                  <w14:solidFill>
                    <w14:schemeClr w14:val="tx1"/>
                  </w14:solidFill>
                </w14:textFill>
              </w:rPr>
              <w:t>cr</w:t>
            </w:r>
            <w:r>
              <w:rPr>
                <w:rFonts w:ascii="Times New Roman" w:hAnsi="Times New Roman"/>
                <w:color w:val="000000" w:themeColor="text1"/>
                <w:kern w:val="48"/>
                <w:sz w:val="24"/>
                <w14:textFill>
                  <w14:solidFill>
                    <w14:schemeClr w14:val="tx1"/>
                  </w14:solidFill>
                </w14:textFill>
              </w:rPr>
              <w:t>排放量为</w:t>
            </w:r>
            <w:r>
              <w:rPr>
                <w:rFonts w:hint="eastAsia" w:ascii="Times New Roman" w:hAnsi="Times New Roman"/>
                <w:color w:val="000000"/>
                <w:sz w:val="24"/>
                <w:szCs w:val="24"/>
                <w:lang w:bidi="ar"/>
              </w:rPr>
              <w:t>0.0456</w:t>
            </w:r>
            <w:r>
              <w:rPr>
                <w:rFonts w:ascii="Times New Roman" w:hAnsi="Times New Roman"/>
                <w:color w:val="000000" w:themeColor="text1"/>
                <w:kern w:val="48"/>
                <w:sz w:val="24"/>
                <w14:textFill>
                  <w14:solidFill>
                    <w14:schemeClr w14:val="tx1"/>
                  </w14:solidFill>
                </w14:textFill>
              </w:rPr>
              <w:t>t/a、NH</w:t>
            </w:r>
            <w:r>
              <w:rPr>
                <w:rFonts w:ascii="Times New Roman" w:hAnsi="Times New Roman"/>
                <w:color w:val="000000" w:themeColor="text1"/>
                <w:kern w:val="48"/>
                <w:sz w:val="24"/>
                <w:vertAlign w:val="subscript"/>
                <w14:textFill>
                  <w14:solidFill>
                    <w14:schemeClr w14:val="tx1"/>
                  </w14:solidFill>
                </w14:textFill>
              </w:rPr>
              <w:t>3</w:t>
            </w:r>
            <w:r>
              <w:rPr>
                <w:rFonts w:ascii="Times New Roman" w:hAnsi="Times New Roman"/>
                <w:color w:val="000000" w:themeColor="text1"/>
                <w:kern w:val="48"/>
                <w:sz w:val="24"/>
                <w14:textFill>
                  <w14:solidFill>
                    <w14:schemeClr w14:val="tx1"/>
                  </w14:solidFill>
                </w14:textFill>
              </w:rPr>
              <w:t>-N排放量为</w:t>
            </w:r>
            <w:r>
              <w:rPr>
                <w:rFonts w:hint="eastAsia" w:ascii="Times New Roman" w:hAnsi="Times New Roman"/>
                <w:color w:val="000000"/>
                <w:sz w:val="24"/>
                <w:szCs w:val="24"/>
                <w:lang w:bidi="ar"/>
              </w:rPr>
              <w:t>0.0046</w:t>
            </w:r>
            <w:r>
              <w:rPr>
                <w:rFonts w:ascii="Times New Roman" w:hAnsi="Times New Roman"/>
                <w:color w:val="000000" w:themeColor="text1"/>
                <w:kern w:val="48"/>
                <w:sz w:val="24"/>
                <w14:textFill>
                  <w14:solidFill>
                    <w14:schemeClr w14:val="tx1"/>
                  </w14:solidFill>
                </w14:textFill>
              </w:rPr>
              <w:t>t/a，纳入</w:t>
            </w:r>
            <w:r>
              <w:rPr>
                <w:rFonts w:hint="eastAsia" w:ascii="Times New Roman" w:hAnsi="Times New Roman"/>
                <w:color w:val="000000" w:themeColor="text1"/>
                <w:kern w:val="48"/>
                <w:sz w:val="24"/>
                <w14:textFill>
                  <w14:solidFill>
                    <w14:schemeClr w14:val="tx1"/>
                  </w14:solidFill>
                </w14:textFill>
              </w:rPr>
              <w:t>衡龙新区污水处理厂</w:t>
            </w:r>
            <w:r>
              <w:rPr>
                <w:rFonts w:ascii="Times New Roman" w:hAnsi="Times New Roman"/>
                <w:color w:val="000000" w:themeColor="text1"/>
                <w:kern w:val="48"/>
                <w:sz w:val="24"/>
                <w14:textFill>
                  <w14:solidFill>
                    <w14:schemeClr w14:val="tx1"/>
                  </w14:solidFill>
                </w14:textFill>
              </w:rPr>
              <w:t>总量指标。</w:t>
            </w:r>
          </w:p>
          <w:p w14:paraId="0B0107C7">
            <w:pPr>
              <w:pStyle w:val="40"/>
              <w:spacing w:line="360" w:lineRule="auto"/>
              <w:ind w:firstLine="480"/>
              <w:rPr>
                <w:rFonts w:ascii="Times New Roman" w:hAnsi="Times New Roman"/>
                <w:sz w:val="24"/>
                <w:szCs w:val="24"/>
              </w:rPr>
            </w:pPr>
            <w:r>
              <w:rPr>
                <w:rFonts w:hint="eastAsia" w:ascii="Times New Roman" w:hAnsi="Times New Roman"/>
                <w:kern w:val="48"/>
                <w:sz w:val="24"/>
              </w:rPr>
              <w:t>项目喷漆废气收集后经过滤棉+三级活性炭吸附处理后通过15m排气筒（DA001）排放，现有项目V</w:t>
            </w:r>
            <w:r>
              <w:rPr>
                <w:rFonts w:ascii="Times New Roman" w:hAnsi="Times New Roman"/>
                <w:kern w:val="48"/>
                <w:sz w:val="24"/>
                <w:szCs w:val="24"/>
              </w:rPr>
              <w:t>OCs</w:t>
            </w:r>
            <w:r>
              <w:rPr>
                <w:rFonts w:ascii="Times New Roman" w:hAnsi="Times New Roman"/>
                <w:sz w:val="24"/>
                <w:szCs w:val="24"/>
              </w:rPr>
              <w:t>排放总量指标为</w:t>
            </w:r>
            <w:r>
              <w:rPr>
                <w:rFonts w:hint="eastAsia" w:ascii="Times New Roman" w:hAnsi="Times New Roman"/>
                <w:sz w:val="24"/>
                <w:szCs w:val="24"/>
              </w:rPr>
              <w:t>0.061，本次核算搬迁后</w:t>
            </w:r>
            <w:r>
              <w:rPr>
                <w:rFonts w:hint="eastAsia" w:ascii="Times New Roman" w:hAnsi="Times New Roman"/>
                <w:kern w:val="48"/>
                <w:sz w:val="24"/>
              </w:rPr>
              <w:t>V</w:t>
            </w:r>
            <w:r>
              <w:rPr>
                <w:rFonts w:ascii="Times New Roman" w:hAnsi="Times New Roman"/>
                <w:kern w:val="48"/>
                <w:sz w:val="24"/>
                <w:szCs w:val="24"/>
              </w:rPr>
              <w:t>OCs（以非甲烷总烃计）排放量为</w:t>
            </w:r>
            <w:r>
              <w:rPr>
                <w:rFonts w:hint="eastAsia" w:ascii="Times New Roman" w:hAnsi="Times New Roman"/>
                <w:color w:val="000000" w:themeColor="text1"/>
                <w:sz w:val="24"/>
                <w:szCs w:val="24"/>
                <w14:textFill>
                  <w14:solidFill>
                    <w14:schemeClr w14:val="tx1"/>
                  </w14:solidFill>
                </w14:textFill>
              </w:rPr>
              <w:t>0.4281</w:t>
            </w:r>
            <w:r>
              <w:rPr>
                <w:rFonts w:ascii="Times New Roman" w:hAnsi="Times New Roman"/>
                <w:sz w:val="24"/>
                <w:szCs w:val="24"/>
              </w:rPr>
              <w:t>t/a，则本项目VOCs总量指标为</w:t>
            </w:r>
            <w:r>
              <w:rPr>
                <w:rFonts w:hint="eastAsia" w:ascii="Times New Roman" w:hAnsi="Times New Roman"/>
                <w:color w:val="000000" w:themeColor="text1"/>
                <w:sz w:val="24"/>
                <w:szCs w:val="24"/>
                <w14:textFill>
                  <w14:solidFill>
                    <w14:schemeClr w14:val="tx1"/>
                  </w14:solidFill>
                </w14:textFill>
              </w:rPr>
              <w:t>0.3671</w:t>
            </w:r>
            <w:r>
              <w:rPr>
                <w:rFonts w:ascii="Times New Roman" w:hAnsi="Times New Roman"/>
                <w:sz w:val="24"/>
                <w:szCs w:val="24"/>
              </w:rPr>
              <w:t>t/a。</w:t>
            </w:r>
          </w:p>
          <w:p w14:paraId="412F303B">
            <w:pPr>
              <w:pStyle w:val="40"/>
              <w:spacing w:line="360" w:lineRule="auto"/>
              <w:ind w:firstLine="480"/>
              <w:rPr>
                <w:rFonts w:ascii="Times New Roman" w:hAnsi="Times New Roman"/>
                <w:color w:val="000000" w:themeColor="text1"/>
                <w:kern w:val="48"/>
                <w:sz w:val="24"/>
                <w14:textFill>
                  <w14:solidFill>
                    <w14:schemeClr w14:val="tx1"/>
                  </w14:solidFill>
                </w14:textFill>
              </w:rPr>
            </w:pPr>
            <w:r>
              <w:rPr>
                <w:rFonts w:hint="eastAsia" w:ascii="Times New Roman" w:hAnsi="Times New Roman"/>
                <w:kern w:val="48"/>
                <w:sz w:val="24"/>
                <w:szCs w:val="24"/>
              </w:rPr>
              <w:t>根据益阳市生态环境局关于印发《加强建设项目环境影响评价新增挥发性有机物实行倍量替代实施方案》的通知（益环发〔2024〕10号），挥发性有机物（VOCs）污染物实行倍量削减替代，本项目VOCs倍量替代来源为湖南国森印刷有限公司VOCs治理升级改造工程，本项目VOCs总量指标为0.3671t/a，需倍量VOCs量为0.7342t/a；其中湖南国森印刷有限公司年产纸类印刷品1000吨、塑料类印刷品200吨剩余量为1.0089t/a，可满足需求。</w:t>
            </w:r>
          </w:p>
        </w:tc>
      </w:tr>
    </w:tbl>
    <w:p w14:paraId="7CB5E360">
      <w:pPr>
        <w:sectPr>
          <w:pgSz w:w="11906" w:h="16838"/>
          <w:pgMar w:top="1440" w:right="1800" w:bottom="1440" w:left="1800" w:header="851" w:footer="992" w:gutter="0"/>
          <w:cols w:space="425" w:num="1"/>
          <w:docGrid w:type="lines" w:linePitch="312" w:charSpace="0"/>
        </w:sectPr>
      </w:pPr>
    </w:p>
    <w:p w14:paraId="68E0E683">
      <w:pPr>
        <w:pStyle w:val="20"/>
        <w:spacing w:before="0" w:beforeAutospacing="0" w:after="0" w:afterAutospacing="0"/>
        <w:jc w:val="center"/>
        <w:outlineLvl w:val="0"/>
        <w:rPr>
          <w:rFonts w:hint="eastAsia" w:ascii="黑体" w:hAnsi="黑体" w:eastAsia="黑体"/>
          <w:snapToGrid w:val="0"/>
          <w:color w:val="000000"/>
          <w:sz w:val="30"/>
          <w:szCs w:val="30"/>
        </w:rPr>
      </w:pPr>
      <w:bookmarkStart w:id="71" w:name="_Toc189746481"/>
      <w:bookmarkStart w:id="72" w:name="_Toc29134"/>
      <w:bookmarkStart w:id="73" w:name="_Toc20315"/>
      <w:r>
        <w:rPr>
          <w:rFonts w:hint="eastAsia" w:ascii="黑体" w:hAnsi="黑体" w:eastAsia="黑体"/>
          <w:snapToGrid w:val="0"/>
          <w:color w:val="000000"/>
          <w:sz w:val="30"/>
          <w:szCs w:val="30"/>
        </w:rPr>
        <w:t>四、主要环境影响和保护措施</w:t>
      </w:r>
      <w:bookmarkEnd w:id="71"/>
      <w:bookmarkEnd w:id="72"/>
      <w:bookmarkEnd w:id="73"/>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5C34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16F82D8C">
            <w:pPr>
              <w:pStyle w:val="20"/>
              <w:spacing w:before="0" w:beforeAutospacing="0" w:after="0" w:afterAutospacing="0"/>
              <w:jc w:val="center"/>
              <w:rPr>
                <w:rFonts w:hint="eastAsia" w:ascii="黑体" w:hAnsi="黑体" w:eastAsia="黑体"/>
                <w:snapToGrid w:val="0"/>
                <w:color w:val="000000"/>
                <w:sz w:val="30"/>
                <w:szCs w:val="30"/>
              </w:rPr>
            </w:pPr>
            <w:r>
              <w:rPr>
                <w:rFonts w:hint="eastAsia" w:cs="宋体"/>
                <w:snapToGrid w:val="0"/>
                <w:color w:val="000000"/>
                <w:szCs w:val="24"/>
              </w:rPr>
              <w:t>施工期环境保护措施</w:t>
            </w:r>
          </w:p>
        </w:tc>
        <w:tc>
          <w:tcPr>
            <w:tcW w:w="8066" w:type="dxa"/>
          </w:tcPr>
          <w:p w14:paraId="49F8144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rPr>
            </w:pPr>
            <w:r>
              <w:rPr>
                <w:rFonts w:ascii="Times New Roman" w:hAnsi="Times New Roman"/>
                <w:color w:val="000000"/>
                <w:szCs w:val="24"/>
              </w:rPr>
              <w:t>本项目施工期无土建工程，不进行大规模工程建设，只进行室内装修改造、设备安装和调试。装修期约为1个月，装修过程中会产生极少量的涂料废气、装修噪声、废弃装饰材料。</w:t>
            </w:r>
          </w:p>
          <w:p w14:paraId="4D2F898A">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rPr>
            </w:pPr>
            <w:r>
              <w:rPr>
                <w:rFonts w:ascii="Times New Roman" w:hAnsi="Times New Roman"/>
                <w:color w:val="000000"/>
                <w:szCs w:val="24"/>
              </w:rPr>
              <w:t>废气经自然通风、及时清扫后不会对周边环境造成影响；施工人员不在场地食宿，无施工废水产生；施工时间严格按照国家相关法律法规执行，选用低声设备，避免造成扰民，施工期间产生的固废安排专人负责收集。</w:t>
            </w:r>
          </w:p>
          <w:p w14:paraId="33BC5C7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ascii="黑体" w:hAnsi="黑体" w:eastAsia="黑体"/>
                <w:snapToGrid w:val="0"/>
                <w:color w:val="000000"/>
                <w:sz w:val="30"/>
                <w:szCs w:val="30"/>
              </w:rPr>
            </w:pPr>
            <w:r>
              <w:rPr>
                <w:rFonts w:ascii="Times New Roman" w:hAnsi="Times New Roman"/>
                <w:color w:val="000000"/>
                <w:szCs w:val="24"/>
              </w:rPr>
              <w:t>本项目施工期间会对外环境产生一定影响，但施工时间较短，随着施工结束，对外环境的不利影响也会随之结束，不会对周边环境造成持续影响。</w:t>
            </w:r>
          </w:p>
        </w:tc>
      </w:tr>
      <w:tr w14:paraId="7A7F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14:paraId="6F3770BE">
            <w:pPr>
              <w:pStyle w:val="20"/>
              <w:spacing w:before="0" w:beforeAutospacing="0" w:after="0" w:afterAutospacing="0"/>
              <w:jc w:val="center"/>
              <w:rPr>
                <w:rFonts w:hint="eastAsia" w:cs="宋体"/>
                <w:snapToGrid w:val="0"/>
                <w:color w:val="000000"/>
                <w:szCs w:val="24"/>
              </w:rPr>
            </w:pPr>
            <w:r>
              <w:rPr>
                <w:rFonts w:hint="eastAsia" w:cs="宋体"/>
                <w:snapToGrid w:val="0"/>
                <w:color w:val="000000"/>
                <w:szCs w:val="24"/>
              </w:rPr>
              <w:t>运营期环境影响和保护措施</w:t>
            </w:r>
          </w:p>
        </w:tc>
        <w:tc>
          <w:tcPr>
            <w:tcW w:w="8066" w:type="dxa"/>
          </w:tcPr>
          <w:p w14:paraId="3CED1E70">
            <w:pPr>
              <w:pStyle w:val="20"/>
              <w:widowControl w:val="0"/>
              <w:kinsoku w:val="0"/>
              <w:wordWrap w:val="0"/>
              <w:autoSpaceDE w:val="0"/>
              <w:autoSpaceDN w:val="0"/>
              <w:adjustRightInd w:val="0"/>
              <w:snapToGrid w:val="0"/>
              <w:spacing w:before="0" w:beforeAutospacing="0" w:after="0" w:afterAutospacing="0" w:line="360" w:lineRule="auto"/>
              <w:jc w:val="both"/>
              <w:rPr>
                <w:rFonts w:hint="eastAsia" w:cs="宋体"/>
                <w:b/>
                <w:bCs/>
                <w:snapToGrid w:val="0"/>
                <w:color w:val="000000"/>
                <w:szCs w:val="24"/>
              </w:rPr>
            </w:pPr>
            <w:r>
              <w:rPr>
                <w:rFonts w:hint="eastAsia" w:cs="宋体"/>
                <w:b/>
                <w:bCs/>
                <w:snapToGrid w:val="0"/>
                <w:color w:val="000000"/>
                <w:szCs w:val="24"/>
              </w:rPr>
              <w:t>一、废气</w:t>
            </w:r>
          </w:p>
          <w:p w14:paraId="6FB57A70">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rPr>
            </w:pPr>
            <w:r>
              <w:rPr>
                <w:rFonts w:hint="eastAsia" w:ascii="Times New Roman" w:hAnsi="Times New Roman"/>
                <w:color w:val="000000"/>
                <w:szCs w:val="24"/>
              </w:rPr>
              <w:t>项目运营期产生的废气主要包括下料、抛丸和焊接过程中产生的少量颗粒物和喷漆工序产生的漆雾和挥发性有机物。</w:t>
            </w:r>
          </w:p>
          <w:p w14:paraId="20270D08">
            <w:pPr>
              <w:pStyle w:val="20"/>
              <w:widowControl w:val="0"/>
              <w:kinsoku w:val="0"/>
              <w:wordWrap w:val="0"/>
              <w:autoSpaceDE w:val="0"/>
              <w:autoSpaceDN w:val="0"/>
              <w:adjustRightInd w:val="0"/>
              <w:snapToGrid w:val="0"/>
              <w:spacing w:before="0" w:beforeAutospacing="0" w:after="0" w:afterAutospacing="0" w:line="360" w:lineRule="auto"/>
              <w:jc w:val="both"/>
              <w:rPr>
                <w:rFonts w:hint="eastAsia" w:cs="宋体"/>
                <w:b/>
                <w:bCs/>
                <w:snapToGrid w:val="0"/>
                <w:color w:val="000000"/>
                <w:szCs w:val="24"/>
              </w:rPr>
            </w:pPr>
            <w:r>
              <w:rPr>
                <w:rFonts w:hint="eastAsia" w:cs="宋体"/>
                <w:b/>
                <w:bCs/>
                <w:snapToGrid w:val="0"/>
                <w:color w:val="000000"/>
                <w:szCs w:val="24"/>
              </w:rPr>
              <w:t>1、大气污染物源强分析</w:t>
            </w:r>
          </w:p>
          <w:p w14:paraId="152BA694">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rPr>
            </w:pPr>
            <w:r>
              <w:rPr>
                <w:rFonts w:hint="eastAsia" w:ascii="Times New Roman" w:hAnsi="Times New Roman"/>
                <w:color w:val="000000"/>
                <w:szCs w:val="24"/>
              </w:rPr>
              <w:t>（1）下料废气                                                    根据企业提供资料，本项目运营期需要消耗5050t钢材。本项目下料工序分别采用等离子切割工艺和</w:t>
            </w:r>
            <w:r>
              <w:rPr>
                <w:rFonts w:hint="eastAsia" w:ascii="Times New Roman" w:hAnsi="Times New Roman"/>
                <w:szCs w:val="24"/>
              </w:rPr>
              <w:t>氧/可燃气切割工艺来平均处理钢材</w:t>
            </w:r>
            <w:r>
              <w:rPr>
                <w:rFonts w:hint="eastAsia" w:ascii="Times New Roman" w:hAnsi="Times New Roman"/>
                <w:color w:val="000000"/>
                <w:szCs w:val="24"/>
              </w:rPr>
              <w:t>，年生产时长2800h。根据《排放源统计调查产排污核算方法和系数手册》中“33-37、431-434 行业系数手册”中“</w:t>
            </w:r>
            <w:r>
              <w:rPr>
                <w:rFonts w:hint="eastAsia" w:ascii="Times New Roman" w:hAnsi="Times New Roman"/>
                <w:szCs w:val="24"/>
              </w:rPr>
              <w:t>下料工段-氧/可燃气切割工艺</w:t>
            </w:r>
            <w:r>
              <w:rPr>
                <w:rFonts w:hint="eastAsia" w:ascii="Times New Roman" w:hAnsi="Times New Roman"/>
                <w:color w:val="000000"/>
                <w:szCs w:val="24"/>
              </w:rPr>
              <w:t>”产污系数为：颗粒物为1.50千克/吨-原料；“下料工段-等离子切割工艺”产污系数为1.1千克/吨-原料。经计算</w:t>
            </w:r>
            <w:r>
              <w:rPr>
                <w:rFonts w:hint="eastAsia" w:ascii="Times New Roman" w:hAnsi="Times New Roman"/>
                <w:szCs w:val="24"/>
              </w:rPr>
              <w:t>氧/可燃气切割工艺</w:t>
            </w:r>
            <w:r>
              <w:rPr>
                <w:rFonts w:hint="eastAsia" w:ascii="Times New Roman" w:hAnsi="Times New Roman"/>
                <w:color w:val="000000"/>
                <w:szCs w:val="24"/>
              </w:rPr>
              <w:t>下料废气（颗粒物）总产生量为3.788t/a，等离子切割工艺产生的颗粒物为2.778t/a，即下料工艺颗粒物总产生量为6.566t/a。由于金属切割产生的颗粒物粒径较大，参考相关文献资料，90%以上大颗粒会自然沉降在工位周围5米范围内其余10%粒径较小，考虑厂区生产产品较大，上方布设有行车、起重机设备等，难以设置固定集气罩收集废气，本环评建议企业安装移动式袋式除尘，产生的颗粒物经净化后排放。移动式袋式除尘器收集效率取60%，处理效率取99%。即排放量为2.2658t/a，排放速率为0.809kg/h。</w:t>
            </w:r>
          </w:p>
          <w:p w14:paraId="46A237D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rPr>
            </w:pPr>
            <w:r>
              <w:rPr>
                <w:rFonts w:hint="eastAsia" w:ascii="Times New Roman" w:hAnsi="Times New Roman"/>
                <w:color w:val="000000"/>
                <w:szCs w:val="24"/>
              </w:rPr>
              <w:t>（2）焊接废气</w:t>
            </w:r>
          </w:p>
          <w:p w14:paraId="5845C052">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rPr>
            </w:pPr>
            <w:r>
              <w:rPr>
                <w:rFonts w:hint="eastAsia" w:ascii="Times New Roman" w:hAnsi="Times New Roman"/>
                <w:color w:val="000000"/>
                <w:szCs w:val="24"/>
              </w:rPr>
              <w:t>根据建设单位提供资料，本项目涉及焊接工艺有埋弧焊和手工焊，实芯焊丝年消耗39吨，焊条年消耗1.6吨，年生产时长2800h。根据《排放源统计调查产排污核算方法和系数手册》中“33-37、431-434 行业系数手册”中“实芯焊丝二氧化碳保护焊、埋弧焊、氩弧焊”产污系数为：9.19千克/吨-原料；“手工电弧焊”产污系数为20.2千克/吨-原料。因此，本项目焊接废气产生量为0.3907t/a，焊接烟尘采用移动式袋式除尘器收集处理后排放，收集效率取60%，处理效率取99%。则本项目焊接废气排放量为</w:t>
            </w:r>
            <w:r>
              <w:rPr>
                <w:rFonts w:ascii="Times New Roman" w:hAnsi="Times New Roman"/>
                <w:color w:val="000000"/>
                <w:szCs w:val="24"/>
              </w:rPr>
              <w:t>0.</w:t>
            </w:r>
            <w:r>
              <w:rPr>
                <w:rFonts w:hint="eastAsia" w:ascii="Times New Roman" w:hAnsi="Times New Roman"/>
                <w:color w:val="000000"/>
                <w:szCs w:val="24"/>
              </w:rPr>
              <w:t>180t/a，排放速率为0.064kg/h。</w:t>
            </w:r>
          </w:p>
          <w:p w14:paraId="06EFFBF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u w:val="single"/>
              </w:rPr>
            </w:pPr>
            <w:r>
              <w:rPr>
                <w:rFonts w:hint="eastAsia" w:ascii="Times New Roman" w:hAnsi="Times New Roman"/>
                <w:color w:val="000000"/>
                <w:szCs w:val="24"/>
                <w:u w:val="single"/>
              </w:rPr>
              <w:t>（3）抛丸废气</w:t>
            </w:r>
          </w:p>
          <w:p w14:paraId="3FA29F2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u w:val="single"/>
              </w:rPr>
            </w:pPr>
            <w:r>
              <w:rPr>
                <w:rFonts w:hint="eastAsia" w:ascii="Times New Roman" w:hAnsi="Times New Roman"/>
                <w:color w:val="000000"/>
                <w:szCs w:val="24"/>
                <w:u w:val="single"/>
              </w:rPr>
              <w:t>项目抛丸废气主要产生于抛丸工序对钢结构的表面进行抛光打磨时逸散出的金属粉尘，年生产时长为2800h。根据《排放源统计调查产排污核算方法和系数手册》中“33-37、431-434 行业系数手册”中“钢材/构件-抛丸”工段：工业废气量为850立方米/吨-原料、颗粒物产污系数为2.19千克/吨-原料。</w:t>
            </w:r>
          </w:p>
          <w:p w14:paraId="692E88A0">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u w:val="single"/>
              </w:rPr>
            </w:pPr>
            <w:r>
              <w:rPr>
                <w:rFonts w:hint="eastAsia" w:ascii="Times New Roman" w:hAnsi="Times New Roman"/>
                <w:color w:val="000000"/>
                <w:szCs w:val="24"/>
                <w:u w:val="single"/>
              </w:rPr>
              <w:t>本项目消耗钢材5000吨，根据建设单位提供资料，抛丸机自带除尘设施风量为25000m</w:t>
            </w:r>
            <w:r>
              <w:rPr>
                <w:rFonts w:hint="eastAsia" w:ascii="Times New Roman" w:hAnsi="Times New Roman"/>
                <w:color w:val="000000"/>
                <w:szCs w:val="24"/>
                <w:u w:val="single"/>
                <w:vertAlign w:val="superscript"/>
              </w:rPr>
              <w:t>3</w:t>
            </w:r>
            <w:r>
              <w:rPr>
                <w:rFonts w:hint="eastAsia" w:ascii="Times New Roman" w:hAnsi="Times New Roman"/>
                <w:color w:val="000000"/>
                <w:szCs w:val="24"/>
                <w:u w:val="single"/>
              </w:rPr>
              <w:t>/h，颗粒物的产生量为10.95t/a。抛丸机进出口设有遮挡门帘，内部设自带的除尘设施，收集效率取90%，处理效率为99%，则抛丸废气颗粒物的排放量为1.1936t/a，</w:t>
            </w:r>
            <w:r>
              <w:rPr>
                <w:rFonts w:hint="eastAsia" w:ascii="Times New Roman" w:hAnsi="Times New Roman"/>
                <w:szCs w:val="24"/>
                <w:u w:val="single"/>
              </w:rPr>
              <w:t>排放效率为</w:t>
            </w:r>
            <w:r>
              <w:rPr>
                <w:rFonts w:hint="eastAsia" w:ascii="Times New Roman" w:hAnsi="Times New Roman"/>
                <w:color w:val="000000"/>
                <w:szCs w:val="24"/>
                <w:u w:val="single"/>
              </w:rPr>
              <w:t>0.426kg/h。</w:t>
            </w:r>
          </w:p>
          <w:p w14:paraId="3C4747A5">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u w:val="single"/>
              </w:rPr>
            </w:pPr>
            <w:r>
              <w:rPr>
                <w:rFonts w:hint="eastAsia" w:ascii="Times New Roman" w:hAnsi="Times New Roman"/>
                <w:color w:val="000000"/>
                <w:szCs w:val="24"/>
                <w:u w:val="single"/>
              </w:rPr>
              <w:t>（4）喷漆、晾干废气</w:t>
            </w:r>
          </w:p>
          <w:p w14:paraId="1594571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u w:val="single"/>
              </w:rPr>
            </w:pPr>
            <w:r>
              <w:rPr>
                <w:rFonts w:hint="eastAsia" w:ascii="Times New Roman" w:hAnsi="Times New Roman"/>
                <w:color w:val="000000"/>
                <w:szCs w:val="24"/>
                <w:u w:val="single"/>
              </w:rPr>
              <w:t>根据前文分析，本项目需消耗14.27t/a 水性钢结构漆（成分为：固份70%、水20%、助剂（挥发份）10%）。项目喷漆、晾干等工序均在喷漆房内进行。按照最不利条件考虑，默认涂料中的挥发性有机物（以非甲烷总烃计）全部在喷漆房内挥发。</w:t>
            </w:r>
          </w:p>
          <w:p w14:paraId="76DCDDA5">
            <w:pPr>
              <w:pStyle w:val="37"/>
              <w:adjustRightInd w:val="0"/>
              <w:snapToGrid w:val="0"/>
              <w:ind w:left="0" w:firstLine="0"/>
              <w:jc w:val="center"/>
              <w:rPr>
                <w:rFonts w:ascii="Times New Roman" w:hAnsi="Times New Roman" w:cs="Times New Roman"/>
                <w:b/>
                <w:bCs/>
                <w:snapToGrid w:val="0"/>
                <w:color w:val="000000" w:themeColor="text1"/>
                <w:kern w:val="0"/>
                <w:szCs w:val="21"/>
                <w:u w:val="single"/>
                <w:lang w:val="en-US" w:bidi="ar-SA"/>
                <w14:textFill>
                  <w14:solidFill>
                    <w14:schemeClr w14:val="tx1"/>
                  </w14:solidFill>
                </w14:textFill>
              </w:rPr>
            </w:pPr>
            <w:r>
              <w:rPr>
                <w:rFonts w:hint="eastAsia" w:ascii="Times New Roman" w:hAnsi="Times New Roman" w:cs="Times New Roman"/>
                <w:b/>
                <w:bCs/>
                <w:snapToGrid w:val="0"/>
                <w:color w:val="000000" w:themeColor="text1"/>
                <w:kern w:val="0"/>
                <w:szCs w:val="21"/>
                <w:u w:val="single"/>
                <w:lang w:val="en-US" w:bidi="ar-SA"/>
                <w14:textFill>
                  <w14:solidFill>
                    <w14:schemeClr w14:val="tx1"/>
                  </w14:solidFill>
                </w14:textFill>
              </w:rPr>
              <w:t>表4-1  喷漆房漆料即用状态下固体分和挥发分一览表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978"/>
              <w:gridCol w:w="1159"/>
              <w:gridCol w:w="1330"/>
              <w:gridCol w:w="1132"/>
              <w:gridCol w:w="1132"/>
              <w:gridCol w:w="1134"/>
            </w:tblGrid>
            <w:tr w14:paraId="3CAA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46" w:type="pct"/>
                  <w:gridSpan w:val="2"/>
                  <w:vAlign w:val="center"/>
                </w:tcPr>
                <w:p w14:paraId="1230052B">
                  <w:pPr>
                    <w:pStyle w:val="7"/>
                    <w:spacing w:before="0" w:after="0" w:line="240" w:lineRule="auto"/>
                    <w:ind w:right="0"/>
                    <w:jc w:val="center"/>
                    <w:rPr>
                      <w:sz w:val="21"/>
                      <w:szCs w:val="21"/>
                      <w:u w:val="single"/>
                    </w:rPr>
                  </w:pPr>
                  <w:bookmarkStart w:id="74" w:name="_Hlk193144827"/>
                  <w:r>
                    <w:rPr>
                      <w:rFonts w:hint="eastAsia"/>
                      <w:sz w:val="21"/>
                      <w:szCs w:val="21"/>
                      <w:u w:val="single"/>
                    </w:rPr>
                    <w:t>物料</w:t>
                  </w:r>
                </w:p>
              </w:tc>
              <w:tc>
                <w:tcPr>
                  <w:tcW w:w="739" w:type="pct"/>
                  <w:vMerge w:val="restart"/>
                  <w:vAlign w:val="center"/>
                </w:tcPr>
                <w:p w14:paraId="574310C5">
                  <w:pPr>
                    <w:pStyle w:val="7"/>
                    <w:spacing w:before="0" w:after="0" w:line="240" w:lineRule="auto"/>
                    <w:ind w:right="0"/>
                    <w:jc w:val="center"/>
                    <w:rPr>
                      <w:sz w:val="21"/>
                      <w:szCs w:val="21"/>
                      <w:u w:val="single"/>
                    </w:rPr>
                  </w:pPr>
                  <w:r>
                    <w:rPr>
                      <w:rFonts w:hint="eastAsia"/>
                      <w:sz w:val="21"/>
                      <w:szCs w:val="21"/>
                      <w:u w:val="single"/>
                    </w:rPr>
                    <w:t>密度（g/cm</w:t>
                  </w:r>
                  <w:r>
                    <w:rPr>
                      <w:rFonts w:hint="eastAsia"/>
                      <w:sz w:val="21"/>
                      <w:szCs w:val="21"/>
                      <w:u w:val="single"/>
                      <w:vertAlign w:val="superscript"/>
                    </w:rPr>
                    <w:t>3</w:t>
                  </w:r>
                  <w:r>
                    <w:rPr>
                      <w:rFonts w:hint="eastAsia"/>
                      <w:sz w:val="21"/>
                      <w:szCs w:val="21"/>
                      <w:u w:val="single"/>
                    </w:rPr>
                    <w:t>）</w:t>
                  </w:r>
                </w:p>
              </w:tc>
              <w:tc>
                <w:tcPr>
                  <w:tcW w:w="3015" w:type="pct"/>
                  <w:gridSpan w:val="4"/>
                  <w:vAlign w:val="center"/>
                </w:tcPr>
                <w:p w14:paraId="42E740B7">
                  <w:pPr>
                    <w:pStyle w:val="7"/>
                    <w:spacing w:before="0" w:after="0" w:line="240" w:lineRule="auto"/>
                    <w:ind w:right="0"/>
                    <w:jc w:val="center"/>
                    <w:rPr>
                      <w:sz w:val="21"/>
                      <w:szCs w:val="21"/>
                      <w:u w:val="single"/>
                    </w:rPr>
                  </w:pPr>
                  <w:r>
                    <w:rPr>
                      <w:rFonts w:hint="eastAsia"/>
                      <w:sz w:val="21"/>
                      <w:szCs w:val="21"/>
                      <w:u w:val="single"/>
                    </w:rPr>
                    <w:t>即用状态下漆料</w:t>
                  </w:r>
                </w:p>
              </w:tc>
            </w:tr>
            <w:tr w14:paraId="48F9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2" w:type="pct"/>
                  <w:vMerge w:val="restart"/>
                  <w:vAlign w:val="center"/>
                </w:tcPr>
                <w:p w14:paraId="737A1A45">
                  <w:pPr>
                    <w:pStyle w:val="7"/>
                    <w:spacing w:before="0" w:after="0" w:line="240" w:lineRule="auto"/>
                    <w:ind w:right="0"/>
                    <w:jc w:val="center"/>
                    <w:rPr>
                      <w:sz w:val="21"/>
                      <w:szCs w:val="21"/>
                      <w:u w:val="single"/>
                    </w:rPr>
                  </w:pPr>
                  <w:r>
                    <w:rPr>
                      <w:rFonts w:hint="eastAsia"/>
                      <w:sz w:val="21"/>
                      <w:szCs w:val="21"/>
                      <w:u w:val="single"/>
                    </w:rPr>
                    <w:t>名称</w:t>
                  </w:r>
                </w:p>
              </w:tc>
              <w:tc>
                <w:tcPr>
                  <w:tcW w:w="623" w:type="pct"/>
                  <w:vMerge w:val="restart"/>
                  <w:vAlign w:val="center"/>
                </w:tcPr>
                <w:p w14:paraId="2E4EC779">
                  <w:pPr>
                    <w:pStyle w:val="7"/>
                    <w:spacing w:before="0" w:after="0" w:line="240" w:lineRule="auto"/>
                    <w:ind w:right="0"/>
                    <w:jc w:val="center"/>
                    <w:rPr>
                      <w:sz w:val="21"/>
                      <w:szCs w:val="21"/>
                      <w:u w:val="single"/>
                    </w:rPr>
                  </w:pPr>
                  <w:r>
                    <w:rPr>
                      <w:rFonts w:hint="eastAsia"/>
                      <w:sz w:val="21"/>
                      <w:szCs w:val="21"/>
                      <w:u w:val="single"/>
                    </w:rPr>
                    <w:t>消耗量（t/a）</w:t>
                  </w:r>
                </w:p>
              </w:tc>
              <w:tc>
                <w:tcPr>
                  <w:tcW w:w="739" w:type="pct"/>
                  <w:vMerge w:val="continue"/>
                  <w:vAlign w:val="center"/>
                </w:tcPr>
                <w:p w14:paraId="1F4730EB">
                  <w:pPr>
                    <w:pStyle w:val="7"/>
                    <w:spacing w:before="0" w:after="0" w:line="240" w:lineRule="auto"/>
                    <w:ind w:right="0"/>
                    <w:jc w:val="center"/>
                    <w:rPr>
                      <w:sz w:val="21"/>
                      <w:szCs w:val="21"/>
                      <w:u w:val="single"/>
                    </w:rPr>
                  </w:pPr>
                </w:p>
              </w:tc>
              <w:tc>
                <w:tcPr>
                  <w:tcW w:w="848" w:type="pct"/>
                  <w:vMerge w:val="restart"/>
                  <w:vAlign w:val="center"/>
                </w:tcPr>
                <w:p w14:paraId="092C778C">
                  <w:pPr>
                    <w:pStyle w:val="7"/>
                    <w:spacing w:before="0" w:after="0" w:line="240" w:lineRule="auto"/>
                    <w:ind w:right="0"/>
                    <w:jc w:val="center"/>
                    <w:rPr>
                      <w:sz w:val="21"/>
                      <w:szCs w:val="21"/>
                      <w:u w:val="single"/>
                    </w:rPr>
                  </w:pPr>
                  <w:r>
                    <w:rPr>
                      <w:rFonts w:hint="eastAsia"/>
                      <w:sz w:val="21"/>
                      <w:szCs w:val="21"/>
                      <w:u w:val="single"/>
                    </w:rPr>
                    <w:t>挥发性有机化合物含量（g/cm</w:t>
                  </w:r>
                  <w:r>
                    <w:rPr>
                      <w:rFonts w:hint="eastAsia"/>
                      <w:sz w:val="21"/>
                      <w:szCs w:val="21"/>
                      <w:u w:val="single"/>
                      <w:vertAlign w:val="superscript"/>
                    </w:rPr>
                    <w:t>3</w:t>
                  </w:r>
                  <w:r>
                    <w:rPr>
                      <w:rFonts w:hint="eastAsia"/>
                      <w:sz w:val="21"/>
                      <w:szCs w:val="21"/>
                      <w:u w:val="single"/>
                    </w:rPr>
                    <w:t>）</w:t>
                  </w:r>
                </w:p>
              </w:tc>
              <w:tc>
                <w:tcPr>
                  <w:tcW w:w="2167" w:type="pct"/>
                  <w:gridSpan w:val="3"/>
                  <w:vAlign w:val="center"/>
                </w:tcPr>
                <w:p w14:paraId="09F2F6FA">
                  <w:pPr>
                    <w:pStyle w:val="7"/>
                    <w:spacing w:before="0" w:after="0" w:line="240" w:lineRule="auto"/>
                    <w:ind w:right="0"/>
                    <w:jc w:val="center"/>
                    <w:rPr>
                      <w:sz w:val="21"/>
                      <w:szCs w:val="21"/>
                      <w:u w:val="single"/>
                    </w:rPr>
                  </w:pPr>
                  <w:r>
                    <w:rPr>
                      <w:rFonts w:hint="eastAsia"/>
                      <w:sz w:val="21"/>
                      <w:szCs w:val="21"/>
                      <w:u w:val="single"/>
                    </w:rPr>
                    <w:t>各组分含量（t/a）</w:t>
                  </w:r>
                </w:p>
              </w:tc>
            </w:tr>
            <w:tr w14:paraId="63B5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2" w:type="pct"/>
                  <w:vMerge w:val="continue"/>
                  <w:vAlign w:val="center"/>
                </w:tcPr>
                <w:p w14:paraId="270B8780">
                  <w:pPr>
                    <w:pStyle w:val="7"/>
                    <w:spacing w:before="0" w:after="0" w:line="240" w:lineRule="auto"/>
                    <w:ind w:right="0"/>
                    <w:jc w:val="center"/>
                    <w:rPr>
                      <w:sz w:val="21"/>
                      <w:szCs w:val="21"/>
                      <w:u w:val="single"/>
                    </w:rPr>
                  </w:pPr>
                </w:p>
              </w:tc>
              <w:tc>
                <w:tcPr>
                  <w:tcW w:w="623" w:type="pct"/>
                  <w:vMerge w:val="continue"/>
                  <w:vAlign w:val="center"/>
                </w:tcPr>
                <w:p w14:paraId="0059FF30">
                  <w:pPr>
                    <w:pStyle w:val="7"/>
                    <w:spacing w:before="0" w:after="0" w:line="240" w:lineRule="auto"/>
                    <w:ind w:right="0"/>
                    <w:jc w:val="center"/>
                    <w:rPr>
                      <w:sz w:val="21"/>
                      <w:szCs w:val="21"/>
                      <w:u w:val="single"/>
                    </w:rPr>
                  </w:pPr>
                </w:p>
              </w:tc>
              <w:tc>
                <w:tcPr>
                  <w:tcW w:w="739" w:type="pct"/>
                  <w:vMerge w:val="continue"/>
                  <w:vAlign w:val="center"/>
                </w:tcPr>
                <w:p w14:paraId="179F8512">
                  <w:pPr>
                    <w:pStyle w:val="7"/>
                    <w:spacing w:before="0" w:after="0" w:line="240" w:lineRule="auto"/>
                    <w:ind w:right="0"/>
                    <w:jc w:val="center"/>
                    <w:rPr>
                      <w:sz w:val="21"/>
                      <w:szCs w:val="21"/>
                      <w:u w:val="single"/>
                    </w:rPr>
                  </w:pPr>
                </w:p>
              </w:tc>
              <w:tc>
                <w:tcPr>
                  <w:tcW w:w="848" w:type="pct"/>
                  <w:vMerge w:val="continue"/>
                  <w:vAlign w:val="center"/>
                </w:tcPr>
                <w:p w14:paraId="5DC0B298">
                  <w:pPr>
                    <w:pStyle w:val="7"/>
                    <w:spacing w:before="0" w:after="0" w:line="240" w:lineRule="auto"/>
                    <w:ind w:right="0"/>
                    <w:jc w:val="center"/>
                    <w:rPr>
                      <w:sz w:val="21"/>
                      <w:szCs w:val="21"/>
                      <w:u w:val="single"/>
                    </w:rPr>
                  </w:pPr>
                </w:p>
              </w:tc>
              <w:tc>
                <w:tcPr>
                  <w:tcW w:w="722" w:type="pct"/>
                  <w:vAlign w:val="center"/>
                </w:tcPr>
                <w:p w14:paraId="44905C1F">
                  <w:pPr>
                    <w:pStyle w:val="7"/>
                    <w:spacing w:before="0" w:after="0" w:line="240" w:lineRule="auto"/>
                    <w:ind w:right="0"/>
                    <w:jc w:val="center"/>
                    <w:rPr>
                      <w:sz w:val="21"/>
                      <w:szCs w:val="21"/>
                      <w:u w:val="single"/>
                    </w:rPr>
                  </w:pPr>
                  <w:r>
                    <w:rPr>
                      <w:rFonts w:hint="eastAsia"/>
                      <w:sz w:val="21"/>
                      <w:szCs w:val="21"/>
                      <w:u w:val="single"/>
                    </w:rPr>
                    <w:t>固体分</w:t>
                  </w:r>
                </w:p>
              </w:tc>
              <w:tc>
                <w:tcPr>
                  <w:tcW w:w="722" w:type="pct"/>
                  <w:vAlign w:val="center"/>
                </w:tcPr>
                <w:p w14:paraId="712AFAAF">
                  <w:pPr>
                    <w:pStyle w:val="7"/>
                    <w:spacing w:before="0" w:after="0" w:line="240" w:lineRule="auto"/>
                    <w:ind w:right="0"/>
                    <w:jc w:val="center"/>
                    <w:rPr>
                      <w:sz w:val="21"/>
                      <w:szCs w:val="21"/>
                      <w:u w:val="single"/>
                    </w:rPr>
                  </w:pPr>
                  <w:r>
                    <w:rPr>
                      <w:rFonts w:hint="eastAsia"/>
                      <w:sz w:val="21"/>
                      <w:szCs w:val="21"/>
                      <w:u w:val="single"/>
                    </w:rPr>
                    <w:t>挥发分</w:t>
                  </w:r>
                </w:p>
              </w:tc>
              <w:tc>
                <w:tcPr>
                  <w:tcW w:w="723" w:type="pct"/>
                  <w:vAlign w:val="center"/>
                </w:tcPr>
                <w:p w14:paraId="18DFFB38">
                  <w:pPr>
                    <w:pStyle w:val="7"/>
                    <w:spacing w:before="0" w:after="0" w:line="240" w:lineRule="auto"/>
                    <w:ind w:right="0"/>
                    <w:jc w:val="center"/>
                    <w:rPr>
                      <w:sz w:val="21"/>
                      <w:szCs w:val="21"/>
                      <w:u w:val="single"/>
                    </w:rPr>
                  </w:pPr>
                  <w:r>
                    <w:rPr>
                      <w:rFonts w:hint="eastAsia"/>
                      <w:sz w:val="21"/>
                      <w:szCs w:val="21"/>
                      <w:u w:val="single"/>
                    </w:rPr>
                    <w:t>水</w:t>
                  </w:r>
                </w:p>
              </w:tc>
            </w:tr>
            <w:tr w14:paraId="3FBB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2" w:type="pct"/>
                  <w:vAlign w:val="center"/>
                </w:tcPr>
                <w:p w14:paraId="40250D06">
                  <w:pPr>
                    <w:pStyle w:val="7"/>
                    <w:spacing w:before="0" w:after="0" w:line="240" w:lineRule="auto"/>
                    <w:ind w:right="0"/>
                    <w:jc w:val="center"/>
                    <w:rPr>
                      <w:rFonts w:eastAsiaTheme="minorEastAsia"/>
                      <w:snapToGrid w:val="0"/>
                      <w:color w:val="000000"/>
                      <w:sz w:val="21"/>
                      <w:szCs w:val="21"/>
                      <w:u w:val="single"/>
                    </w:rPr>
                  </w:pPr>
                  <w:r>
                    <w:rPr>
                      <w:rFonts w:hint="eastAsia" w:eastAsiaTheme="minorEastAsia"/>
                      <w:snapToGrid w:val="0"/>
                      <w:color w:val="000000"/>
                      <w:sz w:val="21"/>
                      <w:szCs w:val="21"/>
                      <w:u w:val="single"/>
                    </w:rPr>
                    <w:t>水性漆</w:t>
                  </w:r>
                </w:p>
              </w:tc>
              <w:tc>
                <w:tcPr>
                  <w:tcW w:w="623" w:type="pct"/>
                  <w:vAlign w:val="center"/>
                </w:tcPr>
                <w:p w14:paraId="68718574">
                  <w:pPr>
                    <w:pStyle w:val="7"/>
                    <w:spacing w:before="0" w:after="0" w:line="240" w:lineRule="auto"/>
                    <w:ind w:right="0"/>
                    <w:jc w:val="center"/>
                    <w:rPr>
                      <w:sz w:val="21"/>
                      <w:szCs w:val="21"/>
                      <w:u w:val="single"/>
                    </w:rPr>
                  </w:pPr>
                  <w:r>
                    <w:rPr>
                      <w:rFonts w:hint="eastAsia"/>
                      <w:sz w:val="21"/>
                      <w:szCs w:val="21"/>
                      <w:u w:val="single"/>
                    </w:rPr>
                    <w:t>14.27</w:t>
                  </w:r>
                </w:p>
              </w:tc>
              <w:tc>
                <w:tcPr>
                  <w:tcW w:w="739" w:type="pct"/>
                  <w:vAlign w:val="center"/>
                </w:tcPr>
                <w:p w14:paraId="6619B105">
                  <w:pPr>
                    <w:pStyle w:val="7"/>
                    <w:spacing w:before="0" w:after="0" w:line="240" w:lineRule="auto"/>
                    <w:ind w:right="0"/>
                    <w:jc w:val="center"/>
                    <w:rPr>
                      <w:sz w:val="21"/>
                      <w:szCs w:val="21"/>
                      <w:u w:val="single"/>
                    </w:rPr>
                  </w:pPr>
                  <w:r>
                    <w:rPr>
                      <w:rFonts w:hint="eastAsia"/>
                      <w:sz w:val="21"/>
                      <w:szCs w:val="21"/>
                      <w:u w:val="single"/>
                    </w:rPr>
                    <w:t>1.35</w:t>
                  </w:r>
                </w:p>
              </w:tc>
              <w:tc>
                <w:tcPr>
                  <w:tcW w:w="848" w:type="pct"/>
                  <w:vAlign w:val="center"/>
                </w:tcPr>
                <w:p w14:paraId="02A8ECA7">
                  <w:pPr>
                    <w:pStyle w:val="7"/>
                    <w:spacing w:before="0" w:after="0" w:line="240" w:lineRule="auto"/>
                    <w:ind w:right="0"/>
                    <w:jc w:val="center"/>
                    <w:rPr>
                      <w:sz w:val="21"/>
                      <w:szCs w:val="21"/>
                      <w:u w:val="single"/>
                    </w:rPr>
                  </w:pPr>
                  <w:r>
                    <w:rPr>
                      <w:rFonts w:hint="eastAsia"/>
                      <w:snapToGrid w:val="0"/>
                      <w:color w:val="000000"/>
                      <w:sz w:val="21"/>
                      <w:szCs w:val="21"/>
                      <w:u w:val="single"/>
                    </w:rPr>
                    <w:t>3.5</w:t>
                  </w:r>
                </w:p>
              </w:tc>
              <w:tc>
                <w:tcPr>
                  <w:tcW w:w="722" w:type="pct"/>
                  <w:vAlign w:val="center"/>
                </w:tcPr>
                <w:p w14:paraId="258B825C">
                  <w:pPr>
                    <w:pStyle w:val="7"/>
                    <w:spacing w:before="0" w:after="0" w:line="240" w:lineRule="auto"/>
                    <w:ind w:right="0"/>
                    <w:jc w:val="center"/>
                    <w:rPr>
                      <w:sz w:val="21"/>
                      <w:szCs w:val="21"/>
                      <w:u w:val="single"/>
                    </w:rPr>
                  </w:pPr>
                  <w:r>
                    <w:rPr>
                      <w:rFonts w:hint="eastAsia"/>
                      <w:color w:val="000000"/>
                      <w:sz w:val="21"/>
                      <w:szCs w:val="21"/>
                      <w:u w:val="single"/>
                    </w:rPr>
                    <w:t>9.989</w:t>
                  </w:r>
                </w:p>
              </w:tc>
              <w:tc>
                <w:tcPr>
                  <w:tcW w:w="722" w:type="pct"/>
                  <w:vAlign w:val="center"/>
                </w:tcPr>
                <w:p w14:paraId="7414C608">
                  <w:pPr>
                    <w:pStyle w:val="7"/>
                    <w:spacing w:before="0" w:after="0" w:line="240" w:lineRule="auto"/>
                    <w:ind w:right="0"/>
                    <w:jc w:val="center"/>
                    <w:rPr>
                      <w:sz w:val="21"/>
                      <w:szCs w:val="21"/>
                      <w:u w:val="single"/>
                    </w:rPr>
                  </w:pPr>
                  <w:r>
                    <w:rPr>
                      <w:rFonts w:hint="eastAsia"/>
                      <w:color w:val="000000"/>
                      <w:sz w:val="21"/>
                      <w:szCs w:val="21"/>
                      <w:u w:val="single"/>
                    </w:rPr>
                    <w:t>1.427</w:t>
                  </w:r>
                </w:p>
              </w:tc>
              <w:tc>
                <w:tcPr>
                  <w:tcW w:w="723" w:type="pct"/>
                  <w:vAlign w:val="center"/>
                </w:tcPr>
                <w:p w14:paraId="5BFE241B">
                  <w:pPr>
                    <w:pStyle w:val="7"/>
                    <w:spacing w:before="0" w:after="0" w:line="240" w:lineRule="auto"/>
                    <w:ind w:right="0"/>
                    <w:jc w:val="center"/>
                    <w:rPr>
                      <w:sz w:val="21"/>
                      <w:szCs w:val="21"/>
                      <w:u w:val="single"/>
                    </w:rPr>
                  </w:pPr>
                  <w:r>
                    <w:rPr>
                      <w:rFonts w:hint="eastAsia"/>
                      <w:color w:val="000000"/>
                      <w:sz w:val="21"/>
                      <w:szCs w:val="21"/>
                      <w:u w:val="single"/>
                    </w:rPr>
                    <w:t>2.854</w:t>
                  </w:r>
                </w:p>
              </w:tc>
            </w:tr>
            <w:bookmarkEnd w:id="74"/>
          </w:tbl>
          <w:p w14:paraId="29B5A35B">
            <w:pPr>
              <w:pStyle w:val="7"/>
              <w:wordWrap w:val="0"/>
              <w:spacing w:after="0" w:line="360" w:lineRule="auto"/>
              <w:ind w:firstLine="480" w:firstLineChars="200"/>
              <w:rPr>
                <w:sz w:val="24"/>
                <w:szCs w:val="24"/>
                <w:u w:val="single"/>
              </w:rPr>
            </w:pPr>
            <w:r>
              <w:rPr>
                <w:rFonts w:hint="eastAsia"/>
                <w:sz w:val="24"/>
                <w:szCs w:val="24"/>
                <w:u w:val="single"/>
              </w:rPr>
              <w:t>根据建设单位提供的油漆成分（MSDS）可知，本项目喷漆工序所使用的漆料主要成分为固体分、挥发分、水。其中挥发分主要为挥发性有机物；项目喷涂为人工喷涂，上漆率为70%，固体分中约70%附着在工件表面，其余28%损失形成漆雾，2%形成漆渣。涂装线年运行350天，每天喷漆约3个小时；夏季晾干6个小时，冬季晾干12个小时，春秋季晾干9个小时，年总晾干时间为3150小时。</w:t>
            </w:r>
          </w:p>
          <w:p w14:paraId="3848B326">
            <w:pPr>
              <w:pStyle w:val="37"/>
              <w:adjustRightInd w:val="0"/>
              <w:snapToGrid w:val="0"/>
              <w:ind w:left="0" w:firstLine="0"/>
              <w:jc w:val="center"/>
              <w:rPr>
                <w:rFonts w:ascii="Times New Roman" w:hAnsi="Times New Roman" w:cs="Times New Roman"/>
                <w:b/>
                <w:bCs/>
                <w:snapToGrid w:val="0"/>
                <w:color w:val="000000" w:themeColor="text1"/>
                <w:kern w:val="0"/>
                <w:szCs w:val="21"/>
                <w:u w:val="single"/>
                <w:lang w:val="en-US" w:bidi="ar-SA"/>
                <w14:textFill>
                  <w14:solidFill>
                    <w14:schemeClr w14:val="tx1"/>
                  </w14:solidFill>
                </w14:textFill>
              </w:rPr>
            </w:pPr>
            <w:r>
              <w:rPr>
                <w:rFonts w:hint="eastAsia" w:ascii="Times New Roman" w:hAnsi="Times New Roman" w:cs="Times New Roman"/>
                <w:b/>
                <w:bCs/>
                <w:snapToGrid w:val="0"/>
                <w:color w:val="000000" w:themeColor="text1"/>
                <w:kern w:val="0"/>
                <w:szCs w:val="21"/>
                <w:u w:val="single"/>
                <w:lang w:val="en-US" w:bidi="ar-SA"/>
                <w14:textFill>
                  <w14:solidFill>
                    <w14:schemeClr w14:val="tx1"/>
                  </w14:solidFill>
                </w14:textFill>
              </w:rPr>
              <w:t>表4-2  调漆、喷漆、晾干废气产生情况一览表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2220"/>
              <w:gridCol w:w="2223"/>
              <w:gridCol w:w="1658"/>
            </w:tblGrid>
            <w:tr w14:paraId="351C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9" w:type="pct"/>
                  <w:vMerge w:val="restart"/>
                  <w:vAlign w:val="center"/>
                </w:tcPr>
                <w:p w14:paraId="580D9185">
                  <w:pPr>
                    <w:pStyle w:val="7"/>
                    <w:wordWrap w:val="0"/>
                    <w:spacing w:before="0" w:after="0" w:line="240" w:lineRule="auto"/>
                    <w:ind w:right="0"/>
                    <w:jc w:val="center"/>
                    <w:rPr>
                      <w:sz w:val="21"/>
                      <w:szCs w:val="21"/>
                      <w:u w:val="single"/>
                    </w:rPr>
                  </w:pPr>
                  <w:r>
                    <w:rPr>
                      <w:rFonts w:hint="eastAsia"/>
                      <w:sz w:val="21"/>
                      <w:szCs w:val="21"/>
                      <w:u w:val="single"/>
                    </w:rPr>
                    <w:t>污染工序</w:t>
                  </w:r>
                </w:p>
              </w:tc>
              <w:tc>
                <w:tcPr>
                  <w:tcW w:w="1416" w:type="pct"/>
                  <w:vAlign w:val="center"/>
                </w:tcPr>
                <w:p w14:paraId="1B94778E">
                  <w:pPr>
                    <w:pStyle w:val="7"/>
                    <w:wordWrap w:val="0"/>
                    <w:spacing w:before="0" w:after="0" w:line="240" w:lineRule="auto"/>
                    <w:ind w:right="0"/>
                    <w:jc w:val="center"/>
                    <w:rPr>
                      <w:sz w:val="21"/>
                      <w:szCs w:val="21"/>
                      <w:u w:val="single"/>
                    </w:rPr>
                  </w:pPr>
                  <w:r>
                    <w:rPr>
                      <w:rFonts w:hint="eastAsia"/>
                      <w:sz w:val="21"/>
                      <w:szCs w:val="21"/>
                      <w:u w:val="single"/>
                    </w:rPr>
                    <w:t>漆雾</w:t>
                  </w:r>
                </w:p>
              </w:tc>
              <w:tc>
                <w:tcPr>
                  <w:tcW w:w="1418" w:type="pct"/>
                  <w:vAlign w:val="center"/>
                </w:tcPr>
                <w:p w14:paraId="29BB4D11">
                  <w:pPr>
                    <w:pStyle w:val="7"/>
                    <w:wordWrap w:val="0"/>
                    <w:spacing w:before="0" w:after="0" w:line="240" w:lineRule="auto"/>
                    <w:ind w:right="0"/>
                    <w:jc w:val="center"/>
                    <w:rPr>
                      <w:sz w:val="21"/>
                      <w:szCs w:val="21"/>
                      <w:u w:val="single"/>
                    </w:rPr>
                  </w:pPr>
                  <w:r>
                    <w:rPr>
                      <w:rFonts w:hint="eastAsia"/>
                      <w:sz w:val="21"/>
                      <w:szCs w:val="21"/>
                      <w:u w:val="single"/>
                    </w:rPr>
                    <w:t>VOCs</w:t>
                  </w:r>
                </w:p>
              </w:tc>
              <w:tc>
                <w:tcPr>
                  <w:tcW w:w="1057" w:type="pct"/>
                  <w:vMerge w:val="restart"/>
                  <w:vAlign w:val="center"/>
                </w:tcPr>
                <w:p w14:paraId="11884DC9">
                  <w:pPr>
                    <w:pStyle w:val="7"/>
                    <w:wordWrap w:val="0"/>
                    <w:spacing w:before="0" w:after="0" w:line="240" w:lineRule="auto"/>
                    <w:ind w:right="0"/>
                    <w:jc w:val="center"/>
                    <w:rPr>
                      <w:sz w:val="21"/>
                      <w:szCs w:val="21"/>
                      <w:u w:val="single"/>
                    </w:rPr>
                  </w:pPr>
                  <w:r>
                    <w:rPr>
                      <w:rFonts w:hint="eastAsia"/>
                      <w:sz w:val="21"/>
                      <w:szCs w:val="21"/>
                      <w:u w:val="single"/>
                    </w:rPr>
                    <w:t>时间（h）</w:t>
                  </w:r>
                </w:p>
              </w:tc>
            </w:tr>
            <w:tr w14:paraId="25E7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9" w:type="pct"/>
                  <w:vMerge w:val="continue"/>
                  <w:vAlign w:val="center"/>
                </w:tcPr>
                <w:p w14:paraId="2CC5F82A">
                  <w:pPr>
                    <w:pStyle w:val="7"/>
                    <w:wordWrap w:val="0"/>
                    <w:spacing w:before="0" w:after="0" w:line="240" w:lineRule="auto"/>
                    <w:ind w:right="0"/>
                    <w:jc w:val="center"/>
                    <w:rPr>
                      <w:sz w:val="21"/>
                      <w:szCs w:val="21"/>
                      <w:u w:val="single"/>
                    </w:rPr>
                  </w:pPr>
                </w:p>
              </w:tc>
              <w:tc>
                <w:tcPr>
                  <w:tcW w:w="1416" w:type="pct"/>
                  <w:vAlign w:val="center"/>
                </w:tcPr>
                <w:p w14:paraId="1CE2FE19">
                  <w:pPr>
                    <w:pStyle w:val="7"/>
                    <w:wordWrap w:val="0"/>
                    <w:spacing w:before="0" w:after="0" w:line="240" w:lineRule="auto"/>
                    <w:ind w:right="0"/>
                    <w:jc w:val="center"/>
                    <w:rPr>
                      <w:sz w:val="21"/>
                      <w:szCs w:val="21"/>
                      <w:u w:val="single"/>
                    </w:rPr>
                  </w:pPr>
                  <w:r>
                    <w:rPr>
                      <w:rFonts w:hint="eastAsia"/>
                      <w:sz w:val="21"/>
                      <w:szCs w:val="21"/>
                      <w:u w:val="single"/>
                    </w:rPr>
                    <w:t>产生量（t/a）</w:t>
                  </w:r>
                </w:p>
              </w:tc>
              <w:tc>
                <w:tcPr>
                  <w:tcW w:w="1418" w:type="pct"/>
                  <w:vAlign w:val="center"/>
                </w:tcPr>
                <w:p w14:paraId="27C6EC1D">
                  <w:pPr>
                    <w:pStyle w:val="7"/>
                    <w:wordWrap w:val="0"/>
                    <w:spacing w:before="0" w:after="0" w:line="240" w:lineRule="auto"/>
                    <w:ind w:right="0"/>
                    <w:jc w:val="center"/>
                    <w:rPr>
                      <w:sz w:val="21"/>
                      <w:szCs w:val="21"/>
                      <w:u w:val="single"/>
                    </w:rPr>
                  </w:pPr>
                  <w:r>
                    <w:rPr>
                      <w:rFonts w:hint="eastAsia"/>
                      <w:sz w:val="21"/>
                      <w:szCs w:val="21"/>
                      <w:u w:val="single"/>
                    </w:rPr>
                    <w:t>产生量（t/a）</w:t>
                  </w:r>
                </w:p>
              </w:tc>
              <w:tc>
                <w:tcPr>
                  <w:tcW w:w="1057" w:type="pct"/>
                  <w:vMerge w:val="continue"/>
                  <w:vAlign w:val="center"/>
                </w:tcPr>
                <w:p w14:paraId="155CD86C">
                  <w:pPr>
                    <w:pStyle w:val="7"/>
                    <w:wordWrap w:val="0"/>
                    <w:spacing w:before="0" w:after="0" w:line="240" w:lineRule="auto"/>
                    <w:ind w:right="0"/>
                    <w:jc w:val="center"/>
                    <w:rPr>
                      <w:sz w:val="21"/>
                      <w:szCs w:val="21"/>
                      <w:u w:val="single"/>
                    </w:rPr>
                  </w:pPr>
                </w:p>
              </w:tc>
            </w:tr>
            <w:tr w14:paraId="63AA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9" w:type="pct"/>
                  <w:vAlign w:val="center"/>
                </w:tcPr>
                <w:p w14:paraId="3AD16449">
                  <w:pPr>
                    <w:pStyle w:val="7"/>
                    <w:wordWrap w:val="0"/>
                    <w:spacing w:before="0" w:after="0" w:line="240" w:lineRule="auto"/>
                    <w:ind w:right="0"/>
                    <w:jc w:val="center"/>
                    <w:rPr>
                      <w:sz w:val="21"/>
                      <w:szCs w:val="21"/>
                      <w:u w:val="single"/>
                    </w:rPr>
                  </w:pPr>
                  <w:bookmarkStart w:id="75" w:name="_Hlk193145876"/>
                  <w:r>
                    <w:rPr>
                      <w:rFonts w:hint="eastAsia"/>
                      <w:sz w:val="21"/>
                      <w:szCs w:val="21"/>
                      <w:u w:val="single"/>
                    </w:rPr>
                    <w:t>喷漆</w:t>
                  </w:r>
                </w:p>
              </w:tc>
              <w:tc>
                <w:tcPr>
                  <w:tcW w:w="1416" w:type="pct"/>
                  <w:vAlign w:val="center"/>
                </w:tcPr>
                <w:p w14:paraId="5B050BF5">
                  <w:pPr>
                    <w:pStyle w:val="7"/>
                    <w:wordWrap w:val="0"/>
                    <w:spacing w:before="0" w:after="0" w:line="240" w:lineRule="auto"/>
                    <w:ind w:right="0"/>
                    <w:jc w:val="center"/>
                    <w:rPr>
                      <w:sz w:val="21"/>
                      <w:szCs w:val="21"/>
                      <w:u w:val="single"/>
                    </w:rPr>
                  </w:pPr>
                  <w:r>
                    <w:rPr>
                      <w:rFonts w:hint="eastAsia"/>
                      <w:sz w:val="21"/>
                      <w:szCs w:val="21"/>
                      <w:u w:val="single"/>
                    </w:rPr>
                    <w:t>2.7969</w:t>
                  </w:r>
                </w:p>
              </w:tc>
              <w:tc>
                <w:tcPr>
                  <w:tcW w:w="1418" w:type="pct"/>
                  <w:vAlign w:val="center"/>
                </w:tcPr>
                <w:p w14:paraId="3CB4625D">
                  <w:pPr>
                    <w:pStyle w:val="7"/>
                    <w:wordWrap w:val="0"/>
                    <w:spacing w:before="0" w:after="0" w:line="240" w:lineRule="auto"/>
                    <w:ind w:right="0"/>
                    <w:jc w:val="center"/>
                    <w:rPr>
                      <w:sz w:val="21"/>
                      <w:szCs w:val="21"/>
                      <w:u w:val="single"/>
                    </w:rPr>
                  </w:pPr>
                  <w:r>
                    <w:rPr>
                      <w:rFonts w:hint="eastAsia"/>
                      <w:sz w:val="21"/>
                      <w:szCs w:val="21"/>
                      <w:u w:val="single"/>
                    </w:rPr>
                    <w:t>0.5708</w:t>
                  </w:r>
                </w:p>
              </w:tc>
              <w:tc>
                <w:tcPr>
                  <w:tcW w:w="1057" w:type="pct"/>
                  <w:vAlign w:val="center"/>
                </w:tcPr>
                <w:p w14:paraId="6F2E70CF">
                  <w:pPr>
                    <w:pStyle w:val="7"/>
                    <w:wordWrap w:val="0"/>
                    <w:spacing w:before="0" w:after="0" w:line="240" w:lineRule="auto"/>
                    <w:ind w:right="0"/>
                    <w:jc w:val="center"/>
                    <w:rPr>
                      <w:sz w:val="21"/>
                      <w:szCs w:val="21"/>
                      <w:u w:val="single"/>
                    </w:rPr>
                  </w:pPr>
                  <w:r>
                    <w:rPr>
                      <w:rFonts w:hint="eastAsia"/>
                      <w:sz w:val="21"/>
                      <w:szCs w:val="21"/>
                      <w:u w:val="single"/>
                    </w:rPr>
                    <w:t>1050</w:t>
                  </w:r>
                </w:p>
              </w:tc>
            </w:tr>
            <w:tr w14:paraId="36ED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9" w:type="pct"/>
                  <w:vAlign w:val="center"/>
                </w:tcPr>
                <w:p w14:paraId="2596B268">
                  <w:pPr>
                    <w:pStyle w:val="7"/>
                    <w:wordWrap w:val="0"/>
                    <w:spacing w:before="0" w:after="0" w:line="240" w:lineRule="auto"/>
                    <w:ind w:right="0"/>
                    <w:jc w:val="center"/>
                    <w:rPr>
                      <w:sz w:val="21"/>
                      <w:szCs w:val="21"/>
                      <w:u w:val="single"/>
                    </w:rPr>
                  </w:pPr>
                  <w:r>
                    <w:rPr>
                      <w:rFonts w:hint="eastAsia"/>
                      <w:sz w:val="21"/>
                      <w:szCs w:val="21"/>
                      <w:u w:val="single"/>
                    </w:rPr>
                    <w:t>晾干</w:t>
                  </w:r>
                </w:p>
              </w:tc>
              <w:tc>
                <w:tcPr>
                  <w:tcW w:w="1416" w:type="pct"/>
                  <w:vAlign w:val="center"/>
                </w:tcPr>
                <w:p w14:paraId="3E69E90C">
                  <w:pPr>
                    <w:pStyle w:val="7"/>
                    <w:wordWrap w:val="0"/>
                    <w:spacing w:before="0" w:after="0" w:line="240" w:lineRule="auto"/>
                    <w:ind w:right="0"/>
                    <w:jc w:val="center"/>
                    <w:rPr>
                      <w:sz w:val="21"/>
                      <w:szCs w:val="21"/>
                      <w:u w:val="single"/>
                    </w:rPr>
                  </w:pPr>
                  <w:r>
                    <w:rPr>
                      <w:rFonts w:hint="eastAsia"/>
                      <w:sz w:val="21"/>
                      <w:szCs w:val="21"/>
                      <w:u w:val="single"/>
                    </w:rPr>
                    <w:t>/</w:t>
                  </w:r>
                </w:p>
              </w:tc>
              <w:tc>
                <w:tcPr>
                  <w:tcW w:w="1418" w:type="pct"/>
                  <w:vAlign w:val="center"/>
                </w:tcPr>
                <w:p w14:paraId="25F28CCB">
                  <w:pPr>
                    <w:pStyle w:val="7"/>
                    <w:wordWrap w:val="0"/>
                    <w:spacing w:before="0" w:after="0" w:line="240" w:lineRule="auto"/>
                    <w:ind w:right="0"/>
                    <w:jc w:val="center"/>
                    <w:rPr>
                      <w:sz w:val="21"/>
                      <w:szCs w:val="21"/>
                      <w:u w:val="single"/>
                    </w:rPr>
                  </w:pPr>
                  <w:r>
                    <w:rPr>
                      <w:rFonts w:hint="eastAsia"/>
                      <w:sz w:val="21"/>
                      <w:szCs w:val="21"/>
                      <w:u w:val="single"/>
                    </w:rPr>
                    <w:t>0.8562</w:t>
                  </w:r>
                </w:p>
              </w:tc>
              <w:tc>
                <w:tcPr>
                  <w:tcW w:w="1057" w:type="pct"/>
                  <w:vAlign w:val="center"/>
                </w:tcPr>
                <w:p w14:paraId="651021CF">
                  <w:pPr>
                    <w:pStyle w:val="7"/>
                    <w:wordWrap w:val="0"/>
                    <w:spacing w:before="0" w:after="0" w:line="240" w:lineRule="auto"/>
                    <w:ind w:right="0"/>
                    <w:jc w:val="center"/>
                    <w:rPr>
                      <w:sz w:val="21"/>
                      <w:szCs w:val="21"/>
                      <w:u w:val="single"/>
                    </w:rPr>
                  </w:pPr>
                  <w:r>
                    <w:rPr>
                      <w:rFonts w:hint="eastAsia"/>
                      <w:sz w:val="21"/>
                      <w:szCs w:val="21"/>
                      <w:u w:val="single"/>
                    </w:rPr>
                    <w:t>3150</w:t>
                  </w:r>
                </w:p>
              </w:tc>
            </w:tr>
            <w:bookmarkEnd w:id="75"/>
          </w:tbl>
          <w:p w14:paraId="622FCE7D">
            <w:pPr>
              <w:pStyle w:val="7"/>
              <w:widowControl w:val="0"/>
              <w:autoSpaceDE w:val="0"/>
              <w:autoSpaceDN w:val="0"/>
              <w:spacing w:after="0" w:line="360" w:lineRule="auto"/>
              <w:ind w:firstLine="480" w:firstLineChars="200"/>
              <w:rPr>
                <w:sz w:val="24"/>
                <w:szCs w:val="24"/>
                <w:u w:val="single"/>
              </w:rPr>
            </w:pPr>
            <w:r>
              <w:rPr>
                <w:rFonts w:hint="eastAsia"/>
                <w:sz w:val="24"/>
                <w:szCs w:val="24"/>
                <w:u w:val="single"/>
              </w:rPr>
              <w:t>项目喷漆和晾干工序经干式过滤器+三级活性炭吸附</w:t>
            </w:r>
            <w:bookmarkStart w:id="76" w:name="OLE_LINK11"/>
            <w:r>
              <w:rPr>
                <w:rFonts w:hint="eastAsia"/>
                <w:sz w:val="24"/>
                <w:szCs w:val="24"/>
                <w:u w:val="single"/>
              </w:rPr>
              <w:t>处理后通过15m排气筒（DA001）高空排放</w:t>
            </w:r>
            <w:bookmarkEnd w:id="76"/>
            <w:r>
              <w:rPr>
                <w:rFonts w:hint="eastAsia"/>
                <w:sz w:val="24"/>
                <w:szCs w:val="24"/>
                <w:u w:val="single"/>
              </w:rPr>
              <w:t>；干式过滤器处理漆雾处理效率为90%，活性炭吸附处理有机废气处理效率为1-（1-50%）×（1-50%）×（1-50%）=87.5%。</w:t>
            </w:r>
          </w:p>
          <w:p w14:paraId="5F116F25">
            <w:pPr>
              <w:pStyle w:val="7"/>
              <w:autoSpaceDE w:val="0"/>
              <w:autoSpaceDN w:val="0"/>
              <w:spacing w:after="0" w:line="360" w:lineRule="auto"/>
              <w:ind w:firstLine="480" w:firstLineChars="200"/>
              <w:rPr>
                <w:sz w:val="24"/>
                <w:szCs w:val="24"/>
                <w:u w:val="single"/>
              </w:rPr>
            </w:pPr>
            <w:r>
              <w:rPr>
                <w:rFonts w:hint="eastAsia"/>
                <w:sz w:val="24"/>
                <w:szCs w:val="24"/>
                <w:u w:val="single"/>
              </w:rPr>
              <w:t>2）风量核算</w:t>
            </w:r>
          </w:p>
          <w:p w14:paraId="3AE1C133">
            <w:pPr>
              <w:pStyle w:val="7"/>
              <w:autoSpaceDE w:val="0"/>
              <w:autoSpaceDN w:val="0"/>
              <w:spacing w:after="0" w:line="360" w:lineRule="auto"/>
              <w:ind w:firstLine="480" w:firstLineChars="200"/>
              <w:rPr>
                <w:sz w:val="24"/>
                <w:szCs w:val="24"/>
                <w:u w:val="single"/>
              </w:rPr>
            </w:pPr>
            <w:r>
              <w:rPr>
                <w:rFonts w:hint="eastAsia"/>
                <w:sz w:val="24"/>
                <w:szCs w:val="24"/>
                <w:u w:val="single"/>
              </w:rPr>
              <w:t>本项目拟设置封闭式喷漆房尺寸约为长25m宽20m高</w:t>
            </w:r>
            <w:r>
              <w:rPr>
                <w:rFonts w:hint="eastAsia"/>
                <w:color w:val="000000"/>
                <w:sz w:val="24"/>
                <w:szCs w:val="24"/>
                <w:u w:val="single"/>
              </w:rPr>
              <w:t>2.5m，面积为500m</w:t>
            </w:r>
            <w:r>
              <w:rPr>
                <w:rFonts w:hint="eastAsia"/>
                <w:color w:val="000000"/>
                <w:sz w:val="24"/>
                <w:szCs w:val="24"/>
                <w:u w:val="single"/>
                <w:vertAlign w:val="superscript"/>
              </w:rPr>
              <w:t>2</w:t>
            </w:r>
            <w:r>
              <w:rPr>
                <w:rFonts w:hint="eastAsia"/>
                <w:color w:val="000000"/>
                <w:sz w:val="24"/>
                <w:szCs w:val="24"/>
                <w:u w:val="single"/>
              </w:rPr>
              <w:t>，体积为2500m</w:t>
            </w:r>
            <w:r>
              <w:rPr>
                <w:rFonts w:hint="eastAsia"/>
                <w:color w:val="000000"/>
                <w:sz w:val="24"/>
                <w:szCs w:val="24"/>
                <w:u w:val="single"/>
                <w:vertAlign w:val="superscript"/>
              </w:rPr>
              <w:t>3</w:t>
            </w:r>
            <w:r>
              <w:rPr>
                <w:rFonts w:hint="eastAsia"/>
                <w:sz w:val="24"/>
                <w:szCs w:val="24"/>
                <w:u w:val="single"/>
              </w:rPr>
              <w:t>。排风布局采取下进上排的方式，</w:t>
            </w:r>
            <w:r>
              <w:rPr>
                <w:sz w:val="24"/>
                <w:szCs w:val="24"/>
                <w:u w:val="single"/>
              </w:rPr>
              <w:t>地面设风带</w:t>
            </w:r>
            <w:r>
              <w:rPr>
                <w:rFonts w:hint="eastAsia"/>
                <w:sz w:val="24"/>
                <w:szCs w:val="24"/>
                <w:u w:val="single"/>
              </w:rPr>
              <w:t>或</w:t>
            </w:r>
            <w:r>
              <w:rPr>
                <w:sz w:val="24"/>
                <w:szCs w:val="24"/>
                <w:u w:val="single"/>
              </w:rPr>
              <w:t>格栅风口，新鲜空气从底部进入，携带漆雾向上</w:t>
            </w:r>
            <w:r>
              <w:rPr>
                <w:rFonts w:hint="eastAsia"/>
                <w:sz w:val="24"/>
                <w:szCs w:val="24"/>
                <w:u w:val="single"/>
              </w:rPr>
              <w:t>排放</w:t>
            </w:r>
            <w:r>
              <w:rPr>
                <w:sz w:val="24"/>
                <w:szCs w:val="24"/>
                <w:u w:val="single"/>
              </w:rPr>
              <w:t>，再由排风机抽出。</w:t>
            </w:r>
            <w:r>
              <w:rPr>
                <w:rFonts w:hint="eastAsia"/>
                <w:sz w:val="24"/>
                <w:szCs w:val="24"/>
                <w:u w:val="single"/>
              </w:rPr>
              <w:t>参考《工业企业设计卫生标准》中的规定：“有毒易燃危险气体换气次数不小于12次/h”，取12</w:t>
            </w:r>
            <w:r>
              <w:rPr>
                <w:sz w:val="24"/>
                <w:szCs w:val="24"/>
                <w:u w:val="single"/>
              </w:rPr>
              <w:t>次/h</w:t>
            </w:r>
            <w:r>
              <w:rPr>
                <w:rFonts w:hint="eastAsia"/>
                <w:sz w:val="24"/>
                <w:szCs w:val="24"/>
                <w:u w:val="single"/>
              </w:rPr>
              <w:t>，则喷漆房风量取</w:t>
            </w:r>
            <w:bookmarkStart w:id="77" w:name="OLE_LINK16"/>
            <w:r>
              <w:rPr>
                <w:rFonts w:hint="eastAsia"/>
                <w:sz w:val="24"/>
                <w:szCs w:val="24"/>
                <w:u w:val="single"/>
              </w:rPr>
              <w:t>30000m</w:t>
            </w:r>
            <w:r>
              <w:rPr>
                <w:rFonts w:hint="eastAsia"/>
                <w:sz w:val="24"/>
                <w:szCs w:val="24"/>
                <w:u w:val="single"/>
                <w:vertAlign w:val="superscript"/>
              </w:rPr>
              <w:t>3</w:t>
            </w:r>
            <w:r>
              <w:rPr>
                <w:rFonts w:hint="eastAsia"/>
                <w:sz w:val="24"/>
                <w:szCs w:val="24"/>
                <w:u w:val="single"/>
              </w:rPr>
              <w:t>/h</w:t>
            </w:r>
            <w:bookmarkEnd w:id="77"/>
            <w:r>
              <w:rPr>
                <w:rFonts w:hint="eastAsia"/>
                <w:sz w:val="24"/>
                <w:szCs w:val="24"/>
                <w:u w:val="single"/>
              </w:rPr>
              <w:t>。</w:t>
            </w:r>
          </w:p>
          <w:p w14:paraId="01BD8471">
            <w:pPr>
              <w:pStyle w:val="20"/>
              <w:widowControl w:val="0"/>
              <w:kinsoku w:val="0"/>
              <w:autoSpaceDE w:val="0"/>
              <w:autoSpaceDN w:val="0"/>
              <w:adjustRightInd w:val="0"/>
              <w:snapToGrid w:val="0"/>
              <w:spacing w:before="0" w:beforeAutospacing="0" w:after="0" w:afterAutospacing="0" w:line="360" w:lineRule="auto"/>
              <w:ind w:firstLine="480" w:firstLineChars="200"/>
              <w:jc w:val="both"/>
              <w:rPr>
                <w:rFonts w:hint="eastAsia" w:eastAsiaTheme="minorEastAsia"/>
                <w:u w:val="single"/>
              </w:rPr>
            </w:pPr>
            <w:r>
              <w:rPr>
                <w:rFonts w:ascii="Times New Roman" w:hAnsi="Times New Roman" w:eastAsiaTheme="minorEastAsia"/>
                <w:u w:val="single"/>
              </w:rPr>
              <w:t>3</w:t>
            </w:r>
            <w:r>
              <w:rPr>
                <w:rFonts w:hint="eastAsia" w:eastAsiaTheme="minorEastAsia"/>
                <w:u w:val="single"/>
              </w:rPr>
              <w:t>）废气收集效率</w:t>
            </w:r>
          </w:p>
          <w:p w14:paraId="5E8E9E64">
            <w:pPr>
              <w:pStyle w:val="7"/>
              <w:autoSpaceDE w:val="0"/>
              <w:autoSpaceDN w:val="0"/>
              <w:spacing w:after="0" w:line="360" w:lineRule="auto"/>
              <w:ind w:firstLine="480" w:firstLineChars="200"/>
              <w:rPr>
                <w:sz w:val="24"/>
                <w:szCs w:val="24"/>
                <w:u w:val="single"/>
              </w:rPr>
            </w:pPr>
            <w:r>
              <w:rPr>
                <w:rFonts w:hint="eastAsia"/>
                <w:sz w:val="24"/>
                <w:szCs w:val="24"/>
                <w:u w:val="single"/>
              </w:rPr>
              <w:t>喷漆、晾干均在封闭式喷漆房内进行，废气收集效率根据上文分析按8</w:t>
            </w:r>
            <w:r>
              <w:rPr>
                <w:sz w:val="24"/>
                <w:szCs w:val="24"/>
                <w:u w:val="single"/>
              </w:rPr>
              <w:t>0</w:t>
            </w:r>
            <w:r>
              <w:rPr>
                <w:rFonts w:hint="eastAsia"/>
                <w:sz w:val="24"/>
                <w:szCs w:val="24"/>
                <w:u w:val="single"/>
              </w:rPr>
              <w:t>%计。</w:t>
            </w:r>
          </w:p>
          <w:p w14:paraId="205F5D24">
            <w:pPr>
              <w:pStyle w:val="7"/>
              <w:autoSpaceDE w:val="0"/>
              <w:autoSpaceDN w:val="0"/>
              <w:spacing w:after="0" w:line="360" w:lineRule="auto"/>
              <w:ind w:firstLine="480" w:firstLineChars="200"/>
              <w:rPr>
                <w:sz w:val="24"/>
                <w:szCs w:val="24"/>
                <w:u w:val="single"/>
              </w:rPr>
            </w:pPr>
            <w:r>
              <w:rPr>
                <w:rFonts w:hint="eastAsia"/>
                <w:sz w:val="24"/>
                <w:szCs w:val="24"/>
                <w:u w:val="single"/>
              </w:rPr>
              <w:t>项目喷涂有组织、无组织废气产生情况见下表。</w:t>
            </w:r>
          </w:p>
          <w:p w14:paraId="0584ED65">
            <w:pPr>
              <w:pStyle w:val="20"/>
              <w:widowControl w:val="0"/>
              <w:kinsoku w:val="0"/>
              <w:wordWrap w:val="0"/>
              <w:autoSpaceDE w:val="0"/>
              <w:autoSpaceDN w:val="0"/>
              <w:adjustRightInd w:val="0"/>
              <w:snapToGrid w:val="0"/>
              <w:spacing w:before="0" w:beforeAutospacing="0" w:after="0" w:afterAutospacing="0"/>
              <w:jc w:val="center"/>
              <w:rPr>
                <w:rFonts w:hint="eastAsia" w:eastAsiaTheme="minorEastAsia"/>
                <w:b/>
                <w:bCs/>
                <w:u w:val="single"/>
              </w:rPr>
            </w:pPr>
            <w:r>
              <w:rPr>
                <w:rFonts w:ascii="Times New Roman" w:hAnsi="Times New Roman" w:eastAsiaTheme="minorEastAsia"/>
                <w:b/>
                <w:bCs/>
                <w:u w:val="single"/>
              </w:rPr>
              <w:t>表4-3</w:t>
            </w:r>
            <w:r>
              <w:rPr>
                <w:rFonts w:hint="eastAsia" w:eastAsiaTheme="minorEastAsia"/>
                <w:b/>
                <w:bCs/>
                <w:u w:val="single"/>
              </w:rPr>
              <w:t xml:space="preserve">  废气有组织、无组织情况一览表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807"/>
              <w:gridCol w:w="1143"/>
              <w:gridCol w:w="1144"/>
              <w:gridCol w:w="1143"/>
              <w:gridCol w:w="1144"/>
              <w:gridCol w:w="773"/>
            </w:tblGrid>
            <w:tr w14:paraId="7A6A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36" w:type="pct"/>
                  <w:vMerge w:val="restart"/>
                  <w:vAlign w:val="center"/>
                </w:tcPr>
                <w:p w14:paraId="579401D3">
                  <w:pPr>
                    <w:pStyle w:val="7"/>
                    <w:wordWrap w:val="0"/>
                    <w:spacing w:before="0" w:after="0" w:line="240" w:lineRule="auto"/>
                    <w:ind w:right="0"/>
                    <w:jc w:val="center"/>
                    <w:rPr>
                      <w:sz w:val="21"/>
                      <w:szCs w:val="21"/>
                      <w:u w:val="single"/>
                    </w:rPr>
                  </w:pPr>
                  <w:r>
                    <w:rPr>
                      <w:rFonts w:hint="eastAsia"/>
                      <w:sz w:val="21"/>
                      <w:szCs w:val="21"/>
                      <w:u w:val="single"/>
                    </w:rPr>
                    <w:t>污染工序</w:t>
                  </w:r>
                </w:p>
              </w:tc>
              <w:tc>
                <w:tcPr>
                  <w:tcW w:w="1153" w:type="pct"/>
                  <w:vMerge w:val="restart"/>
                  <w:vAlign w:val="center"/>
                </w:tcPr>
                <w:p w14:paraId="6416D617">
                  <w:pPr>
                    <w:pStyle w:val="7"/>
                    <w:wordWrap w:val="0"/>
                    <w:spacing w:before="0" w:after="0" w:line="240" w:lineRule="auto"/>
                    <w:ind w:right="0"/>
                    <w:jc w:val="center"/>
                    <w:rPr>
                      <w:sz w:val="21"/>
                      <w:szCs w:val="21"/>
                      <w:u w:val="single"/>
                    </w:rPr>
                  </w:pPr>
                  <w:r>
                    <w:rPr>
                      <w:rFonts w:hint="eastAsia"/>
                      <w:sz w:val="21"/>
                      <w:szCs w:val="21"/>
                      <w:u w:val="single"/>
                    </w:rPr>
                    <w:t>类型</w:t>
                  </w:r>
                </w:p>
              </w:tc>
              <w:tc>
                <w:tcPr>
                  <w:tcW w:w="1459" w:type="pct"/>
                  <w:gridSpan w:val="2"/>
                  <w:vAlign w:val="center"/>
                </w:tcPr>
                <w:p w14:paraId="5B201369">
                  <w:pPr>
                    <w:pStyle w:val="7"/>
                    <w:wordWrap w:val="0"/>
                    <w:spacing w:before="0" w:after="0" w:line="240" w:lineRule="auto"/>
                    <w:ind w:right="0"/>
                    <w:jc w:val="center"/>
                    <w:rPr>
                      <w:sz w:val="21"/>
                      <w:szCs w:val="21"/>
                      <w:u w:val="single"/>
                    </w:rPr>
                  </w:pPr>
                  <w:r>
                    <w:rPr>
                      <w:rFonts w:hint="eastAsia"/>
                      <w:sz w:val="21"/>
                      <w:szCs w:val="21"/>
                      <w:u w:val="single"/>
                    </w:rPr>
                    <w:t>漆雾</w:t>
                  </w:r>
                </w:p>
              </w:tc>
              <w:tc>
                <w:tcPr>
                  <w:tcW w:w="1459" w:type="pct"/>
                  <w:gridSpan w:val="2"/>
                  <w:vAlign w:val="center"/>
                </w:tcPr>
                <w:p w14:paraId="789581ED">
                  <w:pPr>
                    <w:pStyle w:val="7"/>
                    <w:wordWrap w:val="0"/>
                    <w:spacing w:before="0" w:after="0" w:line="240" w:lineRule="auto"/>
                    <w:ind w:right="0"/>
                    <w:jc w:val="center"/>
                    <w:rPr>
                      <w:sz w:val="21"/>
                      <w:szCs w:val="21"/>
                      <w:u w:val="single"/>
                    </w:rPr>
                  </w:pPr>
                  <w:r>
                    <w:rPr>
                      <w:rFonts w:hint="eastAsia"/>
                      <w:sz w:val="21"/>
                      <w:szCs w:val="21"/>
                      <w:u w:val="single"/>
                    </w:rPr>
                    <w:t>VOCs</w:t>
                  </w:r>
                </w:p>
              </w:tc>
              <w:tc>
                <w:tcPr>
                  <w:tcW w:w="494" w:type="pct"/>
                  <w:vMerge w:val="restart"/>
                  <w:vAlign w:val="center"/>
                </w:tcPr>
                <w:p w14:paraId="0B039B34">
                  <w:pPr>
                    <w:pStyle w:val="7"/>
                    <w:wordWrap w:val="0"/>
                    <w:spacing w:before="0" w:after="0" w:line="240" w:lineRule="auto"/>
                    <w:ind w:right="0"/>
                    <w:jc w:val="center"/>
                    <w:rPr>
                      <w:sz w:val="21"/>
                      <w:szCs w:val="21"/>
                      <w:u w:val="single"/>
                    </w:rPr>
                  </w:pPr>
                  <w:r>
                    <w:rPr>
                      <w:rFonts w:hint="eastAsia"/>
                      <w:sz w:val="21"/>
                      <w:szCs w:val="21"/>
                      <w:u w:val="single"/>
                    </w:rPr>
                    <w:t>时间</w:t>
                  </w:r>
                </w:p>
              </w:tc>
            </w:tr>
            <w:tr w14:paraId="3D14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6" w:type="pct"/>
                  <w:vMerge w:val="continue"/>
                  <w:vAlign w:val="center"/>
                </w:tcPr>
                <w:p w14:paraId="7AA50784">
                  <w:pPr>
                    <w:pStyle w:val="7"/>
                    <w:wordWrap w:val="0"/>
                    <w:spacing w:before="0" w:after="0" w:line="240" w:lineRule="auto"/>
                    <w:ind w:right="0"/>
                    <w:jc w:val="center"/>
                    <w:rPr>
                      <w:sz w:val="21"/>
                      <w:szCs w:val="21"/>
                      <w:u w:val="single"/>
                    </w:rPr>
                  </w:pPr>
                </w:p>
              </w:tc>
              <w:tc>
                <w:tcPr>
                  <w:tcW w:w="1153" w:type="pct"/>
                  <w:vMerge w:val="continue"/>
                </w:tcPr>
                <w:p w14:paraId="281E39E8">
                  <w:pPr>
                    <w:pStyle w:val="7"/>
                    <w:wordWrap w:val="0"/>
                    <w:spacing w:before="0" w:after="0" w:line="240" w:lineRule="auto"/>
                    <w:ind w:right="0"/>
                    <w:jc w:val="center"/>
                    <w:rPr>
                      <w:sz w:val="21"/>
                      <w:szCs w:val="21"/>
                      <w:u w:val="single"/>
                    </w:rPr>
                  </w:pPr>
                </w:p>
              </w:tc>
              <w:tc>
                <w:tcPr>
                  <w:tcW w:w="729" w:type="pct"/>
                  <w:vAlign w:val="center"/>
                </w:tcPr>
                <w:p w14:paraId="2AA042F0">
                  <w:pPr>
                    <w:pStyle w:val="7"/>
                    <w:wordWrap w:val="0"/>
                    <w:spacing w:before="0" w:after="0" w:line="240" w:lineRule="auto"/>
                    <w:ind w:right="0"/>
                    <w:jc w:val="center"/>
                    <w:rPr>
                      <w:sz w:val="21"/>
                      <w:szCs w:val="21"/>
                      <w:u w:val="single"/>
                    </w:rPr>
                  </w:pPr>
                  <w:r>
                    <w:rPr>
                      <w:rFonts w:hint="eastAsia"/>
                      <w:sz w:val="21"/>
                      <w:szCs w:val="21"/>
                      <w:u w:val="single"/>
                    </w:rPr>
                    <w:t>产生速率（kg/h）</w:t>
                  </w:r>
                </w:p>
              </w:tc>
              <w:tc>
                <w:tcPr>
                  <w:tcW w:w="729" w:type="pct"/>
                  <w:vAlign w:val="center"/>
                </w:tcPr>
                <w:p w14:paraId="6134B9DE">
                  <w:pPr>
                    <w:pStyle w:val="7"/>
                    <w:wordWrap w:val="0"/>
                    <w:spacing w:before="0" w:after="0" w:line="240" w:lineRule="auto"/>
                    <w:ind w:right="0"/>
                    <w:jc w:val="center"/>
                    <w:rPr>
                      <w:sz w:val="21"/>
                      <w:szCs w:val="21"/>
                      <w:u w:val="single"/>
                    </w:rPr>
                  </w:pPr>
                  <w:r>
                    <w:rPr>
                      <w:rFonts w:hint="eastAsia"/>
                      <w:sz w:val="21"/>
                      <w:szCs w:val="21"/>
                      <w:u w:val="single"/>
                    </w:rPr>
                    <w:t>产生量（t/a）</w:t>
                  </w:r>
                </w:p>
              </w:tc>
              <w:tc>
                <w:tcPr>
                  <w:tcW w:w="729" w:type="pct"/>
                  <w:vAlign w:val="center"/>
                </w:tcPr>
                <w:p w14:paraId="3ECB5AD5">
                  <w:pPr>
                    <w:pStyle w:val="7"/>
                    <w:wordWrap w:val="0"/>
                    <w:spacing w:before="0" w:after="0" w:line="240" w:lineRule="auto"/>
                    <w:ind w:right="0"/>
                    <w:jc w:val="center"/>
                    <w:rPr>
                      <w:sz w:val="21"/>
                      <w:szCs w:val="21"/>
                      <w:u w:val="single"/>
                    </w:rPr>
                  </w:pPr>
                  <w:r>
                    <w:rPr>
                      <w:rFonts w:hint="eastAsia"/>
                      <w:sz w:val="21"/>
                      <w:szCs w:val="21"/>
                      <w:u w:val="single"/>
                    </w:rPr>
                    <w:t>产生速率（kg/h）</w:t>
                  </w:r>
                </w:p>
              </w:tc>
              <w:tc>
                <w:tcPr>
                  <w:tcW w:w="729" w:type="pct"/>
                  <w:vAlign w:val="center"/>
                </w:tcPr>
                <w:p w14:paraId="1A686769">
                  <w:pPr>
                    <w:pStyle w:val="7"/>
                    <w:wordWrap w:val="0"/>
                    <w:spacing w:before="0" w:after="0" w:line="240" w:lineRule="auto"/>
                    <w:ind w:right="0"/>
                    <w:jc w:val="center"/>
                    <w:rPr>
                      <w:sz w:val="21"/>
                      <w:szCs w:val="21"/>
                      <w:u w:val="single"/>
                    </w:rPr>
                  </w:pPr>
                  <w:r>
                    <w:rPr>
                      <w:rFonts w:hint="eastAsia"/>
                      <w:sz w:val="21"/>
                      <w:szCs w:val="21"/>
                      <w:u w:val="single"/>
                    </w:rPr>
                    <w:t>产生量（t/a）</w:t>
                  </w:r>
                </w:p>
              </w:tc>
              <w:tc>
                <w:tcPr>
                  <w:tcW w:w="494" w:type="pct"/>
                  <w:vMerge w:val="continue"/>
                  <w:vAlign w:val="center"/>
                </w:tcPr>
                <w:p w14:paraId="721BEAE5">
                  <w:pPr>
                    <w:pStyle w:val="7"/>
                    <w:wordWrap w:val="0"/>
                    <w:spacing w:before="0" w:after="0" w:line="240" w:lineRule="auto"/>
                    <w:ind w:right="0"/>
                    <w:jc w:val="center"/>
                    <w:rPr>
                      <w:sz w:val="21"/>
                      <w:szCs w:val="21"/>
                      <w:u w:val="single"/>
                    </w:rPr>
                  </w:pPr>
                </w:p>
              </w:tc>
            </w:tr>
            <w:tr w14:paraId="5FB6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6" w:type="pct"/>
                  <w:vMerge w:val="restart"/>
                  <w:vAlign w:val="center"/>
                </w:tcPr>
                <w:p w14:paraId="589D38E9">
                  <w:pPr>
                    <w:pStyle w:val="7"/>
                    <w:wordWrap w:val="0"/>
                    <w:spacing w:before="0" w:after="0" w:line="240" w:lineRule="auto"/>
                    <w:ind w:right="0"/>
                    <w:jc w:val="center"/>
                    <w:rPr>
                      <w:sz w:val="21"/>
                      <w:szCs w:val="21"/>
                      <w:u w:val="single"/>
                    </w:rPr>
                  </w:pPr>
                  <w:r>
                    <w:rPr>
                      <w:rFonts w:hint="eastAsia"/>
                      <w:sz w:val="21"/>
                      <w:szCs w:val="21"/>
                      <w:u w:val="single"/>
                    </w:rPr>
                    <w:t>喷漆</w:t>
                  </w:r>
                </w:p>
                <w:p w14:paraId="229D34EA">
                  <w:pPr>
                    <w:pStyle w:val="7"/>
                    <w:wordWrap w:val="0"/>
                    <w:spacing w:before="0" w:after="0" w:line="240" w:lineRule="auto"/>
                    <w:ind w:right="0"/>
                    <w:jc w:val="center"/>
                    <w:rPr>
                      <w:sz w:val="21"/>
                      <w:szCs w:val="21"/>
                      <w:u w:val="single"/>
                    </w:rPr>
                  </w:pPr>
                  <w:r>
                    <w:rPr>
                      <w:rFonts w:hint="eastAsia"/>
                      <w:sz w:val="21"/>
                      <w:szCs w:val="21"/>
                      <w:u w:val="single"/>
                    </w:rPr>
                    <w:t>晾干</w:t>
                  </w:r>
                </w:p>
              </w:tc>
              <w:tc>
                <w:tcPr>
                  <w:tcW w:w="1153" w:type="pct"/>
                  <w:vAlign w:val="center"/>
                </w:tcPr>
                <w:p w14:paraId="0403A890">
                  <w:pPr>
                    <w:pStyle w:val="7"/>
                    <w:wordWrap w:val="0"/>
                    <w:spacing w:before="0" w:after="0" w:line="240" w:lineRule="auto"/>
                    <w:ind w:right="0"/>
                    <w:jc w:val="center"/>
                    <w:rPr>
                      <w:sz w:val="21"/>
                      <w:szCs w:val="21"/>
                      <w:u w:val="single"/>
                    </w:rPr>
                  </w:pPr>
                  <w:r>
                    <w:rPr>
                      <w:rFonts w:hint="eastAsia"/>
                      <w:sz w:val="21"/>
                      <w:szCs w:val="21"/>
                      <w:u w:val="single"/>
                    </w:rPr>
                    <w:t>有组织（80%）</w:t>
                  </w:r>
                </w:p>
              </w:tc>
              <w:tc>
                <w:tcPr>
                  <w:tcW w:w="729" w:type="pct"/>
                  <w:vAlign w:val="center"/>
                </w:tcPr>
                <w:p w14:paraId="1B664E98">
                  <w:pPr>
                    <w:pStyle w:val="7"/>
                    <w:wordWrap w:val="0"/>
                    <w:spacing w:before="0" w:after="0" w:line="240" w:lineRule="auto"/>
                    <w:ind w:right="0"/>
                    <w:jc w:val="center"/>
                    <w:rPr>
                      <w:sz w:val="21"/>
                      <w:szCs w:val="21"/>
                      <w:u w:val="single"/>
                    </w:rPr>
                  </w:pPr>
                  <w:r>
                    <w:rPr>
                      <w:rFonts w:hint="eastAsia"/>
                      <w:sz w:val="21"/>
                      <w:szCs w:val="21"/>
                      <w:u w:val="single"/>
                    </w:rPr>
                    <w:t>0.533</w:t>
                  </w:r>
                </w:p>
              </w:tc>
              <w:tc>
                <w:tcPr>
                  <w:tcW w:w="729" w:type="pct"/>
                  <w:vAlign w:val="center"/>
                </w:tcPr>
                <w:p w14:paraId="3EE1CC20">
                  <w:pPr>
                    <w:pStyle w:val="7"/>
                    <w:wordWrap w:val="0"/>
                    <w:spacing w:before="0" w:after="0" w:line="240" w:lineRule="auto"/>
                    <w:ind w:right="0"/>
                    <w:jc w:val="center"/>
                    <w:rPr>
                      <w:sz w:val="21"/>
                      <w:szCs w:val="21"/>
                      <w:u w:val="single"/>
                    </w:rPr>
                  </w:pPr>
                  <w:r>
                    <w:rPr>
                      <w:rFonts w:hint="eastAsia"/>
                      <w:sz w:val="21"/>
                      <w:szCs w:val="21"/>
                      <w:u w:val="single"/>
                    </w:rPr>
                    <w:t>2.2375</w:t>
                  </w:r>
                </w:p>
              </w:tc>
              <w:tc>
                <w:tcPr>
                  <w:tcW w:w="729" w:type="pct"/>
                  <w:vAlign w:val="center"/>
                </w:tcPr>
                <w:p w14:paraId="7760B639">
                  <w:pPr>
                    <w:pStyle w:val="7"/>
                    <w:wordWrap w:val="0"/>
                    <w:spacing w:before="0" w:after="0" w:line="240" w:lineRule="auto"/>
                    <w:ind w:right="0"/>
                    <w:jc w:val="center"/>
                    <w:rPr>
                      <w:sz w:val="21"/>
                      <w:szCs w:val="21"/>
                      <w:u w:val="single"/>
                    </w:rPr>
                  </w:pPr>
                  <w:r>
                    <w:rPr>
                      <w:rFonts w:hint="eastAsia"/>
                      <w:sz w:val="21"/>
                      <w:szCs w:val="21"/>
                      <w:u w:val="single"/>
                    </w:rPr>
                    <w:t>0.272</w:t>
                  </w:r>
                </w:p>
              </w:tc>
              <w:tc>
                <w:tcPr>
                  <w:tcW w:w="729" w:type="pct"/>
                  <w:vAlign w:val="center"/>
                </w:tcPr>
                <w:p w14:paraId="543B974D">
                  <w:pPr>
                    <w:pStyle w:val="7"/>
                    <w:wordWrap w:val="0"/>
                    <w:spacing w:before="0" w:after="0" w:line="240" w:lineRule="auto"/>
                    <w:ind w:right="0"/>
                    <w:jc w:val="center"/>
                    <w:rPr>
                      <w:sz w:val="21"/>
                      <w:szCs w:val="21"/>
                      <w:u w:val="single"/>
                    </w:rPr>
                  </w:pPr>
                  <w:r>
                    <w:rPr>
                      <w:rFonts w:hint="eastAsia"/>
                      <w:sz w:val="21"/>
                      <w:szCs w:val="21"/>
                      <w:u w:val="single"/>
                    </w:rPr>
                    <w:t>1.1416</w:t>
                  </w:r>
                </w:p>
              </w:tc>
              <w:tc>
                <w:tcPr>
                  <w:tcW w:w="494" w:type="pct"/>
                  <w:vMerge w:val="restart"/>
                  <w:vAlign w:val="center"/>
                </w:tcPr>
                <w:p w14:paraId="60A9A683">
                  <w:pPr>
                    <w:pStyle w:val="7"/>
                    <w:wordWrap w:val="0"/>
                    <w:spacing w:before="0" w:after="0" w:line="240" w:lineRule="auto"/>
                    <w:ind w:right="0"/>
                    <w:jc w:val="center"/>
                    <w:rPr>
                      <w:sz w:val="21"/>
                      <w:szCs w:val="21"/>
                      <w:u w:val="single"/>
                    </w:rPr>
                  </w:pPr>
                  <w:r>
                    <w:rPr>
                      <w:rFonts w:hint="eastAsia"/>
                      <w:sz w:val="21"/>
                      <w:szCs w:val="21"/>
                      <w:u w:val="single"/>
                    </w:rPr>
                    <w:t>4200</w:t>
                  </w:r>
                </w:p>
              </w:tc>
            </w:tr>
            <w:tr w14:paraId="5952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6" w:type="pct"/>
                  <w:vMerge w:val="continue"/>
                  <w:vAlign w:val="center"/>
                </w:tcPr>
                <w:p w14:paraId="5C93FC82">
                  <w:pPr>
                    <w:pStyle w:val="7"/>
                    <w:wordWrap w:val="0"/>
                    <w:spacing w:before="0" w:after="0" w:line="240" w:lineRule="auto"/>
                    <w:ind w:right="0"/>
                    <w:jc w:val="center"/>
                    <w:rPr>
                      <w:sz w:val="21"/>
                      <w:szCs w:val="21"/>
                      <w:u w:val="single"/>
                    </w:rPr>
                  </w:pPr>
                </w:p>
              </w:tc>
              <w:tc>
                <w:tcPr>
                  <w:tcW w:w="1153" w:type="pct"/>
                </w:tcPr>
                <w:p w14:paraId="344AF080">
                  <w:pPr>
                    <w:pStyle w:val="7"/>
                    <w:wordWrap w:val="0"/>
                    <w:spacing w:before="0" w:after="0" w:line="240" w:lineRule="auto"/>
                    <w:ind w:right="0"/>
                    <w:jc w:val="center"/>
                    <w:rPr>
                      <w:sz w:val="21"/>
                      <w:szCs w:val="21"/>
                      <w:u w:val="single"/>
                    </w:rPr>
                  </w:pPr>
                  <w:r>
                    <w:rPr>
                      <w:rFonts w:hint="eastAsia"/>
                      <w:sz w:val="21"/>
                      <w:szCs w:val="21"/>
                      <w:u w:val="single"/>
                    </w:rPr>
                    <w:t>无组织（20%）</w:t>
                  </w:r>
                </w:p>
              </w:tc>
              <w:tc>
                <w:tcPr>
                  <w:tcW w:w="729" w:type="pct"/>
                  <w:vAlign w:val="center"/>
                </w:tcPr>
                <w:p w14:paraId="39F94035">
                  <w:pPr>
                    <w:pStyle w:val="7"/>
                    <w:wordWrap w:val="0"/>
                    <w:spacing w:before="0" w:after="0" w:line="240" w:lineRule="auto"/>
                    <w:ind w:right="0"/>
                    <w:jc w:val="center"/>
                    <w:rPr>
                      <w:sz w:val="21"/>
                      <w:szCs w:val="21"/>
                      <w:u w:val="single"/>
                    </w:rPr>
                  </w:pPr>
                  <w:r>
                    <w:rPr>
                      <w:rFonts w:hint="eastAsia"/>
                      <w:sz w:val="21"/>
                      <w:szCs w:val="21"/>
                      <w:u w:val="single"/>
                    </w:rPr>
                    <w:t>0.133</w:t>
                  </w:r>
                </w:p>
              </w:tc>
              <w:tc>
                <w:tcPr>
                  <w:tcW w:w="729" w:type="pct"/>
                  <w:vAlign w:val="center"/>
                </w:tcPr>
                <w:p w14:paraId="2A2105B3">
                  <w:pPr>
                    <w:pStyle w:val="7"/>
                    <w:wordWrap w:val="0"/>
                    <w:spacing w:before="0" w:after="0" w:line="240" w:lineRule="auto"/>
                    <w:ind w:right="0"/>
                    <w:jc w:val="center"/>
                    <w:rPr>
                      <w:sz w:val="21"/>
                      <w:szCs w:val="21"/>
                      <w:u w:val="single"/>
                    </w:rPr>
                  </w:pPr>
                  <w:r>
                    <w:rPr>
                      <w:rFonts w:hint="eastAsia"/>
                      <w:sz w:val="21"/>
                      <w:szCs w:val="21"/>
                      <w:u w:val="single"/>
                    </w:rPr>
                    <w:t>0.5594</w:t>
                  </w:r>
                </w:p>
              </w:tc>
              <w:tc>
                <w:tcPr>
                  <w:tcW w:w="729" w:type="pct"/>
                  <w:vAlign w:val="center"/>
                </w:tcPr>
                <w:p w14:paraId="4FE472B4">
                  <w:pPr>
                    <w:pStyle w:val="7"/>
                    <w:wordWrap w:val="0"/>
                    <w:spacing w:before="0" w:after="0" w:line="240" w:lineRule="auto"/>
                    <w:ind w:right="0"/>
                    <w:jc w:val="center"/>
                    <w:rPr>
                      <w:sz w:val="21"/>
                      <w:szCs w:val="21"/>
                      <w:u w:val="single"/>
                    </w:rPr>
                  </w:pPr>
                  <w:r>
                    <w:rPr>
                      <w:rFonts w:hint="eastAsia"/>
                      <w:sz w:val="21"/>
                      <w:szCs w:val="21"/>
                      <w:u w:val="single"/>
                    </w:rPr>
                    <w:t>0.068</w:t>
                  </w:r>
                </w:p>
              </w:tc>
              <w:tc>
                <w:tcPr>
                  <w:tcW w:w="729" w:type="pct"/>
                  <w:vAlign w:val="center"/>
                </w:tcPr>
                <w:p w14:paraId="0A113298">
                  <w:pPr>
                    <w:pStyle w:val="7"/>
                    <w:wordWrap w:val="0"/>
                    <w:spacing w:before="0" w:after="0" w:line="240" w:lineRule="auto"/>
                    <w:ind w:right="0"/>
                    <w:jc w:val="center"/>
                    <w:rPr>
                      <w:sz w:val="21"/>
                      <w:szCs w:val="21"/>
                      <w:u w:val="single"/>
                    </w:rPr>
                  </w:pPr>
                  <w:r>
                    <w:rPr>
                      <w:rFonts w:hint="eastAsia"/>
                      <w:sz w:val="21"/>
                      <w:szCs w:val="21"/>
                      <w:u w:val="single"/>
                    </w:rPr>
                    <w:t>0.2854</w:t>
                  </w:r>
                </w:p>
              </w:tc>
              <w:tc>
                <w:tcPr>
                  <w:tcW w:w="494" w:type="pct"/>
                  <w:vMerge w:val="continue"/>
                  <w:vAlign w:val="center"/>
                </w:tcPr>
                <w:p w14:paraId="04A8E220">
                  <w:pPr>
                    <w:pStyle w:val="7"/>
                    <w:wordWrap w:val="0"/>
                    <w:spacing w:before="0" w:after="0" w:line="240" w:lineRule="auto"/>
                    <w:ind w:right="0"/>
                    <w:jc w:val="center"/>
                    <w:rPr>
                      <w:sz w:val="21"/>
                      <w:szCs w:val="21"/>
                      <w:u w:val="single"/>
                    </w:rPr>
                  </w:pPr>
                </w:p>
              </w:tc>
            </w:tr>
          </w:tbl>
          <w:p w14:paraId="228872BA">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u w:val="single"/>
              </w:rPr>
            </w:pPr>
            <w:r>
              <w:rPr>
                <w:rFonts w:hint="eastAsia" w:ascii="Times New Roman" w:hAnsi="Times New Roman"/>
                <w:u w:val="single"/>
              </w:rPr>
              <w:t>4）废气排放情况</w:t>
            </w:r>
          </w:p>
          <w:p w14:paraId="67A608F5">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u w:val="single"/>
              </w:rPr>
            </w:pPr>
            <w:r>
              <w:rPr>
                <w:rFonts w:cs="Calibri"/>
                <w:u w:val="single"/>
              </w:rPr>
              <w:t>①</w:t>
            </w:r>
            <w:r>
              <w:rPr>
                <w:rFonts w:hint="eastAsia" w:ascii="Times New Roman" w:hAnsi="Times New Roman"/>
                <w:u w:val="single"/>
              </w:rPr>
              <w:t>喷漆、晾干废气排放口（DA001）</w:t>
            </w:r>
          </w:p>
          <w:p w14:paraId="67B29277">
            <w:pPr>
              <w:autoSpaceDE w:val="0"/>
              <w:autoSpaceDN w:val="0"/>
              <w:spacing w:line="360" w:lineRule="auto"/>
              <w:ind w:firstLine="480" w:firstLineChars="200"/>
              <w:rPr>
                <w:u w:val="single"/>
              </w:rPr>
            </w:pPr>
            <w:r>
              <w:rPr>
                <w:rFonts w:hint="eastAsia"/>
                <w:u w:val="single"/>
              </w:rPr>
              <w:t>干式过滤装置（过滤棉）去除率为</w:t>
            </w:r>
            <w:r>
              <w:rPr>
                <w:u w:val="single"/>
              </w:rPr>
              <w:t>9</w:t>
            </w:r>
            <w:r>
              <w:rPr>
                <w:rFonts w:hint="eastAsia"/>
                <w:u w:val="single"/>
              </w:rPr>
              <w:t>0</w:t>
            </w:r>
            <w:r>
              <w:rPr>
                <w:u w:val="single"/>
              </w:rPr>
              <w:t>%</w:t>
            </w:r>
            <w:r>
              <w:rPr>
                <w:rFonts w:hint="eastAsia"/>
                <w:u w:val="single"/>
              </w:rPr>
              <w:t>，颗粒物有组织排放量为0.2237</w:t>
            </w:r>
            <w:r>
              <w:rPr>
                <w:u w:val="single"/>
              </w:rPr>
              <w:t>t/a</w:t>
            </w:r>
            <w:r>
              <w:rPr>
                <w:rFonts w:hint="eastAsia"/>
                <w:u w:val="single"/>
              </w:rPr>
              <w:t>，排放速率为0.053</w:t>
            </w:r>
            <w:r>
              <w:rPr>
                <w:u w:val="single"/>
              </w:rPr>
              <w:t>kg/h</w:t>
            </w:r>
            <w:r>
              <w:rPr>
                <w:rFonts w:hint="eastAsia"/>
                <w:u w:val="single"/>
              </w:rPr>
              <w:t>，排放浓度为1.77</w:t>
            </w:r>
            <w:r>
              <w:rPr>
                <w:u w:val="single"/>
              </w:rPr>
              <w:t>mg/m</w:t>
            </w:r>
            <w:r>
              <w:rPr>
                <w:u w:val="single"/>
                <w:vertAlign w:val="superscript"/>
              </w:rPr>
              <w:t>3</w:t>
            </w:r>
            <w:r>
              <w:rPr>
                <w:rFonts w:hint="eastAsia"/>
                <w:u w:val="single"/>
              </w:rPr>
              <w:t>；三级活性炭吸附有机废气净化效率</w:t>
            </w:r>
            <w:r>
              <w:rPr>
                <w:rFonts w:hint="eastAsia"/>
                <w:color w:val="000000"/>
                <w:u w:val="single"/>
              </w:rPr>
              <w:t>为1-（1-50%）×（1-50%）×（1-50%）=87.5%</w:t>
            </w:r>
            <w:r>
              <w:rPr>
                <w:rFonts w:hint="eastAsia"/>
                <w:u w:val="single"/>
              </w:rPr>
              <w:t>；经三级活性炭吸附装置处理后的</w:t>
            </w:r>
            <w:r>
              <w:rPr>
                <w:u w:val="single"/>
              </w:rPr>
              <w:t>VOCs</w:t>
            </w:r>
            <w:r>
              <w:rPr>
                <w:rFonts w:hint="eastAsia"/>
                <w:u w:val="single"/>
              </w:rPr>
              <w:t>有组织排放量为0.1427</w:t>
            </w:r>
            <w:r>
              <w:rPr>
                <w:u w:val="single"/>
              </w:rPr>
              <w:t>t/a</w:t>
            </w:r>
            <w:r>
              <w:rPr>
                <w:rFonts w:hint="eastAsia"/>
                <w:u w:val="single"/>
              </w:rPr>
              <w:t>，排放速率为0.034</w:t>
            </w:r>
            <w:r>
              <w:rPr>
                <w:u w:val="single"/>
              </w:rPr>
              <w:t>kg/h</w:t>
            </w:r>
            <w:r>
              <w:rPr>
                <w:rFonts w:hint="eastAsia"/>
                <w:u w:val="single"/>
              </w:rPr>
              <w:t>，排放浓度为1.13</w:t>
            </w:r>
            <w:r>
              <w:rPr>
                <w:u w:val="single"/>
              </w:rPr>
              <w:t>mg/m</w:t>
            </w:r>
            <w:r>
              <w:rPr>
                <w:u w:val="single"/>
                <w:vertAlign w:val="superscript"/>
              </w:rPr>
              <w:t>3</w:t>
            </w:r>
            <w:r>
              <w:rPr>
                <w:rFonts w:hint="eastAsia"/>
                <w:u w:val="single"/>
              </w:rPr>
              <w:t>。</w:t>
            </w:r>
            <w:r>
              <w:rPr>
                <w:u w:val="single"/>
              </w:rPr>
              <w:t xml:space="preserve"> </w:t>
            </w:r>
          </w:p>
          <w:p w14:paraId="48A9DBE9">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u w:val="single"/>
              </w:rPr>
            </w:pPr>
            <w:r>
              <w:rPr>
                <w:rFonts w:hint="eastAsia" w:ascii="Times New Roman" w:hAnsi="Times New Roman"/>
                <w:u w:val="single"/>
              </w:rPr>
              <w:t>无组织废气：未被收集的漆雾为0.5594t/a（0.133kg/h），VOCs为0.2854t/a（0.068kg/h）。</w:t>
            </w:r>
          </w:p>
          <w:p w14:paraId="37665D13">
            <w:pPr>
              <w:pStyle w:val="20"/>
              <w:widowControl w:val="0"/>
              <w:kinsoku w:val="0"/>
              <w:wordWrap w:val="0"/>
              <w:autoSpaceDE w:val="0"/>
              <w:autoSpaceDN w:val="0"/>
              <w:spacing w:before="0" w:beforeAutospacing="0" w:after="0" w:afterAutospacing="0" w:line="360" w:lineRule="auto"/>
              <w:jc w:val="both"/>
              <w:rPr>
                <w:rFonts w:hint="eastAsia" w:cs="宋体"/>
                <w:b/>
                <w:bCs/>
                <w:snapToGrid w:val="0"/>
                <w:color w:val="000000"/>
                <w:szCs w:val="24"/>
              </w:rPr>
            </w:pPr>
            <w:r>
              <w:rPr>
                <w:rFonts w:hint="eastAsia" w:cs="宋体"/>
                <w:b/>
                <w:bCs/>
                <w:snapToGrid w:val="0"/>
                <w:color w:val="000000"/>
                <w:szCs w:val="24"/>
              </w:rPr>
              <w:t>2、</w:t>
            </w:r>
            <w:r>
              <w:rPr>
                <w:rFonts w:hint="eastAsia" w:cs="宋体"/>
                <w:b/>
                <w:bCs/>
                <w:snapToGrid w:val="0"/>
                <w:szCs w:val="24"/>
              </w:rPr>
              <w:t>废气污染物排放量核算</w:t>
            </w:r>
          </w:p>
          <w:p w14:paraId="6D0D7D2A">
            <w:pPr>
              <w:pStyle w:val="20"/>
              <w:widowControl w:val="0"/>
              <w:kinsoku w:val="0"/>
              <w:wordWrap w:val="0"/>
              <w:autoSpaceDE w:val="0"/>
              <w:autoSpaceDN w:val="0"/>
              <w:adjustRightInd w:val="0"/>
              <w:snapToGrid w:val="0"/>
              <w:spacing w:before="0" w:beforeAutospacing="0" w:after="0" w:afterAutospacing="0"/>
              <w:jc w:val="center"/>
              <w:rPr>
                <w:rFonts w:hint="eastAsia"/>
                <w:b/>
                <w:bCs/>
                <w:szCs w:val="24"/>
              </w:rPr>
            </w:pPr>
            <w:r>
              <w:rPr>
                <w:rFonts w:hint="eastAsia" w:ascii="Times New Roman" w:hAnsi="Times New Roman"/>
                <w:b/>
                <w:bCs/>
                <w:szCs w:val="24"/>
              </w:rPr>
              <w:t>表</w:t>
            </w:r>
            <w:r>
              <w:rPr>
                <w:rFonts w:ascii="Times New Roman" w:hAnsi="Times New Roman"/>
                <w:b/>
                <w:bCs/>
                <w:szCs w:val="24"/>
              </w:rPr>
              <w:t>4-</w:t>
            </w:r>
            <w:r>
              <w:rPr>
                <w:rFonts w:hint="eastAsia" w:ascii="Times New Roman" w:hAnsi="Times New Roman"/>
                <w:b/>
                <w:bCs/>
                <w:szCs w:val="24"/>
              </w:rPr>
              <w:t>4</w:t>
            </w:r>
            <w:r>
              <w:rPr>
                <w:rFonts w:ascii="Times New Roman" w:hAnsi="Times New Roman"/>
                <w:b/>
                <w:bCs/>
                <w:szCs w:val="24"/>
              </w:rPr>
              <w:t xml:space="preserve">  </w:t>
            </w:r>
            <w:r>
              <w:rPr>
                <w:rFonts w:hint="eastAsia" w:ascii="Times New Roman" w:hAnsi="Times New Roman"/>
                <w:b/>
                <w:bCs/>
                <w:szCs w:val="24"/>
              </w:rPr>
              <w:t>大气污染物有组织排放量核算表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634"/>
              <w:gridCol w:w="636"/>
              <w:gridCol w:w="793"/>
              <w:gridCol w:w="855"/>
              <w:gridCol w:w="1052"/>
              <w:gridCol w:w="821"/>
              <w:gridCol w:w="886"/>
              <w:gridCol w:w="701"/>
              <w:gridCol w:w="815"/>
            </w:tblGrid>
            <w:tr w14:paraId="32E93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7" w:type="dxa"/>
                  <w:vMerge w:val="restart"/>
                  <w:vAlign w:val="center"/>
                </w:tcPr>
                <w:p w14:paraId="3987973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序号</w:t>
                  </w:r>
                </w:p>
              </w:tc>
              <w:tc>
                <w:tcPr>
                  <w:tcW w:w="634" w:type="dxa"/>
                  <w:vMerge w:val="restart"/>
                  <w:vAlign w:val="center"/>
                </w:tcPr>
                <w:p w14:paraId="21C1D70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排放口编号</w:t>
                  </w:r>
                </w:p>
              </w:tc>
              <w:tc>
                <w:tcPr>
                  <w:tcW w:w="530" w:type="dxa"/>
                  <w:vMerge w:val="restart"/>
                  <w:vAlign w:val="center"/>
                </w:tcPr>
                <w:p w14:paraId="2463EA0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产物环节</w:t>
                  </w:r>
                </w:p>
              </w:tc>
              <w:tc>
                <w:tcPr>
                  <w:tcW w:w="793" w:type="dxa"/>
                  <w:vMerge w:val="restart"/>
                  <w:vAlign w:val="center"/>
                </w:tcPr>
                <w:p w14:paraId="28162CB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污染物</w:t>
                  </w:r>
                </w:p>
              </w:tc>
              <w:tc>
                <w:tcPr>
                  <w:tcW w:w="855" w:type="dxa"/>
                  <w:vMerge w:val="restart"/>
                  <w:vAlign w:val="center"/>
                </w:tcPr>
                <w:p w14:paraId="75BE535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主要污染防治措施</w:t>
                  </w:r>
                </w:p>
              </w:tc>
              <w:tc>
                <w:tcPr>
                  <w:tcW w:w="1873" w:type="dxa"/>
                  <w:gridSpan w:val="2"/>
                  <w:vAlign w:val="center"/>
                </w:tcPr>
                <w:p w14:paraId="218F981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国家或地方污染物排放标准</w:t>
                  </w:r>
                </w:p>
              </w:tc>
              <w:tc>
                <w:tcPr>
                  <w:tcW w:w="886" w:type="dxa"/>
                  <w:vMerge w:val="restart"/>
                  <w:vAlign w:val="center"/>
                </w:tcPr>
                <w:p w14:paraId="1CCB0E8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年排放量（t/a）</w:t>
                  </w:r>
                </w:p>
              </w:tc>
              <w:tc>
                <w:tcPr>
                  <w:tcW w:w="701" w:type="dxa"/>
                  <w:vMerge w:val="restart"/>
                  <w:vAlign w:val="center"/>
                </w:tcPr>
                <w:p w14:paraId="34F8951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排放速率（kg/h）</w:t>
                  </w:r>
                </w:p>
              </w:tc>
              <w:tc>
                <w:tcPr>
                  <w:tcW w:w="815" w:type="dxa"/>
                  <w:vMerge w:val="restart"/>
                  <w:vAlign w:val="center"/>
                </w:tcPr>
                <w:p w14:paraId="3F7CD44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排放浓度（mg/m</w:t>
                  </w:r>
                  <w:r>
                    <w:rPr>
                      <w:rFonts w:ascii="Times New Roman" w:hAnsi="Times New Roman"/>
                      <w:b/>
                      <w:bCs/>
                      <w:sz w:val="21"/>
                      <w:szCs w:val="21"/>
                      <w:u w:val="single"/>
                      <w:vertAlign w:val="superscript"/>
                    </w:rPr>
                    <w:t>3</w:t>
                  </w:r>
                  <w:r>
                    <w:rPr>
                      <w:rFonts w:ascii="Times New Roman" w:hAnsi="Times New Roman"/>
                      <w:b/>
                      <w:bCs/>
                      <w:sz w:val="21"/>
                      <w:szCs w:val="21"/>
                      <w:u w:val="single"/>
                    </w:rPr>
                    <w:t>）</w:t>
                  </w:r>
                </w:p>
              </w:tc>
            </w:tr>
            <w:tr w14:paraId="44E29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7" w:type="dxa"/>
                  <w:vMerge w:val="continue"/>
                  <w:vAlign w:val="center"/>
                </w:tcPr>
                <w:p w14:paraId="37EB5CA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634" w:type="dxa"/>
                  <w:vMerge w:val="continue"/>
                  <w:vAlign w:val="center"/>
                </w:tcPr>
                <w:p w14:paraId="5B4F8495">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530" w:type="dxa"/>
                  <w:vMerge w:val="continue"/>
                  <w:vAlign w:val="center"/>
                </w:tcPr>
                <w:p w14:paraId="149E2E4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793" w:type="dxa"/>
                  <w:vMerge w:val="continue"/>
                  <w:vAlign w:val="center"/>
                </w:tcPr>
                <w:p w14:paraId="1361638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855" w:type="dxa"/>
                  <w:vMerge w:val="continue"/>
                  <w:vAlign w:val="center"/>
                </w:tcPr>
                <w:p w14:paraId="1A3526A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1052" w:type="dxa"/>
                  <w:vAlign w:val="center"/>
                </w:tcPr>
                <w:p w14:paraId="041906B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标准名称</w:t>
                  </w:r>
                </w:p>
              </w:tc>
              <w:tc>
                <w:tcPr>
                  <w:tcW w:w="821" w:type="dxa"/>
                  <w:vAlign w:val="center"/>
                </w:tcPr>
                <w:p w14:paraId="4F22CAA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浓度限值（</w:t>
                  </w:r>
                  <w:r>
                    <w:rPr>
                      <w:rFonts w:ascii="Times New Roman" w:hAnsi="Times New Roman"/>
                      <w:b/>
                      <w:bCs/>
                      <w:snapToGrid w:val="0"/>
                      <w:sz w:val="21"/>
                      <w:szCs w:val="21"/>
                      <w:u w:val="single"/>
                    </w:rPr>
                    <w:t>mg/m</w:t>
                  </w:r>
                  <w:r>
                    <w:rPr>
                      <w:rFonts w:ascii="Times New Roman" w:hAnsi="Times New Roman"/>
                      <w:b/>
                      <w:bCs/>
                      <w:snapToGrid w:val="0"/>
                      <w:sz w:val="21"/>
                      <w:szCs w:val="21"/>
                      <w:u w:val="single"/>
                      <w:vertAlign w:val="superscript"/>
                    </w:rPr>
                    <w:t>3</w:t>
                  </w:r>
                  <w:r>
                    <w:rPr>
                      <w:rFonts w:ascii="Times New Roman" w:hAnsi="Times New Roman"/>
                      <w:b/>
                      <w:bCs/>
                      <w:sz w:val="21"/>
                      <w:szCs w:val="21"/>
                      <w:u w:val="single"/>
                    </w:rPr>
                    <w:t>）</w:t>
                  </w:r>
                </w:p>
              </w:tc>
              <w:tc>
                <w:tcPr>
                  <w:tcW w:w="886" w:type="dxa"/>
                  <w:vMerge w:val="continue"/>
                  <w:vAlign w:val="center"/>
                </w:tcPr>
                <w:p w14:paraId="04C6644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701" w:type="dxa"/>
                  <w:vMerge w:val="continue"/>
                  <w:vAlign w:val="center"/>
                </w:tcPr>
                <w:p w14:paraId="4A00F2C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815" w:type="dxa"/>
                  <w:vMerge w:val="continue"/>
                  <w:vAlign w:val="center"/>
                </w:tcPr>
                <w:p w14:paraId="216F462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r>
            <w:tr w14:paraId="5AC9E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7" w:type="dxa"/>
                  <w:vMerge w:val="restart"/>
                  <w:vAlign w:val="center"/>
                </w:tcPr>
                <w:p w14:paraId="43F728B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1</w:t>
                  </w:r>
                </w:p>
              </w:tc>
              <w:tc>
                <w:tcPr>
                  <w:tcW w:w="634" w:type="dxa"/>
                  <w:vMerge w:val="restart"/>
                  <w:vAlign w:val="center"/>
                </w:tcPr>
                <w:p w14:paraId="7BE2A68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DA001</w:t>
                  </w:r>
                </w:p>
              </w:tc>
              <w:tc>
                <w:tcPr>
                  <w:tcW w:w="530" w:type="dxa"/>
                  <w:vMerge w:val="restart"/>
                  <w:vAlign w:val="center"/>
                </w:tcPr>
                <w:p w14:paraId="411CBC3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喷漆、晾干</w:t>
                  </w:r>
                </w:p>
              </w:tc>
              <w:tc>
                <w:tcPr>
                  <w:tcW w:w="793" w:type="dxa"/>
                  <w:vAlign w:val="center"/>
                </w:tcPr>
                <w:p w14:paraId="066DD5B7">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颗粒物</w:t>
                  </w:r>
                </w:p>
              </w:tc>
              <w:tc>
                <w:tcPr>
                  <w:tcW w:w="855" w:type="dxa"/>
                  <w:vMerge w:val="restart"/>
                  <w:vAlign w:val="center"/>
                </w:tcPr>
                <w:p w14:paraId="3EAC7C6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干式过滤器、</w:t>
                  </w:r>
                  <w:r>
                    <w:rPr>
                      <w:rFonts w:hint="eastAsia" w:ascii="Times New Roman" w:hAnsi="Times New Roman"/>
                      <w:color w:val="000000"/>
                      <w:sz w:val="21"/>
                      <w:szCs w:val="21"/>
                    </w:rPr>
                    <w:t>三</w:t>
                  </w:r>
                  <w:r>
                    <w:rPr>
                      <w:rFonts w:ascii="Times New Roman" w:hAnsi="Times New Roman"/>
                      <w:color w:val="000000"/>
                      <w:sz w:val="21"/>
                      <w:szCs w:val="21"/>
                    </w:rPr>
                    <w:t>级活性炭吸附</w:t>
                  </w:r>
                </w:p>
              </w:tc>
              <w:tc>
                <w:tcPr>
                  <w:tcW w:w="1052" w:type="dxa"/>
                  <w:vAlign w:val="center"/>
                </w:tcPr>
                <w:p w14:paraId="7A2CB090">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sz w:val="21"/>
                      <w:szCs w:val="21"/>
                    </w:rPr>
                    <w:t>《大气污染物综合排放标准》（GB16297-1996）</w:t>
                  </w:r>
                </w:p>
              </w:tc>
              <w:tc>
                <w:tcPr>
                  <w:tcW w:w="821" w:type="dxa"/>
                  <w:vAlign w:val="center"/>
                </w:tcPr>
                <w:p w14:paraId="1F7E72E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120</w:t>
                  </w:r>
                </w:p>
              </w:tc>
              <w:tc>
                <w:tcPr>
                  <w:tcW w:w="886" w:type="dxa"/>
                  <w:vAlign w:val="center"/>
                </w:tcPr>
                <w:p w14:paraId="510B0C0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color w:val="000000"/>
                      <w:sz w:val="21"/>
                      <w:szCs w:val="21"/>
                    </w:rPr>
                    <w:t>0.2237</w:t>
                  </w:r>
                </w:p>
              </w:tc>
              <w:tc>
                <w:tcPr>
                  <w:tcW w:w="701" w:type="dxa"/>
                  <w:vAlign w:val="center"/>
                </w:tcPr>
                <w:p w14:paraId="2FD8D83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color w:val="000000"/>
                      <w:sz w:val="21"/>
                      <w:szCs w:val="21"/>
                    </w:rPr>
                    <w:t>0.053</w:t>
                  </w:r>
                </w:p>
              </w:tc>
              <w:tc>
                <w:tcPr>
                  <w:tcW w:w="815" w:type="dxa"/>
                  <w:vAlign w:val="center"/>
                </w:tcPr>
                <w:p w14:paraId="2CEB528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1.77</w:t>
                  </w:r>
                </w:p>
              </w:tc>
            </w:tr>
            <w:tr w14:paraId="1B959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7" w:type="dxa"/>
                  <w:vMerge w:val="continue"/>
                  <w:vAlign w:val="center"/>
                </w:tcPr>
                <w:p w14:paraId="0EA6283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634" w:type="dxa"/>
                  <w:vMerge w:val="continue"/>
                  <w:vAlign w:val="center"/>
                </w:tcPr>
                <w:p w14:paraId="1760D4D7">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530" w:type="dxa"/>
                  <w:vMerge w:val="continue"/>
                  <w:vAlign w:val="center"/>
                </w:tcPr>
                <w:p w14:paraId="78D20B4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793" w:type="dxa"/>
                  <w:vAlign w:val="center"/>
                </w:tcPr>
                <w:p w14:paraId="2D0888F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VOCs</w:t>
                  </w:r>
                </w:p>
              </w:tc>
              <w:tc>
                <w:tcPr>
                  <w:tcW w:w="855" w:type="dxa"/>
                  <w:vMerge w:val="continue"/>
                  <w:vAlign w:val="center"/>
                </w:tcPr>
                <w:p w14:paraId="3B7AB56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1052" w:type="dxa"/>
                  <w:vAlign w:val="center"/>
                </w:tcPr>
                <w:p w14:paraId="6D8E3C8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sz w:val="21"/>
                      <w:szCs w:val="21"/>
                    </w:rPr>
                    <w:t>《表面涂装（汽车制造及维修）挥发性有机物、镍排放标准》（DB43/1356-2017）</w:t>
                  </w:r>
                </w:p>
              </w:tc>
              <w:tc>
                <w:tcPr>
                  <w:tcW w:w="821" w:type="dxa"/>
                  <w:vAlign w:val="center"/>
                </w:tcPr>
                <w:p w14:paraId="04B520E0">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80</w:t>
                  </w:r>
                </w:p>
              </w:tc>
              <w:tc>
                <w:tcPr>
                  <w:tcW w:w="886" w:type="dxa"/>
                  <w:vAlign w:val="center"/>
                </w:tcPr>
                <w:p w14:paraId="33BAE16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0.1427</w:t>
                  </w:r>
                </w:p>
              </w:tc>
              <w:tc>
                <w:tcPr>
                  <w:tcW w:w="701" w:type="dxa"/>
                  <w:vAlign w:val="center"/>
                </w:tcPr>
                <w:p w14:paraId="236616D1">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0.034</w:t>
                  </w:r>
                </w:p>
              </w:tc>
              <w:tc>
                <w:tcPr>
                  <w:tcW w:w="815" w:type="dxa"/>
                  <w:vAlign w:val="center"/>
                </w:tcPr>
                <w:p w14:paraId="1E86271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1.13</w:t>
                  </w:r>
                </w:p>
              </w:tc>
            </w:tr>
            <w:tr w14:paraId="653DE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94" w:type="dxa"/>
                  <w:gridSpan w:val="10"/>
                  <w:vAlign w:val="center"/>
                </w:tcPr>
                <w:p w14:paraId="555627B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有组织排放</w:t>
                  </w:r>
                </w:p>
              </w:tc>
            </w:tr>
            <w:tr w14:paraId="75F05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4" w:type="dxa"/>
                  <w:gridSpan w:val="4"/>
                  <w:vMerge w:val="restart"/>
                  <w:vAlign w:val="center"/>
                </w:tcPr>
                <w:p w14:paraId="128BFA6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有组织排放总计</w:t>
                  </w:r>
                </w:p>
              </w:tc>
              <w:tc>
                <w:tcPr>
                  <w:tcW w:w="2728" w:type="dxa"/>
                  <w:gridSpan w:val="3"/>
                  <w:vAlign w:val="center"/>
                </w:tcPr>
                <w:p w14:paraId="1F1326D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颗粒物</w:t>
                  </w:r>
                </w:p>
              </w:tc>
              <w:tc>
                <w:tcPr>
                  <w:tcW w:w="886" w:type="dxa"/>
                  <w:vAlign w:val="center"/>
                </w:tcPr>
                <w:p w14:paraId="3CC556D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color w:val="000000"/>
                      <w:sz w:val="21"/>
                      <w:szCs w:val="21"/>
                    </w:rPr>
                    <w:t>0.2237</w:t>
                  </w:r>
                </w:p>
              </w:tc>
              <w:tc>
                <w:tcPr>
                  <w:tcW w:w="701" w:type="dxa"/>
                  <w:vAlign w:val="center"/>
                </w:tcPr>
                <w:p w14:paraId="79A0C540">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color w:val="000000"/>
                      <w:sz w:val="21"/>
                      <w:szCs w:val="21"/>
                    </w:rPr>
                    <w:t>0.053</w:t>
                  </w:r>
                </w:p>
              </w:tc>
              <w:tc>
                <w:tcPr>
                  <w:tcW w:w="815" w:type="dxa"/>
                  <w:vAlign w:val="center"/>
                </w:tcPr>
                <w:p w14:paraId="27BC17F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highlight w:val="yellow"/>
                    </w:rPr>
                  </w:pPr>
                  <w:r>
                    <w:rPr>
                      <w:rFonts w:hint="eastAsia" w:ascii="Times New Roman" w:hAnsi="Times New Roman"/>
                      <w:bCs/>
                      <w:color w:val="000000" w:themeColor="text1"/>
                      <w:sz w:val="21"/>
                      <w:szCs w:val="21"/>
                      <w14:textFill>
                        <w14:solidFill>
                          <w14:schemeClr w14:val="tx1"/>
                        </w14:solidFill>
                      </w14:textFill>
                    </w:rPr>
                    <w:t>1.77</w:t>
                  </w:r>
                </w:p>
              </w:tc>
            </w:tr>
            <w:tr w14:paraId="5E45F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4" w:type="dxa"/>
                  <w:gridSpan w:val="4"/>
                  <w:vMerge w:val="continue"/>
                  <w:vAlign w:val="center"/>
                </w:tcPr>
                <w:p w14:paraId="2079D3E1">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2728" w:type="dxa"/>
                  <w:gridSpan w:val="3"/>
                  <w:vAlign w:val="center"/>
                </w:tcPr>
                <w:p w14:paraId="7CC2234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VOCs</w:t>
                  </w:r>
                </w:p>
              </w:tc>
              <w:tc>
                <w:tcPr>
                  <w:tcW w:w="886" w:type="dxa"/>
                  <w:vAlign w:val="center"/>
                </w:tcPr>
                <w:p w14:paraId="3ED0FC2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0.1427</w:t>
                  </w:r>
                </w:p>
              </w:tc>
              <w:tc>
                <w:tcPr>
                  <w:tcW w:w="701" w:type="dxa"/>
                  <w:vAlign w:val="center"/>
                </w:tcPr>
                <w:p w14:paraId="7266C447">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0.034</w:t>
                  </w:r>
                </w:p>
              </w:tc>
              <w:tc>
                <w:tcPr>
                  <w:tcW w:w="815" w:type="dxa"/>
                  <w:vAlign w:val="center"/>
                </w:tcPr>
                <w:p w14:paraId="6B84BCA5">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highlight w:val="yellow"/>
                    </w:rPr>
                  </w:pPr>
                  <w:r>
                    <w:rPr>
                      <w:rFonts w:hint="eastAsia" w:ascii="Times New Roman" w:hAnsi="Times New Roman"/>
                      <w:bCs/>
                      <w:color w:val="000000" w:themeColor="text1"/>
                      <w:sz w:val="21"/>
                      <w:szCs w:val="21"/>
                      <w14:textFill>
                        <w14:solidFill>
                          <w14:schemeClr w14:val="tx1"/>
                        </w14:solidFill>
                      </w14:textFill>
                    </w:rPr>
                    <w:t>1.13</w:t>
                  </w:r>
                </w:p>
              </w:tc>
            </w:tr>
          </w:tbl>
          <w:p w14:paraId="3C7B2CD0">
            <w:pPr>
              <w:pStyle w:val="20"/>
              <w:widowControl w:val="0"/>
              <w:kinsoku w:val="0"/>
              <w:wordWrap w:val="0"/>
              <w:autoSpaceDE w:val="0"/>
              <w:autoSpaceDN w:val="0"/>
              <w:adjustRightInd w:val="0"/>
              <w:snapToGrid w:val="0"/>
              <w:spacing w:before="0" w:beforeAutospacing="0" w:after="0" w:afterAutospacing="0"/>
              <w:jc w:val="center"/>
              <w:rPr>
                <w:rFonts w:hint="eastAsia"/>
                <w:b/>
                <w:bCs/>
                <w:szCs w:val="24"/>
              </w:rPr>
            </w:pPr>
            <w:r>
              <w:rPr>
                <w:rFonts w:hint="eastAsia" w:ascii="Times New Roman" w:hAnsi="Times New Roman"/>
                <w:b/>
                <w:bCs/>
                <w:szCs w:val="24"/>
              </w:rPr>
              <w:t>表</w:t>
            </w:r>
            <w:r>
              <w:rPr>
                <w:rFonts w:ascii="Times New Roman" w:hAnsi="Times New Roman"/>
                <w:b/>
                <w:bCs/>
                <w:szCs w:val="24"/>
              </w:rPr>
              <w:t>4-</w:t>
            </w:r>
            <w:r>
              <w:rPr>
                <w:rFonts w:hint="eastAsia" w:ascii="Times New Roman" w:hAnsi="Times New Roman"/>
                <w:b/>
                <w:bCs/>
                <w:szCs w:val="24"/>
              </w:rPr>
              <w:t>5</w:t>
            </w:r>
            <w:r>
              <w:rPr>
                <w:rFonts w:ascii="Times New Roman" w:hAnsi="Times New Roman"/>
                <w:b/>
                <w:bCs/>
                <w:szCs w:val="24"/>
              </w:rPr>
              <w:t xml:space="preserve">  </w:t>
            </w:r>
            <w:r>
              <w:rPr>
                <w:rFonts w:hint="eastAsia" w:ascii="Times New Roman" w:hAnsi="Times New Roman"/>
                <w:b/>
                <w:bCs/>
                <w:szCs w:val="24"/>
              </w:rPr>
              <w:t>大气污染物无组织排放量核算表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725"/>
              <w:gridCol w:w="636"/>
              <w:gridCol w:w="916"/>
              <w:gridCol w:w="969"/>
              <w:gridCol w:w="1125"/>
              <w:gridCol w:w="1122"/>
              <w:gridCol w:w="830"/>
              <w:gridCol w:w="931"/>
            </w:tblGrid>
            <w:tr w14:paraId="6BDE5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14:paraId="5C73053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序号</w:t>
                  </w:r>
                </w:p>
              </w:tc>
              <w:tc>
                <w:tcPr>
                  <w:tcW w:w="467" w:type="pct"/>
                  <w:vMerge w:val="restart"/>
                  <w:vAlign w:val="center"/>
                </w:tcPr>
                <w:p w14:paraId="439C377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排放口编号</w:t>
                  </w:r>
                </w:p>
              </w:tc>
              <w:tc>
                <w:tcPr>
                  <w:tcW w:w="384" w:type="pct"/>
                  <w:vMerge w:val="restart"/>
                  <w:vAlign w:val="center"/>
                </w:tcPr>
                <w:p w14:paraId="5B09CA2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产物环节</w:t>
                  </w:r>
                </w:p>
              </w:tc>
              <w:tc>
                <w:tcPr>
                  <w:tcW w:w="589" w:type="pct"/>
                  <w:vMerge w:val="restart"/>
                  <w:vAlign w:val="center"/>
                </w:tcPr>
                <w:p w14:paraId="219DB4F5">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污染物</w:t>
                  </w:r>
                </w:p>
              </w:tc>
              <w:tc>
                <w:tcPr>
                  <w:tcW w:w="622" w:type="pct"/>
                  <w:vMerge w:val="restart"/>
                  <w:vAlign w:val="center"/>
                </w:tcPr>
                <w:p w14:paraId="3A33CC9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主要污染防治措施</w:t>
                  </w:r>
                </w:p>
              </w:tc>
              <w:tc>
                <w:tcPr>
                  <w:tcW w:w="1442" w:type="pct"/>
                  <w:gridSpan w:val="2"/>
                  <w:vAlign w:val="center"/>
                </w:tcPr>
                <w:p w14:paraId="703D399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国家或地方污染物排放标准</w:t>
                  </w:r>
                </w:p>
              </w:tc>
              <w:tc>
                <w:tcPr>
                  <w:tcW w:w="533" w:type="pct"/>
                  <w:vMerge w:val="restart"/>
                  <w:vAlign w:val="center"/>
                </w:tcPr>
                <w:p w14:paraId="77D7232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color w:val="000000"/>
                      <w:sz w:val="21"/>
                      <w:szCs w:val="21"/>
                    </w:rPr>
                    <w:t>年排放量（t/a）</w:t>
                  </w:r>
                </w:p>
              </w:tc>
              <w:tc>
                <w:tcPr>
                  <w:tcW w:w="598" w:type="pct"/>
                  <w:vMerge w:val="restart"/>
                  <w:vAlign w:val="center"/>
                </w:tcPr>
                <w:p w14:paraId="136D86F0">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排放速率（kg/h）</w:t>
                  </w:r>
                </w:p>
              </w:tc>
            </w:tr>
            <w:tr w14:paraId="01704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4B94C81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467" w:type="pct"/>
                  <w:vMerge w:val="continue"/>
                  <w:vAlign w:val="center"/>
                </w:tcPr>
                <w:p w14:paraId="25CCC870">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384" w:type="pct"/>
                  <w:vMerge w:val="continue"/>
                  <w:vAlign w:val="center"/>
                </w:tcPr>
                <w:p w14:paraId="3C323F5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589" w:type="pct"/>
                  <w:vMerge w:val="continue"/>
                  <w:vAlign w:val="center"/>
                </w:tcPr>
                <w:p w14:paraId="6EB5A1F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622" w:type="pct"/>
                  <w:vMerge w:val="continue"/>
                  <w:vAlign w:val="center"/>
                </w:tcPr>
                <w:p w14:paraId="49141A2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722" w:type="pct"/>
                  <w:vAlign w:val="center"/>
                </w:tcPr>
                <w:p w14:paraId="233C7A07">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标准名称</w:t>
                  </w:r>
                </w:p>
              </w:tc>
              <w:tc>
                <w:tcPr>
                  <w:tcW w:w="720" w:type="pct"/>
                  <w:vAlign w:val="center"/>
                </w:tcPr>
                <w:p w14:paraId="62221DE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ascii="Times New Roman" w:hAnsi="Times New Roman"/>
                      <w:b/>
                      <w:bCs/>
                      <w:sz w:val="21"/>
                      <w:szCs w:val="21"/>
                      <w:u w:val="single"/>
                    </w:rPr>
                    <w:t>浓度限值（</w:t>
                  </w:r>
                  <w:r>
                    <w:rPr>
                      <w:rFonts w:ascii="Times New Roman" w:hAnsi="Times New Roman"/>
                      <w:b/>
                      <w:bCs/>
                      <w:snapToGrid w:val="0"/>
                      <w:sz w:val="21"/>
                      <w:szCs w:val="21"/>
                      <w:u w:val="single"/>
                    </w:rPr>
                    <w:t>mg/m</w:t>
                  </w:r>
                  <w:r>
                    <w:rPr>
                      <w:rFonts w:ascii="Times New Roman" w:hAnsi="Times New Roman"/>
                      <w:b/>
                      <w:bCs/>
                      <w:snapToGrid w:val="0"/>
                      <w:sz w:val="21"/>
                      <w:szCs w:val="21"/>
                      <w:u w:val="single"/>
                      <w:vertAlign w:val="superscript"/>
                    </w:rPr>
                    <w:t>3</w:t>
                  </w:r>
                  <w:r>
                    <w:rPr>
                      <w:rFonts w:ascii="Times New Roman" w:hAnsi="Times New Roman"/>
                      <w:b/>
                      <w:bCs/>
                      <w:sz w:val="21"/>
                      <w:szCs w:val="21"/>
                      <w:u w:val="single"/>
                    </w:rPr>
                    <w:t>）</w:t>
                  </w:r>
                </w:p>
              </w:tc>
              <w:tc>
                <w:tcPr>
                  <w:tcW w:w="533" w:type="pct"/>
                  <w:vMerge w:val="continue"/>
                  <w:vAlign w:val="center"/>
                </w:tcPr>
                <w:p w14:paraId="51E326E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c>
                <w:tcPr>
                  <w:tcW w:w="598" w:type="pct"/>
                  <w:vMerge w:val="continue"/>
                  <w:vAlign w:val="center"/>
                </w:tcPr>
                <w:p w14:paraId="1259286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p>
              </w:tc>
            </w:tr>
            <w:tr w14:paraId="1CB91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14:paraId="4C6ACB7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1</w:t>
                  </w:r>
                </w:p>
              </w:tc>
              <w:tc>
                <w:tcPr>
                  <w:tcW w:w="467" w:type="pct"/>
                  <w:vAlign w:val="center"/>
                </w:tcPr>
                <w:p w14:paraId="380BDDC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w:t>
                  </w:r>
                </w:p>
              </w:tc>
              <w:tc>
                <w:tcPr>
                  <w:tcW w:w="384" w:type="pct"/>
                  <w:vAlign w:val="center"/>
                </w:tcPr>
                <w:p w14:paraId="3A473EC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下料</w:t>
                  </w:r>
                </w:p>
              </w:tc>
              <w:tc>
                <w:tcPr>
                  <w:tcW w:w="589" w:type="pct"/>
                  <w:vAlign w:val="center"/>
                </w:tcPr>
                <w:p w14:paraId="5A3F65C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颗粒物</w:t>
                  </w:r>
                </w:p>
              </w:tc>
              <w:tc>
                <w:tcPr>
                  <w:tcW w:w="622" w:type="pct"/>
                  <w:vAlign w:val="center"/>
                </w:tcPr>
                <w:p w14:paraId="4D3154B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bCs/>
                      <w:color w:val="000000" w:themeColor="text1"/>
                      <w:sz w:val="21"/>
                      <w:szCs w:val="21"/>
                      <w14:textFill>
                        <w14:solidFill>
                          <w14:schemeClr w14:val="tx1"/>
                        </w14:solidFill>
                      </w14:textFill>
                    </w:rPr>
                    <w:t>移动袋式除尘</w:t>
                  </w:r>
                </w:p>
              </w:tc>
              <w:tc>
                <w:tcPr>
                  <w:tcW w:w="722" w:type="pct"/>
                  <w:vMerge w:val="restart"/>
                  <w:vAlign w:val="center"/>
                </w:tcPr>
                <w:p w14:paraId="788B07B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sz w:val="21"/>
                      <w:szCs w:val="21"/>
                    </w:rPr>
                    <w:t>《大气污染物综合排放标准》（GB16297-1996）</w:t>
                  </w:r>
                </w:p>
              </w:tc>
              <w:tc>
                <w:tcPr>
                  <w:tcW w:w="720" w:type="pct"/>
                  <w:vAlign w:val="center"/>
                </w:tcPr>
                <w:p w14:paraId="08B46D5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1</w:t>
                  </w:r>
                </w:p>
              </w:tc>
              <w:tc>
                <w:tcPr>
                  <w:tcW w:w="533" w:type="pct"/>
                  <w:vAlign w:val="center"/>
                </w:tcPr>
                <w:p w14:paraId="0CD2BB4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color w:val="000000"/>
                      <w:sz w:val="21"/>
                      <w:szCs w:val="21"/>
                    </w:rPr>
                    <w:t>2.2658</w:t>
                  </w:r>
                </w:p>
              </w:tc>
              <w:tc>
                <w:tcPr>
                  <w:tcW w:w="598" w:type="pct"/>
                  <w:vAlign w:val="center"/>
                </w:tcPr>
                <w:p w14:paraId="0B67807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 w:val="21"/>
                      <w:szCs w:val="21"/>
                    </w:rPr>
                  </w:pPr>
                  <w:r>
                    <w:rPr>
                      <w:rFonts w:hint="eastAsia" w:ascii="Times New Roman" w:hAnsi="Times New Roman"/>
                      <w:bCs/>
                      <w:color w:val="000000" w:themeColor="text1"/>
                      <w:sz w:val="21"/>
                      <w:szCs w:val="21"/>
                      <w14:textFill>
                        <w14:solidFill>
                          <w14:schemeClr w14:val="tx1"/>
                        </w14:solidFill>
                      </w14:textFill>
                    </w:rPr>
                    <w:t>0.809</w:t>
                  </w:r>
                </w:p>
              </w:tc>
            </w:tr>
            <w:tr w14:paraId="3C61C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14:paraId="02FE0F1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2</w:t>
                  </w:r>
                </w:p>
              </w:tc>
              <w:tc>
                <w:tcPr>
                  <w:tcW w:w="467" w:type="pct"/>
                  <w:vAlign w:val="center"/>
                </w:tcPr>
                <w:p w14:paraId="6795F07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w:t>
                  </w:r>
                </w:p>
              </w:tc>
              <w:tc>
                <w:tcPr>
                  <w:tcW w:w="384" w:type="pct"/>
                  <w:vAlign w:val="center"/>
                </w:tcPr>
                <w:p w14:paraId="7E381DB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bCs/>
                      <w:color w:val="000000" w:themeColor="text1"/>
                      <w:sz w:val="21"/>
                      <w:szCs w:val="21"/>
                      <w14:textFill>
                        <w14:solidFill>
                          <w14:schemeClr w14:val="tx1"/>
                        </w14:solidFill>
                      </w14:textFill>
                    </w:rPr>
                    <w:t>焊接</w:t>
                  </w:r>
                </w:p>
              </w:tc>
              <w:tc>
                <w:tcPr>
                  <w:tcW w:w="589" w:type="pct"/>
                  <w:vAlign w:val="center"/>
                </w:tcPr>
                <w:p w14:paraId="49D9D831">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颗粒物</w:t>
                  </w:r>
                </w:p>
              </w:tc>
              <w:tc>
                <w:tcPr>
                  <w:tcW w:w="622" w:type="pct"/>
                  <w:vAlign w:val="center"/>
                </w:tcPr>
                <w:p w14:paraId="4547A572">
                  <w:pPr>
                    <w:pStyle w:val="20"/>
                    <w:widowControl w:val="0"/>
                    <w:kinsoku w:val="0"/>
                    <w:wordWrap w:val="0"/>
                    <w:autoSpaceDE w:val="0"/>
                    <w:autoSpaceDN w:val="0"/>
                    <w:adjustRightInd w:val="0"/>
                    <w:snapToGrid w:val="0"/>
                    <w:spacing w:before="0" w:beforeAutospacing="0" w:after="0" w:afterAutospacing="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移动袋式除尘</w:t>
                  </w:r>
                </w:p>
              </w:tc>
              <w:tc>
                <w:tcPr>
                  <w:tcW w:w="722" w:type="pct"/>
                  <w:vMerge w:val="continue"/>
                  <w:vAlign w:val="center"/>
                </w:tcPr>
                <w:p w14:paraId="68A2D17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sz w:val="21"/>
                      <w:szCs w:val="21"/>
                    </w:rPr>
                  </w:pPr>
                </w:p>
              </w:tc>
              <w:tc>
                <w:tcPr>
                  <w:tcW w:w="720" w:type="pct"/>
                  <w:vAlign w:val="center"/>
                </w:tcPr>
                <w:p w14:paraId="494BA8C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1</w:t>
                  </w:r>
                </w:p>
              </w:tc>
              <w:tc>
                <w:tcPr>
                  <w:tcW w:w="533" w:type="pct"/>
                  <w:vAlign w:val="center"/>
                </w:tcPr>
                <w:p w14:paraId="7696207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0.180</w:t>
                  </w:r>
                </w:p>
              </w:tc>
              <w:tc>
                <w:tcPr>
                  <w:tcW w:w="598" w:type="pct"/>
                  <w:vAlign w:val="center"/>
                </w:tcPr>
                <w:p w14:paraId="7867ACE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0.064</w:t>
                  </w:r>
                </w:p>
              </w:tc>
            </w:tr>
            <w:tr w14:paraId="16B6D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5" w:type="pct"/>
                  <w:vAlign w:val="center"/>
                </w:tcPr>
                <w:p w14:paraId="0F54B08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3</w:t>
                  </w:r>
                </w:p>
              </w:tc>
              <w:tc>
                <w:tcPr>
                  <w:tcW w:w="467" w:type="pct"/>
                  <w:vAlign w:val="center"/>
                </w:tcPr>
                <w:p w14:paraId="3F0629E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w:t>
                  </w:r>
                </w:p>
              </w:tc>
              <w:tc>
                <w:tcPr>
                  <w:tcW w:w="384" w:type="pct"/>
                  <w:vAlign w:val="center"/>
                </w:tcPr>
                <w:p w14:paraId="6A8349F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bCs/>
                      <w:color w:val="000000" w:themeColor="text1"/>
                      <w:sz w:val="21"/>
                      <w:szCs w:val="21"/>
                      <w14:textFill>
                        <w14:solidFill>
                          <w14:schemeClr w14:val="tx1"/>
                        </w14:solidFill>
                      </w14:textFill>
                    </w:rPr>
                    <w:t>抛丸</w:t>
                  </w:r>
                </w:p>
              </w:tc>
              <w:tc>
                <w:tcPr>
                  <w:tcW w:w="589" w:type="pct"/>
                  <w:vAlign w:val="center"/>
                </w:tcPr>
                <w:p w14:paraId="49B9F6B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颗粒物</w:t>
                  </w:r>
                </w:p>
              </w:tc>
              <w:tc>
                <w:tcPr>
                  <w:tcW w:w="622" w:type="pct"/>
                  <w:vAlign w:val="center"/>
                </w:tcPr>
                <w:p w14:paraId="7E3A2D08">
                  <w:pPr>
                    <w:pStyle w:val="20"/>
                    <w:widowControl w:val="0"/>
                    <w:kinsoku w:val="0"/>
                    <w:wordWrap w:val="0"/>
                    <w:autoSpaceDE w:val="0"/>
                    <w:autoSpaceDN w:val="0"/>
                    <w:adjustRightInd w:val="0"/>
                    <w:snapToGrid w:val="0"/>
                    <w:spacing w:before="0" w:beforeAutospacing="0" w:after="0" w:afterAutospacing="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设备自带除尘设施</w:t>
                  </w:r>
                </w:p>
              </w:tc>
              <w:tc>
                <w:tcPr>
                  <w:tcW w:w="722" w:type="pct"/>
                  <w:vMerge w:val="continue"/>
                  <w:vAlign w:val="center"/>
                </w:tcPr>
                <w:p w14:paraId="18DE7D5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sz w:val="21"/>
                      <w:szCs w:val="21"/>
                    </w:rPr>
                  </w:pPr>
                </w:p>
              </w:tc>
              <w:tc>
                <w:tcPr>
                  <w:tcW w:w="720" w:type="pct"/>
                  <w:vAlign w:val="center"/>
                </w:tcPr>
                <w:p w14:paraId="2A7B997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1</w:t>
                  </w:r>
                </w:p>
              </w:tc>
              <w:tc>
                <w:tcPr>
                  <w:tcW w:w="533" w:type="pct"/>
                  <w:vAlign w:val="center"/>
                </w:tcPr>
                <w:p w14:paraId="62BB7E2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1.1936</w:t>
                  </w:r>
                </w:p>
              </w:tc>
              <w:tc>
                <w:tcPr>
                  <w:tcW w:w="598" w:type="pct"/>
                  <w:vAlign w:val="center"/>
                </w:tcPr>
                <w:p w14:paraId="4DE2F3F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0.426</w:t>
                  </w:r>
                </w:p>
              </w:tc>
            </w:tr>
            <w:tr w14:paraId="12445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65" w:type="pct"/>
                  <w:vMerge w:val="restart"/>
                  <w:vAlign w:val="center"/>
                </w:tcPr>
                <w:p w14:paraId="7FE06D1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4</w:t>
                  </w:r>
                </w:p>
              </w:tc>
              <w:tc>
                <w:tcPr>
                  <w:tcW w:w="467" w:type="pct"/>
                  <w:vMerge w:val="restart"/>
                  <w:vAlign w:val="center"/>
                </w:tcPr>
                <w:p w14:paraId="5FC61E5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w:t>
                  </w:r>
                </w:p>
              </w:tc>
              <w:tc>
                <w:tcPr>
                  <w:tcW w:w="384" w:type="pct"/>
                  <w:vMerge w:val="restart"/>
                  <w:vAlign w:val="center"/>
                </w:tcPr>
                <w:p w14:paraId="4E87BE4F">
                  <w:pPr>
                    <w:pStyle w:val="20"/>
                    <w:widowControl w:val="0"/>
                    <w:kinsoku w:val="0"/>
                    <w:wordWrap w:val="0"/>
                    <w:autoSpaceDE w:val="0"/>
                    <w:autoSpaceDN w:val="0"/>
                    <w:adjustRightInd w:val="0"/>
                    <w:snapToGrid w:val="0"/>
                    <w:spacing w:before="0" w:beforeAutospacing="0" w:after="0" w:afterAutospacing="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喷漆、晾干</w:t>
                  </w:r>
                </w:p>
              </w:tc>
              <w:tc>
                <w:tcPr>
                  <w:tcW w:w="589" w:type="pct"/>
                  <w:vAlign w:val="center"/>
                </w:tcPr>
                <w:p w14:paraId="489CC57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颗粒物</w:t>
                  </w:r>
                </w:p>
              </w:tc>
              <w:tc>
                <w:tcPr>
                  <w:tcW w:w="622" w:type="pct"/>
                  <w:vMerge w:val="restart"/>
                  <w:vAlign w:val="center"/>
                </w:tcPr>
                <w:p w14:paraId="414FA41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bCs/>
                      <w:color w:val="000000" w:themeColor="text1"/>
                      <w:sz w:val="21"/>
                      <w:szCs w:val="21"/>
                      <w14:textFill>
                        <w14:solidFill>
                          <w14:schemeClr w14:val="tx1"/>
                        </w14:solidFill>
                      </w14:textFill>
                    </w:rPr>
                    <w:t>有机废气采取密闭收集</w:t>
                  </w:r>
                </w:p>
              </w:tc>
              <w:tc>
                <w:tcPr>
                  <w:tcW w:w="722" w:type="pct"/>
                  <w:vMerge w:val="continue"/>
                  <w:vAlign w:val="center"/>
                </w:tcPr>
                <w:p w14:paraId="2756117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720" w:type="pct"/>
                  <w:vAlign w:val="center"/>
                </w:tcPr>
                <w:p w14:paraId="2BE8F4A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1</w:t>
                  </w:r>
                </w:p>
              </w:tc>
              <w:tc>
                <w:tcPr>
                  <w:tcW w:w="533" w:type="pct"/>
                  <w:vAlign w:val="center"/>
                </w:tcPr>
                <w:p w14:paraId="22FE45C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0.5594</w:t>
                  </w:r>
                </w:p>
              </w:tc>
              <w:tc>
                <w:tcPr>
                  <w:tcW w:w="598" w:type="pct"/>
                  <w:vAlign w:val="center"/>
                </w:tcPr>
                <w:p w14:paraId="0FC84D2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0.133</w:t>
                  </w:r>
                </w:p>
              </w:tc>
            </w:tr>
            <w:tr w14:paraId="6212A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65" w:type="pct"/>
                  <w:vMerge w:val="continue"/>
                  <w:vAlign w:val="center"/>
                </w:tcPr>
                <w:p w14:paraId="634F286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467" w:type="pct"/>
                  <w:vMerge w:val="continue"/>
                  <w:vAlign w:val="center"/>
                </w:tcPr>
                <w:p w14:paraId="6ECEA2F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384" w:type="pct"/>
                  <w:vMerge w:val="continue"/>
                  <w:vAlign w:val="center"/>
                </w:tcPr>
                <w:p w14:paraId="084F58AB">
                  <w:pPr>
                    <w:pStyle w:val="20"/>
                    <w:widowControl w:val="0"/>
                    <w:kinsoku w:val="0"/>
                    <w:wordWrap w:val="0"/>
                    <w:autoSpaceDE w:val="0"/>
                    <w:autoSpaceDN w:val="0"/>
                    <w:adjustRightInd w:val="0"/>
                    <w:snapToGrid w:val="0"/>
                    <w:spacing w:before="0" w:beforeAutospacing="0" w:after="0" w:afterAutospacing="0"/>
                    <w:jc w:val="center"/>
                    <w:rPr>
                      <w:rFonts w:hint="eastAsia"/>
                      <w:bCs/>
                      <w:color w:val="000000" w:themeColor="text1"/>
                      <w:sz w:val="21"/>
                      <w:szCs w:val="21"/>
                      <w14:textFill>
                        <w14:solidFill>
                          <w14:schemeClr w14:val="tx1"/>
                        </w14:solidFill>
                      </w14:textFill>
                    </w:rPr>
                  </w:pPr>
                </w:p>
              </w:tc>
              <w:tc>
                <w:tcPr>
                  <w:tcW w:w="589" w:type="pct"/>
                  <w:vAlign w:val="center"/>
                </w:tcPr>
                <w:p w14:paraId="670957B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VOCs</w:t>
                  </w:r>
                </w:p>
              </w:tc>
              <w:tc>
                <w:tcPr>
                  <w:tcW w:w="622" w:type="pct"/>
                  <w:vMerge w:val="continue"/>
                  <w:vAlign w:val="center"/>
                </w:tcPr>
                <w:p w14:paraId="6C77A94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722" w:type="pct"/>
                  <w:vAlign w:val="center"/>
                </w:tcPr>
                <w:p w14:paraId="45A6DF4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sz w:val="21"/>
                      <w:szCs w:val="21"/>
                    </w:rPr>
                    <w:t>《表面涂装（汽车制造及维修）挥发性有机物、镍排放标准》（DB43/1356-2017）</w:t>
                  </w:r>
                </w:p>
              </w:tc>
              <w:tc>
                <w:tcPr>
                  <w:tcW w:w="720" w:type="pct"/>
                  <w:vAlign w:val="center"/>
                </w:tcPr>
                <w:p w14:paraId="2DD0FE8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2</w:t>
                  </w:r>
                </w:p>
              </w:tc>
              <w:tc>
                <w:tcPr>
                  <w:tcW w:w="533" w:type="pct"/>
                  <w:vAlign w:val="center"/>
                </w:tcPr>
                <w:p w14:paraId="45C0BF4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0.2854</w:t>
                  </w:r>
                </w:p>
              </w:tc>
              <w:tc>
                <w:tcPr>
                  <w:tcW w:w="598" w:type="pct"/>
                  <w:vAlign w:val="center"/>
                </w:tcPr>
                <w:p w14:paraId="0E760E6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0.068</w:t>
                  </w:r>
                </w:p>
              </w:tc>
            </w:tr>
            <w:tr w14:paraId="150D1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0013DCD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无组织排放</w:t>
                  </w:r>
                </w:p>
              </w:tc>
            </w:tr>
            <w:tr w14:paraId="5DEC6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5" w:type="pct"/>
                  <w:gridSpan w:val="4"/>
                  <w:vMerge w:val="restart"/>
                  <w:vAlign w:val="center"/>
                </w:tcPr>
                <w:p w14:paraId="320A3B8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无组织排放量总计</w:t>
                  </w:r>
                </w:p>
              </w:tc>
              <w:tc>
                <w:tcPr>
                  <w:tcW w:w="2064" w:type="pct"/>
                  <w:gridSpan w:val="3"/>
                  <w:vAlign w:val="center"/>
                </w:tcPr>
                <w:p w14:paraId="4D9B952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颗粒物</w:t>
                  </w:r>
                </w:p>
              </w:tc>
              <w:tc>
                <w:tcPr>
                  <w:tcW w:w="533" w:type="pct"/>
                  <w:vAlign w:val="center"/>
                </w:tcPr>
                <w:p w14:paraId="64B6471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4.1988</w:t>
                  </w:r>
                </w:p>
              </w:tc>
              <w:tc>
                <w:tcPr>
                  <w:tcW w:w="598" w:type="pct"/>
                  <w:vAlign w:val="center"/>
                </w:tcPr>
                <w:p w14:paraId="3FD15D13">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color w:val="000000"/>
                      <w:sz w:val="21"/>
                      <w:szCs w:val="21"/>
                    </w:rPr>
                    <w:t>1.432</w:t>
                  </w:r>
                </w:p>
              </w:tc>
            </w:tr>
            <w:tr w14:paraId="39D16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05" w:type="pct"/>
                  <w:gridSpan w:val="4"/>
                  <w:vMerge w:val="continue"/>
                  <w:vAlign w:val="center"/>
                </w:tcPr>
                <w:p w14:paraId="51FB34B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p>
              </w:tc>
              <w:tc>
                <w:tcPr>
                  <w:tcW w:w="2064" w:type="pct"/>
                  <w:gridSpan w:val="3"/>
                  <w:vAlign w:val="center"/>
                </w:tcPr>
                <w:p w14:paraId="2D2287E8">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VOCs</w:t>
                  </w:r>
                </w:p>
              </w:tc>
              <w:tc>
                <w:tcPr>
                  <w:tcW w:w="830" w:type="dxa"/>
                  <w:vAlign w:val="center"/>
                </w:tcPr>
                <w:p w14:paraId="20C49BE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0.2854</w:t>
                  </w:r>
                </w:p>
              </w:tc>
              <w:tc>
                <w:tcPr>
                  <w:tcW w:w="931" w:type="dxa"/>
                  <w:vAlign w:val="center"/>
                </w:tcPr>
                <w:p w14:paraId="319EF2B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color w:val="000000"/>
                      <w:sz w:val="21"/>
                      <w:szCs w:val="21"/>
                    </w:rPr>
                  </w:pPr>
                  <w:r>
                    <w:rPr>
                      <w:rFonts w:hint="eastAsia" w:ascii="Times New Roman" w:hAnsi="Times New Roman"/>
                      <w:bCs/>
                      <w:color w:val="000000" w:themeColor="text1"/>
                      <w:sz w:val="21"/>
                      <w:szCs w:val="21"/>
                      <w14:textFill>
                        <w14:solidFill>
                          <w14:schemeClr w14:val="tx1"/>
                        </w14:solidFill>
                      </w14:textFill>
                    </w:rPr>
                    <w:t>0.068</w:t>
                  </w:r>
                </w:p>
              </w:tc>
            </w:tr>
          </w:tbl>
          <w:p w14:paraId="323A9D85">
            <w:pPr>
              <w:pStyle w:val="66"/>
              <w:spacing w:before="156"/>
              <w:ind w:firstLine="480"/>
              <w:rPr>
                <w:sz w:val="24"/>
                <w:szCs w:val="24"/>
              </w:rPr>
            </w:pPr>
            <w:r>
              <w:rPr>
                <w:rFonts w:hint="eastAsia"/>
                <w:sz w:val="24"/>
                <w:szCs w:val="24"/>
              </w:rPr>
              <w:t>表</w:t>
            </w:r>
            <w:r>
              <w:rPr>
                <w:sz w:val="24"/>
                <w:szCs w:val="24"/>
              </w:rPr>
              <w:t>4-</w:t>
            </w:r>
            <w:r>
              <w:rPr>
                <w:rFonts w:hint="eastAsia"/>
                <w:sz w:val="24"/>
                <w:szCs w:val="24"/>
              </w:rPr>
              <w:t>6  大气污染物年排放量核算表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595"/>
              <w:gridCol w:w="2629"/>
            </w:tblGrid>
            <w:tr w14:paraId="25FBB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660" w:type="pct"/>
                  <w:vAlign w:val="center"/>
                </w:tcPr>
                <w:p w14:paraId="0DB9C911">
                  <w:pPr>
                    <w:pStyle w:val="64"/>
                    <w:rPr>
                      <w:b/>
                      <w:bCs/>
                      <w:u w:val="single"/>
                    </w:rPr>
                  </w:pPr>
                  <w:r>
                    <w:rPr>
                      <w:b/>
                      <w:bCs/>
                      <w:u w:val="single"/>
                    </w:rPr>
                    <w:t>序号</w:t>
                  </w:r>
                </w:p>
              </w:tc>
              <w:tc>
                <w:tcPr>
                  <w:tcW w:w="1659" w:type="pct"/>
                  <w:vAlign w:val="center"/>
                </w:tcPr>
                <w:p w14:paraId="2B634B2C">
                  <w:pPr>
                    <w:pStyle w:val="64"/>
                    <w:rPr>
                      <w:b/>
                      <w:bCs/>
                      <w:u w:val="single"/>
                    </w:rPr>
                  </w:pPr>
                  <w:r>
                    <w:rPr>
                      <w:b/>
                      <w:bCs/>
                      <w:u w:val="single"/>
                    </w:rPr>
                    <w:t>污染物</w:t>
                  </w:r>
                </w:p>
              </w:tc>
              <w:tc>
                <w:tcPr>
                  <w:tcW w:w="1681" w:type="pct"/>
                  <w:vAlign w:val="center"/>
                </w:tcPr>
                <w:p w14:paraId="1B47A117">
                  <w:pPr>
                    <w:pStyle w:val="64"/>
                    <w:rPr>
                      <w:b/>
                      <w:bCs/>
                      <w:u w:val="single"/>
                    </w:rPr>
                  </w:pPr>
                  <w:r>
                    <w:rPr>
                      <w:b/>
                      <w:bCs/>
                      <w:u w:val="single"/>
                    </w:rPr>
                    <w:t>年排放量（t/a）</w:t>
                  </w:r>
                </w:p>
              </w:tc>
            </w:tr>
            <w:tr w14:paraId="231CB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0" w:type="pct"/>
                  <w:vAlign w:val="center"/>
                </w:tcPr>
                <w:p w14:paraId="45544C81">
                  <w:pPr>
                    <w:pStyle w:val="64"/>
                  </w:pPr>
                  <w:r>
                    <w:t>1</w:t>
                  </w:r>
                </w:p>
              </w:tc>
              <w:tc>
                <w:tcPr>
                  <w:tcW w:w="1659" w:type="pct"/>
                  <w:vAlign w:val="center"/>
                </w:tcPr>
                <w:p w14:paraId="4E07BD24">
                  <w:pPr>
                    <w:pStyle w:val="64"/>
                  </w:pPr>
                  <w:r>
                    <w:rPr>
                      <w:rFonts w:hint="eastAsia"/>
                    </w:rPr>
                    <w:t>颗粒物</w:t>
                  </w:r>
                </w:p>
              </w:tc>
              <w:tc>
                <w:tcPr>
                  <w:tcW w:w="1681" w:type="pct"/>
                  <w:vAlign w:val="center"/>
                </w:tcPr>
                <w:p w14:paraId="19EFE479">
                  <w:pPr>
                    <w:pStyle w:val="64"/>
                    <w:rPr>
                      <w:spacing w:val="6"/>
                      <w:u w:val="single"/>
                    </w:rPr>
                  </w:pPr>
                  <w:r>
                    <w:rPr>
                      <w:rFonts w:hint="eastAsia"/>
                      <w:kern w:val="0"/>
                      <w:szCs w:val="21"/>
                    </w:rPr>
                    <w:t>4.4225</w:t>
                  </w:r>
                </w:p>
              </w:tc>
            </w:tr>
            <w:tr w14:paraId="59203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0" w:type="pct"/>
                  <w:vAlign w:val="center"/>
                </w:tcPr>
                <w:p w14:paraId="20181C6B">
                  <w:pPr>
                    <w:pStyle w:val="64"/>
                  </w:pPr>
                  <w:r>
                    <w:t>2</w:t>
                  </w:r>
                </w:p>
              </w:tc>
              <w:tc>
                <w:tcPr>
                  <w:tcW w:w="1659" w:type="pct"/>
                  <w:vAlign w:val="center"/>
                </w:tcPr>
                <w:p w14:paraId="5806F1DD">
                  <w:pPr>
                    <w:pStyle w:val="64"/>
                  </w:pPr>
                  <w:r>
                    <w:rPr>
                      <w:rFonts w:hint="eastAsia"/>
                    </w:rPr>
                    <w:t>NMHC</w:t>
                  </w:r>
                </w:p>
              </w:tc>
              <w:tc>
                <w:tcPr>
                  <w:tcW w:w="1681" w:type="pct"/>
                  <w:vAlign w:val="center"/>
                </w:tcPr>
                <w:p w14:paraId="1D797F95">
                  <w:pPr>
                    <w:pStyle w:val="64"/>
                    <w:rPr>
                      <w:spacing w:val="6"/>
                      <w:u w:val="single"/>
                    </w:rPr>
                  </w:pPr>
                  <w:r>
                    <w:rPr>
                      <w:rFonts w:hint="eastAsia"/>
                      <w:kern w:val="0"/>
                      <w:szCs w:val="21"/>
                    </w:rPr>
                    <w:t>0.4281</w:t>
                  </w:r>
                </w:p>
              </w:tc>
            </w:tr>
          </w:tbl>
          <w:p w14:paraId="440C1717">
            <w:pPr>
              <w:pStyle w:val="66"/>
              <w:spacing w:before="156"/>
              <w:ind w:firstLine="480"/>
              <w:rPr>
                <w:sz w:val="24"/>
                <w:szCs w:val="24"/>
              </w:rPr>
            </w:pPr>
            <w:r>
              <w:rPr>
                <w:rFonts w:hint="eastAsia"/>
                <w:sz w:val="24"/>
                <w:szCs w:val="24"/>
              </w:rPr>
              <w:t>表4-7  大气污染物非正常排放核算表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744"/>
              <w:gridCol w:w="1744"/>
              <w:gridCol w:w="1745"/>
              <w:gridCol w:w="1747"/>
            </w:tblGrid>
            <w:tr w14:paraId="1D101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1EDEA639">
                  <w:pPr>
                    <w:pStyle w:val="64"/>
                    <w:rPr>
                      <w:b/>
                      <w:bCs/>
                    </w:rPr>
                  </w:pPr>
                  <w:r>
                    <w:rPr>
                      <w:b/>
                      <w:bCs/>
                    </w:rPr>
                    <w:t>序号</w:t>
                  </w:r>
                </w:p>
              </w:tc>
              <w:tc>
                <w:tcPr>
                  <w:tcW w:w="1744" w:type="dxa"/>
                  <w:vAlign w:val="center"/>
                </w:tcPr>
                <w:p w14:paraId="5E9B9C84">
                  <w:pPr>
                    <w:pStyle w:val="64"/>
                    <w:rPr>
                      <w:b/>
                      <w:bCs/>
                    </w:rPr>
                  </w:pPr>
                  <w:r>
                    <w:rPr>
                      <w:b/>
                      <w:bCs/>
                    </w:rPr>
                    <w:t>污染物</w:t>
                  </w:r>
                </w:p>
              </w:tc>
              <w:tc>
                <w:tcPr>
                  <w:tcW w:w="1744" w:type="dxa"/>
                  <w:vAlign w:val="center"/>
                </w:tcPr>
                <w:p w14:paraId="12D05C8E">
                  <w:pPr>
                    <w:pStyle w:val="64"/>
                    <w:rPr>
                      <w:b/>
                      <w:bCs/>
                    </w:rPr>
                  </w:pPr>
                  <w:r>
                    <w:rPr>
                      <w:b/>
                      <w:bCs/>
                    </w:rPr>
                    <w:t>年排放量（t/a）</w:t>
                  </w:r>
                </w:p>
              </w:tc>
              <w:tc>
                <w:tcPr>
                  <w:tcW w:w="1745" w:type="dxa"/>
                  <w:vAlign w:val="center"/>
                </w:tcPr>
                <w:p w14:paraId="5E7B7CF0">
                  <w:pPr>
                    <w:pStyle w:val="64"/>
                    <w:rPr>
                      <w:b/>
                      <w:bCs/>
                    </w:rPr>
                  </w:pPr>
                  <w:r>
                    <w:rPr>
                      <w:rFonts w:hint="eastAsia"/>
                      <w:b/>
                      <w:bCs/>
                    </w:rPr>
                    <w:t>排放速率（kg/h）</w:t>
                  </w:r>
                </w:p>
              </w:tc>
              <w:tc>
                <w:tcPr>
                  <w:tcW w:w="1747" w:type="dxa"/>
                  <w:vAlign w:val="center"/>
                </w:tcPr>
                <w:p w14:paraId="4274FCB9">
                  <w:pPr>
                    <w:pStyle w:val="64"/>
                    <w:rPr>
                      <w:b/>
                      <w:bCs/>
                    </w:rPr>
                  </w:pPr>
                  <w:r>
                    <w:rPr>
                      <w:rFonts w:hint="eastAsia"/>
                      <w:b/>
                      <w:bCs/>
                    </w:rPr>
                    <w:t>排放浓度（mg/m</w:t>
                  </w:r>
                  <w:r>
                    <w:rPr>
                      <w:b/>
                      <w:bCs/>
                      <w:vertAlign w:val="superscript"/>
                    </w:rPr>
                    <w:t>3</w:t>
                  </w:r>
                  <w:r>
                    <w:rPr>
                      <w:rFonts w:hint="eastAsia"/>
                      <w:b/>
                      <w:bCs/>
                    </w:rPr>
                    <w:t>）</w:t>
                  </w:r>
                </w:p>
              </w:tc>
            </w:tr>
            <w:tr w14:paraId="07223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0" w:type="dxa"/>
                  <w:vAlign w:val="center"/>
                </w:tcPr>
                <w:p w14:paraId="0C563A20">
                  <w:pPr>
                    <w:pStyle w:val="64"/>
                  </w:pPr>
                  <w:r>
                    <w:t>1</w:t>
                  </w:r>
                </w:p>
              </w:tc>
              <w:tc>
                <w:tcPr>
                  <w:tcW w:w="1744" w:type="dxa"/>
                  <w:vAlign w:val="center"/>
                </w:tcPr>
                <w:p w14:paraId="63008A81">
                  <w:pPr>
                    <w:pStyle w:val="64"/>
                  </w:pPr>
                  <w:r>
                    <w:rPr>
                      <w:rFonts w:hint="eastAsia"/>
                    </w:rPr>
                    <w:t>颗粒物</w:t>
                  </w:r>
                </w:p>
              </w:tc>
              <w:tc>
                <w:tcPr>
                  <w:tcW w:w="1744" w:type="dxa"/>
                  <w:vAlign w:val="center"/>
                </w:tcPr>
                <w:p w14:paraId="26CE6F80">
                  <w:pPr>
                    <w:pStyle w:val="64"/>
                    <w:rPr>
                      <w:u w:val="single"/>
                    </w:rPr>
                  </w:pPr>
                  <w:r>
                    <w:rPr>
                      <w:rFonts w:hint="eastAsia"/>
                      <w:bCs/>
                      <w:color w:val="000000" w:themeColor="text1"/>
                      <w:szCs w:val="21"/>
                      <w14:textFill>
                        <w14:solidFill>
                          <w14:schemeClr w14:val="tx1"/>
                        </w14:solidFill>
                      </w14:textFill>
                    </w:rPr>
                    <w:t>2.7969</w:t>
                  </w:r>
                </w:p>
              </w:tc>
              <w:tc>
                <w:tcPr>
                  <w:tcW w:w="1745" w:type="dxa"/>
                  <w:vAlign w:val="center"/>
                </w:tcPr>
                <w:p w14:paraId="589845E9">
                  <w:pPr>
                    <w:pStyle w:val="64"/>
                    <w:rPr>
                      <w:u w:val="single"/>
                    </w:rPr>
                  </w:pPr>
                  <w:r>
                    <w:rPr>
                      <w:rFonts w:hint="eastAsia"/>
                      <w:color w:val="000000" w:themeColor="text1"/>
                      <w:szCs w:val="21"/>
                      <w14:textFill>
                        <w14:solidFill>
                          <w14:schemeClr w14:val="tx1"/>
                        </w14:solidFill>
                      </w14:textFill>
                    </w:rPr>
                    <w:t>2.664</w:t>
                  </w:r>
                </w:p>
              </w:tc>
              <w:tc>
                <w:tcPr>
                  <w:tcW w:w="1747" w:type="dxa"/>
                  <w:vAlign w:val="center"/>
                </w:tcPr>
                <w:p w14:paraId="64BECF43">
                  <w:pPr>
                    <w:pStyle w:val="64"/>
                    <w:rPr>
                      <w:u w:val="single"/>
                    </w:rPr>
                  </w:pPr>
                  <w:r>
                    <w:rPr>
                      <w:rFonts w:hint="eastAsia"/>
                      <w:color w:val="000000" w:themeColor="text1"/>
                      <w:szCs w:val="21"/>
                      <w14:textFill>
                        <w14:solidFill>
                          <w14:schemeClr w14:val="tx1"/>
                        </w14:solidFill>
                      </w14:textFill>
                    </w:rPr>
                    <w:t>88.8</w:t>
                  </w:r>
                </w:p>
              </w:tc>
            </w:tr>
            <w:tr w14:paraId="4563E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0" w:type="dxa"/>
                  <w:vAlign w:val="center"/>
                </w:tcPr>
                <w:p w14:paraId="45F6624F">
                  <w:pPr>
                    <w:pStyle w:val="64"/>
                  </w:pPr>
                  <w:r>
                    <w:t>2</w:t>
                  </w:r>
                </w:p>
              </w:tc>
              <w:tc>
                <w:tcPr>
                  <w:tcW w:w="1744" w:type="dxa"/>
                  <w:vAlign w:val="center"/>
                </w:tcPr>
                <w:p w14:paraId="18264632">
                  <w:pPr>
                    <w:pStyle w:val="64"/>
                  </w:pPr>
                  <w:r>
                    <w:rPr>
                      <w:rFonts w:hint="eastAsia"/>
                    </w:rPr>
                    <w:t>NMHC</w:t>
                  </w:r>
                </w:p>
              </w:tc>
              <w:tc>
                <w:tcPr>
                  <w:tcW w:w="1744" w:type="dxa"/>
                  <w:vAlign w:val="center"/>
                </w:tcPr>
                <w:p w14:paraId="0F5FA94F">
                  <w:pPr>
                    <w:pStyle w:val="64"/>
                    <w:rPr>
                      <w:u w:val="single"/>
                    </w:rPr>
                  </w:pPr>
                  <w:r>
                    <w:rPr>
                      <w:rFonts w:hint="eastAsia"/>
                      <w:bCs/>
                      <w:color w:val="000000" w:themeColor="text1"/>
                      <w:szCs w:val="21"/>
                      <w14:textFill>
                        <w14:solidFill>
                          <w14:schemeClr w14:val="tx1"/>
                        </w14:solidFill>
                      </w14:textFill>
                    </w:rPr>
                    <w:t>1.427</w:t>
                  </w:r>
                </w:p>
              </w:tc>
              <w:tc>
                <w:tcPr>
                  <w:tcW w:w="1745" w:type="dxa"/>
                  <w:vAlign w:val="center"/>
                </w:tcPr>
                <w:p w14:paraId="63EEF791">
                  <w:pPr>
                    <w:pStyle w:val="64"/>
                    <w:rPr>
                      <w:u w:val="single"/>
                    </w:rPr>
                  </w:pPr>
                  <w:r>
                    <w:rPr>
                      <w:rFonts w:hint="eastAsia"/>
                      <w:color w:val="000000" w:themeColor="text1"/>
                      <w:szCs w:val="21"/>
                      <w14:textFill>
                        <w14:solidFill>
                          <w14:schemeClr w14:val="tx1"/>
                        </w14:solidFill>
                      </w14:textFill>
                    </w:rPr>
                    <w:t>0.816</w:t>
                  </w:r>
                </w:p>
              </w:tc>
              <w:tc>
                <w:tcPr>
                  <w:tcW w:w="1747" w:type="dxa"/>
                  <w:vAlign w:val="center"/>
                </w:tcPr>
                <w:p w14:paraId="619C5489">
                  <w:pPr>
                    <w:pStyle w:val="64"/>
                    <w:rPr>
                      <w:u w:val="single"/>
                    </w:rPr>
                  </w:pPr>
                  <w:r>
                    <w:rPr>
                      <w:rFonts w:hint="eastAsia"/>
                      <w:color w:val="000000" w:themeColor="text1"/>
                      <w:szCs w:val="21"/>
                      <w14:textFill>
                        <w14:solidFill>
                          <w14:schemeClr w14:val="tx1"/>
                        </w14:solidFill>
                      </w14:textFill>
                    </w:rPr>
                    <w:t>27.2</w:t>
                  </w:r>
                </w:p>
              </w:tc>
            </w:tr>
          </w:tbl>
          <w:p w14:paraId="242D2631">
            <w:pPr>
              <w:pStyle w:val="20"/>
              <w:widowControl w:val="0"/>
              <w:kinsoku w:val="0"/>
              <w:wordWrap w:val="0"/>
              <w:autoSpaceDE w:val="0"/>
              <w:autoSpaceDN w:val="0"/>
              <w:adjustRightInd w:val="0"/>
              <w:snapToGrid w:val="0"/>
              <w:spacing w:before="0" w:beforeAutospacing="0" w:after="0" w:afterAutospacing="0" w:line="360" w:lineRule="auto"/>
              <w:jc w:val="both"/>
              <w:rPr>
                <w:rFonts w:hint="eastAsia" w:cs="宋体"/>
                <w:b/>
                <w:bCs/>
                <w:snapToGrid w:val="0"/>
                <w:szCs w:val="24"/>
              </w:rPr>
            </w:pPr>
            <w:r>
              <w:rPr>
                <w:rFonts w:cs="宋体"/>
                <w:b/>
                <w:bCs/>
                <w:snapToGrid w:val="0"/>
                <w:szCs w:val="24"/>
              </w:rPr>
              <w:t>3</w:t>
            </w:r>
            <w:r>
              <w:rPr>
                <w:rFonts w:hint="eastAsia" w:cs="宋体"/>
                <w:b/>
                <w:bCs/>
                <w:snapToGrid w:val="0"/>
                <w:szCs w:val="24"/>
              </w:rPr>
              <w:t>、废气污染防治措施可行性分析</w:t>
            </w:r>
          </w:p>
          <w:p w14:paraId="731EE6C3">
            <w:pPr>
              <w:pStyle w:val="7"/>
              <w:widowControl w:val="0"/>
              <w:kinsoku w:val="0"/>
              <w:wordWrap w:val="0"/>
              <w:autoSpaceDE w:val="0"/>
              <w:autoSpaceDN w:val="0"/>
              <w:adjustRightInd w:val="0"/>
              <w:spacing w:before="0" w:after="0" w:line="360" w:lineRule="auto"/>
              <w:ind w:right="0" w:firstLine="480" w:firstLineChars="200"/>
              <w:rPr>
                <w:color w:val="000000"/>
                <w:sz w:val="24"/>
                <w:szCs w:val="24"/>
                <w:u w:val="single"/>
              </w:rPr>
            </w:pPr>
            <w:r>
              <w:rPr>
                <w:rFonts w:hint="eastAsia"/>
                <w:color w:val="000000"/>
                <w:sz w:val="24"/>
                <w:szCs w:val="24"/>
                <w:u w:val="single"/>
              </w:rPr>
              <w:t>（1）对照《排污许可证申请与核发技术规范铁路、船舶、航空航天和其他运输设备制造业》（HJ1124-2020）中污染防治可行技术，对照结果详见下表。</w:t>
            </w:r>
          </w:p>
          <w:p w14:paraId="0387B331">
            <w:pPr>
              <w:pStyle w:val="7"/>
              <w:widowControl w:val="0"/>
              <w:kinsoku w:val="0"/>
              <w:wordWrap w:val="0"/>
              <w:autoSpaceDE w:val="0"/>
              <w:autoSpaceDN w:val="0"/>
              <w:adjustRightInd w:val="0"/>
              <w:spacing w:before="0" w:after="0" w:line="240" w:lineRule="auto"/>
              <w:ind w:right="0"/>
              <w:jc w:val="center"/>
              <w:rPr>
                <w:color w:val="000000"/>
                <w:sz w:val="24"/>
                <w:szCs w:val="24"/>
                <w:u w:val="single"/>
              </w:rPr>
            </w:pPr>
            <w:r>
              <w:rPr>
                <w:rFonts w:hint="eastAsia"/>
                <w:b/>
                <w:bCs/>
                <w:color w:val="000000"/>
                <w:sz w:val="24"/>
                <w:szCs w:val="24"/>
                <w:u w:val="single"/>
              </w:rPr>
              <w:t>表4-8  项目废气治理措施可行性对照表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515"/>
              <w:gridCol w:w="2010"/>
              <w:gridCol w:w="1463"/>
              <w:gridCol w:w="1564"/>
            </w:tblGrid>
            <w:tr w14:paraId="2AD70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8" w:type="dxa"/>
                  <w:tcBorders>
                    <w:tl2br w:val="nil"/>
                    <w:tr2bl w:val="nil"/>
                  </w:tcBorders>
                  <w:vAlign w:val="center"/>
                </w:tcPr>
                <w:p w14:paraId="07F20518">
                  <w:pPr>
                    <w:pStyle w:val="7"/>
                    <w:widowControl w:val="0"/>
                    <w:kinsoku w:val="0"/>
                    <w:wordWrap w:val="0"/>
                    <w:autoSpaceDE w:val="0"/>
                    <w:autoSpaceDN w:val="0"/>
                    <w:adjustRightInd w:val="0"/>
                    <w:spacing w:before="0" w:after="0" w:line="240" w:lineRule="auto"/>
                    <w:ind w:right="0"/>
                    <w:jc w:val="center"/>
                    <w:rPr>
                      <w:b/>
                      <w:bCs/>
                      <w:color w:val="000000"/>
                      <w:sz w:val="21"/>
                      <w:szCs w:val="21"/>
                      <w:u w:val="single"/>
                    </w:rPr>
                  </w:pPr>
                  <w:r>
                    <w:rPr>
                      <w:rFonts w:hint="eastAsia"/>
                      <w:b/>
                      <w:bCs/>
                      <w:color w:val="000000"/>
                      <w:sz w:val="21"/>
                      <w:szCs w:val="21"/>
                      <w:u w:val="single"/>
                    </w:rPr>
                    <w:t>生产工序</w:t>
                  </w:r>
                </w:p>
              </w:tc>
              <w:tc>
                <w:tcPr>
                  <w:tcW w:w="1515" w:type="dxa"/>
                  <w:tcBorders>
                    <w:tl2br w:val="nil"/>
                    <w:tr2bl w:val="nil"/>
                  </w:tcBorders>
                  <w:vAlign w:val="center"/>
                </w:tcPr>
                <w:p w14:paraId="6ABA1639">
                  <w:pPr>
                    <w:pStyle w:val="7"/>
                    <w:widowControl w:val="0"/>
                    <w:kinsoku w:val="0"/>
                    <w:wordWrap w:val="0"/>
                    <w:autoSpaceDE w:val="0"/>
                    <w:autoSpaceDN w:val="0"/>
                    <w:adjustRightInd w:val="0"/>
                    <w:spacing w:before="0" w:after="0" w:line="240" w:lineRule="auto"/>
                    <w:ind w:right="0"/>
                    <w:jc w:val="center"/>
                    <w:rPr>
                      <w:b/>
                      <w:bCs/>
                      <w:color w:val="000000"/>
                      <w:sz w:val="21"/>
                      <w:szCs w:val="21"/>
                      <w:u w:val="single"/>
                    </w:rPr>
                  </w:pPr>
                  <w:r>
                    <w:rPr>
                      <w:rFonts w:hint="eastAsia"/>
                      <w:b/>
                      <w:bCs/>
                      <w:color w:val="000000"/>
                      <w:sz w:val="21"/>
                      <w:szCs w:val="21"/>
                      <w:u w:val="single"/>
                    </w:rPr>
                    <w:t>污染因子</w:t>
                  </w:r>
                </w:p>
              </w:tc>
              <w:tc>
                <w:tcPr>
                  <w:tcW w:w="2010" w:type="dxa"/>
                  <w:tcBorders>
                    <w:tl2br w:val="nil"/>
                    <w:tr2bl w:val="nil"/>
                  </w:tcBorders>
                  <w:vAlign w:val="center"/>
                </w:tcPr>
                <w:p w14:paraId="7FF384DC">
                  <w:pPr>
                    <w:pStyle w:val="7"/>
                    <w:widowControl w:val="0"/>
                    <w:kinsoku w:val="0"/>
                    <w:wordWrap w:val="0"/>
                    <w:autoSpaceDE w:val="0"/>
                    <w:autoSpaceDN w:val="0"/>
                    <w:adjustRightInd w:val="0"/>
                    <w:spacing w:before="0" w:after="0" w:line="240" w:lineRule="auto"/>
                    <w:ind w:right="0"/>
                    <w:jc w:val="center"/>
                    <w:rPr>
                      <w:b/>
                      <w:bCs/>
                      <w:color w:val="000000"/>
                      <w:sz w:val="21"/>
                      <w:szCs w:val="21"/>
                      <w:u w:val="single"/>
                    </w:rPr>
                  </w:pPr>
                  <w:r>
                    <w:rPr>
                      <w:rFonts w:hint="eastAsia"/>
                      <w:b/>
                      <w:bCs/>
                      <w:color w:val="000000"/>
                      <w:sz w:val="21"/>
                      <w:szCs w:val="21"/>
                      <w:u w:val="single"/>
                    </w:rPr>
                    <w:t>规范推荐可行技术</w:t>
                  </w:r>
                </w:p>
              </w:tc>
              <w:tc>
                <w:tcPr>
                  <w:tcW w:w="1463" w:type="dxa"/>
                  <w:tcBorders>
                    <w:tl2br w:val="nil"/>
                    <w:tr2bl w:val="nil"/>
                  </w:tcBorders>
                  <w:vAlign w:val="center"/>
                </w:tcPr>
                <w:p w14:paraId="3C3CEB4D">
                  <w:pPr>
                    <w:pStyle w:val="7"/>
                    <w:widowControl w:val="0"/>
                    <w:kinsoku w:val="0"/>
                    <w:wordWrap w:val="0"/>
                    <w:autoSpaceDE w:val="0"/>
                    <w:autoSpaceDN w:val="0"/>
                    <w:adjustRightInd w:val="0"/>
                    <w:spacing w:before="0" w:after="0" w:line="240" w:lineRule="auto"/>
                    <w:ind w:right="0"/>
                    <w:jc w:val="center"/>
                    <w:rPr>
                      <w:b/>
                      <w:bCs/>
                      <w:color w:val="000000"/>
                      <w:sz w:val="21"/>
                      <w:szCs w:val="21"/>
                      <w:u w:val="single"/>
                    </w:rPr>
                  </w:pPr>
                  <w:r>
                    <w:rPr>
                      <w:rFonts w:hint="eastAsia"/>
                      <w:b/>
                      <w:bCs/>
                      <w:color w:val="000000"/>
                      <w:sz w:val="21"/>
                      <w:szCs w:val="21"/>
                      <w:u w:val="single"/>
                    </w:rPr>
                    <w:t>本项目治理措施</w:t>
                  </w:r>
                </w:p>
              </w:tc>
              <w:tc>
                <w:tcPr>
                  <w:tcW w:w="1564" w:type="dxa"/>
                  <w:tcBorders>
                    <w:tl2br w:val="nil"/>
                    <w:tr2bl w:val="nil"/>
                  </w:tcBorders>
                  <w:vAlign w:val="center"/>
                </w:tcPr>
                <w:p w14:paraId="081BBAB9">
                  <w:pPr>
                    <w:pStyle w:val="7"/>
                    <w:widowControl w:val="0"/>
                    <w:kinsoku w:val="0"/>
                    <w:wordWrap w:val="0"/>
                    <w:autoSpaceDE w:val="0"/>
                    <w:autoSpaceDN w:val="0"/>
                    <w:adjustRightInd w:val="0"/>
                    <w:spacing w:before="0" w:after="0" w:line="240" w:lineRule="auto"/>
                    <w:ind w:right="0"/>
                    <w:jc w:val="center"/>
                    <w:rPr>
                      <w:b/>
                      <w:bCs/>
                      <w:color w:val="000000"/>
                      <w:sz w:val="21"/>
                      <w:szCs w:val="21"/>
                      <w:u w:val="single"/>
                    </w:rPr>
                  </w:pPr>
                  <w:r>
                    <w:rPr>
                      <w:rFonts w:hint="eastAsia"/>
                      <w:b/>
                      <w:bCs/>
                      <w:color w:val="000000"/>
                      <w:sz w:val="21"/>
                      <w:szCs w:val="21"/>
                      <w:u w:val="single"/>
                    </w:rPr>
                    <w:t>是否为可行技术</w:t>
                  </w:r>
                </w:p>
              </w:tc>
            </w:tr>
            <w:tr w14:paraId="22B86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8" w:type="dxa"/>
                  <w:tcBorders>
                    <w:tl2br w:val="nil"/>
                    <w:tr2bl w:val="nil"/>
                  </w:tcBorders>
                  <w:vAlign w:val="center"/>
                </w:tcPr>
                <w:p w14:paraId="15EF65FF">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下料工序</w:t>
                  </w:r>
                </w:p>
              </w:tc>
              <w:tc>
                <w:tcPr>
                  <w:tcW w:w="1515" w:type="dxa"/>
                  <w:tcBorders>
                    <w:tl2br w:val="nil"/>
                    <w:tr2bl w:val="nil"/>
                  </w:tcBorders>
                  <w:vAlign w:val="center"/>
                </w:tcPr>
                <w:p w14:paraId="1C28B3C4">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颗粒物</w:t>
                  </w:r>
                </w:p>
              </w:tc>
              <w:tc>
                <w:tcPr>
                  <w:tcW w:w="2010" w:type="dxa"/>
                  <w:tcBorders>
                    <w:tl2br w:val="nil"/>
                    <w:tr2bl w:val="nil"/>
                  </w:tcBorders>
                  <w:vAlign w:val="center"/>
                </w:tcPr>
                <w:p w14:paraId="60852EA8">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袋式除尘、静电除尘</w:t>
                  </w:r>
                </w:p>
              </w:tc>
              <w:tc>
                <w:tcPr>
                  <w:tcW w:w="1463" w:type="dxa"/>
                  <w:tcBorders>
                    <w:tl2br w:val="nil"/>
                    <w:tr2bl w:val="nil"/>
                  </w:tcBorders>
                  <w:vAlign w:val="center"/>
                </w:tcPr>
                <w:p w14:paraId="705BD5AB">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袋式除尘</w:t>
                  </w:r>
                </w:p>
              </w:tc>
              <w:tc>
                <w:tcPr>
                  <w:tcW w:w="1564" w:type="dxa"/>
                  <w:tcBorders>
                    <w:tl2br w:val="nil"/>
                    <w:tr2bl w:val="nil"/>
                  </w:tcBorders>
                  <w:vAlign w:val="center"/>
                </w:tcPr>
                <w:p w14:paraId="0E20FDE1">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是</w:t>
                  </w:r>
                </w:p>
              </w:tc>
            </w:tr>
            <w:tr w14:paraId="24D19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8" w:type="dxa"/>
                  <w:tcBorders>
                    <w:tl2br w:val="nil"/>
                    <w:tr2bl w:val="nil"/>
                  </w:tcBorders>
                  <w:vAlign w:val="center"/>
                </w:tcPr>
                <w:p w14:paraId="1701B6F2">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焊接工序</w:t>
                  </w:r>
                </w:p>
              </w:tc>
              <w:tc>
                <w:tcPr>
                  <w:tcW w:w="1515" w:type="dxa"/>
                  <w:tcBorders>
                    <w:tl2br w:val="nil"/>
                    <w:tr2bl w:val="nil"/>
                  </w:tcBorders>
                  <w:vAlign w:val="center"/>
                </w:tcPr>
                <w:p w14:paraId="37D41AC9">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颗粒物</w:t>
                  </w:r>
                </w:p>
              </w:tc>
              <w:tc>
                <w:tcPr>
                  <w:tcW w:w="2010" w:type="dxa"/>
                  <w:tcBorders>
                    <w:tl2br w:val="nil"/>
                    <w:tr2bl w:val="nil"/>
                  </w:tcBorders>
                  <w:vAlign w:val="center"/>
                </w:tcPr>
                <w:p w14:paraId="5F1465B0">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袋式除尘</w:t>
                  </w:r>
                </w:p>
              </w:tc>
              <w:tc>
                <w:tcPr>
                  <w:tcW w:w="1463" w:type="dxa"/>
                  <w:tcBorders>
                    <w:tl2br w:val="nil"/>
                    <w:tr2bl w:val="nil"/>
                  </w:tcBorders>
                  <w:vAlign w:val="center"/>
                </w:tcPr>
                <w:p w14:paraId="2C8DF485">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袋式除尘</w:t>
                  </w:r>
                </w:p>
              </w:tc>
              <w:tc>
                <w:tcPr>
                  <w:tcW w:w="1564" w:type="dxa"/>
                  <w:tcBorders>
                    <w:tl2br w:val="nil"/>
                    <w:tr2bl w:val="nil"/>
                  </w:tcBorders>
                  <w:vAlign w:val="center"/>
                </w:tcPr>
                <w:p w14:paraId="5CEA5527">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是</w:t>
                  </w:r>
                </w:p>
              </w:tc>
            </w:tr>
            <w:tr w14:paraId="48BF0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8" w:type="dxa"/>
                  <w:vMerge w:val="restart"/>
                  <w:tcBorders>
                    <w:tl2br w:val="nil"/>
                    <w:tr2bl w:val="nil"/>
                  </w:tcBorders>
                  <w:vAlign w:val="center"/>
                </w:tcPr>
                <w:p w14:paraId="172403D9">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涂装工序</w:t>
                  </w:r>
                </w:p>
              </w:tc>
              <w:tc>
                <w:tcPr>
                  <w:tcW w:w="1515" w:type="dxa"/>
                  <w:tcBorders>
                    <w:tl2br w:val="nil"/>
                    <w:tr2bl w:val="nil"/>
                  </w:tcBorders>
                  <w:vAlign w:val="center"/>
                </w:tcPr>
                <w:p w14:paraId="5BB46A21">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颗粒物</w:t>
                  </w:r>
                </w:p>
              </w:tc>
              <w:tc>
                <w:tcPr>
                  <w:tcW w:w="2010" w:type="dxa"/>
                  <w:tcBorders>
                    <w:tl2br w:val="nil"/>
                    <w:tr2bl w:val="nil"/>
                  </w:tcBorders>
                  <w:vAlign w:val="center"/>
                </w:tcPr>
                <w:p w14:paraId="33586D13">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文丘里/水旋/水帘、石灰粉吸附、纸盒过滤、化学纤维过滤</w:t>
                  </w:r>
                </w:p>
              </w:tc>
              <w:tc>
                <w:tcPr>
                  <w:tcW w:w="1463" w:type="dxa"/>
                  <w:tcBorders>
                    <w:tl2br w:val="nil"/>
                    <w:tr2bl w:val="nil"/>
                  </w:tcBorders>
                  <w:vAlign w:val="center"/>
                </w:tcPr>
                <w:p w14:paraId="625D39C2">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干式过滤棉</w:t>
                  </w:r>
                </w:p>
              </w:tc>
              <w:tc>
                <w:tcPr>
                  <w:tcW w:w="1564" w:type="dxa"/>
                  <w:tcBorders>
                    <w:tl2br w:val="nil"/>
                    <w:tr2bl w:val="nil"/>
                  </w:tcBorders>
                  <w:vAlign w:val="center"/>
                </w:tcPr>
                <w:p w14:paraId="2D7DA8BC">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是</w:t>
                  </w:r>
                </w:p>
              </w:tc>
            </w:tr>
            <w:tr w14:paraId="02964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8" w:type="dxa"/>
                  <w:vMerge w:val="continue"/>
                  <w:tcBorders>
                    <w:tl2br w:val="nil"/>
                    <w:tr2bl w:val="nil"/>
                  </w:tcBorders>
                  <w:vAlign w:val="center"/>
                </w:tcPr>
                <w:p w14:paraId="633AF5A5">
                  <w:pPr>
                    <w:pStyle w:val="7"/>
                    <w:widowControl w:val="0"/>
                    <w:kinsoku w:val="0"/>
                    <w:wordWrap w:val="0"/>
                    <w:autoSpaceDE w:val="0"/>
                    <w:autoSpaceDN w:val="0"/>
                    <w:adjustRightInd w:val="0"/>
                    <w:spacing w:before="0" w:after="0" w:line="240" w:lineRule="auto"/>
                    <w:ind w:right="0"/>
                    <w:jc w:val="center"/>
                    <w:rPr>
                      <w:u w:val="single"/>
                    </w:rPr>
                  </w:pPr>
                </w:p>
              </w:tc>
              <w:tc>
                <w:tcPr>
                  <w:tcW w:w="1515" w:type="dxa"/>
                  <w:tcBorders>
                    <w:tl2br w:val="nil"/>
                    <w:tr2bl w:val="nil"/>
                  </w:tcBorders>
                  <w:vAlign w:val="center"/>
                </w:tcPr>
                <w:p w14:paraId="67EEAE41">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NMHC</w:t>
                  </w:r>
                </w:p>
              </w:tc>
              <w:tc>
                <w:tcPr>
                  <w:tcW w:w="2010" w:type="dxa"/>
                  <w:tcBorders>
                    <w:tl2br w:val="nil"/>
                    <w:tr2bl w:val="nil"/>
                  </w:tcBorders>
                  <w:vAlign w:val="center"/>
                </w:tcPr>
                <w:p w14:paraId="4A9FE25B">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活性炭吸附、吸附/浓缩+热力燃烧/催化氧化</w:t>
                  </w:r>
                </w:p>
              </w:tc>
              <w:tc>
                <w:tcPr>
                  <w:tcW w:w="1463" w:type="dxa"/>
                  <w:tcBorders>
                    <w:tl2br w:val="nil"/>
                    <w:tr2bl w:val="nil"/>
                  </w:tcBorders>
                  <w:vAlign w:val="center"/>
                </w:tcPr>
                <w:p w14:paraId="72BBA8BA">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三级活性炭吸附</w:t>
                  </w:r>
                </w:p>
              </w:tc>
              <w:tc>
                <w:tcPr>
                  <w:tcW w:w="1564" w:type="dxa"/>
                  <w:tcBorders>
                    <w:tl2br w:val="nil"/>
                    <w:tr2bl w:val="nil"/>
                  </w:tcBorders>
                  <w:vAlign w:val="center"/>
                </w:tcPr>
                <w:p w14:paraId="2444E873">
                  <w:pPr>
                    <w:pStyle w:val="7"/>
                    <w:widowControl w:val="0"/>
                    <w:kinsoku w:val="0"/>
                    <w:wordWrap w:val="0"/>
                    <w:autoSpaceDE w:val="0"/>
                    <w:autoSpaceDN w:val="0"/>
                    <w:adjustRightInd w:val="0"/>
                    <w:spacing w:before="0" w:after="0" w:line="240" w:lineRule="auto"/>
                    <w:ind w:right="0"/>
                    <w:jc w:val="center"/>
                    <w:rPr>
                      <w:color w:val="000000"/>
                      <w:sz w:val="21"/>
                      <w:szCs w:val="21"/>
                      <w:u w:val="single"/>
                    </w:rPr>
                  </w:pPr>
                  <w:r>
                    <w:rPr>
                      <w:rFonts w:hint="eastAsia"/>
                      <w:color w:val="000000"/>
                      <w:sz w:val="21"/>
                      <w:szCs w:val="21"/>
                      <w:u w:val="single"/>
                    </w:rPr>
                    <w:t>是</w:t>
                  </w:r>
                </w:p>
              </w:tc>
            </w:tr>
          </w:tbl>
          <w:p w14:paraId="5A3F6E59">
            <w:pPr>
              <w:pStyle w:val="7"/>
              <w:widowControl w:val="0"/>
              <w:kinsoku w:val="0"/>
              <w:wordWrap w:val="0"/>
              <w:autoSpaceDE w:val="0"/>
              <w:autoSpaceDN w:val="0"/>
              <w:adjustRightInd w:val="0"/>
              <w:spacing w:before="0" w:after="0" w:line="360" w:lineRule="auto"/>
              <w:ind w:right="0" w:firstLine="480" w:firstLineChars="200"/>
              <w:rPr>
                <w:color w:val="000000"/>
                <w:sz w:val="24"/>
                <w:szCs w:val="24"/>
                <w:u w:val="single"/>
              </w:rPr>
            </w:pPr>
            <w:r>
              <w:rPr>
                <w:rFonts w:hint="eastAsia"/>
                <w:color w:val="000000"/>
                <w:sz w:val="24"/>
                <w:szCs w:val="24"/>
                <w:u w:val="single"/>
              </w:rPr>
              <w:t>根据上表可知，各类废气采取的处理设施均属于《排污许可证申请与核发技术规范铁路、船舶、航空航天和其他运输设备制造业》（HJ1124-2020）中推荐的可行性技术，故本项目废气处理设施是可行的。</w:t>
            </w:r>
          </w:p>
          <w:p w14:paraId="482463B5">
            <w:pPr>
              <w:spacing w:line="360" w:lineRule="auto"/>
              <w:ind w:firstLine="480" w:firstLineChars="200"/>
              <w:rPr>
                <w:szCs w:val="21"/>
                <w:u w:val="single"/>
              </w:rPr>
            </w:pPr>
            <w:r>
              <w:rPr>
                <w:rFonts w:hint="eastAsia"/>
                <w:color w:val="000000"/>
                <w:u w:val="single"/>
              </w:rPr>
              <w:t>（2）</w:t>
            </w:r>
            <w:r>
              <w:rPr>
                <w:rFonts w:hint="eastAsia"/>
                <w:szCs w:val="21"/>
                <w:u w:val="single"/>
              </w:rPr>
              <w:t>活性炭吸附原理：活性炭是一种很细小的炭粒，有很大的表面积，而且炭粒中还有更细小的孔——毛细管。这种毛细管具有很强的吸附能力，由于炭粒的表面积很大，所以能与气体（有机废气）充分接触,当这些气体（有机废气）碰到毛细管就被吸附，起净化作用。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p>
          <w:p w14:paraId="4F6BB6B4">
            <w:pPr>
              <w:pStyle w:val="20"/>
              <w:widowControl w:val="0"/>
              <w:kinsoku w:val="0"/>
              <w:autoSpaceDE w:val="0"/>
              <w:autoSpaceDN w:val="0"/>
              <w:adjustRightInd w:val="0"/>
              <w:snapToGrid w:val="0"/>
              <w:spacing w:before="0" w:beforeAutospacing="0" w:after="0" w:afterAutospacing="0" w:line="360" w:lineRule="auto"/>
              <w:jc w:val="center"/>
              <w:rPr>
                <w:rFonts w:ascii="Times New Roman" w:hAnsi="Times New Roman"/>
                <w:b/>
                <w:bCs/>
                <w:color w:val="000000"/>
                <w:szCs w:val="24"/>
                <w:u w:val="single"/>
              </w:rPr>
            </w:pPr>
            <w:r>
              <w:rPr>
                <w:rFonts w:ascii="Times New Roman" w:hAnsi="Times New Roman"/>
                <w:szCs w:val="21"/>
                <w:u w:val="single"/>
                <w:lang w:bidi="ar"/>
              </w:rPr>
              <w:drawing>
                <wp:inline distT="0" distB="0" distL="0" distR="0">
                  <wp:extent cx="4785995" cy="2066290"/>
                  <wp:effectExtent l="0" t="0" r="0" b="0"/>
                  <wp:docPr id="145976288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62883" name="图片 36"/>
                          <pic:cNvPicPr>
                            <a:picLocks noChangeAspect="1" noChangeArrowheads="1"/>
                          </pic:cNvPicPr>
                        </pic:nvPicPr>
                        <pic:blipFill>
                          <a:blip r:embed="rId23">
                            <a:extLst>
                              <a:ext uri="{28A0092B-C50C-407E-A947-70E740481C1C}">
                                <a14:useLocalDpi xmlns:a14="http://schemas.microsoft.com/office/drawing/2010/main" val="0"/>
                              </a:ext>
                            </a:extLst>
                          </a:blip>
                          <a:srcRect t="11429"/>
                          <a:stretch>
                            <a:fillRect/>
                          </a:stretch>
                        </pic:blipFill>
                        <pic:spPr>
                          <a:xfrm>
                            <a:off x="0" y="0"/>
                            <a:ext cx="4785995" cy="2066290"/>
                          </a:xfrm>
                          <a:prstGeom prst="rect">
                            <a:avLst/>
                          </a:prstGeom>
                          <a:noFill/>
                          <a:ln>
                            <a:noFill/>
                          </a:ln>
                        </pic:spPr>
                      </pic:pic>
                    </a:graphicData>
                  </a:graphic>
                </wp:inline>
              </w:drawing>
            </w:r>
          </w:p>
          <w:p w14:paraId="753E2CAD">
            <w:pPr>
              <w:spacing w:line="360" w:lineRule="auto"/>
              <w:jc w:val="center"/>
              <w:rPr>
                <w:szCs w:val="21"/>
                <w:u w:val="single"/>
              </w:rPr>
            </w:pPr>
            <w:r>
              <w:rPr>
                <w:rFonts w:hint="eastAsia"/>
                <w:b/>
                <w:bCs/>
                <w:szCs w:val="21"/>
                <w:u w:val="single"/>
              </w:rPr>
              <w:t>图4-1  活性炭吸附箱（不进行脱附的简单工艺）</w:t>
            </w:r>
          </w:p>
          <w:p w14:paraId="2A53612D">
            <w:pPr>
              <w:spacing w:line="360" w:lineRule="auto"/>
              <w:ind w:firstLine="480" w:firstLineChars="200"/>
              <w:rPr>
                <w:szCs w:val="21"/>
                <w:u w:val="single"/>
              </w:rPr>
            </w:pPr>
            <w:r>
              <w:rPr>
                <w:rFonts w:hint="eastAsia"/>
                <w:color w:val="000000"/>
                <w:u w:val="single"/>
              </w:rPr>
              <w:t>（3）干式过滤器：采用</w:t>
            </w:r>
            <w:r>
              <w:rPr>
                <w:color w:val="000000"/>
                <w:u w:val="single"/>
              </w:rPr>
              <w:t>覆膜滤料（如 PTFE 覆膜聚酯纤维）或防静电滤筒，针对细微烟尘颗粒（粒径＜10μm）进行高效捕集。</w:t>
            </w:r>
            <w:r>
              <w:rPr>
                <w:rFonts w:hint="eastAsia"/>
                <w:szCs w:val="21"/>
                <w:u w:val="single"/>
              </w:rPr>
              <w:t>经处理后的漆雾颗粒物排放浓度和排放速率可以满足相关标准限值，经除湿后对VOCs的后续治理不产生影响，措施可行。</w:t>
            </w:r>
          </w:p>
          <w:p w14:paraId="364FA259">
            <w:pPr>
              <w:spacing w:line="360" w:lineRule="auto"/>
              <w:ind w:firstLine="480" w:firstLineChars="200"/>
              <w:rPr>
                <w:szCs w:val="21"/>
                <w:u w:val="single"/>
              </w:rPr>
            </w:pPr>
            <w:r>
              <w:rPr>
                <w:rFonts w:hint="eastAsia"/>
                <w:color w:val="000000"/>
                <w:u w:val="single"/>
              </w:rPr>
              <w:t>（4）移动式</w:t>
            </w:r>
            <w:r>
              <w:rPr>
                <w:rFonts w:hint="eastAsia"/>
                <w:szCs w:val="21"/>
                <w:u w:val="single"/>
              </w:rPr>
              <w:t>袋式除尘器：</w:t>
            </w:r>
            <w:r>
              <w:rPr>
                <w:szCs w:val="21"/>
                <w:u w:val="single"/>
              </w:rPr>
              <w:t>袋式除尘器的滤布用棉、毛、有机纤维、元机纤维织成，滤袋的捕尘主要</w:t>
            </w:r>
            <w:r>
              <w:rPr>
                <w:rFonts w:hint="eastAsia"/>
                <w:szCs w:val="21"/>
                <w:u w:val="single"/>
              </w:rPr>
              <w:t>是通过筛滤机制完成的，在尘粒径大滤料纤维孔隙时，会被滤料拦截，从气流中筛滤出来， 特别是粉尘在滤料沉积到一定厚度后，形成所谓的“粉尘初层”，这种筛滤作用更为显著。袋式除尘器广泛应用于各种工业废气除尘中，它的除尘效率高，可达到95%以上，适应范围广，对细颗粒粉尘也有很强的捕集作用。</w:t>
            </w:r>
          </w:p>
          <w:p w14:paraId="4E79444B">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4、排气筒设置可行性分析</w:t>
            </w:r>
          </w:p>
          <w:p w14:paraId="1D3DDAAC">
            <w:pPr>
              <w:kinsoku w:val="0"/>
              <w:wordWrap w:val="0"/>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 xml:space="preserve">9 </w:t>
            </w:r>
            <w:r>
              <w:rPr>
                <w:b/>
                <w:bCs/>
                <w:color w:val="000000" w:themeColor="text1"/>
                <w:szCs w:val="21"/>
                <w14:textFill>
                  <w14:solidFill>
                    <w14:schemeClr w14:val="tx1"/>
                  </w14:solidFill>
                </w14:textFill>
              </w:rPr>
              <w:t xml:space="preserve"> 大气排放口基本情况表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26"/>
              <w:gridCol w:w="2043"/>
              <w:gridCol w:w="1738"/>
              <w:gridCol w:w="984"/>
              <w:gridCol w:w="1089"/>
              <w:gridCol w:w="1037"/>
            </w:tblGrid>
            <w:tr w14:paraId="5F6A20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92" w:type="pct"/>
                  <w:vAlign w:val="center"/>
                </w:tcPr>
                <w:p w14:paraId="68FAC1C3">
                  <w:pPr>
                    <w:pStyle w:val="7"/>
                    <w:widowControl w:val="0"/>
                    <w:kinsoku w:val="0"/>
                    <w:wordWrap w:val="0"/>
                    <w:autoSpaceDE w:val="0"/>
                    <w:autoSpaceDN w:val="0"/>
                    <w:adjustRightInd w:val="0"/>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排气筒</w:t>
                  </w:r>
                  <w:r>
                    <w:rPr>
                      <w:b/>
                      <w:bCs/>
                      <w:color w:val="000000" w:themeColor="text1"/>
                      <w:sz w:val="21"/>
                      <w:szCs w:val="21"/>
                      <w14:textFill>
                        <w14:solidFill>
                          <w14:schemeClr w14:val="tx1"/>
                        </w14:solidFill>
                      </w14:textFill>
                    </w:rPr>
                    <w:t>编号</w:t>
                  </w:r>
                </w:p>
              </w:tc>
              <w:tc>
                <w:tcPr>
                  <w:tcW w:w="1306" w:type="pct"/>
                  <w:vAlign w:val="center"/>
                </w:tcPr>
                <w:p w14:paraId="76E84867">
                  <w:pPr>
                    <w:pStyle w:val="7"/>
                    <w:widowControl w:val="0"/>
                    <w:kinsoku w:val="0"/>
                    <w:wordWrap w:val="0"/>
                    <w:autoSpaceDE w:val="0"/>
                    <w:autoSpaceDN w:val="0"/>
                    <w:adjustRightInd w:val="0"/>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r>
                    <w:rPr>
                      <w:b/>
                      <w:bCs/>
                      <w:color w:val="000000" w:themeColor="text1"/>
                      <w:sz w:val="21"/>
                      <w:szCs w:val="21"/>
                      <w14:textFill>
                        <w14:solidFill>
                          <w14:schemeClr w14:val="tx1"/>
                        </w14:solidFill>
                      </w14:textFill>
                    </w:rPr>
                    <w:t>名称</w:t>
                  </w:r>
                </w:p>
              </w:tc>
              <w:tc>
                <w:tcPr>
                  <w:tcW w:w="1111" w:type="pct"/>
                  <w:vAlign w:val="center"/>
                </w:tcPr>
                <w:p w14:paraId="482E8D34">
                  <w:pPr>
                    <w:pStyle w:val="7"/>
                    <w:widowControl w:val="0"/>
                    <w:kinsoku w:val="0"/>
                    <w:wordWrap w:val="0"/>
                    <w:autoSpaceDE w:val="0"/>
                    <w:autoSpaceDN w:val="0"/>
                    <w:adjustRightInd w:val="0"/>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中心坐标</w:t>
                  </w:r>
                </w:p>
              </w:tc>
              <w:tc>
                <w:tcPr>
                  <w:tcW w:w="629" w:type="pct"/>
                  <w:vAlign w:val="center"/>
                </w:tcPr>
                <w:p w14:paraId="3CEBF269">
                  <w:pPr>
                    <w:pStyle w:val="7"/>
                    <w:widowControl w:val="0"/>
                    <w:kinsoku w:val="0"/>
                    <w:wordWrap w:val="0"/>
                    <w:autoSpaceDE w:val="0"/>
                    <w:autoSpaceDN w:val="0"/>
                    <w:adjustRightInd w:val="0"/>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排气筒高度/m</w:t>
                  </w:r>
                </w:p>
              </w:tc>
              <w:tc>
                <w:tcPr>
                  <w:tcW w:w="696" w:type="pct"/>
                  <w:vAlign w:val="center"/>
                </w:tcPr>
                <w:p w14:paraId="42BF7CE9">
                  <w:pPr>
                    <w:pStyle w:val="7"/>
                    <w:widowControl w:val="0"/>
                    <w:kinsoku w:val="0"/>
                    <w:wordWrap w:val="0"/>
                    <w:autoSpaceDE w:val="0"/>
                    <w:autoSpaceDN w:val="0"/>
                    <w:adjustRightInd w:val="0"/>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排气筒出口内径/m</w:t>
                  </w:r>
                </w:p>
              </w:tc>
              <w:tc>
                <w:tcPr>
                  <w:tcW w:w="662" w:type="pct"/>
                  <w:vAlign w:val="center"/>
                </w:tcPr>
                <w:p w14:paraId="4727DD85">
                  <w:pPr>
                    <w:pStyle w:val="7"/>
                    <w:widowControl w:val="0"/>
                    <w:kinsoku w:val="0"/>
                    <w:wordWrap w:val="0"/>
                    <w:autoSpaceDE w:val="0"/>
                    <w:autoSpaceDN w:val="0"/>
                    <w:adjustRightInd w:val="0"/>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烟气温度/°C</w:t>
                  </w:r>
                </w:p>
              </w:tc>
            </w:tr>
            <w:tr w14:paraId="5E11BB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92" w:type="pct"/>
                  <w:vAlign w:val="center"/>
                </w:tcPr>
                <w:p w14:paraId="0562C336">
                  <w:pPr>
                    <w:pStyle w:val="7"/>
                    <w:widowControl w:val="0"/>
                    <w:kinsoku w:val="0"/>
                    <w:wordWrap w:val="0"/>
                    <w:autoSpaceDE w:val="0"/>
                    <w:autoSpaceDN w:val="0"/>
                    <w:adjustRightInd w:val="0"/>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DA001</w:t>
                  </w:r>
                </w:p>
              </w:tc>
              <w:tc>
                <w:tcPr>
                  <w:tcW w:w="1306" w:type="pct"/>
                  <w:vAlign w:val="center"/>
                </w:tcPr>
                <w:p w14:paraId="38E7B14E">
                  <w:pPr>
                    <w:pStyle w:val="7"/>
                    <w:widowControl w:val="0"/>
                    <w:kinsoku w:val="0"/>
                    <w:wordWrap w:val="0"/>
                    <w:autoSpaceDE w:val="0"/>
                    <w:autoSpaceDN w:val="0"/>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漆雾（颗粒物）、NMHC</w:t>
                  </w:r>
                </w:p>
              </w:tc>
              <w:tc>
                <w:tcPr>
                  <w:tcW w:w="1111" w:type="pct"/>
                  <w:vAlign w:val="center"/>
                </w:tcPr>
                <w:p w14:paraId="2B89CA24">
                  <w:pPr>
                    <w:pStyle w:val="7"/>
                    <w:widowControl w:val="0"/>
                    <w:kinsoku w:val="0"/>
                    <w:wordWrap w:val="0"/>
                    <w:autoSpaceDE w:val="0"/>
                    <w:autoSpaceDN w:val="0"/>
                    <w:adjustRightInd w:val="0"/>
                    <w:spacing w:before="0" w:after="0" w:line="240" w:lineRule="auto"/>
                    <w:ind w:right="0"/>
                    <w:jc w:val="center"/>
                    <w:rPr>
                      <w:color w:val="000000" w:themeColor="text1"/>
                      <w:kern w:val="2"/>
                      <w:sz w:val="21"/>
                      <w:szCs w:val="21"/>
                      <w14:textFill>
                        <w14:solidFill>
                          <w14:schemeClr w14:val="tx1"/>
                        </w14:solidFill>
                      </w14:textFill>
                    </w:rPr>
                  </w:pPr>
                  <w:r>
                    <w:rPr>
                      <w:bCs/>
                      <w:color w:val="000000"/>
                      <w:sz w:val="21"/>
                      <w:szCs w:val="21"/>
                    </w:rPr>
                    <w:t>112.504634°E</w:t>
                  </w:r>
                </w:p>
                <w:p w14:paraId="601C8185">
                  <w:pPr>
                    <w:pStyle w:val="7"/>
                    <w:widowControl w:val="0"/>
                    <w:kinsoku w:val="0"/>
                    <w:wordWrap w:val="0"/>
                    <w:autoSpaceDE w:val="0"/>
                    <w:autoSpaceDN w:val="0"/>
                    <w:adjustRightInd w:val="0"/>
                    <w:spacing w:before="0" w:after="0" w:line="240" w:lineRule="auto"/>
                    <w:ind w:right="0"/>
                    <w:jc w:val="center"/>
                  </w:pPr>
                  <w:r>
                    <w:rPr>
                      <w:bCs/>
                      <w:color w:val="000000"/>
                      <w:sz w:val="21"/>
                      <w:szCs w:val="21"/>
                    </w:rPr>
                    <w:t>28.361278°N</w:t>
                  </w:r>
                </w:p>
              </w:tc>
              <w:tc>
                <w:tcPr>
                  <w:tcW w:w="629" w:type="pct"/>
                  <w:vAlign w:val="center"/>
                </w:tcPr>
                <w:p w14:paraId="40A1BF3B">
                  <w:pPr>
                    <w:pStyle w:val="7"/>
                    <w:widowControl w:val="0"/>
                    <w:kinsoku w:val="0"/>
                    <w:wordWrap w:val="0"/>
                    <w:autoSpaceDE w:val="0"/>
                    <w:autoSpaceDN w:val="0"/>
                    <w:adjustRightInd w:val="0"/>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15</w:t>
                  </w:r>
                </w:p>
              </w:tc>
              <w:tc>
                <w:tcPr>
                  <w:tcW w:w="696" w:type="pct"/>
                  <w:vAlign w:val="center"/>
                </w:tcPr>
                <w:p w14:paraId="18321433">
                  <w:pPr>
                    <w:kinsoku w:val="0"/>
                    <w:wordWrap w:val="0"/>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662" w:type="pct"/>
                  <w:vAlign w:val="center"/>
                </w:tcPr>
                <w:p w14:paraId="543DB33B">
                  <w:pPr>
                    <w:kinsoku w:val="0"/>
                    <w:wordWrap w:val="0"/>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常温</w:t>
                  </w:r>
                </w:p>
              </w:tc>
            </w:tr>
          </w:tbl>
          <w:p w14:paraId="696400C3">
            <w:pPr>
              <w:spacing w:line="360" w:lineRule="auto"/>
              <w:ind w:firstLine="480" w:firstLineChars="200"/>
              <w:rPr>
                <w:color w:val="000000"/>
              </w:rPr>
            </w:pPr>
            <w:r>
              <w:rPr>
                <w:rFonts w:hint="eastAsia"/>
              </w:rPr>
              <w:t>根据《大气污染治理工程技术导则》（HJ2000-2010）5.3.5 排气筒的出口直径应根据出口流速确定，流速宜取15m/s左右。</w:t>
            </w:r>
            <w:r>
              <w:t>经核算本项目排气筒流速为</w:t>
            </w:r>
            <w:r>
              <w:rPr>
                <w:rFonts w:hint="eastAsia"/>
              </w:rPr>
              <w:t>16.59</w:t>
            </w:r>
            <w:r>
              <w:t>m/s，能满足相关要求。</w:t>
            </w:r>
          </w:p>
          <w:p w14:paraId="3C7E2E7A">
            <w:pPr>
              <w:pStyle w:val="7"/>
              <w:widowControl w:val="0"/>
              <w:kinsoku w:val="0"/>
              <w:wordWrap w:val="0"/>
              <w:autoSpaceDE w:val="0"/>
              <w:autoSpaceDN w:val="0"/>
              <w:adjustRightInd w:val="0"/>
              <w:spacing w:before="0" w:after="0" w:line="360" w:lineRule="auto"/>
              <w:ind w:right="0" w:firstLine="480" w:firstLineChars="200"/>
              <w:rPr>
                <w:color w:val="000000"/>
                <w:sz w:val="24"/>
                <w:szCs w:val="24"/>
              </w:rPr>
            </w:pPr>
            <w:r>
              <w:rPr>
                <w:rFonts w:hint="eastAsia"/>
                <w:color w:val="000000"/>
                <w:sz w:val="24"/>
                <w:szCs w:val="24"/>
              </w:rPr>
              <w:t>根据《表面涂装（汽车制造及维修）挥发性有机物、镍排放标准》（DB43/1356-2017）中的相关要求，排气筒高度不低于15m。本项目排气筒高度为15m，因此本项目符合《表面涂装（汽车制造及维修）挥发性有机物、镍排放标准》（DB43/1356-2017）中的相关要求。</w:t>
            </w:r>
          </w:p>
          <w:p w14:paraId="4FC9DEE7">
            <w:pPr>
              <w:pStyle w:val="7"/>
              <w:widowControl w:val="0"/>
              <w:kinsoku w:val="0"/>
              <w:wordWrap w:val="0"/>
              <w:autoSpaceDE w:val="0"/>
              <w:autoSpaceDN w:val="0"/>
              <w:adjustRightInd w:val="0"/>
              <w:spacing w:before="0" w:after="0" w:line="360" w:lineRule="auto"/>
              <w:ind w:right="0" w:firstLine="480" w:firstLineChars="200"/>
              <w:rPr>
                <w:color w:val="000000"/>
                <w:sz w:val="24"/>
                <w:szCs w:val="24"/>
              </w:rPr>
            </w:pPr>
            <w:r>
              <w:rPr>
                <w:rFonts w:hint="eastAsia"/>
                <w:color w:val="000000"/>
                <w:sz w:val="24"/>
                <w:szCs w:val="24"/>
              </w:rPr>
              <w:t>根据《大气污染物综合排放标准》（</w:t>
            </w:r>
            <w:r>
              <w:rPr>
                <w:color w:val="000000"/>
                <w:sz w:val="24"/>
                <w:szCs w:val="24"/>
              </w:rPr>
              <w:t>GB16297-1996</w:t>
            </w:r>
            <w:r>
              <w:rPr>
                <w:rFonts w:hint="eastAsia"/>
                <w:color w:val="000000"/>
                <w:sz w:val="24"/>
                <w:szCs w:val="24"/>
              </w:rPr>
              <w:t>）中的相关要求，新污染源的排气筒一般不应低于</w:t>
            </w:r>
            <w:r>
              <w:rPr>
                <w:color w:val="000000"/>
                <w:sz w:val="24"/>
                <w:szCs w:val="24"/>
              </w:rPr>
              <w:t>15m</w:t>
            </w:r>
            <w:r>
              <w:rPr>
                <w:rFonts w:hint="eastAsia"/>
                <w:color w:val="000000"/>
                <w:sz w:val="24"/>
                <w:szCs w:val="24"/>
              </w:rPr>
              <w:t>。本项目排气筒高度为</w:t>
            </w:r>
            <w:r>
              <w:rPr>
                <w:color w:val="000000"/>
                <w:sz w:val="24"/>
                <w:szCs w:val="24"/>
              </w:rPr>
              <w:t>15m</w:t>
            </w:r>
            <w:r>
              <w:rPr>
                <w:rFonts w:hint="eastAsia"/>
                <w:color w:val="000000"/>
                <w:sz w:val="24"/>
                <w:szCs w:val="24"/>
              </w:rPr>
              <w:t>，因此，本项目符合《大气污染物综合排放标准》（</w:t>
            </w:r>
            <w:r>
              <w:rPr>
                <w:color w:val="000000"/>
                <w:sz w:val="24"/>
                <w:szCs w:val="24"/>
              </w:rPr>
              <w:t>GB16297-1996</w:t>
            </w:r>
            <w:r>
              <w:rPr>
                <w:rFonts w:hint="eastAsia"/>
                <w:color w:val="000000"/>
                <w:sz w:val="24"/>
                <w:szCs w:val="24"/>
              </w:rPr>
              <w:t>）中的相关要求。</w:t>
            </w:r>
          </w:p>
          <w:p w14:paraId="0E7922EE">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5、无组织废气控制要求</w:t>
            </w:r>
          </w:p>
          <w:p w14:paraId="583DC439">
            <w:pPr>
              <w:kinsoku w:val="0"/>
              <w:wordWrap w:val="0"/>
              <w:adjustRightInd w:val="0"/>
              <w:snapToGrid w:val="0"/>
              <w:spacing w:line="360" w:lineRule="auto"/>
              <w:ind w:firstLine="480" w:firstLineChars="200"/>
              <w:rPr>
                <w:szCs w:val="32"/>
              </w:rPr>
            </w:pPr>
            <w:r>
              <w:rPr>
                <w:rFonts w:hint="eastAsia"/>
                <w:szCs w:val="32"/>
              </w:rPr>
              <w:t>（1）水性漆采用桶泵等给料方式密闭投加。</w:t>
            </w:r>
          </w:p>
          <w:p w14:paraId="549DAEA6">
            <w:pPr>
              <w:kinsoku w:val="0"/>
              <w:wordWrap w:val="0"/>
              <w:adjustRightInd w:val="0"/>
              <w:snapToGrid w:val="0"/>
              <w:spacing w:line="360" w:lineRule="auto"/>
              <w:ind w:firstLine="480" w:firstLineChars="200"/>
              <w:rPr>
                <w:szCs w:val="32"/>
              </w:rPr>
            </w:pPr>
            <w:r>
              <w:rPr>
                <w:rFonts w:hint="eastAsia"/>
                <w:szCs w:val="32"/>
              </w:rPr>
              <w:t>（2）喷涂水性漆在密闭喷漆房进行。</w:t>
            </w:r>
          </w:p>
          <w:p w14:paraId="4041FE61">
            <w:pPr>
              <w:kinsoku w:val="0"/>
              <w:wordWrap w:val="0"/>
              <w:adjustRightInd w:val="0"/>
              <w:snapToGrid w:val="0"/>
              <w:spacing w:line="360" w:lineRule="auto"/>
              <w:ind w:firstLine="480" w:firstLineChars="200"/>
              <w:rPr>
                <w:szCs w:val="32"/>
              </w:rPr>
            </w:pPr>
            <w:r>
              <w:rPr>
                <w:rFonts w:hint="eastAsia"/>
                <w:szCs w:val="32"/>
              </w:rPr>
              <w:t>（3）企业建立台账，记录含VOCs原辅材料和含VOCs产品的名称、使用量、回收量、废弃量、去向以及 VOCs 含量等信息。台账保存期限不少于3年。</w:t>
            </w:r>
          </w:p>
          <w:p w14:paraId="3EC8B48B">
            <w:pPr>
              <w:pStyle w:val="41"/>
              <w:kinsoku w:val="0"/>
              <w:wordWrap w:val="0"/>
              <w:adjustRightInd w:val="0"/>
              <w:snapToGrid w:val="0"/>
              <w:spacing w:line="360" w:lineRule="auto"/>
              <w:ind w:firstLine="480" w:firstLineChars="200"/>
              <w:jc w:val="both"/>
              <w:rPr>
                <w:b w:val="0"/>
                <w:szCs w:val="32"/>
              </w:rPr>
            </w:pPr>
            <w:r>
              <w:rPr>
                <w:rFonts w:hint="eastAsia"/>
                <w:b w:val="0"/>
                <w:szCs w:val="32"/>
              </w:rPr>
              <w:t>（4）生产过程产生的含VOCs废料采用废液桶进行密闭。盛装过水性漆的废包装容器应加盖密闭。</w:t>
            </w:r>
          </w:p>
          <w:p w14:paraId="34C30227">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6、大气环境影响评价结论</w:t>
            </w:r>
          </w:p>
          <w:p w14:paraId="38365AD9">
            <w:pPr>
              <w:pStyle w:val="41"/>
              <w:kinsoku w:val="0"/>
              <w:wordWrap w:val="0"/>
              <w:adjustRightInd w:val="0"/>
              <w:snapToGrid w:val="0"/>
              <w:spacing w:line="360" w:lineRule="auto"/>
              <w:ind w:firstLine="480" w:firstLineChars="200"/>
              <w:jc w:val="both"/>
              <w:rPr>
                <w:b w:val="0"/>
                <w:color w:val="000000" w:themeColor="text1"/>
                <w:szCs w:val="24"/>
                <w14:textFill>
                  <w14:solidFill>
                    <w14:schemeClr w14:val="tx1"/>
                  </w14:solidFill>
                </w14:textFill>
              </w:rPr>
            </w:pPr>
            <w:r>
              <w:rPr>
                <w:b w:val="0"/>
                <w:bCs/>
                <w:color w:val="000000" w:themeColor="text1"/>
                <w:szCs w:val="32"/>
                <w14:textFill>
                  <w14:solidFill>
                    <w14:schemeClr w14:val="tx1"/>
                  </w14:solidFill>
                </w14:textFill>
              </w:rPr>
              <w:t>项目</w:t>
            </w:r>
            <w:r>
              <w:rPr>
                <w:rFonts w:hint="eastAsia"/>
                <w:b w:val="0"/>
                <w:bCs/>
                <w:color w:val="000000" w:themeColor="text1"/>
                <w:szCs w:val="32"/>
                <w14:textFill>
                  <w14:solidFill>
                    <w14:schemeClr w14:val="tx1"/>
                  </w14:solidFill>
                </w14:textFill>
              </w:rPr>
              <w:t>下料切割工序产生的颗粒物废气移动式袋式除尘器收集</w:t>
            </w:r>
            <w:r>
              <w:rPr>
                <w:b w:val="0"/>
                <w:bCs/>
                <w:color w:val="000000" w:themeColor="text1"/>
                <w:szCs w:val="32"/>
                <w14:textFill>
                  <w14:solidFill>
                    <w14:schemeClr w14:val="tx1"/>
                  </w14:solidFill>
                </w14:textFill>
              </w:rPr>
              <w:t>处理后</w:t>
            </w:r>
            <w:r>
              <w:rPr>
                <w:rFonts w:hint="eastAsia"/>
                <w:b w:val="0"/>
                <w:bCs/>
                <w:color w:val="000000" w:themeColor="text1"/>
                <w:szCs w:val="32"/>
                <w14:textFill>
                  <w14:solidFill>
                    <w14:schemeClr w14:val="tx1"/>
                  </w14:solidFill>
                </w14:textFill>
              </w:rPr>
              <w:t>无组织排放，经处理后的颗粒物</w:t>
            </w:r>
            <w:r>
              <w:rPr>
                <w:rFonts w:hint="eastAsia"/>
                <w:b w:val="0"/>
                <w:bCs/>
                <w:color w:val="000000" w:themeColor="text1"/>
                <w14:textFill>
                  <w14:solidFill>
                    <w14:schemeClr w14:val="tx1"/>
                  </w14:solidFill>
                </w14:textFill>
              </w:rPr>
              <w:t>能够满足</w:t>
            </w:r>
            <w:r>
              <w:rPr>
                <w:rFonts w:hint="eastAsia"/>
                <w:b w:val="0"/>
                <w:color w:val="000000" w:themeColor="text1"/>
                <w:szCs w:val="24"/>
                <w14:textFill>
                  <w14:solidFill>
                    <w14:schemeClr w14:val="tx1"/>
                  </w14:solidFill>
                </w14:textFill>
              </w:rPr>
              <w:t>《大气污染物综合排放标准》（</w:t>
            </w:r>
            <w:r>
              <w:rPr>
                <w:b w:val="0"/>
                <w:color w:val="000000" w:themeColor="text1"/>
                <w:szCs w:val="24"/>
                <w14:textFill>
                  <w14:solidFill>
                    <w14:schemeClr w14:val="tx1"/>
                  </w14:solidFill>
                </w14:textFill>
              </w:rPr>
              <w:t>GB16297-1996</w:t>
            </w:r>
            <w:r>
              <w:rPr>
                <w:rFonts w:hint="eastAsia"/>
                <w:b w:val="0"/>
                <w:color w:val="000000" w:themeColor="text1"/>
                <w:szCs w:val="24"/>
                <w14:textFill>
                  <w14:solidFill>
                    <w14:schemeClr w14:val="tx1"/>
                  </w14:solidFill>
                </w14:textFill>
              </w:rPr>
              <w:t>）表2中无组织监控点最高浓度限值。</w:t>
            </w:r>
          </w:p>
          <w:p w14:paraId="18481804">
            <w:pPr>
              <w:pStyle w:val="48"/>
              <w:kinsoku w:val="0"/>
              <w:wordWrap w:val="0"/>
              <w:autoSpaceDE w:val="0"/>
              <w:autoSpaceDN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项目焊接工序产生的颗粒物经移动式袋式除尘器处理后无组织排放，经处理后的焊接废气能够满足《大气污染物综合排放标准》（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）表2中无组织监控点最高浓度限值。</w:t>
            </w:r>
          </w:p>
          <w:p w14:paraId="20CE1B7C">
            <w:pPr>
              <w:pStyle w:val="48"/>
              <w:kinsoku w:val="0"/>
              <w:wordWrap w:val="0"/>
              <w:autoSpaceDE w:val="0"/>
              <w:autoSpaceDN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项目抛丸工序产生的颗粒物经设备自带除尘器处理后无组织排放，经处理后的抛丸废气能够满足《大气污染物综合排放标准》（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）表2中无组织监控点最高浓度限值。</w:t>
            </w:r>
          </w:p>
          <w:p w14:paraId="1E012935">
            <w:pPr>
              <w:pStyle w:val="48"/>
              <w:kinsoku w:val="0"/>
              <w:wordWrap w:val="0"/>
              <w:autoSpaceDE w:val="0"/>
              <w:autoSpaceDN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项目喷漆废气，产生的漆雾（颗粒物）和NMHC经干式过滤棉+三级活性炭吸附处理后，通过15m排气筒（DA001）高空排放。经处理后的漆雾能够满足《大气污染物综合排放标准》（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）表2中二级排放标准及无组织监控点最高浓度限值；处理后的NMHC满足</w:t>
            </w:r>
            <w:r>
              <w:rPr>
                <w:rFonts w:hint="eastAsia"/>
              </w:rPr>
              <w:t>《表面涂装（汽车制造及维修）挥发性有机物、镍排放标准》（DB43</w:t>
            </w:r>
            <w:r>
              <w:t>/</w:t>
            </w:r>
            <w:r>
              <w:rPr>
                <w:rFonts w:hint="eastAsia"/>
              </w:rPr>
              <w:t>1356-2017）</w:t>
            </w:r>
            <w:r>
              <w:t>表</w:t>
            </w:r>
            <w:r>
              <w:rPr>
                <w:rFonts w:hint="eastAsia"/>
              </w:rPr>
              <w:t>1</w:t>
            </w:r>
            <w:r>
              <w:t>中</w:t>
            </w:r>
            <w:r>
              <w:rPr>
                <w:rFonts w:hint="eastAsia"/>
              </w:rPr>
              <w:t>其他车型</w:t>
            </w:r>
            <w:r>
              <w:t>及表3标准</w:t>
            </w:r>
            <w:r>
              <w:rPr>
                <w:rFonts w:hint="eastAsia"/>
              </w:rPr>
              <w:t>限值。</w:t>
            </w:r>
          </w:p>
          <w:p w14:paraId="2D96A2D5">
            <w:pPr>
              <w:pStyle w:val="48"/>
              <w:kinsoku w:val="0"/>
              <w:wordWrap w:val="0"/>
              <w:autoSpaceDE w:val="0"/>
              <w:autoSpaceDN w:val="0"/>
              <w:spacing w:line="360" w:lineRule="auto"/>
              <w:ind w:firstLine="480" w:firstLineChars="200"/>
              <w:jc w:val="both"/>
            </w:pPr>
            <w:r>
              <w:rPr>
                <w:rFonts w:hint="eastAsia"/>
              </w:rPr>
              <w:t>综上所述，本项目经采取措施后，排气筒中各污染物均能达标排放，且污染物在厂界也均能达标排放，对周边环境保护目标影响较小。</w:t>
            </w:r>
          </w:p>
          <w:p w14:paraId="06F19149">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szCs w:val="24"/>
              </w:rPr>
            </w:pPr>
            <w:r>
              <w:rPr>
                <w:rFonts w:hint="eastAsia" w:ascii="Times New Roman" w:hAnsi="Times New Roman"/>
                <w:b/>
                <w:bCs/>
                <w:szCs w:val="24"/>
              </w:rPr>
              <w:t>7、监测计划</w:t>
            </w:r>
          </w:p>
          <w:p w14:paraId="7C5F5111">
            <w:pPr>
              <w:pStyle w:val="48"/>
              <w:kinsoku w:val="0"/>
              <w:wordWrap w:val="0"/>
              <w:autoSpaceDE w:val="0"/>
              <w:autoSpaceDN w:val="0"/>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参照《排污单位自行监测技术指南 总则》（HJ819-2017）与</w:t>
            </w:r>
            <w:bookmarkStart w:id="78" w:name="OLE_LINK10"/>
            <w:r>
              <w:rPr>
                <w:rFonts w:hint="eastAsia"/>
                <w:color w:val="000000"/>
              </w:rPr>
              <w:t>《排污单位自行监测技术指南 涂装》（</w:t>
            </w:r>
            <w:r>
              <w:rPr>
                <w:color w:val="000000"/>
              </w:rPr>
              <w:t>HJ</w:t>
            </w:r>
            <w:r>
              <w:rPr>
                <w:rFonts w:hint="eastAsia"/>
                <w:color w:val="000000"/>
              </w:rPr>
              <w:t>1086-2020）</w:t>
            </w:r>
            <w:bookmarkEnd w:id="78"/>
            <w:r>
              <w:rPr>
                <w:rFonts w:hint="eastAsia"/>
                <w:color w:val="000000" w:themeColor="text1"/>
                <w14:textFill>
                  <w14:solidFill>
                    <w14:schemeClr w14:val="tx1"/>
                  </w14:solidFill>
                </w14:textFill>
              </w:rPr>
              <w:t>中相关规定，大气监测计划如下：</w:t>
            </w:r>
          </w:p>
          <w:p w14:paraId="6FB5F82D">
            <w:pPr>
              <w:pStyle w:val="48"/>
              <w:kinsoku w:val="0"/>
              <w:wordWrap w:val="0"/>
              <w:autoSpaceDE w:val="0"/>
              <w:autoSpaceDN w:val="0"/>
              <w:spacing w:line="240" w:lineRule="auto"/>
              <w:ind w:firstLine="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表4-10  废气监测计划一览表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127"/>
              <w:gridCol w:w="1382"/>
              <w:gridCol w:w="1277"/>
              <w:gridCol w:w="3016"/>
            </w:tblGrid>
            <w:tr w14:paraId="44E42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pct"/>
                  <w:vAlign w:val="center"/>
                </w:tcPr>
                <w:p w14:paraId="32FED20E">
                  <w:pPr>
                    <w:pStyle w:val="7"/>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监测项目</w:t>
                  </w:r>
                </w:p>
              </w:tc>
              <w:tc>
                <w:tcPr>
                  <w:tcW w:w="721" w:type="pct"/>
                  <w:vAlign w:val="center"/>
                </w:tcPr>
                <w:p w14:paraId="74CD38BA">
                  <w:pPr>
                    <w:pStyle w:val="7"/>
                    <w:spacing w:before="0" w:after="0" w:line="240" w:lineRule="auto"/>
                    <w:ind w:right="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w:t>
                  </w:r>
                  <w:r>
                    <w:rPr>
                      <w:b/>
                      <w:bCs/>
                      <w:color w:val="000000" w:themeColor="text1"/>
                      <w:sz w:val="21"/>
                      <w:szCs w:val="21"/>
                      <w14:textFill>
                        <w14:solidFill>
                          <w14:schemeClr w14:val="tx1"/>
                        </w14:solidFill>
                      </w14:textFill>
                    </w:rPr>
                    <w:t>点位</w:t>
                  </w:r>
                </w:p>
              </w:tc>
              <w:tc>
                <w:tcPr>
                  <w:tcW w:w="884" w:type="pct"/>
                  <w:vAlign w:val="center"/>
                </w:tcPr>
                <w:p w14:paraId="00062904">
                  <w:pPr>
                    <w:pStyle w:val="7"/>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w:t>
                  </w:r>
                  <w:r>
                    <w:rPr>
                      <w:rFonts w:hint="eastAsia"/>
                      <w:b/>
                      <w:bCs/>
                      <w:color w:val="000000" w:themeColor="text1"/>
                      <w:sz w:val="21"/>
                      <w:szCs w:val="21"/>
                      <w14:textFill>
                        <w14:solidFill>
                          <w14:schemeClr w14:val="tx1"/>
                        </w14:solidFill>
                      </w14:textFill>
                    </w:rPr>
                    <w:t>因子</w:t>
                  </w:r>
                </w:p>
              </w:tc>
              <w:tc>
                <w:tcPr>
                  <w:tcW w:w="817" w:type="pct"/>
                  <w:vAlign w:val="center"/>
                </w:tcPr>
                <w:p w14:paraId="0760323B">
                  <w:pPr>
                    <w:pStyle w:val="7"/>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监测频次</w:t>
                  </w:r>
                </w:p>
              </w:tc>
              <w:tc>
                <w:tcPr>
                  <w:tcW w:w="1929" w:type="pct"/>
                  <w:vAlign w:val="center"/>
                </w:tcPr>
                <w:p w14:paraId="1073C89F">
                  <w:pPr>
                    <w:pStyle w:val="7"/>
                    <w:spacing w:before="0" w:after="0" w:line="240" w:lineRule="auto"/>
                    <w:ind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04A28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7" w:type="pct"/>
                  <w:vMerge w:val="restart"/>
                  <w:vAlign w:val="center"/>
                </w:tcPr>
                <w:p w14:paraId="0077467F">
                  <w:pPr>
                    <w:pStyle w:val="7"/>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721" w:type="pct"/>
                  <w:vAlign w:val="center"/>
                </w:tcPr>
                <w:p w14:paraId="7AD81408">
                  <w:pPr>
                    <w:pStyle w:val="7"/>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DA001排气筒</w:t>
                  </w:r>
                </w:p>
              </w:tc>
              <w:tc>
                <w:tcPr>
                  <w:tcW w:w="884" w:type="pct"/>
                  <w:vAlign w:val="center"/>
                </w:tcPr>
                <w:p w14:paraId="4E8562F4">
                  <w:pPr>
                    <w:widowControl/>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漆雾（颗粒物）、</w:t>
                  </w:r>
                  <w:r>
                    <w:rPr>
                      <w:rFonts w:hint="eastAsia"/>
                      <w:color w:val="000000"/>
                      <w:sz w:val="21"/>
                      <w:szCs w:val="21"/>
                    </w:rPr>
                    <w:t>VOCs（以NMHC计）</w:t>
                  </w:r>
                </w:p>
              </w:tc>
              <w:tc>
                <w:tcPr>
                  <w:tcW w:w="817" w:type="pct"/>
                  <w:vAlign w:val="center"/>
                </w:tcPr>
                <w:p w14:paraId="6E320D2B">
                  <w:pPr>
                    <w:widowControl/>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1次/年</w:t>
                  </w:r>
                </w:p>
              </w:tc>
              <w:tc>
                <w:tcPr>
                  <w:tcW w:w="1929" w:type="pct"/>
                  <w:vAlign w:val="center"/>
                </w:tcPr>
                <w:p w14:paraId="1130255B">
                  <w:pPr>
                    <w:pStyle w:val="7"/>
                    <w:spacing w:before="0" w:after="0" w:line="240" w:lineRule="auto"/>
                    <w:ind w:right="0"/>
                    <w:jc w:val="center"/>
                    <w:rPr>
                      <w:color w:val="000000" w:themeColor="text1"/>
                      <w:sz w:val="21"/>
                      <w:szCs w:val="21"/>
                      <w14:textFill>
                        <w14:solidFill>
                          <w14:schemeClr w14:val="tx1"/>
                        </w14:solidFill>
                      </w14:textFill>
                    </w:rPr>
                  </w:pPr>
                  <w:r>
                    <w:rPr>
                      <w:rFonts w:hint="eastAsia"/>
                      <w:sz w:val="21"/>
                      <w:szCs w:val="21"/>
                    </w:rPr>
                    <w:t>《表面涂装（汽车制造及维修）挥发性有机物、镍排放标准》（DB43</w:t>
                  </w:r>
                  <w:r>
                    <w:rPr>
                      <w:sz w:val="21"/>
                      <w:szCs w:val="21"/>
                    </w:rPr>
                    <w:t>/</w:t>
                  </w:r>
                  <w:r>
                    <w:rPr>
                      <w:rFonts w:hint="eastAsia"/>
                      <w:sz w:val="21"/>
                      <w:szCs w:val="21"/>
                    </w:rPr>
                    <w:t>1356-2017）</w:t>
                  </w:r>
                  <w:r>
                    <w:rPr>
                      <w:sz w:val="21"/>
                      <w:szCs w:val="21"/>
                    </w:rPr>
                    <w:t>表</w:t>
                  </w:r>
                  <w:r>
                    <w:rPr>
                      <w:rFonts w:hint="eastAsia"/>
                      <w:sz w:val="21"/>
                      <w:szCs w:val="21"/>
                    </w:rPr>
                    <w:t>1</w:t>
                  </w:r>
                  <w:r>
                    <w:rPr>
                      <w:sz w:val="21"/>
                      <w:szCs w:val="21"/>
                    </w:rPr>
                    <w:t>中</w:t>
                  </w:r>
                  <w:r>
                    <w:rPr>
                      <w:rFonts w:hint="eastAsia"/>
                      <w:sz w:val="21"/>
                      <w:szCs w:val="21"/>
                    </w:rPr>
                    <w:t>其他车型</w:t>
                  </w:r>
                </w:p>
                <w:p w14:paraId="7F15DBE9">
                  <w:pPr>
                    <w:pStyle w:val="7"/>
                    <w:spacing w:before="0" w:after="0" w:line="240" w:lineRule="auto"/>
                    <w:ind w:right="0"/>
                    <w:jc w:val="center"/>
                    <w:rPr>
                      <w:color w:val="000000"/>
                      <w:sz w:val="21"/>
                      <w:szCs w:val="21"/>
                    </w:rPr>
                  </w:pPr>
                  <w:r>
                    <w:rPr>
                      <w:rFonts w:hint="eastAsia"/>
                      <w:color w:val="000000" w:themeColor="text1"/>
                      <w:sz w:val="21"/>
                      <w:szCs w:val="21"/>
                      <w14:textFill>
                        <w14:solidFill>
                          <w14:schemeClr w14:val="tx1"/>
                        </w14:solidFill>
                      </w14:textFill>
                    </w:rPr>
                    <w:t>《大气污染物综合排放标准》（GB16297-1996）表2中二级排放标准</w:t>
                  </w:r>
                </w:p>
              </w:tc>
            </w:tr>
            <w:tr w14:paraId="09978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pct"/>
                  <w:vMerge w:val="continue"/>
                  <w:vAlign w:val="center"/>
                </w:tcPr>
                <w:p w14:paraId="6945DED9">
                  <w:pPr>
                    <w:pStyle w:val="7"/>
                    <w:spacing w:before="0" w:after="0" w:line="240" w:lineRule="auto"/>
                    <w:ind w:right="0"/>
                    <w:jc w:val="center"/>
                    <w:rPr>
                      <w:color w:val="000000" w:themeColor="text1"/>
                      <w:sz w:val="21"/>
                      <w:szCs w:val="21"/>
                      <w14:textFill>
                        <w14:solidFill>
                          <w14:schemeClr w14:val="tx1"/>
                        </w14:solidFill>
                      </w14:textFill>
                    </w:rPr>
                  </w:pPr>
                </w:p>
              </w:tc>
              <w:tc>
                <w:tcPr>
                  <w:tcW w:w="721" w:type="pct"/>
                  <w:vAlign w:val="center"/>
                </w:tcPr>
                <w:p w14:paraId="3883202C">
                  <w:pPr>
                    <w:pStyle w:val="7"/>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w:t>
                  </w:r>
                  <w:r>
                    <w:rPr>
                      <w:rFonts w:hint="eastAsia"/>
                      <w:color w:val="000000" w:themeColor="text1"/>
                      <w:sz w:val="21"/>
                      <w:szCs w:val="21"/>
                      <w14:textFill>
                        <w14:solidFill>
                          <w14:schemeClr w14:val="tx1"/>
                        </w14:solidFill>
                      </w14:textFill>
                    </w:rPr>
                    <w:t>上风向1个、下风向3个</w:t>
                  </w:r>
                </w:p>
              </w:tc>
              <w:tc>
                <w:tcPr>
                  <w:tcW w:w="884" w:type="pct"/>
                  <w:vAlign w:val="center"/>
                </w:tcPr>
                <w:p w14:paraId="1975FCB2">
                  <w:pPr>
                    <w:widowControl/>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颗粒物</w:t>
                  </w:r>
                  <w:r>
                    <w:rPr>
                      <w:rFonts w:hint="eastAsia"/>
                      <w:color w:val="000000"/>
                      <w:sz w:val="21"/>
                      <w:szCs w:val="21"/>
                    </w:rPr>
                    <w:t>、VOCs（以NMHC计）</w:t>
                  </w:r>
                </w:p>
              </w:tc>
              <w:tc>
                <w:tcPr>
                  <w:tcW w:w="817" w:type="pct"/>
                  <w:vAlign w:val="center"/>
                </w:tcPr>
                <w:p w14:paraId="5E6C01CB">
                  <w:pPr>
                    <w:widowControl/>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1次/年</w:t>
                  </w:r>
                </w:p>
              </w:tc>
              <w:tc>
                <w:tcPr>
                  <w:tcW w:w="1929" w:type="pct"/>
                  <w:vAlign w:val="center"/>
                </w:tcPr>
                <w:p w14:paraId="708DAD5F">
                  <w:pPr>
                    <w:pStyle w:val="7"/>
                    <w:spacing w:before="0" w:after="0" w:line="240" w:lineRule="auto"/>
                    <w:ind w:right="0"/>
                    <w:jc w:val="center"/>
                    <w:rPr>
                      <w:sz w:val="21"/>
                      <w:szCs w:val="21"/>
                    </w:rPr>
                  </w:pPr>
                  <w:r>
                    <w:rPr>
                      <w:rFonts w:hint="eastAsia"/>
                      <w:color w:val="000000" w:themeColor="text1"/>
                      <w:sz w:val="21"/>
                      <w:szCs w:val="21"/>
                      <w14:textFill>
                        <w14:solidFill>
                          <w14:schemeClr w14:val="tx1"/>
                        </w14:solidFill>
                      </w14:textFill>
                    </w:rPr>
                    <w:t>《大气污染物综合排放标准》（GB16297-1996）无组织监控点最高浓度限值</w:t>
                  </w:r>
                </w:p>
                <w:p w14:paraId="0641138C">
                  <w:pPr>
                    <w:pStyle w:val="7"/>
                    <w:spacing w:before="0" w:after="0" w:line="240" w:lineRule="auto"/>
                    <w:ind w:right="0"/>
                    <w:jc w:val="center"/>
                    <w:rPr>
                      <w:color w:val="000000" w:themeColor="text1"/>
                      <w:sz w:val="21"/>
                      <w:szCs w:val="21"/>
                      <w:lang w:bidi="ar"/>
                      <w14:textFill>
                        <w14:solidFill>
                          <w14:schemeClr w14:val="tx1"/>
                        </w14:solidFill>
                      </w14:textFill>
                    </w:rPr>
                  </w:pPr>
                  <w:r>
                    <w:rPr>
                      <w:rFonts w:hint="eastAsia"/>
                      <w:sz w:val="21"/>
                      <w:szCs w:val="21"/>
                    </w:rPr>
                    <w:t>《表面涂装（汽车制造及维修）挥发性有机物、镍排放标准》（DB43</w:t>
                  </w:r>
                  <w:r>
                    <w:rPr>
                      <w:sz w:val="21"/>
                      <w:szCs w:val="21"/>
                    </w:rPr>
                    <w:t>/</w:t>
                  </w:r>
                  <w:r>
                    <w:rPr>
                      <w:rFonts w:hint="eastAsia"/>
                      <w:sz w:val="21"/>
                      <w:szCs w:val="21"/>
                    </w:rPr>
                    <w:t>1356-2017）</w:t>
                  </w:r>
                  <w:r>
                    <w:rPr>
                      <w:sz w:val="21"/>
                      <w:szCs w:val="21"/>
                    </w:rPr>
                    <w:t>表3标准</w:t>
                  </w:r>
                  <w:r>
                    <w:rPr>
                      <w:rFonts w:hint="eastAsia"/>
                      <w:sz w:val="21"/>
                      <w:szCs w:val="21"/>
                    </w:rPr>
                    <w:t>限值</w:t>
                  </w:r>
                </w:p>
              </w:tc>
            </w:tr>
            <w:tr w14:paraId="12E03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pct"/>
                  <w:vMerge w:val="continue"/>
                  <w:vAlign w:val="center"/>
                </w:tcPr>
                <w:p w14:paraId="148B7579">
                  <w:pPr>
                    <w:pStyle w:val="7"/>
                    <w:spacing w:before="0" w:after="0" w:line="240" w:lineRule="auto"/>
                    <w:ind w:right="0"/>
                    <w:jc w:val="center"/>
                    <w:rPr>
                      <w:color w:val="000000" w:themeColor="text1"/>
                      <w:sz w:val="21"/>
                      <w:szCs w:val="21"/>
                      <w14:textFill>
                        <w14:solidFill>
                          <w14:schemeClr w14:val="tx1"/>
                        </w14:solidFill>
                      </w14:textFill>
                    </w:rPr>
                  </w:pPr>
                </w:p>
              </w:tc>
              <w:tc>
                <w:tcPr>
                  <w:tcW w:w="721" w:type="pct"/>
                  <w:vAlign w:val="center"/>
                </w:tcPr>
                <w:p w14:paraId="45265E13">
                  <w:pPr>
                    <w:pStyle w:val="7"/>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厂区内</w:t>
                  </w:r>
                </w:p>
              </w:tc>
              <w:tc>
                <w:tcPr>
                  <w:tcW w:w="884" w:type="pct"/>
                  <w:vAlign w:val="center"/>
                </w:tcPr>
                <w:p w14:paraId="6BF3E4CD">
                  <w:pPr>
                    <w:widowControl/>
                    <w:jc w:val="center"/>
                    <w:rPr>
                      <w:color w:val="000000" w:themeColor="text1"/>
                      <w:kern w:val="0"/>
                      <w:sz w:val="21"/>
                      <w:szCs w:val="21"/>
                      <w:lang w:bidi="ar"/>
                      <w14:textFill>
                        <w14:solidFill>
                          <w14:schemeClr w14:val="tx1"/>
                        </w14:solidFill>
                      </w14:textFill>
                    </w:rPr>
                  </w:pPr>
                  <w:r>
                    <w:rPr>
                      <w:rFonts w:hint="eastAsia"/>
                      <w:color w:val="000000"/>
                      <w:sz w:val="21"/>
                      <w:szCs w:val="21"/>
                    </w:rPr>
                    <w:t>VOCs（以NMHC计）</w:t>
                  </w:r>
                </w:p>
              </w:tc>
              <w:tc>
                <w:tcPr>
                  <w:tcW w:w="817" w:type="pct"/>
                  <w:vAlign w:val="center"/>
                </w:tcPr>
                <w:p w14:paraId="069D8DE1">
                  <w:pPr>
                    <w:widowControl/>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1次/年</w:t>
                  </w:r>
                </w:p>
              </w:tc>
              <w:tc>
                <w:tcPr>
                  <w:tcW w:w="1929" w:type="pct"/>
                  <w:vAlign w:val="center"/>
                </w:tcPr>
                <w:p w14:paraId="65589886">
                  <w:pPr>
                    <w:pStyle w:val="7"/>
                    <w:spacing w:before="0" w:after="0" w:line="240" w:lineRule="auto"/>
                    <w:ind w:right="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《挥发性有机物无组织排放控制标准》（GB 37822</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2019）</w:t>
                  </w:r>
                </w:p>
              </w:tc>
            </w:tr>
          </w:tbl>
          <w:p w14:paraId="3ECA901D">
            <w:pPr>
              <w:pStyle w:val="20"/>
              <w:widowControl w:val="0"/>
              <w:kinsoku w:val="0"/>
              <w:wordWrap w:val="0"/>
              <w:autoSpaceDE w:val="0"/>
              <w:autoSpaceDN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二、废水</w:t>
            </w:r>
          </w:p>
          <w:p w14:paraId="7C07890A">
            <w:pPr>
              <w:pStyle w:val="20"/>
              <w:widowControl w:val="0"/>
              <w:kinsoku w:val="0"/>
              <w:wordWrap w:val="0"/>
              <w:autoSpaceDE w:val="0"/>
              <w:autoSpaceDN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1、水污染物影响分析</w:t>
            </w:r>
          </w:p>
          <w:p w14:paraId="48214309">
            <w:pPr>
              <w:pStyle w:val="48"/>
              <w:kinsoku w:val="0"/>
              <w:wordWrap w:val="0"/>
              <w:autoSpaceDE w:val="0"/>
              <w:autoSpaceDN w:val="0"/>
              <w:adjustRightInd/>
              <w:snapToGrid/>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本项目废水主要为生活污水，喷枪清洗废水回用于水性漆配置不外排。</w:t>
            </w:r>
          </w:p>
          <w:p w14:paraId="3F159A98">
            <w:pPr>
              <w:pStyle w:val="48"/>
              <w:kinsoku w:val="0"/>
              <w:wordWrap w:val="0"/>
              <w:autoSpaceDE w:val="0"/>
              <w:autoSpaceDN w:val="0"/>
              <w:adjustRightInd/>
              <w:snapToGrid/>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（1）生活污水</w:t>
            </w:r>
          </w:p>
          <w:p w14:paraId="3AD88965">
            <w:pPr>
              <w:kinsoku w:val="0"/>
              <w:wordWrap w:val="0"/>
              <w:autoSpaceDE w:val="0"/>
              <w:autoSpaceDN w:val="0"/>
              <w:spacing w:line="360" w:lineRule="auto"/>
              <w:ind w:firstLine="480" w:firstLineChars="200"/>
            </w:pPr>
            <w:r>
              <w:t>本项目员工</w:t>
            </w:r>
            <w:r>
              <w:rPr>
                <w:rFonts w:hint="eastAsia"/>
              </w:rPr>
              <w:t>30</w:t>
            </w:r>
            <w:r>
              <w:t>人，包食宿，</w:t>
            </w:r>
            <w:r>
              <w:rPr>
                <w:rFonts w:hint="eastAsia"/>
                <w:color w:val="000000"/>
              </w:rPr>
              <w:t>参考湖南省地方标准《用水定额 第3部分：生活、服务业及建筑业》（</w:t>
            </w:r>
            <w:r>
              <w:rPr>
                <w:color w:val="000000"/>
              </w:rPr>
              <w:t>DB43/T388</w:t>
            </w:r>
            <w:r>
              <w:rPr>
                <w:rFonts w:hint="eastAsia"/>
                <w:color w:val="000000"/>
              </w:rPr>
              <w:t>.3</w:t>
            </w:r>
            <w:r>
              <w:rPr>
                <w:color w:val="000000"/>
              </w:rPr>
              <w:t>-202</w:t>
            </w:r>
            <w:r>
              <w:rPr>
                <w:rFonts w:hint="eastAsia"/>
                <w:color w:val="000000"/>
              </w:rPr>
              <w:t>5）中机关用水量，按38m</w:t>
            </w:r>
            <w:r>
              <w:rPr>
                <w:rFonts w:hint="eastAsia"/>
                <w:color w:val="000000"/>
                <w:vertAlign w:val="superscript"/>
              </w:rPr>
              <w:t>3</w:t>
            </w:r>
            <w:r>
              <w:rPr>
                <w:rFonts w:hint="eastAsia"/>
                <w:color w:val="000000"/>
              </w:rPr>
              <w:t>/（人·a）计算，总用水量为1140m</w:t>
            </w:r>
            <w:r>
              <w:rPr>
                <w:rFonts w:hint="eastAsia"/>
                <w:color w:val="000000"/>
                <w:vertAlign w:val="superscript"/>
              </w:rPr>
              <w:t>3</w:t>
            </w:r>
            <w:r>
              <w:rPr>
                <w:rFonts w:hint="eastAsia"/>
                <w:color w:val="000000"/>
              </w:rPr>
              <w:t>/a（3.257m</w:t>
            </w:r>
            <w:r>
              <w:rPr>
                <w:rFonts w:hint="eastAsia"/>
                <w:color w:val="000000"/>
                <w:vertAlign w:val="superscript"/>
              </w:rPr>
              <w:t>3</w:t>
            </w:r>
            <w:r>
              <w:rPr>
                <w:rFonts w:hint="eastAsia"/>
                <w:color w:val="000000"/>
              </w:rPr>
              <w:t>/d）。</w:t>
            </w:r>
            <w:r>
              <w:t>排污系数按80%计，生活污水排放量为</w:t>
            </w:r>
            <w:r>
              <w:rPr>
                <w:rFonts w:hint="eastAsia"/>
              </w:rPr>
              <w:t>912</w:t>
            </w:r>
            <w:r>
              <w:t>m</w:t>
            </w:r>
            <w:r>
              <w:rPr>
                <w:vertAlign w:val="superscript"/>
              </w:rPr>
              <w:t>3</w:t>
            </w:r>
            <w:r>
              <w:t>/a（</w:t>
            </w:r>
            <w:r>
              <w:rPr>
                <w:rFonts w:hint="eastAsia"/>
              </w:rPr>
              <w:t>2.61</w:t>
            </w:r>
            <w:r>
              <w:t>m</w:t>
            </w:r>
            <w:r>
              <w:rPr>
                <w:vertAlign w:val="superscript"/>
              </w:rPr>
              <w:t>3</w:t>
            </w:r>
            <w:r>
              <w:t>/d），生活污水经过</w:t>
            </w:r>
            <w:r>
              <w:rPr>
                <w:rFonts w:hint="eastAsia"/>
              </w:rPr>
              <w:t>厂房已建</w:t>
            </w:r>
            <w:r>
              <w:t>化粪池处理后通过</w:t>
            </w:r>
            <w:r>
              <w:rPr>
                <w:rFonts w:hint="eastAsia"/>
              </w:rPr>
              <w:t>园区</w:t>
            </w:r>
            <w:r>
              <w:t>污水管网排入</w:t>
            </w:r>
            <w:r>
              <w:rPr>
                <w:rFonts w:hint="eastAsia"/>
              </w:rPr>
              <w:t>衡龙新区污水处理厂处理达标后排入泉交河。</w:t>
            </w:r>
          </w:p>
          <w:p w14:paraId="201BA8CE">
            <w:pPr>
              <w:kinsoku w:val="0"/>
              <w:wordWrap w:val="0"/>
              <w:autoSpaceDE w:val="0"/>
              <w:autoSpaceDN w:val="0"/>
              <w:spacing w:line="360" w:lineRule="auto"/>
              <w:ind w:firstLine="480" w:firstLineChars="200"/>
            </w:pPr>
            <w:r>
              <w:t>本项目生活污水主要污染物浓度：COD</w:t>
            </w:r>
            <w:r>
              <w:rPr>
                <w:rFonts w:hint="eastAsia"/>
              </w:rPr>
              <w:t>cr</w:t>
            </w:r>
            <w:r>
              <w:t>为</w:t>
            </w:r>
            <w:r>
              <w:rPr>
                <w:rFonts w:hint="eastAsia"/>
              </w:rPr>
              <w:t>250</w:t>
            </w:r>
            <w:r>
              <w:t>mg/L、BOD</w:t>
            </w:r>
            <w:r>
              <w:rPr>
                <w:vertAlign w:val="subscript"/>
              </w:rPr>
              <w:t>5</w:t>
            </w:r>
            <w:r>
              <w:t>为2</w:t>
            </w:r>
            <w:r>
              <w:rPr>
                <w:rFonts w:hint="eastAsia"/>
              </w:rPr>
              <w:t>0</w:t>
            </w:r>
            <w:r>
              <w:t>0mg/L、SS为2</w:t>
            </w:r>
            <w:r>
              <w:rPr>
                <w:rFonts w:hint="eastAsia"/>
              </w:rPr>
              <w:t>0</w:t>
            </w:r>
            <w:r>
              <w:t>0mg/L、氨氮为</w:t>
            </w:r>
            <w:r>
              <w:rPr>
                <w:rFonts w:hint="eastAsia"/>
              </w:rPr>
              <w:t>25</w:t>
            </w:r>
            <w:r>
              <w:t>mg/L。</w:t>
            </w:r>
          </w:p>
          <w:p w14:paraId="2C2BACEA">
            <w:pPr>
              <w:kinsoku w:val="0"/>
              <w:wordWrap w:val="0"/>
              <w:autoSpaceDE w:val="0"/>
              <w:autoSpaceDN w:val="0"/>
              <w:spacing w:line="360" w:lineRule="auto"/>
              <w:ind w:firstLine="480" w:firstLineChars="200"/>
              <w:rPr>
                <w:u w:val="single"/>
              </w:rPr>
            </w:pPr>
            <w:r>
              <w:rPr>
                <w:rFonts w:hint="eastAsia"/>
                <w:u w:val="single"/>
              </w:rPr>
              <w:t>（2）喷枪清洗废水</w:t>
            </w:r>
          </w:p>
          <w:p w14:paraId="4E8F7B20">
            <w:pPr>
              <w:keepNext/>
              <w:keepLines/>
              <w:widowControl/>
              <w:adjustRightInd w:val="0"/>
              <w:snapToGrid w:val="0"/>
              <w:spacing w:line="360" w:lineRule="auto"/>
              <w:ind w:firstLine="480" w:firstLineChars="200"/>
              <w:rPr>
                <w:u w:val="single"/>
              </w:rPr>
            </w:pPr>
            <w:r>
              <w:rPr>
                <w:rFonts w:hint="eastAsia"/>
                <w:u w:val="single"/>
              </w:rPr>
              <w:t>根据企业提供资料，项目水性漆喷涂后需用清水清洗喷枪头，用水量为4L/天，即1.4t/a，喷枪清洗产生的废水不外排，全部回用于配置水性漆。</w:t>
            </w:r>
          </w:p>
          <w:p w14:paraId="6027BAC1">
            <w:pPr>
              <w:pStyle w:val="48"/>
              <w:kinsoku w:val="0"/>
              <w:wordWrap w:val="0"/>
              <w:autoSpaceDE w:val="0"/>
              <w:autoSpaceDN w:val="0"/>
              <w:spacing w:line="240" w:lineRule="auto"/>
              <w:ind w:firstLine="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表4-11  污水中污染物浓度产排情况汇总表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1080"/>
              <w:gridCol w:w="1274"/>
              <w:gridCol w:w="1199"/>
              <w:gridCol w:w="438"/>
              <w:gridCol w:w="1116"/>
              <w:gridCol w:w="997"/>
            </w:tblGrid>
            <w:tr w14:paraId="5D53B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pct"/>
                  <w:vMerge w:val="restart"/>
                  <w:tcBorders>
                    <w:tl2br w:val="nil"/>
                    <w:tr2bl w:val="nil"/>
                  </w:tcBorders>
                  <w:vAlign w:val="center"/>
                </w:tcPr>
                <w:p w14:paraId="6F3468BC">
                  <w:pPr>
                    <w:widowControl/>
                    <w:jc w:val="center"/>
                    <w:rPr>
                      <w:b/>
                      <w:bCs/>
                      <w:color w:val="000000"/>
                      <w:kern w:val="0"/>
                      <w:sz w:val="21"/>
                      <w:szCs w:val="21"/>
                      <w:lang w:bidi="ar"/>
                    </w:rPr>
                  </w:pPr>
                  <w:r>
                    <w:rPr>
                      <w:b/>
                      <w:bCs/>
                      <w:color w:val="000000"/>
                      <w:kern w:val="0"/>
                      <w:sz w:val="21"/>
                      <w:szCs w:val="21"/>
                      <w:lang w:bidi="ar"/>
                    </w:rPr>
                    <w:t>污染源</w:t>
                  </w:r>
                </w:p>
              </w:tc>
              <w:tc>
                <w:tcPr>
                  <w:tcW w:w="691" w:type="pct"/>
                  <w:vMerge w:val="restart"/>
                  <w:tcBorders>
                    <w:tl2br w:val="nil"/>
                    <w:tr2bl w:val="nil"/>
                  </w:tcBorders>
                  <w:vAlign w:val="center"/>
                </w:tcPr>
                <w:p w14:paraId="48A2E058">
                  <w:pPr>
                    <w:widowControl/>
                    <w:jc w:val="center"/>
                    <w:rPr>
                      <w:b/>
                      <w:bCs/>
                      <w:color w:val="000000"/>
                      <w:kern w:val="0"/>
                      <w:sz w:val="21"/>
                      <w:szCs w:val="21"/>
                      <w:lang w:bidi="ar"/>
                    </w:rPr>
                  </w:pPr>
                  <w:r>
                    <w:rPr>
                      <w:b/>
                      <w:bCs/>
                      <w:color w:val="000000"/>
                      <w:kern w:val="0"/>
                      <w:sz w:val="21"/>
                      <w:szCs w:val="21"/>
                      <w:lang w:bidi="ar"/>
                    </w:rPr>
                    <w:t>污染因子</w:t>
                  </w:r>
                </w:p>
              </w:tc>
              <w:tc>
                <w:tcPr>
                  <w:tcW w:w="1582" w:type="pct"/>
                  <w:gridSpan w:val="2"/>
                  <w:tcBorders>
                    <w:tl2br w:val="nil"/>
                    <w:tr2bl w:val="nil"/>
                  </w:tcBorders>
                  <w:vAlign w:val="center"/>
                </w:tcPr>
                <w:p w14:paraId="2B85671D">
                  <w:pPr>
                    <w:widowControl/>
                    <w:jc w:val="center"/>
                    <w:rPr>
                      <w:b/>
                      <w:bCs/>
                      <w:color w:val="000000"/>
                      <w:kern w:val="0"/>
                      <w:sz w:val="21"/>
                      <w:szCs w:val="21"/>
                      <w:lang w:bidi="ar"/>
                    </w:rPr>
                  </w:pPr>
                  <w:r>
                    <w:rPr>
                      <w:b/>
                      <w:bCs/>
                      <w:color w:val="000000"/>
                      <w:kern w:val="0"/>
                      <w:sz w:val="21"/>
                      <w:szCs w:val="21"/>
                      <w:lang w:bidi="ar"/>
                    </w:rPr>
                    <w:t>产生情况</w:t>
                  </w:r>
                </w:p>
              </w:tc>
              <w:tc>
                <w:tcPr>
                  <w:tcW w:w="280" w:type="pct"/>
                  <w:vMerge w:val="restart"/>
                  <w:tcBorders>
                    <w:tl2br w:val="nil"/>
                    <w:tr2bl w:val="nil"/>
                  </w:tcBorders>
                  <w:vAlign w:val="center"/>
                </w:tcPr>
                <w:p w14:paraId="37D18087">
                  <w:pPr>
                    <w:widowControl/>
                    <w:jc w:val="center"/>
                    <w:rPr>
                      <w:b/>
                      <w:bCs/>
                      <w:color w:val="000000"/>
                      <w:kern w:val="0"/>
                      <w:sz w:val="21"/>
                      <w:szCs w:val="21"/>
                      <w:lang w:bidi="ar"/>
                    </w:rPr>
                  </w:pPr>
                  <w:r>
                    <w:rPr>
                      <w:b/>
                      <w:bCs/>
                      <w:color w:val="000000"/>
                      <w:kern w:val="0"/>
                      <w:sz w:val="21"/>
                      <w:szCs w:val="21"/>
                      <w:lang w:bidi="ar"/>
                    </w:rPr>
                    <w:t>治理措施</w:t>
                  </w:r>
                </w:p>
              </w:tc>
              <w:tc>
                <w:tcPr>
                  <w:tcW w:w="1351" w:type="pct"/>
                  <w:gridSpan w:val="2"/>
                  <w:tcBorders>
                    <w:tl2br w:val="nil"/>
                    <w:tr2bl w:val="nil"/>
                  </w:tcBorders>
                  <w:vAlign w:val="center"/>
                </w:tcPr>
                <w:p w14:paraId="7B3C8F56">
                  <w:pPr>
                    <w:widowControl/>
                    <w:jc w:val="center"/>
                    <w:rPr>
                      <w:b/>
                      <w:bCs/>
                      <w:color w:val="000000"/>
                      <w:kern w:val="0"/>
                      <w:sz w:val="21"/>
                      <w:szCs w:val="21"/>
                      <w:lang w:bidi="ar"/>
                    </w:rPr>
                  </w:pPr>
                  <w:r>
                    <w:rPr>
                      <w:b/>
                      <w:bCs/>
                      <w:color w:val="000000"/>
                      <w:kern w:val="0"/>
                      <w:sz w:val="21"/>
                      <w:szCs w:val="21"/>
                      <w:lang w:bidi="ar"/>
                    </w:rPr>
                    <w:t>污染物排放</w:t>
                  </w:r>
                </w:p>
              </w:tc>
            </w:tr>
            <w:tr w14:paraId="717FC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6" w:type="pct"/>
                  <w:vMerge w:val="continue"/>
                  <w:tcBorders>
                    <w:tl2br w:val="nil"/>
                    <w:tr2bl w:val="nil"/>
                  </w:tcBorders>
                  <w:vAlign w:val="center"/>
                </w:tcPr>
                <w:p w14:paraId="7093B068">
                  <w:pPr>
                    <w:widowControl/>
                    <w:jc w:val="center"/>
                    <w:rPr>
                      <w:b/>
                      <w:bCs/>
                      <w:color w:val="000000"/>
                      <w:kern w:val="0"/>
                      <w:sz w:val="21"/>
                      <w:szCs w:val="21"/>
                      <w:lang w:bidi="ar"/>
                    </w:rPr>
                  </w:pPr>
                </w:p>
              </w:tc>
              <w:tc>
                <w:tcPr>
                  <w:tcW w:w="691" w:type="pct"/>
                  <w:vMerge w:val="continue"/>
                  <w:tcBorders>
                    <w:tl2br w:val="nil"/>
                    <w:tr2bl w:val="nil"/>
                  </w:tcBorders>
                  <w:vAlign w:val="center"/>
                </w:tcPr>
                <w:p w14:paraId="6CE38502">
                  <w:pPr>
                    <w:widowControl/>
                    <w:jc w:val="center"/>
                    <w:rPr>
                      <w:b/>
                      <w:bCs/>
                      <w:color w:val="000000"/>
                      <w:kern w:val="0"/>
                      <w:sz w:val="21"/>
                      <w:szCs w:val="21"/>
                      <w:lang w:bidi="ar"/>
                    </w:rPr>
                  </w:pPr>
                </w:p>
              </w:tc>
              <w:tc>
                <w:tcPr>
                  <w:tcW w:w="815" w:type="pct"/>
                  <w:tcBorders>
                    <w:tl2br w:val="nil"/>
                    <w:tr2bl w:val="nil"/>
                  </w:tcBorders>
                  <w:vAlign w:val="center"/>
                </w:tcPr>
                <w:p w14:paraId="6F72880C">
                  <w:pPr>
                    <w:widowControl/>
                    <w:jc w:val="center"/>
                    <w:rPr>
                      <w:b/>
                      <w:bCs/>
                      <w:color w:val="000000"/>
                      <w:kern w:val="0"/>
                      <w:sz w:val="21"/>
                      <w:szCs w:val="21"/>
                      <w:lang w:bidi="ar"/>
                    </w:rPr>
                  </w:pPr>
                  <w:r>
                    <w:rPr>
                      <w:b/>
                      <w:bCs/>
                      <w:color w:val="000000"/>
                      <w:kern w:val="0"/>
                      <w:sz w:val="21"/>
                      <w:szCs w:val="21"/>
                      <w:lang w:bidi="ar"/>
                    </w:rPr>
                    <w:t>浓度（mg/L）</w:t>
                  </w:r>
                </w:p>
              </w:tc>
              <w:tc>
                <w:tcPr>
                  <w:tcW w:w="767" w:type="pct"/>
                  <w:tcBorders>
                    <w:tl2br w:val="nil"/>
                    <w:tr2bl w:val="nil"/>
                  </w:tcBorders>
                  <w:vAlign w:val="center"/>
                </w:tcPr>
                <w:p w14:paraId="17DA2AF9">
                  <w:pPr>
                    <w:widowControl/>
                    <w:jc w:val="center"/>
                    <w:rPr>
                      <w:b/>
                      <w:bCs/>
                      <w:color w:val="000000"/>
                      <w:kern w:val="0"/>
                      <w:sz w:val="21"/>
                      <w:szCs w:val="21"/>
                      <w:lang w:bidi="ar"/>
                    </w:rPr>
                  </w:pPr>
                  <w:r>
                    <w:rPr>
                      <w:b/>
                      <w:bCs/>
                      <w:color w:val="000000"/>
                      <w:kern w:val="0"/>
                      <w:sz w:val="21"/>
                      <w:szCs w:val="21"/>
                      <w:lang w:bidi="ar"/>
                    </w:rPr>
                    <w:t>产生量（t/a）</w:t>
                  </w:r>
                </w:p>
              </w:tc>
              <w:tc>
                <w:tcPr>
                  <w:tcW w:w="280" w:type="pct"/>
                  <w:vMerge w:val="continue"/>
                  <w:tcBorders>
                    <w:tl2br w:val="nil"/>
                    <w:tr2bl w:val="nil"/>
                  </w:tcBorders>
                  <w:vAlign w:val="center"/>
                </w:tcPr>
                <w:p w14:paraId="27AF5A9D">
                  <w:pPr>
                    <w:widowControl/>
                    <w:jc w:val="center"/>
                    <w:rPr>
                      <w:b/>
                      <w:bCs/>
                      <w:color w:val="000000"/>
                      <w:kern w:val="0"/>
                      <w:sz w:val="21"/>
                      <w:szCs w:val="21"/>
                      <w:lang w:bidi="ar"/>
                    </w:rPr>
                  </w:pPr>
                </w:p>
              </w:tc>
              <w:tc>
                <w:tcPr>
                  <w:tcW w:w="714" w:type="pct"/>
                  <w:tcBorders>
                    <w:tl2br w:val="nil"/>
                    <w:tr2bl w:val="nil"/>
                  </w:tcBorders>
                  <w:vAlign w:val="center"/>
                </w:tcPr>
                <w:p w14:paraId="0D340FCE">
                  <w:pPr>
                    <w:widowControl/>
                    <w:jc w:val="center"/>
                    <w:rPr>
                      <w:b/>
                      <w:bCs/>
                      <w:color w:val="000000"/>
                      <w:kern w:val="0"/>
                      <w:sz w:val="21"/>
                      <w:szCs w:val="21"/>
                      <w:lang w:bidi="ar"/>
                    </w:rPr>
                  </w:pPr>
                  <w:r>
                    <w:rPr>
                      <w:b/>
                      <w:bCs/>
                      <w:color w:val="000000"/>
                      <w:kern w:val="0"/>
                      <w:sz w:val="21"/>
                      <w:szCs w:val="21"/>
                      <w:lang w:bidi="ar"/>
                    </w:rPr>
                    <w:t>浓度（mg/L）</w:t>
                  </w:r>
                </w:p>
              </w:tc>
              <w:tc>
                <w:tcPr>
                  <w:tcW w:w="637" w:type="pct"/>
                  <w:tcBorders>
                    <w:tl2br w:val="nil"/>
                    <w:tr2bl w:val="nil"/>
                  </w:tcBorders>
                  <w:vAlign w:val="center"/>
                </w:tcPr>
                <w:p w14:paraId="214F125A">
                  <w:pPr>
                    <w:widowControl/>
                    <w:jc w:val="center"/>
                    <w:rPr>
                      <w:b/>
                      <w:bCs/>
                      <w:color w:val="000000"/>
                      <w:kern w:val="0"/>
                      <w:sz w:val="21"/>
                      <w:szCs w:val="21"/>
                      <w:lang w:bidi="ar"/>
                    </w:rPr>
                  </w:pPr>
                  <w:r>
                    <w:rPr>
                      <w:b/>
                      <w:bCs/>
                      <w:color w:val="000000"/>
                      <w:kern w:val="0"/>
                      <w:sz w:val="21"/>
                      <w:szCs w:val="21"/>
                      <w:lang w:bidi="ar"/>
                    </w:rPr>
                    <w:t>排放量（t/a）</w:t>
                  </w:r>
                </w:p>
              </w:tc>
            </w:tr>
            <w:tr w14:paraId="56314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096" w:type="pct"/>
                  <w:vMerge w:val="restart"/>
                  <w:tcBorders>
                    <w:tl2br w:val="nil"/>
                    <w:tr2bl w:val="nil"/>
                  </w:tcBorders>
                  <w:vAlign w:val="center"/>
                </w:tcPr>
                <w:p w14:paraId="4E57C1A9">
                  <w:pPr>
                    <w:widowControl/>
                    <w:jc w:val="center"/>
                    <w:rPr>
                      <w:color w:val="000000"/>
                      <w:kern w:val="0"/>
                      <w:sz w:val="21"/>
                      <w:szCs w:val="21"/>
                      <w:lang w:bidi="ar"/>
                    </w:rPr>
                  </w:pPr>
                  <w:r>
                    <w:rPr>
                      <w:color w:val="000000"/>
                      <w:kern w:val="0"/>
                      <w:sz w:val="21"/>
                      <w:szCs w:val="21"/>
                      <w:lang w:bidi="ar"/>
                    </w:rPr>
                    <w:t>生活污水</w:t>
                  </w:r>
                </w:p>
                <w:p w14:paraId="17AD5986">
                  <w:pPr>
                    <w:widowControl/>
                    <w:jc w:val="center"/>
                    <w:rPr>
                      <w:color w:val="000000"/>
                      <w:kern w:val="0"/>
                      <w:sz w:val="21"/>
                      <w:szCs w:val="21"/>
                      <w:lang w:bidi="ar"/>
                    </w:rPr>
                  </w:pPr>
                  <w:r>
                    <w:rPr>
                      <w:color w:val="000000"/>
                      <w:kern w:val="0"/>
                      <w:sz w:val="21"/>
                      <w:szCs w:val="21"/>
                      <w:lang w:bidi="ar"/>
                    </w:rPr>
                    <w:t>（</w:t>
                  </w:r>
                  <w:r>
                    <w:rPr>
                      <w:rFonts w:hint="eastAsia"/>
                      <w:color w:val="000000"/>
                      <w:kern w:val="0"/>
                      <w:sz w:val="21"/>
                      <w:szCs w:val="21"/>
                      <w:lang w:bidi="ar"/>
                    </w:rPr>
                    <w:t>912</w:t>
                  </w:r>
                  <w:r>
                    <w:rPr>
                      <w:color w:val="000000"/>
                      <w:kern w:val="0"/>
                      <w:sz w:val="21"/>
                      <w:szCs w:val="21"/>
                      <w:lang w:bidi="ar"/>
                    </w:rPr>
                    <w:t>t/a）</w:t>
                  </w:r>
                </w:p>
              </w:tc>
              <w:tc>
                <w:tcPr>
                  <w:tcW w:w="691" w:type="pct"/>
                  <w:tcBorders>
                    <w:tl2br w:val="nil"/>
                    <w:tr2bl w:val="nil"/>
                  </w:tcBorders>
                  <w:vAlign w:val="center"/>
                </w:tcPr>
                <w:p w14:paraId="70501715">
                  <w:pPr>
                    <w:widowControl/>
                    <w:jc w:val="center"/>
                    <w:rPr>
                      <w:color w:val="000000"/>
                      <w:kern w:val="0"/>
                      <w:sz w:val="21"/>
                      <w:szCs w:val="21"/>
                      <w:lang w:bidi="ar"/>
                    </w:rPr>
                  </w:pPr>
                  <w:r>
                    <w:rPr>
                      <w:color w:val="000000"/>
                      <w:kern w:val="0"/>
                      <w:sz w:val="21"/>
                      <w:szCs w:val="21"/>
                      <w:lang w:bidi="ar"/>
                    </w:rPr>
                    <w:t>COD</w:t>
                  </w:r>
                  <w:r>
                    <w:rPr>
                      <w:rFonts w:hint="eastAsia"/>
                      <w:color w:val="000000"/>
                      <w:kern w:val="0"/>
                      <w:sz w:val="21"/>
                      <w:szCs w:val="21"/>
                      <w:lang w:bidi="ar"/>
                    </w:rPr>
                    <w:t>cr</w:t>
                  </w:r>
                </w:p>
              </w:tc>
              <w:tc>
                <w:tcPr>
                  <w:tcW w:w="815" w:type="pct"/>
                  <w:tcBorders>
                    <w:tl2br w:val="nil"/>
                    <w:tr2bl w:val="nil"/>
                  </w:tcBorders>
                  <w:vAlign w:val="center"/>
                </w:tcPr>
                <w:p w14:paraId="4B9283AE">
                  <w:pPr>
                    <w:widowControl/>
                    <w:jc w:val="center"/>
                    <w:rPr>
                      <w:color w:val="000000"/>
                      <w:kern w:val="0"/>
                      <w:sz w:val="21"/>
                      <w:szCs w:val="21"/>
                      <w:lang w:bidi="ar"/>
                    </w:rPr>
                  </w:pPr>
                  <w:r>
                    <w:rPr>
                      <w:rFonts w:hint="eastAsia"/>
                      <w:color w:val="000000"/>
                      <w:kern w:val="0"/>
                      <w:sz w:val="21"/>
                      <w:szCs w:val="21"/>
                      <w:lang w:bidi="ar"/>
                    </w:rPr>
                    <w:t>250</w:t>
                  </w:r>
                </w:p>
              </w:tc>
              <w:tc>
                <w:tcPr>
                  <w:tcW w:w="767" w:type="pct"/>
                  <w:tcBorders>
                    <w:tl2br w:val="nil"/>
                    <w:tr2bl w:val="nil"/>
                  </w:tcBorders>
                  <w:vAlign w:val="center"/>
                </w:tcPr>
                <w:p w14:paraId="4ED27836">
                  <w:pPr>
                    <w:widowControl/>
                    <w:jc w:val="center"/>
                    <w:textAlignment w:val="center"/>
                    <w:rPr>
                      <w:b/>
                      <w:bCs/>
                      <w:color w:val="000000"/>
                      <w:kern w:val="0"/>
                      <w:sz w:val="21"/>
                      <w:szCs w:val="21"/>
                      <w:lang w:bidi="ar"/>
                    </w:rPr>
                  </w:pPr>
                  <w:r>
                    <w:rPr>
                      <w:rFonts w:hint="eastAsia"/>
                      <w:color w:val="000000"/>
                      <w:sz w:val="21"/>
                      <w:szCs w:val="21"/>
                    </w:rPr>
                    <w:t>0.228</w:t>
                  </w:r>
                </w:p>
              </w:tc>
              <w:tc>
                <w:tcPr>
                  <w:tcW w:w="280" w:type="pct"/>
                  <w:vMerge w:val="restart"/>
                  <w:tcBorders>
                    <w:tl2br w:val="nil"/>
                    <w:tr2bl w:val="nil"/>
                  </w:tcBorders>
                  <w:vAlign w:val="center"/>
                </w:tcPr>
                <w:p w14:paraId="7B5A8CD3">
                  <w:pPr>
                    <w:widowControl/>
                    <w:jc w:val="center"/>
                    <w:rPr>
                      <w:color w:val="000000"/>
                      <w:kern w:val="0"/>
                      <w:sz w:val="21"/>
                      <w:szCs w:val="21"/>
                      <w:lang w:bidi="ar"/>
                    </w:rPr>
                  </w:pPr>
                  <w:r>
                    <w:rPr>
                      <w:color w:val="000000"/>
                      <w:kern w:val="0"/>
                      <w:sz w:val="21"/>
                      <w:szCs w:val="21"/>
                      <w:lang w:bidi="ar"/>
                    </w:rPr>
                    <w:t>化粪池</w:t>
                  </w:r>
                </w:p>
              </w:tc>
              <w:tc>
                <w:tcPr>
                  <w:tcW w:w="714" w:type="pct"/>
                  <w:tcBorders>
                    <w:tl2br w:val="nil"/>
                    <w:tr2bl w:val="nil"/>
                  </w:tcBorders>
                  <w:vAlign w:val="center"/>
                </w:tcPr>
                <w:p w14:paraId="5BD9795B">
                  <w:pPr>
                    <w:widowControl/>
                    <w:jc w:val="center"/>
                    <w:rPr>
                      <w:color w:val="000000"/>
                      <w:kern w:val="0"/>
                      <w:sz w:val="21"/>
                      <w:szCs w:val="21"/>
                      <w:lang w:bidi="ar"/>
                    </w:rPr>
                  </w:pPr>
                  <w:r>
                    <w:rPr>
                      <w:rFonts w:hint="eastAsia" w:ascii="TimesNewRomanPSMT" w:hAnsi="TimesNewRomanPSMT"/>
                      <w:sz w:val="21"/>
                      <w:szCs w:val="21"/>
                    </w:rPr>
                    <w:t>150</w:t>
                  </w:r>
                </w:p>
              </w:tc>
              <w:tc>
                <w:tcPr>
                  <w:tcW w:w="637" w:type="pct"/>
                  <w:tcBorders>
                    <w:tl2br w:val="nil"/>
                    <w:tr2bl w:val="nil"/>
                  </w:tcBorders>
                  <w:vAlign w:val="center"/>
                </w:tcPr>
                <w:p w14:paraId="411177E4">
                  <w:pPr>
                    <w:widowControl/>
                    <w:jc w:val="center"/>
                    <w:textAlignment w:val="center"/>
                    <w:rPr>
                      <w:color w:val="000000"/>
                      <w:kern w:val="0"/>
                      <w:sz w:val="21"/>
                      <w:szCs w:val="21"/>
                      <w:lang w:bidi="ar"/>
                    </w:rPr>
                  </w:pPr>
                  <w:r>
                    <w:rPr>
                      <w:rFonts w:hint="eastAsia"/>
                      <w:color w:val="000000"/>
                      <w:sz w:val="21"/>
                      <w:szCs w:val="21"/>
                    </w:rPr>
                    <w:t>0.1368</w:t>
                  </w:r>
                </w:p>
              </w:tc>
            </w:tr>
            <w:tr w14:paraId="11F63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96" w:type="pct"/>
                  <w:vMerge w:val="continue"/>
                  <w:tcBorders>
                    <w:tl2br w:val="nil"/>
                    <w:tr2bl w:val="nil"/>
                  </w:tcBorders>
                  <w:vAlign w:val="center"/>
                </w:tcPr>
                <w:p w14:paraId="3C38DFB7">
                  <w:pPr>
                    <w:widowControl/>
                    <w:jc w:val="center"/>
                    <w:rPr>
                      <w:color w:val="000000"/>
                      <w:kern w:val="0"/>
                      <w:sz w:val="21"/>
                      <w:szCs w:val="21"/>
                      <w:lang w:bidi="ar"/>
                    </w:rPr>
                  </w:pPr>
                </w:p>
              </w:tc>
              <w:tc>
                <w:tcPr>
                  <w:tcW w:w="691" w:type="pct"/>
                  <w:tcBorders>
                    <w:tl2br w:val="nil"/>
                    <w:tr2bl w:val="nil"/>
                  </w:tcBorders>
                  <w:vAlign w:val="center"/>
                </w:tcPr>
                <w:p w14:paraId="6CEB3550">
                  <w:pPr>
                    <w:widowControl/>
                    <w:jc w:val="center"/>
                    <w:rPr>
                      <w:color w:val="000000"/>
                      <w:kern w:val="0"/>
                      <w:sz w:val="21"/>
                      <w:szCs w:val="21"/>
                      <w:lang w:bidi="ar"/>
                    </w:rPr>
                  </w:pPr>
                  <w:r>
                    <w:rPr>
                      <w:rFonts w:hint="eastAsia"/>
                      <w:color w:val="000000"/>
                      <w:kern w:val="0"/>
                      <w:sz w:val="21"/>
                      <w:szCs w:val="21"/>
                      <w:lang w:bidi="ar"/>
                    </w:rPr>
                    <w:t>BOD</w:t>
                  </w:r>
                  <w:r>
                    <w:rPr>
                      <w:rFonts w:hint="eastAsia"/>
                      <w:color w:val="000000"/>
                      <w:kern w:val="0"/>
                      <w:sz w:val="21"/>
                      <w:szCs w:val="21"/>
                      <w:vertAlign w:val="subscript"/>
                      <w:lang w:bidi="ar"/>
                    </w:rPr>
                    <w:t>5</w:t>
                  </w:r>
                </w:p>
              </w:tc>
              <w:tc>
                <w:tcPr>
                  <w:tcW w:w="815" w:type="pct"/>
                  <w:tcBorders>
                    <w:tl2br w:val="nil"/>
                    <w:tr2bl w:val="nil"/>
                  </w:tcBorders>
                  <w:vAlign w:val="center"/>
                </w:tcPr>
                <w:p w14:paraId="166922FE">
                  <w:pPr>
                    <w:widowControl/>
                    <w:jc w:val="center"/>
                    <w:rPr>
                      <w:color w:val="000000"/>
                      <w:kern w:val="0"/>
                      <w:sz w:val="21"/>
                      <w:szCs w:val="21"/>
                      <w:lang w:bidi="ar"/>
                    </w:rPr>
                  </w:pPr>
                  <w:r>
                    <w:rPr>
                      <w:color w:val="000000"/>
                      <w:kern w:val="0"/>
                      <w:sz w:val="21"/>
                      <w:szCs w:val="21"/>
                      <w:lang w:bidi="ar"/>
                    </w:rPr>
                    <w:t>2</w:t>
                  </w:r>
                  <w:r>
                    <w:rPr>
                      <w:rFonts w:hint="eastAsia"/>
                      <w:color w:val="000000"/>
                      <w:kern w:val="0"/>
                      <w:sz w:val="21"/>
                      <w:szCs w:val="21"/>
                      <w:lang w:bidi="ar"/>
                    </w:rPr>
                    <w:t>00</w:t>
                  </w:r>
                </w:p>
              </w:tc>
              <w:tc>
                <w:tcPr>
                  <w:tcW w:w="767" w:type="pct"/>
                  <w:tcBorders>
                    <w:tl2br w:val="nil"/>
                    <w:tr2bl w:val="nil"/>
                  </w:tcBorders>
                  <w:vAlign w:val="center"/>
                </w:tcPr>
                <w:p w14:paraId="5A703786">
                  <w:pPr>
                    <w:widowControl/>
                    <w:jc w:val="center"/>
                    <w:textAlignment w:val="center"/>
                    <w:rPr>
                      <w:b/>
                      <w:bCs/>
                      <w:color w:val="000000"/>
                      <w:kern w:val="0"/>
                      <w:sz w:val="21"/>
                      <w:szCs w:val="21"/>
                      <w:lang w:bidi="ar"/>
                    </w:rPr>
                  </w:pPr>
                  <w:r>
                    <w:rPr>
                      <w:rFonts w:hint="eastAsia"/>
                      <w:color w:val="000000"/>
                      <w:sz w:val="21"/>
                      <w:szCs w:val="21"/>
                    </w:rPr>
                    <w:t>0.1824</w:t>
                  </w:r>
                </w:p>
              </w:tc>
              <w:tc>
                <w:tcPr>
                  <w:tcW w:w="280" w:type="pct"/>
                  <w:vMerge w:val="continue"/>
                  <w:tcBorders>
                    <w:tl2br w:val="nil"/>
                    <w:tr2bl w:val="nil"/>
                  </w:tcBorders>
                  <w:vAlign w:val="center"/>
                </w:tcPr>
                <w:p w14:paraId="1E0EF3F0">
                  <w:pPr>
                    <w:widowControl/>
                    <w:jc w:val="center"/>
                    <w:rPr>
                      <w:color w:val="000000"/>
                      <w:kern w:val="0"/>
                      <w:sz w:val="21"/>
                      <w:szCs w:val="21"/>
                      <w:lang w:bidi="ar"/>
                    </w:rPr>
                  </w:pPr>
                </w:p>
              </w:tc>
              <w:tc>
                <w:tcPr>
                  <w:tcW w:w="714" w:type="pct"/>
                  <w:tcBorders>
                    <w:tl2br w:val="nil"/>
                    <w:tr2bl w:val="nil"/>
                  </w:tcBorders>
                  <w:vAlign w:val="center"/>
                </w:tcPr>
                <w:p w14:paraId="3EB0F303">
                  <w:pPr>
                    <w:widowControl/>
                    <w:jc w:val="center"/>
                    <w:rPr>
                      <w:color w:val="000000"/>
                      <w:kern w:val="0"/>
                      <w:sz w:val="21"/>
                      <w:szCs w:val="21"/>
                      <w:lang w:bidi="ar"/>
                    </w:rPr>
                  </w:pPr>
                  <w:r>
                    <w:rPr>
                      <w:rFonts w:hint="eastAsia"/>
                      <w:color w:val="000000"/>
                      <w:kern w:val="0"/>
                      <w:sz w:val="21"/>
                      <w:szCs w:val="21"/>
                      <w:lang w:bidi="ar"/>
                    </w:rPr>
                    <w:t>160</w:t>
                  </w:r>
                </w:p>
              </w:tc>
              <w:tc>
                <w:tcPr>
                  <w:tcW w:w="637" w:type="pct"/>
                  <w:tcBorders>
                    <w:tl2br w:val="nil"/>
                    <w:tr2bl w:val="nil"/>
                  </w:tcBorders>
                  <w:vAlign w:val="center"/>
                </w:tcPr>
                <w:p w14:paraId="2567961B">
                  <w:pPr>
                    <w:widowControl/>
                    <w:jc w:val="center"/>
                    <w:textAlignment w:val="center"/>
                    <w:rPr>
                      <w:color w:val="000000"/>
                      <w:kern w:val="0"/>
                      <w:sz w:val="21"/>
                      <w:szCs w:val="21"/>
                      <w:lang w:bidi="ar"/>
                    </w:rPr>
                  </w:pPr>
                  <w:r>
                    <w:rPr>
                      <w:color w:val="000000"/>
                      <w:sz w:val="21"/>
                      <w:szCs w:val="21"/>
                    </w:rPr>
                    <w:t>0.</w:t>
                  </w:r>
                  <w:r>
                    <w:rPr>
                      <w:rFonts w:hint="eastAsia"/>
                      <w:color w:val="000000"/>
                      <w:sz w:val="21"/>
                      <w:szCs w:val="21"/>
                    </w:rPr>
                    <w:t>1459</w:t>
                  </w:r>
                </w:p>
              </w:tc>
            </w:tr>
            <w:tr w14:paraId="4D29E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96" w:type="pct"/>
                  <w:vMerge w:val="continue"/>
                  <w:tcBorders>
                    <w:tl2br w:val="nil"/>
                    <w:tr2bl w:val="nil"/>
                  </w:tcBorders>
                  <w:vAlign w:val="center"/>
                </w:tcPr>
                <w:p w14:paraId="2EEA6792">
                  <w:pPr>
                    <w:widowControl/>
                    <w:jc w:val="center"/>
                    <w:rPr>
                      <w:color w:val="000000"/>
                      <w:kern w:val="0"/>
                      <w:sz w:val="21"/>
                      <w:szCs w:val="21"/>
                      <w:lang w:bidi="ar"/>
                    </w:rPr>
                  </w:pPr>
                </w:p>
              </w:tc>
              <w:tc>
                <w:tcPr>
                  <w:tcW w:w="691" w:type="pct"/>
                  <w:tcBorders>
                    <w:tl2br w:val="nil"/>
                    <w:tr2bl w:val="nil"/>
                  </w:tcBorders>
                  <w:vAlign w:val="center"/>
                </w:tcPr>
                <w:p w14:paraId="71942520">
                  <w:pPr>
                    <w:widowControl/>
                    <w:jc w:val="center"/>
                    <w:rPr>
                      <w:color w:val="000000"/>
                      <w:kern w:val="0"/>
                      <w:sz w:val="21"/>
                      <w:szCs w:val="21"/>
                      <w:lang w:bidi="ar"/>
                    </w:rPr>
                  </w:pPr>
                  <w:r>
                    <w:rPr>
                      <w:color w:val="000000"/>
                      <w:kern w:val="0"/>
                      <w:sz w:val="21"/>
                      <w:szCs w:val="21"/>
                      <w:lang w:bidi="ar"/>
                    </w:rPr>
                    <w:t>NH</w:t>
                  </w:r>
                  <w:r>
                    <w:rPr>
                      <w:color w:val="000000"/>
                      <w:kern w:val="0"/>
                      <w:sz w:val="21"/>
                      <w:szCs w:val="21"/>
                      <w:vertAlign w:val="subscript"/>
                      <w:lang w:bidi="ar"/>
                    </w:rPr>
                    <w:t>3</w:t>
                  </w:r>
                  <w:r>
                    <w:rPr>
                      <w:color w:val="000000"/>
                      <w:kern w:val="0"/>
                      <w:sz w:val="21"/>
                      <w:szCs w:val="21"/>
                      <w:lang w:bidi="ar"/>
                    </w:rPr>
                    <w:t>-N</w:t>
                  </w:r>
                </w:p>
              </w:tc>
              <w:tc>
                <w:tcPr>
                  <w:tcW w:w="815" w:type="pct"/>
                  <w:tcBorders>
                    <w:tl2br w:val="nil"/>
                    <w:tr2bl w:val="nil"/>
                  </w:tcBorders>
                  <w:vAlign w:val="center"/>
                </w:tcPr>
                <w:p w14:paraId="5B613BB4">
                  <w:pPr>
                    <w:widowControl/>
                    <w:jc w:val="center"/>
                    <w:rPr>
                      <w:color w:val="000000"/>
                      <w:kern w:val="0"/>
                      <w:sz w:val="21"/>
                      <w:szCs w:val="21"/>
                      <w:lang w:bidi="ar"/>
                    </w:rPr>
                  </w:pPr>
                  <w:r>
                    <w:rPr>
                      <w:rFonts w:hint="eastAsia"/>
                      <w:color w:val="000000"/>
                      <w:kern w:val="0"/>
                      <w:sz w:val="21"/>
                      <w:szCs w:val="21"/>
                      <w:lang w:bidi="ar"/>
                    </w:rPr>
                    <w:t>25</w:t>
                  </w:r>
                </w:p>
              </w:tc>
              <w:tc>
                <w:tcPr>
                  <w:tcW w:w="767" w:type="pct"/>
                  <w:tcBorders>
                    <w:tl2br w:val="nil"/>
                    <w:tr2bl w:val="nil"/>
                  </w:tcBorders>
                  <w:vAlign w:val="center"/>
                </w:tcPr>
                <w:p w14:paraId="3C3C44A1">
                  <w:pPr>
                    <w:widowControl/>
                    <w:jc w:val="center"/>
                    <w:textAlignment w:val="center"/>
                    <w:rPr>
                      <w:b/>
                      <w:bCs/>
                      <w:color w:val="000000"/>
                      <w:kern w:val="0"/>
                      <w:sz w:val="21"/>
                      <w:szCs w:val="21"/>
                      <w:lang w:bidi="ar"/>
                    </w:rPr>
                  </w:pPr>
                  <w:r>
                    <w:rPr>
                      <w:color w:val="000000"/>
                      <w:sz w:val="21"/>
                      <w:szCs w:val="21"/>
                    </w:rPr>
                    <w:t>0.0</w:t>
                  </w:r>
                  <w:r>
                    <w:rPr>
                      <w:rFonts w:hint="eastAsia"/>
                      <w:color w:val="000000"/>
                      <w:sz w:val="21"/>
                      <w:szCs w:val="21"/>
                    </w:rPr>
                    <w:t>228</w:t>
                  </w:r>
                </w:p>
              </w:tc>
              <w:tc>
                <w:tcPr>
                  <w:tcW w:w="280" w:type="pct"/>
                  <w:vMerge w:val="continue"/>
                  <w:tcBorders>
                    <w:tl2br w:val="nil"/>
                    <w:tr2bl w:val="nil"/>
                  </w:tcBorders>
                  <w:vAlign w:val="center"/>
                </w:tcPr>
                <w:p w14:paraId="6F219EF7">
                  <w:pPr>
                    <w:widowControl/>
                    <w:jc w:val="center"/>
                    <w:rPr>
                      <w:color w:val="000000"/>
                      <w:kern w:val="0"/>
                      <w:sz w:val="21"/>
                      <w:szCs w:val="21"/>
                      <w:lang w:bidi="ar"/>
                    </w:rPr>
                  </w:pPr>
                </w:p>
              </w:tc>
              <w:tc>
                <w:tcPr>
                  <w:tcW w:w="714" w:type="pct"/>
                  <w:tcBorders>
                    <w:tl2br w:val="nil"/>
                    <w:tr2bl w:val="nil"/>
                  </w:tcBorders>
                  <w:vAlign w:val="center"/>
                </w:tcPr>
                <w:p w14:paraId="77DC58B2">
                  <w:pPr>
                    <w:widowControl/>
                    <w:jc w:val="center"/>
                    <w:rPr>
                      <w:color w:val="000000"/>
                      <w:kern w:val="0"/>
                      <w:sz w:val="21"/>
                      <w:szCs w:val="21"/>
                      <w:lang w:bidi="ar"/>
                    </w:rPr>
                  </w:pPr>
                  <w:r>
                    <w:rPr>
                      <w:rFonts w:hint="eastAsia"/>
                      <w:color w:val="000000"/>
                      <w:kern w:val="0"/>
                      <w:sz w:val="21"/>
                      <w:szCs w:val="21"/>
                      <w:lang w:bidi="ar"/>
                    </w:rPr>
                    <w:t>25</w:t>
                  </w:r>
                </w:p>
              </w:tc>
              <w:tc>
                <w:tcPr>
                  <w:tcW w:w="637" w:type="pct"/>
                  <w:tcBorders>
                    <w:tl2br w:val="nil"/>
                    <w:tr2bl w:val="nil"/>
                  </w:tcBorders>
                  <w:vAlign w:val="center"/>
                </w:tcPr>
                <w:p w14:paraId="5B43A551">
                  <w:pPr>
                    <w:widowControl/>
                    <w:jc w:val="center"/>
                    <w:textAlignment w:val="center"/>
                    <w:rPr>
                      <w:color w:val="000000"/>
                      <w:kern w:val="0"/>
                      <w:sz w:val="21"/>
                      <w:szCs w:val="21"/>
                      <w:lang w:bidi="ar"/>
                    </w:rPr>
                  </w:pPr>
                  <w:r>
                    <w:rPr>
                      <w:color w:val="000000"/>
                      <w:sz w:val="21"/>
                      <w:szCs w:val="21"/>
                    </w:rPr>
                    <w:t>0.</w:t>
                  </w:r>
                  <w:r>
                    <w:rPr>
                      <w:rFonts w:hint="eastAsia"/>
                      <w:color w:val="000000"/>
                      <w:sz w:val="21"/>
                      <w:szCs w:val="21"/>
                    </w:rPr>
                    <w:t>0228</w:t>
                  </w:r>
                </w:p>
              </w:tc>
            </w:tr>
            <w:tr w14:paraId="01975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96" w:type="pct"/>
                  <w:vMerge w:val="continue"/>
                  <w:tcBorders>
                    <w:tl2br w:val="nil"/>
                    <w:tr2bl w:val="nil"/>
                  </w:tcBorders>
                  <w:vAlign w:val="center"/>
                </w:tcPr>
                <w:p w14:paraId="5BF44064">
                  <w:pPr>
                    <w:widowControl/>
                    <w:jc w:val="center"/>
                    <w:rPr>
                      <w:color w:val="000000"/>
                      <w:kern w:val="0"/>
                      <w:sz w:val="21"/>
                      <w:szCs w:val="21"/>
                      <w:lang w:bidi="ar"/>
                    </w:rPr>
                  </w:pPr>
                </w:p>
              </w:tc>
              <w:tc>
                <w:tcPr>
                  <w:tcW w:w="691" w:type="pct"/>
                  <w:tcBorders>
                    <w:tl2br w:val="nil"/>
                    <w:tr2bl w:val="nil"/>
                  </w:tcBorders>
                  <w:vAlign w:val="center"/>
                </w:tcPr>
                <w:p w14:paraId="44572F0B">
                  <w:pPr>
                    <w:widowControl/>
                    <w:jc w:val="center"/>
                    <w:rPr>
                      <w:color w:val="000000"/>
                      <w:kern w:val="0"/>
                      <w:sz w:val="21"/>
                      <w:szCs w:val="21"/>
                      <w:lang w:bidi="ar"/>
                    </w:rPr>
                  </w:pPr>
                  <w:r>
                    <w:rPr>
                      <w:color w:val="000000"/>
                      <w:kern w:val="0"/>
                      <w:sz w:val="21"/>
                      <w:szCs w:val="21"/>
                      <w:lang w:bidi="ar"/>
                    </w:rPr>
                    <w:t>SS</w:t>
                  </w:r>
                </w:p>
              </w:tc>
              <w:tc>
                <w:tcPr>
                  <w:tcW w:w="815" w:type="pct"/>
                  <w:tcBorders>
                    <w:tl2br w:val="nil"/>
                    <w:tr2bl w:val="nil"/>
                  </w:tcBorders>
                  <w:vAlign w:val="center"/>
                </w:tcPr>
                <w:p w14:paraId="5FB4965B">
                  <w:pPr>
                    <w:widowControl/>
                    <w:jc w:val="center"/>
                    <w:rPr>
                      <w:color w:val="000000"/>
                      <w:kern w:val="0"/>
                      <w:sz w:val="21"/>
                      <w:szCs w:val="21"/>
                      <w:lang w:bidi="ar"/>
                    </w:rPr>
                  </w:pPr>
                  <w:r>
                    <w:rPr>
                      <w:rFonts w:hint="eastAsia"/>
                      <w:color w:val="000000"/>
                      <w:kern w:val="0"/>
                      <w:sz w:val="21"/>
                      <w:szCs w:val="21"/>
                      <w:lang w:bidi="ar"/>
                    </w:rPr>
                    <w:t>200</w:t>
                  </w:r>
                </w:p>
              </w:tc>
              <w:tc>
                <w:tcPr>
                  <w:tcW w:w="767" w:type="pct"/>
                  <w:tcBorders>
                    <w:tl2br w:val="nil"/>
                    <w:tr2bl w:val="nil"/>
                  </w:tcBorders>
                  <w:vAlign w:val="center"/>
                </w:tcPr>
                <w:p w14:paraId="2DF90756">
                  <w:pPr>
                    <w:widowControl/>
                    <w:jc w:val="center"/>
                    <w:textAlignment w:val="center"/>
                    <w:rPr>
                      <w:b/>
                      <w:bCs/>
                      <w:color w:val="000000"/>
                      <w:kern w:val="0"/>
                      <w:sz w:val="21"/>
                      <w:szCs w:val="21"/>
                      <w:lang w:bidi="ar"/>
                    </w:rPr>
                  </w:pPr>
                  <w:r>
                    <w:rPr>
                      <w:color w:val="000000"/>
                      <w:sz w:val="21"/>
                      <w:szCs w:val="21"/>
                    </w:rPr>
                    <w:t>0.</w:t>
                  </w:r>
                  <w:r>
                    <w:rPr>
                      <w:rFonts w:hint="eastAsia"/>
                      <w:color w:val="000000"/>
                      <w:sz w:val="21"/>
                      <w:szCs w:val="21"/>
                    </w:rPr>
                    <w:t>1824</w:t>
                  </w:r>
                </w:p>
              </w:tc>
              <w:tc>
                <w:tcPr>
                  <w:tcW w:w="280" w:type="pct"/>
                  <w:vMerge w:val="continue"/>
                  <w:tcBorders>
                    <w:tl2br w:val="nil"/>
                    <w:tr2bl w:val="nil"/>
                  </w:tcBorders>
                  <w:vAlign w:val="center"/>
                </w:tcPr>
                <w:p w14:paraId="459B45C2">
                  <w:pPr>
                    <w:widowControl/>
                    <w:jc w:val="center"/>
                    <w:rPr>
                      <w:color w:val="000000"/>
                      <w:kern w:val="0"/>
                      <w:sz w:val="21"/>
                      <w:szCs w:val="21"/>
                      <w:lang w:bidi="ar"/>
                    </w:rPr>
                  </w:pPr>
                </w:p>
              </w:tc>
              <w:tc>
                <w:tcPr>
                  <w:tcW w:w="714" w:type="pct"/>
                  <w:tcBorders>
                    <w:tl2br w:val="nil"/>
                    <w:tr2bl w:val="nil"/>
                  </w:tcBorders>
                  <w:vAlign w:val="center"/>
                </w:tcPr>
                <w:p w14:paraId="70D0034F">
                  <w:pPr>
                    <w:widowControl/>
                    <w:jc w:val="center"/>
                    <w:rPr>
                      <w:color w:val="000000"/>
                      <w:kern w:val="0"/>
                      <w:sz w:val="21"/>
                      <w:szCs w:val="21"/>
                      <w:lang w:bidi="ar"/>
                    </w:rPr>
                  </w:pPr>
                  <w:r>
                    <w:rPr>
                      <w:rFonts w:hint="eastAsia"/>
                      <w:color w:val="000000"/>
                      <w:kern w:val="0"/>
                      <w:sz w:val="21"/>
                      <w:szCs w:val="21"/>
                      <w:lang w:bidi="ar"/>
                    </w:rPr>
                    <w:t>140</w:t>
                  </w:r>
                </w:p>
              </w:tc>
              <w:tc>
                <w:tcPr>
                  <w:tcW w:w="637" w:type="pct"/>
                  <w:tcBorders>
                    <w:tl2br w:val="nil"/>
                    <w:tr2bl w:val="nil"/>
                  </w:tcBorders>
                  <w:vAlign w:val="center"/>
                </w:tcPr>
                <w:p w14:paraId="771BD3C0">
                  <w:pPr>
                    <w:widowControl/>
                    <w:jc w:val="center"/>
                    <w:textAlignment w:val="center"/>
                    <w:rPr>
                      <w:color w:val="000000"/>
                      <w:kern w:val="0"/>
                      <w:sz w:val="21"/>
                      <w:szCs w:val="21"/>
                      <w:lang w:bidi="ar"/>
                    </w:rPr>
                  </w:pPr>
                  <w:r>
                    <w:rPr>
                      <w:color w:val="000000"/>
                      <w:sz w:val="21"/>
                      <w:szCs w:val="21"/>
                    </w:rPr>
                    <w:t>0.1</w:t>
                  </w:r>
                  <w:r>
                    <w:rPr>
                      <w:rFonts w:hint="eastAsia"/>
                      <w:color w:val="000000"/>
                      <w:sz w:val="21"/>
                      <w:szCs w:val="21"/>
                    </w:rPr>
                    <w:t>277</w:t>
                  </w:r>
                </w:p>
              </w:tc>
            </w:tr>
            <w:tr w14:paraId="4B454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96" w:type="pct"/>
                  <w:vMerge w:val="restart"/>
                  <w:tcBorders>
                    <w:tl2br w:val="nil"/>
                    <w:tr2bl w:val="nil"/>
                  </w:tcBorders>
                  <w:vAlign w:val="center"/>
                </w:tcPr>
                <w:p w14:paraId="6558FD18">
                  <w:pPr>
                    <w:widowControl/>
                    <w:jc w:val="center"/>
                    <w:rPr>
                      <w:color w:val="000000"/>
                      <w:kern w:val="0"/>
                      <w:sz w:val="21"/>
                      <w:szCs w:val="21"/>
                      <w:lang w:bidi="ar"/>
                    </w:rPr>
                  </w:pPr>
                  <w:r>
                    <w:rPr>
                      <w:color w:val="000000"/>
                      <w:kern w:val="0"/>
                      <w:sz w:val="21"/>
                      <w:szCs w:val="21"/>
                      <w:lang w:bidi="ar"/>
                    </w:rPr>
                    <w:t>生活污水</w:t>
                  </w:r>
                </w:p>
                <w:p w14:paraId="3AE57F31">
                  <w:pPr>
                    <w:widowControl/>
                    <w:jc w:val="center"/>
                    <w:rPr>
                      <w:color w:val="000000"/>
                      <w:kern w:val="0"/>
                      <w:sz w:val="21"/>
                      <w:szCs w:val="21"/>
                      <w:lang w:bidi="ar"/>
                    </w:rPr>
                  </w:pPr>
                  <w:r>
                    <w:rPr>
                      <w:color w:val="000000"/>
                      <w:kern w:val="0"/>
                      <w:sz w:val="21"/>
                      <w:szCs w:val="21"/>
                      <w:lang w:bidi="ar"/>
                    </w:rPr>
                    <w:t>（</w:t>
                  </w:r>
                  <w:r>
                    <w:rPr>
                      <w:rFonts w:hint="eastAsia"/>
                      <w:color w:val="000000"/>
                      <w:kern w:val="0"/>
                      <w:sz w:val="21"/>
                      <w:szCs w:val="21"/>
                      <w:lang w:bidi="ar"/>
                    </w:rPr>
                    <w:t>912</w:t>
                  </w:r>
                  <w:r>
                    <w:rPr>
                      <w:color w:val="000000"/>
                      <w:kern w:val="0"/>
                      <w:sz w:val="21"/>
                      <w:szCs w:val="21"/>
                      <w:lang w:bidi="ar"/>
                    </w:rPr>
                    <w:t>t/a）</w:t>
                  </w:r>
                </w:p>
              </w:tc>
              <w:tc>
                <w:tcPr>
                  <w:tcW w:w="691" w:type="pct"/>
                  <w:tcBorders>
                    <w:tl2br w:val="nil"/>
                    <w:tr2bl w:val="nil"/>
                  </w:tcBorders>
                  <w:vAlign w:val="center"/>
                </w:tcPr>
                <w:p w14:paraId="114D4F06">
                  <w:pPr>
                    <w:widowControl/>
                    <w:jc w:val="center"/>
                    <w:rPr>
                      <w:color w:val="000000"/>
                      <w:kern w:val="0"/>
                      <w:sz w:val="21"/>
                      <w:szCs w:val="21"/>
                      <w:lang w:bidi="ar"/>
                    </w:rPr>
                  </w:pPr>
                  <w:r>
                    <w:rPr>
                      <w:color w:val="000000"/>
                      <w:kern w:val="0"/>
                      <w:sz w:val="21"/>
                      <w:szCs w:val="21"/>
                      <w:lang w:bidi="ar"/>
                    </w:rPr>
                    <w:t>COD</w:t>
                  </w:r>
                  <w:r>
                    <w:rPr>
                      <w:rFonts w:hint="eastAsia"/>
                      <w:color w:val="000000"/>
                      <w:kern w:val="0"/>
                      <w:sz w:val="21"/>
                      <w:szCs w:val="21"/>
                      <w:lang w:bidi="ar"/>
                    </w:rPr>
                    <w:t>cr</w:t>
                  </w:r>
                </w:p>
              </w:tc>
              <w:tc>
                <w:tcPr>
                  <w:tcW w:w="815" w:type="pct"/>
                  <w:tcBorders>
                    <w:tl2br w:val="nil"/>
                    <w:tr2bl w:val="nil"/>
                  </w:tcBorders>
                  <w:vAlign w:val="center"/>
                </w:tcPr>
                <w:p w14:paraId="5DDD52F3">
                  <w:pPr>
                    <w:widowControl/>
                    <w:jc w:val="center"/>
                    <w:rPr>
                      <w:color w:val="000000"/>
                      <w:kern w:val="0"/>
                      <w:sz w:val="21"/>
                      <w:szCs w:val="21"/>
                      <w:lang w:bidi="ar"/>
                    </w:rPr>
                  </w:pPr>
                  <w:r>
                    <w:rPr>
                      <w:rFonts w:hint="eastAsia" w:ascii="TimesNewRomanPSMT" w:hAnsi="TimesNewRomanPSMT"/>
                      <w:sz w:val="21"/>
                      <w:szCs w:val="21"/>
                    </w:rPr>
                    <w:t>150</w:t>
                  </w:r>
                </w:p>
              </w:tc>
              <w:tc>
                <w:tcPr>
                  <w:tcW w:w="767" w:type="pct"/>
                  <w:tcBorders>
                    <w:tl2br w:val="nil"/>
                    <w:tr2bl w:val="nil"/>
                  </w:tcBorders>
                  <w:vAlign w:val="center"/>
                </w:tcPr>
                <w:p w14:paraId="0EC40FD8">
                  <w:pPr>
                    <w:widowControl/>
                    <w:jc w:val="center"/>
                    <w:textAlignment w:val="center"/>
                    <w:rPr>
                      <w:color w:val="000000"/>
                      <w:sz w:val="21"/>
                      <w:szCs w:val="21"/>
                    </w:rPr>
                  </w:pPr>
                  <w:r>
                    <w:rPr>
                      <w:rFonts w:hint="eastAsia"/>
                      <w:color w:val="000000"/>
                      <w:sz w:val="21"/>
                      <w:szCs w:val="21"/>
                    </w:rPr>
                    <w:t>0.1368</w:t>
                  </w:r>
                </w:p>
              </w:tc>
              <w:tc>
                <w:tcPr>
                  <w:tcW w:w="280" w:type="pct"/>
                  <w:vMerge w:val="restart"/>
                  <w:tcBorders>
                    <w:tl2br w:val="nil"/>
                    <w:tr2bl w:val="nil"/>
                  </w:tcBorders>
                  <w:vAlign w:val="center"/>
                </w:tcPr>
                <w:p w14:paraId="12A08399">
                  <w:pPr>
                    <w:widowControl/>
                    <w:jc w:val="center"/>
                    <w:rPr>
                      <w:color w:val="000000"/>
                      <w:kern w:val="0"/>
                      <w:sz w:val="21"/>
                      <w:szCs w:val="21"/>
                      <w:lang w:bidi="ar"/>
                    </w:rPr>
                  </w:pPr>
                  <w:r>
                    <w:rPr>
                      <w:rFonts w:hint="eastAsia"/>
                      <w:color w:val="000000"/>
                      <w:kern w:val="0"/>
                      <w:sz w:val="21"/>
                      <w:szCs w:val="21"/>
                      <w:lang w:bidi="ar"/>
                    </w:rPr>
                    <w:t>衡龙新区污水处理厂</w:t>
                  </w:r>
                </w:p>
              </w:tc>
              <w:tc>
                <w:tcPr>
                  <w:tcW w:w="714" w:type="pct"/>
                  <w:tcBorders>
                    <w:tl2br w:val="nil"/>
                    <w:tr2bl w:val="nil"/>
                  </w:tcBorders>
                  <w:vAlign w:val="center"/>
                </w:tcPr>
                <w:p w14:paraId="32E54BEA">
                  <w:pPr>
                    <w:widowControl/>
                    <w:jc w:val="center"/>
                    <w:rPr>
                      <w:color w:val="000000"/>
                      <w:kern w:val="0"/>
                      <w:sz w:val="21"/>
                      <w:szCs w:val="21"/>
                      <w:lang w:bidi="ar"/>
                    </w:rPr>
                  </w:pPr>
                  <w:r>
                    <w:rPr>
                      <w:rFonts w:hint="eastAsia"/>
                      <w:color w:val="000000"/>
                      <w:kern w:val="0"/>
                      <w:sz w:val="21"/>
                      <w:szCs w:val="21"/>
                      <w:lang w:bidi="ar"/>
                    </w:rPr>
                    <w:t>50</w:t>
                  </w:r>
                </w:p>
              </w:tc>
              <w:tc>
                <w:tcPr>
                  <w:tcW w:w="637" w:type="pct"/>
                  <w:tcBorders>
                    <w:tl2br w:val="nil"/>
                    <w:tr2bl w:val="nil"/>
                  </w:tcBorders>
                  <w:vAlign w:val="center"/>
                </w:tcPr>
                <w:p w14:paraId="219E26DA">
                  <w:pPr>
                    <w:widowControl/>
                    <w:jc w:val="center"/>
                    <w:textAlignment w:val="center"/>
                    <w:rPr>
                      <w:color w:val="000000"/>
                      <w:sz w:val="21"/>
                      <w:szCs w:val="21"/>
                    </w:rPr>
                  </w:pPr>
                  <w:r>
                    <w:rPr>
                      <w:rFonts w:hint="eastAsia"/>
                      <w:color w:val="000000"/>
                      <w:sz w:val="21"/>
                      <w:szCs w:val="21"/>
                    </w:rPr>
                    <w:t>0.0456</w:t>
                  </w:r>
                </w:p>
              </w:tc>
            </w:tr>
            <w:tr w14:paraId="66ECA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96" w:type="pct"/>
                  <w:vMerge w:val="continue"/>
                  <w:tcBorders>
                    <w:tl2br w:val="nil"/>
                    <w:tr2bl w:val="nil"/>
                  </w:tcBorders>
                  <w:vAlign w:val="center"/>
                </w:tcPr>
                <w:p w14:paraId="3ACF11A0">
                  <w:pPr>
                    <w:widowControl/>
                    <w:jc w:val="center"/>
                    <w:rPr>
                      <w:color w:val="000000"/>
                      <w:kern w:val="0"/>
                      <w:sz w:val="21"/>
                      <w:szCs w:val="21"/>
                      <w:lang w:bidi="ar"/>
                    </w:rPr>
                  </w:pPr>
                </w:p>
              </w:tc>
              <w:tc>
                <w:tcPr>
                  <w:tcW w:w="691" w:type="pct"/>
                  <w:tcBorders>
                    <w:tl2br w:val="nil"/>
                    <w:tr2bl w:val="nil"/>
                  </w:tcBorders>
                  <w:vAlign w:val="center"/>
                </w:tcPr>
                <w:p w14:paraId="34E40CBB">
                  <w:pPr>
                    <w:widowControl/>
                    <w:jc w:val="center"/>
                    <w:rPr>
                      <w:color w:val="000000"/>
                      <w:kern w:val="0"/>
                      <w:sz w:val="21"/>
                      <w:szCs w:val="21"/>
                      <w:lang w:bidi="ar"/>
                    </w:rPr>
                  </w:pPr>
                  <w:r>
                    <w:rPr>
                      <w:rFonts w:hint="eastAsia"/>
                      <w:color w:val="000000"/>
                      <w:kern w:val="0"/>
                      <w:sz w:val="21"/>
                      <w:szCs w:val="21"/>
                      <w:lang w:bidi="ar"/>
                    </w:rPr>
                    <w:t>BOD</w:t>
                  </w:r>
                  <w:r>
                    <w:rPr>
                      <w:rFonts w:hint="eastAsia"/>
                      <w:color w:val="000000"/>
                      <w:kern w:val="0"/>
                      <w:sz w:val="21"/>
                      <w:szCs w:val="21"/>
                      <w:vertAlign w:val="subscript"/>
                      <w:lang w:bidi="ar"/>
                    </w:rPr>
                    <w:t>5</w:t>
                  </w:r>
                </w:p>
              </w:tc>
              <w:tc>
                <w:tcPr>
                  <w:tcW w:w="815" w:type="pct"/>
                  <w:tcBorders>
                    <w:tl2br w:val="nil"/>
                    <w:tr2bl w:val="nil"/>
                  </w:tcBorders>
                  <w:vAlign w:val="center"/>
                </w:tcPr>
                <w:p w14:paraId="2BC9211A">
                  <w:pPr>
                    <w:widowControl/>
                    <w:jc w:val="center"/>
                    <w:rPr>
                      <w:color w:val="000000"/>
                      <w:kern w:val="0"/>
                      <w:sz w:val="21"/>
                      <w:szCs w:val="21"/>
                      <w:lang w:bidi="ar"/>
                    </w:rPr>
                  </w:pPr>
                  <w:r>
                    <w:rPr>
                      <w:rFonts w:hint="eastAsia"/>
                      <w:color w:val="000000"/>
                      <w:kern w:val="0"/>
                      <w:sz w:val="21"/>
                      <w:szCs w:val="21"/>
                      <w:lang w:bidi="ar"/>
                    </w:rPr>
                    <w:t>160</w:t>
                  </w:r>
                </w:p>
              </w:tc>
              <w:tc>
                <w:tcPr>
                  <w:tcW w:w="767" w:type="pct"/>
                  <w:tcBorders>
                    <w:tl2br w:val="nil"/>
                    <w:tr2bl w:val="nil"/>
                  </w:tcBorders>
                  <w:vAlign w:val="center"/>
                </w:tcPr>
                <w:p w14:paraId="5E079AA4">
                  <w:pPr>
                    <w:widowControl/>
                    <w:jc w:val="center"/>
                    <w:textAlignment w:val="center"/>
                    <w:rPr>
                      <w:color w:val="000000"/>
                      <w:sz w:val="21"/>
                      <w:szCs w:val="21"/>
                    </w:rPr>
                  </w:pPr>
                  <w:r>
                    <w:rPr>
                      <w:color w:val="000000"/>
                      <w:sz w:val="21"/>
                      <w:szCs w:val="21"/>
                    </w:rPr>
                    <w:t>0.</w:t>
                  </w:r>
                  <w:r>
                    <w:rPr>
                      <w:rFonts w:hint="eastAsia"/>
                      <w:color w:val="000000"/>
                      <w:sz w:val="21"/>
                      <w:szCs w:val="21"/>
                    </w:rPr>
                    <w:t>1459</w:t>
                  </w:r>
                </w:p>
              </w:tc>
              <w:tc>
                <w:tcPr>
                  <w:tcW w:w="280" w:type="pct"/>
                  <w:vMerge w:val="continue"/>
                  <w:tcBorders>
                    <w:tl2br w:val="nil"/>
                    <w:tr2bl w:val="nil"/>
                  </w:tcBorders>
                  <w:vAlign w:val="center"/>
                </w:tcPr>
                <w:p w14:paraId="64C46842">
                  <w:pPr>
                    <w:widowControl/>
                    <w:jc w:val="center"/>
                    <w:rPr>
                      <w:color w:val="000000"/>
                      <w:kern w:val="0"/>
                      <w:sz w:val="21"/>
                      <w:szCs w:val="21"/>
                      <w:lang w:bidi="ar"/>
                    </w:rPr>
                  </w:pPr>
                </w:p>
              </w:tc>
              <w:tc>
                <w:tcPr>
                  <w:tcW w:w="714" w:type="pct"/>
                  <w:tcBorders>
                    <w:tl2br w:val="nil"/>
                    <w:tr2bl w:val="nil"/>
                  </w:tcBorders>
                  <w:vAlign w:val="center"/>
                </w:tcPr>
                <w:p w14:paraId="5DE08E48">
                  <w:pPr>
                    <w:widowControl/>
                    <w:jc w:val="center"/>
                    <w:rPr>
                      <w:color w:val="000000"/>
                      <w:kern w:val="0"/>
                      <w:sz w:val="21"/>
                      <w:szCs w:val="21"/>
                      <w:lang w:bidi="ar"/>
                    </w:rPr>
                  </w:pPr>
                  <w:r>
                    <w:rPr>
                      <w:rFonts w:hint="eastAsia"/>
                      <w:color w:val="000000"/>
                      <w:kern w:val="0"/>
                      <w:sz w:val="21"/>
                      <w:szCs w:val="21"/>
                      <w:lang w:bidi="ar"/>
                    </w:rPr>
                    <w:t>10</w:t>
                  </w:r>
                </w:p>
              </w:tc>
              <w:tc>
                <w:tcPr>
                  <w:tcW w:w="637" w:type="pct"/>
                  <w:tcBorders>
                    <w:tl2br w:val="nil"/>
                    <w:tr2bl w:val="nil"/>
                  </w:tcBorders>
                  <w:vAlign w:val="center"/>
                </w:tcPr>
                <w:p w14:paraId="0ABF45FD">
                  <w:pPr>
                    <w:widowControl/>
                    <w:jc w:val="center"/>
                    <w:textAlignment w:val="center"/>
                    <w:rPr>
                      <w:color w:val="000000"/>
                      <w:sz w:val="21"/>
                      <w:szCs w:val="21"/>
                    </w:rPr>
                  </w:pPr>
                  <w:r>
                    <w:rPr>
                      <w:rFonts w:hint="eastAsia"/>
                      <w:color w:val="000000"/>
                      <w:sz w:val="21"/>
                      <w:szCs w:val="21"/>
                    </w:rPr>
                    <w:t>0.0091</w:t>
                  </w:r>
                </w:p>
              </w:tc>
            </w:tr>
            <w:tr w14:paraId="2581D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96" w:type="pct"/>
                  <w:vMerge w:val="continue"/>
                  <w:tcBorders>
                    <w:tl2br w:val="nil"/>
                    <w:tr2bl w:val="nil"/>
                  </w:tcBorders>
                  <w:vAlign w:val="center"/>
                </w:tcPr>
                <w:p w14:paraId="200D8799">
                  <w:pPr>
                    <w:widowControl/>
                    <w:jc w:val="center"/>
                    <w:rPr>
                      <w:color w:val="000000"/>
                      <w:kern w:val="0"/>
                      <w:sz w:val="21"/>
                      <w:szCs w:val="21"/>
                      <w:lang w:bidi="ar"/>
                    </w:rPr>
                  </w:pPr>
                </w:p>
              </w:tc>
              <w:tc>
                <w:tcPr>
                  <w:tcW w:w="691" w:type="pct"/>
                  <w:tcBorders>
                    <w:tl2br w:val="nil"/>
                    <w:tr2bl w:val="nil"/>
                  </w:tcBorders>
                  <w:vAlign w:val="center"/>
                </w:tcPr>
                <w:p w14:paraId="4217B606">
                  <w:pPr>
                    <w:widowControl/>
                    <w:jc w:val="center"/>
                    <w:rPr>
                      <w:color w:val="000000"/>
                      <w:kern w:val="0"/>
                      <w:sz w:val="21"/>
                      <w:szCs w:val="21"/>
                      <w:lang w:bidi="ar"/>
                    </w:rPr>
                  </w:pPr>
                  <w:r>
                    <w:rPr>
                      <w:color w:val="000000"/>
                      <w:kern w:val="0"/>
                      <w:sz w:val="21"/>
                      <w:szCs w:val="21"/>
                      <w:lang w:bidi="ar"/>
                    </w:rPr>
                    <w:t>NH</w:t>
                  </w:r>
                  <w:r>
                    <w:rPr>
                      <w:color w:val="000000"/>
                      <w:kern w:val="0"/>
                      <w:sz w:val="21"/>
                      <w:szCs w:val="21"/>
                      <w:vertAlign w:val="subscript"/>
                      <w:lang w:bidi="ar"/>
                    </w:rPr>
                    <w:t>3</w:t>
                  </w:r>
                  <w:r>
                    <w:rPr>
                      <w:color w:val="000000"/>
                      <w:kern w:val="0"/>
                      <w:sz w:val="21"/>
                      <w:szCs w:val="21"/>
                      <w:lang w:bidi="ar"/>
                    </w:rPr>
                    <w:t>-N</w:t>
                  </w:r>
                </w:p>
              </w:tc>
              <w:tc>
                <w:tcPr>
                  <w:tcW w:w="815" w:type="pct"/>
                  <w:tcBorders>
                    <w:tl2br w:val="nil"/>
                    <w:tr2bl w:val="nil"/>
                  </w:tcBorders>
                  <w:vAlign w:val="center"/>
                </w:tcPr>
                <w:p w14:paraId="22AEDBEC">
                  <w:pPr>
                    <w:widowControl/>
                    <w:jc w:val="center"/>
                    <w:rPr>
                      <w:color w:val="000000"/>
                      <w:kern w:val="0"/>
                      <w:sz w:val="21"/>
                      <w:szCs w:val="21"/>
                      <w:lang w:bidi="ar"/>
                    </w:rPr>
                  </w:pPr>
                  <w:r>
                    <w:rPr>
                      <w:rFonts w:hint="eastAsia"/>
                      <w:color w:val="000000"/>
                      <w:kern w:val="0"/>
                      <w:sz w:val="21"/>
                      <w:szCs w:val="21"/>
                      <w:lang w:bidi="ar"/>
                    </w:rPr>
                    <w:t>25</w:t>
                  </w:r>
                </w:p>
              </w:tc>
              <w:tc>
                <w:tcPr>
                  <w:tcW w:w="767" w:type="pct"/>
                  <w:tcBorders>
                    <w:tl2br w:val="nil"/>
                    <w:tr2bl w:val="nil"/>
                  </w:tcBorders>
                  <w:vAlign w:val="center"/>
                </w:tcPr>
                <w:p w14:paraId="2937BB1C">
                  <w:pPr>
                    <w:widowControl/>
                    <w:jc w:val="center"/>
                    <w:textAlignment w:val="center"/>
                    <w:rPr>
                      <w:color w:val="000000"/>
                      <w:sz w:val="21"/>
                      <w:szCs w:val="21"/>
                    </w:rPr>
                  </w:pPr>
                  <w:r>
                    <w:rPr>
                      <w:color w:val="000000"/>
                      <w:sz w:val="21"/>
                      <w:szCs w:val="21"/>
                    </w:rPr>
                    <w:t>0.</w:t>
                  </w:r>
                  <w:r>
                    <w:rPr>
                      <w:rFonts w:hint="eastAsia"/>
                      <w:color w:val="000000"/>
                      <w:sz w:val="21"/>
                      <w:szCs w:val="21"/>
                    </w:rPr>
                    <w:t>0228</w:t>
                  </w:r>
                </w:p>
              </w:tc>
              <w:tc>
                <w:tcPr>
                  <w:tcW w:w="280" w:type="pct"/>
                  <w:vMerge w:val="continue"/>
                  <w:tcBorders>
                    <w:tl2br w:val="nil"/>
                    <w:tr2bl w:val="nil"/>
                  </w:tcBorders>
                  <w:vAlign w:val="center"/>
                </w:tcPr>
                <w:p w14:paraId="5A11FADC">
                  <w:pPr>
                    <w:widowControl/>
                    <w:jc w:val="center"/>
                    <w:rPr>
                      <w:color w:val="000000"/>
                      <w:kern w:val="0"/>
                      <w:sz w:val="21"/>
                      <w:szCs w:val="21"/>
                      <w:lang w:bidi="ar"/>
                    </w:rPr>
                  </w:pPr>
                </w:p>
              </w:tc>
              <w:tc>
                <w:tcPr>
                  <w:tcW w:w="714" w:type="pct"/>
                  <w:tcBorders>
                    <w:tl2br w:val="nil"/>
                    <w:tr2bl w:val="nil"/>
                  </w:tcBorders>
                  <w:vAlign w:val="center"/>
                </w:tcPr>
                <w:p w14:paraId="7ED1B404">
                  <w:pPr>
                    <w:widowControl/>
                    <w:jc w:val="center"/>
                    <w:rPr>
                      <w:color w:val="000000"/>
                      <w:kern w:val="0"/>
                      <w:sz w:val="21"/>
                      <w:szCs w:val="21"/>
                      <w:lang w:bidi="ar"/>
                    </w:rPr>
                  </w:pPr>
                  <w:r>
                    <w:rPr>
                      <w:rFonts w:hint="eastAsia"/>
                      <w:color w:val="000000"/>
                      <w:kern w:val="0"/>
                      <w:sz w:val="21"/>
                      <w:szCs w:val="21"/>
                      <w:lang w:bidi="ar"/>
                    </w:rPr>
                    <w:t>5</w:t>
                  </w:r>
                </w:p>
              </w:tc>
              <w:tc>
                <w:tcPr>
                  <w:tcW w:w="637" w:type="pct"/>
                  <w:tcBorders>
                    <w:tl2br w:val="nil"/>
                    <w:tr2bl w:val="nil"/>
                  </w:tcBorders>
                  <w:vAlign w:val="center"/>
                </w:tcPr>
                <w:p w14:paraId="4DF40573">
                  <w:pPr>
                    <w:widowControl/>
                    <w:jc w:val="center"/>
                    <w:textAlignment w:val="center"/>
                    <w:rPr>
                      <w:color w:val="000000"/>
                      <w:sz w:val="21"/>
                      <w:szCs w:val="21"/>
                    </w:rPr>
                  </w:pPr>
                  <w:r>
                    <w:rPr>
                      <w:rFonts w:hint="eastAsia"/>
                      <w:color w:val="000000"/>
                      <w:sz w:val="21"/>
                      <w:szCs w:val="21"/>
                    </w:rPr>
                    <w:t>0.0046</w:t>
                  </w:r>
                </w:p>
              </w:tc>
            </w:tr>
            <w:tr w14:paraId="11264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96" w:type="pct"/>
                  <w:vMerge w:val="continue"/>
                  <w:tcBorders>
                    <w:tl2br w:val="nil"/>
                    <w:tr2bl w:val="nil"/>
                  </w:tcBorders>
                  <w:vAlign w:val="center"/>
                </w:tcPr>
                <w:p w14:paraId="01A1A249">
                  <w:pPr>
                    <w:widowControl/>
                    <w:jc w:val="center"/>
                    <w:rPr>
                      <w:color w:val="000000"/>
                      <w:kern w:val="0"/>
                      <w:sz w:val="21"/>
                      <w:szCs w:val="21"/>
                      <w:lang w:bidi="ar"/>
                    </w:rPr>
                  </w:pPr>
                </w:p>
              </w:tc>
              <w:tc>
                <w:tcPr>
                  <w:tcW w:w="691" w:type="pct"/>
                  <w:tcBorders>
                    <w:tl2br w:val="nil"/>
                    <w:tr2bl w:val="nil"/>
                  </w:tcBorders>
                  <w:vAlign w:val="center"/>
                </w:tcPr>
                <w:p w14:paraId="30DB6EDC">
                  <w:pPr>
                    <w:widowControl/>
                    <w:jc w:val="center"/>
                    <w:rPr>
                      <w:color w:val="000000"/>
                      <w:kern w:val="0"/>
                      <w:sz w:val="21"/>
                      <w:szCs w:val="21"/>
                      <w:lang w:bidi="ar"/>
                    </w:rPr>
                  </w:pPr>
                  <w:r>
                    <w:rPr>
                      <w:color w:val="000000"/>
                      <w:kern w:val="0"/>
                      <w:sz w:val="21"/>
                      <w:szCs w:val="21"/>
                      <w:lang w:bidi="ar"/>
                    </w:rPr>
                    <w:t>SS</w:t>
                  </w:r>
                </w:p>
              </w:tc>
              <w:tc>
                <w:tcPr>
                  <w:tcW w:w="815" w:type="pct"/>
                  <w:tcBorders>
                    <w:tl2br w:val="nil"/>
                    <w:tr2bl w:val="nil"/>
                  </w:tcBorders>
                  <w:vAlign w:val="center"/>
                </w:tcPr>
                <w:p w14:paraId="6D38CB6E">
                  <w:pPr>
                    <w:widowControl/>
                    <w:jc w:val="center"/>
                    <w:rPr>
                      <w:color w:val="000000"/>
                      <w:kern w:val="0"/>
                      <w:sz w:val="21"/>
                      <w:szCs w:val="21"/>
                      <w:lang w:bidi="ar"/>
                    </w:rPr>
                  </w:pPr>
                  <w:r>
                    <w:rPr>
                      <w:rFonts w:hint="eastAsia"/>
                      <w:color w:val="000000"/>
                      <w:kern w:val="0"/>
                      <w:sz w:val="21"/>
                      <w:szCs w:val="21"/>
                      <w:lang w:bidi="ar"/>
                    </w:rPr>
                    <w:t>140</w:t>
                  </w:r>
                </w:p>
              </w:tc>
              <w:tc>
                <w:tcPr>
                  <w:tcW w:w="767" w:type="pct"/>
                  <w:tcBorders>
                    <w:tl2br w:val="nil"/>
                    <w:tr2bl w:val="nil"/>
                  </w:tcBorders>
                  <w:vAlign w:val="center"/>
                </w:tcPr>
                <w:p w14:paraId="36E13AAD">
                  <w:pPr>
                    <w:widowControl/>
                    <w:jc w:val="center"/>
                    <w:textAlignment w:val="center"/>
                    <w:rPr>
                      <w:color w:val="000000"/>
                      <w:sz w:val="21"/>
                      <w:szCs w:val="21"/>
                    </w:rPr>
                  </w:pPr>
                  <w:r>
                    <w:rPr>
                      <w:color w:val="000000"/>
                      <w:sz w:val="21"/>
                      <w:szCs w:val="21"/>
                    </w:rPr>
                    <w:t>0.1</w:t>
                  </w:r>
                  <w:r>
                    <w:rPr>
                      <w:rFonts w:hint="eastAsia"/>
                      <w:color w:val="000000"/>
                      <w:sz w:val="21"/>
                      <w:szCs w:val="21"/>
                    </w:rPr>
                    <w:t>277</w:t>
                  </w:r>
                </w:p>
              </w:tc>
              <w:tc>
                <w:tcPr>
                  <w:tcW w:w="280" w:type="pct"/>
                  <w:vMerge w:val="continue"/>
                  <w:tcBorders>
                    <w:tl2br w:val="nil"/>
                    <w:tr2bl w:val="nil"/>
                  </w:tcBorders>
                  <w:vAlign w:val="center"/>
                </w:tcPr>
                <w:p w14:paraId="7994DCE1">
                  <w:pPr>
                    <w:widowControl/>
                    <w:jc w:val="center"/>
                    <w:rPr>
                      <w:color w:val="000000"/>
                      <w:kern w:val="0"/>
                      <w:sz w:val="21"/>
                      <w:szCs w:val="21"/>
                      <w:lang w:bidi="ar"/>
                    </w:rPr>
                  </w:pPr>
                </w:p>
              </w:tc>
              <w:tc>
                <w:tcPr>
                  <w:tcW w:w="714" w:type="pct"/>
                  <w:tcBorders>
                    <w:tl2br w:val="nil"/>
                    <w:tr2bl w:val="nil"/>
                  </w:tcBorders>
                  <w:vAlign w:val="center"/>
                </w:tcPr>
                <w:p w14:paraId="5EEAA25E">
                  <w:pPr>
                    <w:widowControl/>
                    <w:jc w:val="center"/>
                    <w:rPr>
                      <w:color w:val="000000"/>
                      <w:kern w:val="0"/>
                      <w:sz w:val="21"/>
                      <w:szCs w:val="21"/>
                      <w:lang w:bidi="ar"/>
                    </w:rPr>
                  </w:pPr>
                  <w:r>
                    <w:rPr>
                      <w:rFonts w:hint="eastAsia"/>
                      <w:color w:val="000000"/>
                      <w:kern w:val="0"/>
                      <w:sz w:val="21"/>
                      <w:szCs w:val="21"/>
                      <w:lang w:bidi="ar"/>
                    </w:rPr>
                    <w:t>10</w:t>
                  </w:r>
                </w:p>
              </w:tc>
              <w:tc>
                <w:tcPr>
                  <w:tcW w:w="637" w:type="pct"/>
                  <w:tcBorders>
                    <w:tl2br w:val="nil"/>
                    <w:tr2bl w:val="nil"/>
                  </w:tcBorders>
                  <w:vAlign w:val="center"/>
                </w:tcPr>
                <w:p w14:paraId="6A63C916">
                  <w:pPr>
                    <w:widowControl/>
                    <w:jc w:val="center"/>
                    <w:textAlignment w:val="center"/>
                    <w:rPr>
                      <w:color w:val="000000"/>
                      <w:sz w:val="21"/>
                      <w:szCs w:val="21"/>
                    </w:rPr>
                  </w:pPr>
                  <w:r>
                    <w:rPr>
                      <w:rFonts w:hint="eastAsia"/>
                      <w:color w:val="000000"/>
                      <w:sz w:val="21"/>
                      <w:szCs w:val="21"/>
                    </w:rPr>
                    <w:t>0.0091</w:t>
                  </w:r>
                </w:p>
              </w:tc>
            </w:tr>
          </w:tbl>
          <w:p w14:paraId="7C4AA459">
            <w:pPr>
              <w:pStyle w:val="49"/>
              <w:spacing w:line="360" w:lineRule="auto"/>
              <w:ind w:firstLine="480"/>
              <w:rPr>
                <w:b/>
                <w:bCs/>
                <w:color w:val="000000" w:themeColor="text1"/>
                <w14:textFill>
                  <w14:solidFill>
                    <w14:schemeClr w14:val="tx1"/>
                  </w14:solidFill>
                </w14:textFill>
              </w:rPr>
            </w:pPr>
            <w:r>
              <w:rPr>
                <w:rFonts w:hint="eastAsia" w:ascii="Times New Roman" w:hAnsi="Times New Roman"/>
                <w:snapToGrid/>
                <w:color w:val="000000"/>
                <w:kern w:val="2"/>
              </w:rPr>
              <w:t>根据上表可知，本项目污水外排浓度能够满足《污水综合排放标准》GB8978-1996中表4三级标准。</w:t>
            </w:r>
          </w:p>
          <w:p w14:paraId="568FDD45">
            <w:pPr>
              <w:pStyle w:val="20"/>
              <w:widowControl w:val="0"/>
              <w:kinsoku w:val="0"/>
              <w:autoSpaceDE w:val="0"/>
              <w:autoSpaceDN w:val="0"/>
              <w:spacing w:before="0" w:beforeAutospacing="0" w:after="0" w:afterAutospacing="0" w:line="360" w:lineRule="auto"/>
              <w:jc w:val="both"/>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2、</w:t>
            </w:r>
            <w:r>
              <w:rPr>
                <w:rFonts w:hint="eastAsia" w:ascii="Times New Roman" w:hAnsi="Times New Roman"/>
                <w:b/>
                <w:bCs/>
                <w:color w:val="000000"/>
                <w:szCs w:val="24"/>
              </w:rPr>
              <w:t>排放口</w:t>
            </w:r>
            <w:r>
              <w:rPr>
                <w:rFonts w:hint="eastAsia"/>
                <w:b/>
                <w:bCs/>
                <w:color w:val="000000" w:themeColor="text1"/>
                <w:szCs w:val="24"/>
                <w14:textFill>
                  <w14:solidFill>
                    <w14:schemeClr w14:val="tx1"/>
                  </w14:solidFill>
                </w14:textFill>
              </w:rPr>
              <w:t>基本情况</w:t>
            </w:r>
          </w:p>
          <w:p w14:paraId="6828927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szCs w:val="24"/>
              </w:rPr>
            </w:pPr>
            <w:r>
              <w:rPr>
                <w:rFonts w:hint="eastAsia"/>
                <w:b/>
                <w:bCs/>
                <w:color w:val="000000" w:themeColor="text1"/>
                <w:szCs w:val="24"/>
                <w14:textFill>
                  <w14:solidFill>
                    <w14:schemeClr w14:val="tx1"/>
                  </w14:solidFill>
                </w14:textFill>
              </w:rPr>
              <w:t>表</w:t>
            </w:r>
            <w:r>
              <w:rPr>
                <w:rFonts w:ascii="Times New Roman" w:hAnsi="Times New Roman"/>
                <w:b/>
                <w:bCs/>
                <w:color w:val="000000" w:themeColor="text1"/>
                <w:szCs w:val="24"/>
                <w14:textFill>
                  <w14:solidFill>
                    <w14:schemeClr w14:val="tx1"/>
                  </w14:solidFill>
                </w14:textFill>
              </w:rPr>
              <w:t>4-</w:t>
            </w:r>
            <w:r>
              <w:rPr>
                <w:rFonts w:hint="eastAsia" w:ascii="Times New Roman" w:hAnsi="Times New Roman"/>
                <w:b/>
                <w:bCs/>
                <w:color w:val="000000" w:themeColor="text1"/>
                <w:szCs w:val="24"/>
                <w14:textFill>
                  <w14:solidFill>
                    <w14:schemeClr w14:val="tx1"/>
                  </w14:solidFill>
                </w14:textFill>
              </w:rPr>
              <w:t>12</w:t>
            </w:r>
            <w:r>
              <w:rPr>
                <w:rFonts w:hint="eastAsia"/>
                <w:b/>
                <w:bCs/>
                <w:color w:val="000000" w:themeColor="text1"/>
                <w:szCs w:val="24"/>
                <w14:textFill>
                  <w14:solidFill>
                    <w14:schemeClr w14:val="tx1"/>
                  </w14:solidFill>
                </w14:textFill>
              </w:rPr>
              <w:t xml:space="preserve">  废水排放口基本情况表</w:t>
            </w:r>
          </w:p>
          <w:tbl>
            <w:tblPr>
              <w:tblStyle w:val="23"/>
              <w:tblW w:w="5044"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36"/>
              <w:gridCol w:w="1033"/>
              <w:gridCol w:w="807"/>
              <w:gridCol w:w="1077"/>
              <w:gridCol w:w="858"/>
              <w:gridCol w:w="728"/>
              <w:gridCol w:w="952"/>
              <w:gridCol w:w="882"/>
              <w:gridCol w:w="816"/>
            </w:tblGrid>
            <w:tr w14:paraId="2E7B2A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468" w:type="pct"/>
                  <w:vMerge w:val="restart"/>
                  <w:tcBorders>
                    <w:tl2br w:val="nil"/>
                    <w:tr2bl w:val="nil"/>
                  </w:tcBorders>
                  <w:vAlign w:val="center"/>
                </w:tcPr>
                <w:p w14:paraId="77886088">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废水类别</w:t>
                  </w:r>
                </w:p>
              </w:tc>
              <w:tc>
                <w:tcPr>
                  <w:tcW w:w="645" w:type="pct"/>
                  <w:vMerge w:val="restart"/>
                  <w:tcBorders>
                    <w:tl2br w:val="nil"/>
                    <w:tr2bl w:val="nil"/>
                  </w:tcBorders>
                  <w:vAlign w:val="center"/>
                </w:tcPr>
                <w:p w14:paraId="45EC382B">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513" w:type="pct"/>
                  <w:vMerge w:val="restart"/>
                  <w:tcBorders>
                    <w:tl2br w:val="nil"/>
                    <w:tr2bl w:val="nil"/>
                  </w:tcBorders>
                  <w:vAlign w:val="center"/>
                </w:tcPr>
                <w:p w14:paraId="12339FB8">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w:t>
                  </w:r>
                </w:p>
                <w:p w14:paraId="6182FE01">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去向</w:t>
                  </w:r>
                </w:p>
              </w:tc>
              <w:tc>
                <w:tcPr>
                  <w:tcW w:w="684" w:type="pct"/>
                  <w:vMerge w:val="restart"/>
                  <w:tcBorders>
                    <w:tl2br w:val="nil"/>
                    <w:tr2bl w:val="nil"/>
                  </w:tcBorders>
                  <w:vAlign w:val="center"/>
                </w:tcPr>
                <w:p w14:paraId="795753FC">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排放规律</w:t>
                  </w:r>
                </w:p>
              </w:tc>
              <w:tc>
                <w:tcPr>
                  <w:tcW w:w="1611" w:type="pct"/>
                  <w:gridSpan w:val="3"/>
                  <w:tcBorders>
                    <w:tl2br w:val="nil"/>
                    <w:tr2bl w:val="nil"/>
                  </w:tcBorders>
                  <w:vAlign w:val="center"/>
                </w:tcPr>
                <w:p w14:paraId="263DF2C5">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w:t>
                  </w:r>
                </w:p>
              </w:tc>
              <w:tc>
                <w:tcPr>
                  <w:tcW w:w="558" w:type="pct"/>
                  <w:vMerge w:val="restart"/>
                  <w:tcBorders>
                    <w:tl2br w:val="nil"/>
                    <w:tr2bl w:val="nil"/>
                  </w:tcBorders>
                  <w:vAlign w:val="center"/>
                </w:tcPr>
                <w:p w14:paraId="31972BBC">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排放口编号</w:t>
                  </w:r>
                </w:p>
              </w:tc>
              <w:tc>
                <w:tcPr>
                  <w:tcW w:w="518" w:type="pct"/>
                  <w:vMerge w:val="restart"/>
                  <w:tcBorders>
                    <w:tl2br w:val="nil"/>
                    <w:tr2bl w:val="nil"/>
                  </w:tcBorders>
                  <w:vAlign w:val="center"/>
                </w:tcPr>
                <w:p w14:paraId="0F759FAB">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排放口类型</w:t>
                  </w:r>
                </w:p>
              </w:tc>
            </w:tr>
            <w:tr w14:paraId="6592AA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468" w:type="pct"/>
                  <w:vMerge w:val="continue"/>
                  <w:tcBorders>
                    <w:tl2br w:val="nil"/>
                    <w:tr2bl w:val="nil"/>
                  </w:tcBorders>
                  <w:vAlign w:val="center"/>
                </w:tcPr>
                <w:p w14:paraId="4626DA56">
                  <w:pPr>
                    <w:autoSpaceDE w:val="0"/>
                    <w:autoSpaceDN w:val="0"/>
                    <w:adjustRightInd w:val="0"/>
                    <w:jc w:val="center"/>
                    <w:rPr>
                      <w:color w:val="000000" w:themeColor="text1"/>
                      <w:sz w:val="21"/>
                      <w:szCs w:val="21"/>
                      <w14:textFill>
                        <w14:solidFill>
                          <w14:schemeClr w14:val="tx1"/>
                        </w14:solidFill>
                      </w14:textFill>
                    </w:rPr>
                  </w:pPr>
                </w:p>
              </w:tc>
              <w:tc>
                <w:tcPr>
                  <w:tcW w:w="645" w:type="pct"/>
                  <w:vMerge w:val="continue"/>
                  <w:tcBorders>
                    <w:tl2br w:val="nil"/>
                    <w:tr2bl w:val="nil"/>
                  </w:tcBorders>
                  <w:vAlign w:val="center"/>
                </w:tcPr>
                <w:p w14:paraId="5B92EE7B">
                  <w:pPr>
                    <w:autoSpaceDE w:val="0"/>
                    <w:autoSpaceDN w:val="0"/>
                    <w:adjustRightInd w:val="0"/>
                    <w:jc w:val="center"/>
                    <w:rPr>
                      <w:color w:val="000000" w:themeColor="text1"/>
                      <w:sz w:val="21"/>
                      <w:szCs w:val="21"/>
                      <w14:textFill>
                        <w14:solidFill>
                          <w14:schemeClr w14:val="tx1"/>
                        </w14:solidFill>
                      </w14:textFill>
                    </w:rPr>
                  </w:pPr>
                </w:p>
              </w:tc>
              <w:tc>
                <w:tcPr>
                  <w:tcW w:w="513" w:type="pct"/>
                  <w:vMerge w:val="continue"/>
                  <w:tcBorders>
                    <w:tl2br w:val="nil"/>
                    <w:tr2bl w:val="nil"/>
                  </w:tcBorders>
                  <w:vAlign w:val="center"/>
                </w:tcPr>
                <w:p w14:paraId="2ED3CB56">
                  <w:pPr>
                    <w:autoSpaceDE w:val="0"/>
                    <w:autoSpaceDN w:val="0"/>
                    <w:adjustRightInd w:val="0"/>
                    <w:jc w:val="center"/>
                    <w:rPr>
                      <w:color w:val="000000" w:themeColor="text1"/>
                      <w:sz w:val="21"/>
                      <w:szCs w:val="21"/>
                      <w14:textFill>
                        <w14:solidFill>
                          <w14:schemeClr w14:val="tx1"/>
                        </w14:solidFill>
                      </w14:textFill>
                    </w:rPr>
                  </w:pPr>
                </w:p>
              </w:tc>
              <w:tc>
                <w:tcPr>
                  <w:tcW w:w="684" w:type="pct"/>
                  <w:vMerge w:val="continue"/>
                  <w:tcBorders>
                    <w:tl2br w:val="nil"/>
                    <w:tr2bl w:val="nil"/>
                  </w:tcBorders>
                  <w:vAlign w:val="center"/>
                </w:tcPr>
                <w:p w14:paraId="0E2C763D">
                  <w:pPr>
                    <w:autoSpaceDE w:val="0"/>
                    <w:autoSpaceDN w:val="0"/>
                    <w:adjustRightInd w:val="0"/>
                    <w:jc w:val="center"/>
                    <w:rPr>
                      <w:color w:val="000000" w:themeColor="text1"/>
                      <w:sz w:val="21"/>
                      <w:szCs w:val="21"/>
                      <w14:textFill>
                        <w14:solidFill>
                          <w14:schemeClr w14:val="tx1"/>
                        </w14:solidFill>
                      </w14:textFill>
                    </w:rPr>
                  </w:pPr>
                </w:p>
              </w:tc>
              <w:tc>
                <w:tcPr>
                  <w:tcW w:w="543" w:type="pct"/>
                  <w:tcBorders>
                    <w:tl2br w:val="nil"/>
                    <w:tr2bl w:val="nil"/>
                  </w:tcBorders>
                  <w:vAlign w:val="center"/>
                </w:tcPr>
                <w:p w14:paraId="5AC0CD63">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编号</w:t>
                  </w:r>
                </w:p>
              </w:tc>
              <w:tc>
                <w:tcPr>
                  <w:tcW w:w="463" w:type="pct"/>
                  <w:tcBorders>
                    <w:tl2br w:val="nil"/>
                    <w:tr2bl w:val="nil"/>
                  </w:tcBorders>
                  <w:vAlign w:val="center"/>
                </w:tcPr>
                <w:p w14:paraId="319436E4">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604" w:type="pct"/>
                  <w:tcBorders>
                    <w:tl2br w:val="nil"/>
                    <w:tr2bl w:val="nil"/>
                  </w:tcBorders>
                  <w:vAlign w:val="center"/>
                </w:tcPr>
                <w:p w14:paraId="1E0AA032">
                  <w:pPr>
                    <w:autoSpaceDE w:val="0"/>
                    <w:autoSpaceDN w:val="0"/>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工艺</w:t>
                  </w:r>
                </w:p>
              </w:tc>
              <w:tc>
                <w:tcPr>
                  <w:tcW w:w="558" w:type="pct"/>
                  <w:vMerge w:val="continue"/>
                  <w:tcBorders>
                    <w:tl2br w:val="nil"/>
                    <w:tr2bl w:val="nil"/>
                  </w:tcBorders>
                  <w:vAlign w:val="center"/>
                </w:tcPr>
                <w:p w14:paraId="18B07010">
                  <w:pPr>
                    <w:autoSpaceDE w:val="0"/>
                    <w:autoSpaceDN w:val="0"/>
                    <w:adjustRightInd w:val="0"/>
                    <w:jc w:val="center"/>
                    <w:rPr>
                      <w:color w:val="000000" w:themeColor="text1"/>
                      <w:sz w:val="21"/>
                      <w:szCs w:val="21"/>
                      <w14:textFill>
                        <w14:solidFill>
                          <w14:schemeClr w14:val="tx1"/>
                        </w14:solidFill>
                      </w14:textFill>
                    </w:rPr>
                  </w:pPr>
                </w:p>
              </w:tc>
              <w:tc>
                <w:tcPr>
                  <w:tcW w:w="518" w:type="pct"/>
                  <w:vMerge w:val="continue"/>
                  <w:tcBorders>
                    <w:tl2br w:val="nil"/>
                    <w:tr2bl w:val="nil"/>
                  </w:tcBorders>
                  <w:vAlign w:val="center"/>
                </w:tcPr>
                <w:p w14:paraId="43C7DDBE">
                  <w:pPr>
                    <w:autoSpaceDE w:val="0"/>
                    <w:autoSpaceDN w:val="0"/>
                    <w:adjustRightInd w:val="0"/>
                    <w:jc w:val="center"/>
                    <w:rPr>
                      <w:color w:val="000000" w:themeColor="text1"/>
                      <w:sz w:val="21"/>
                      <w:szCs w:val="21"/>
                      <w14:textFill>
                        <w14:solidFill>
                          <w14:schemeClr w14:val="tx1"/>
                        </w14:solidFill>
                      </w14:textFill>
                    </w:rPr>
                  </w:pPr>
                </w:p>
              </w:tc>
            </w:tr>
            <w:tr w14:paraId="7955EE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468" w:type="pct"/>
                  <w:tcBorders>
                    <w:tl2br w:val="nil"/>
                    <w:tr2bl w:val="nil"/>
                  </w:tcBorders>
                  <w:vAlign w:val="center"/>
                </w:tcPr>
                <w:p w14:paraId="469A2620">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w:t>
                  </w:r>
                </w:p>
                <w:p w14:paraId="22B58167">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w:t>
                  </w:r>
                </w:p>
              </w:tc>
              <w:tc>
                <w:tcPr>
                  <w:tcW w:w="645" w:type="pct"/>
                  <w:tcBorders>
                    <w:tl2br w:val="nil"/>
                    <w:tr2bl w:val="nil"/>
                  </w:tcBorders>
                  <w:vAlign w:val="center"/>
                </w:tcPr>
                <w:p w14:paraId="283215D9">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r>
                    <w:rPr>
                      <w:rFonts w:hint="eastAsia"/>
                      <w:color w:val="000000" w:themeColor="text1"/>
                      <w:sz w:val="21"/>
                      <w:szCs w:val="21"/>
                      <w14:textFill>
                        <w14:solidFill>
                          <w14:schemeClr w14:val="tx1"/>
                        </w14:solidFill>
                      </w14:textFill>
                    </w:rPr>
                    <w:t>cr</w:t>
                  </w: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-N、SS</w:t>
                  </w:r>
                </w:p>
              </w:tc>
              <w:tc>
                <w:tcPr>
                  <w:tcW w:w="513" w:type="pct"/>
                  <w:tcBorders>
                    <w:tl2br w:val="nil"/>
                    <w:tr2bl w:val="nil"/>
                  </w:tcBorders>
                  <w:vAlign w:val="center"/>
                </w:tcPr>
                <w:p w14:paraId="247CFFF9">
                  <w:pPr>
                    <w:autoSpaceDE w:val="0"/>
                    <w:autoSpaceDN w:val="0"/>
                    <w:adjustRightInd w:val="0"/>
                    <w:jc w:val="center"/>
                    <w:rPr>
                      <w:color w:val="000000" w:themeColor="text1"/>
                      <w:sz w:val="21"/>
                      <w:szCs w:val="21"/>
                      <w14:textFill>
                        <w14:solidFill>
                          <w14:schemeClr w14:val="tx1"/>
                        </w14:solidFill>
                      </w14:textFill>
                    </w:rPr>
                  </w:pPr>
                  <w:r>
                    <w:rPr>
                      <w:rFonts w:hint="eastAsia"/>
                      <w:sz w:val="21"/>
                      <w:szCs w:val="21"/>
                    </w:rPr>
                    <w:t>衡龙新区污水处理厂</w:t>
                  </w:r>
                </w:p>
              </w:tc>
              <w:tc>
                <w:tcPr>
                  <w:tcW w:w="684" w:type="pct"/>
                  <w:tcBorders>
                    <w:tl2br w:val="nil"/>
                    <w:tr2bl w:val="nil"/>
                  </w:tcBorders>
                  <w:vAlign w:val="center"/>
                </w:tcPr>
                <w:p w14:paraId="6A74BAA3">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间断排放，排放期间流量不稳定且无规律，但不属于冲击型排放</w:t>
                  </w:r>
                </w:p>
              </w:tc>
              <w:tc>
                <w:tcPr>
                  <w:tcW w:w="543" w:type="pct"/>
                  <w:tcBorders>
                    <w:tl2br w:val="nil"/>
                    <w:tr2bl w:val="nil"/>
                  </w:tcBorders>
                  <w:vAlign w:val="center"/>
                </w:tcPr>
                <w:p w14:paraId="1B28EE7C">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TW001</w:t>
                  </w:r>
                </w:p>
              </w:tc>
              <w:tc>
                <w:tcPr>
                  <w:tcW w:w="463" w:type="pct"/>
                  <w:tcBorders>
                    <w:tl2br w:val="nil"/>
                    <w:tr2bl w:val="nil"/>
                  </w:tcBorders>
                  <w:vAlign w:val="center"/>
                </w:tcPr>
                <w:p w14:paraId="0C51DAC6">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化粪池</w:t>
                  </w:r>
                </w:p>
              </w:tc>
              <w:tc>
                <w:tcPr>
                  <w:tcW w:w="604" w:type="pct"/>
                  <w:tcBorders>
                    <w:tl2br w:val="nil"/>
                    <w:tr2bl w:val="nil"/>
                  </w:tcBorders>
                  <w:vAlign w:val="center"/>
                </w:tcPr>
                <w:p w14:paraId="3B429B99">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沉淀、厌氧发酵</w:t>
                  </w:r>
                </w:p>
              </w:tc>
              <w:tc>
                <w:tcPr>
                  <w:tcW w:w="558" w:type="pct"/>
                  <w:tcBorders>
                    <w:tl2br w:val="nil"/>
                    <w:tr2bl w:val="nil"/>
                  </w:tcBorders>
                  <w:vAlign w:val="center"/>
                </w:tcPr>
                <w:p w14:paraId="055802DE">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DW001</w:t>
                  </w:r>
                </w:p>
              </w:tc>
              <w:tc>
                <w:tcPr>
                  <w:tcW w:w="518" w:type="pct"/>
                  <w:tcBorders>
                    <w:tl2br w:val="nil"/>
                    <w:tr2bl w:val="nil"/>
                  </w:tcBorders>
                  <w:vAlign w:val="center"/>
                </w:tcPr>
                <w:p w14:paraId="1C72C0AA">
                  <w:pPr>
                    <w:autoSpaceDE w:val="0"/>
                    <w:autoSpaceDN w:val="0"/>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一般排放口</w:t>
                  </w:r>
                </w:p>
              </w:tc>
            </w:tr>
          </w:tbl>
          <w:p w14:paraId="70A046C9">
            <w:pPr>
              <w:pStyle w:val="20"/>
              <w:widowControl w:val="0"/>
              <w:kinsoku w:val="0"/>
              <w:wordWrap w:val="0"/>
              <w:autoSpaceDE w:val="0"/>
              <w:autoSpaceDN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3、项目污水排入污水处理厂可行性分析</w:t>
            </w:r>
          </w:p>
          <w:p w14:paraId="4FC87DA3">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ascii="Times New Roman" w:hAnsi="Times New Roman"/>
                <w:color w:val="000000"/>
                <w:kern w:val="2"/>
                <w:szCs w:val="24"/>
              </w:rPr>
              <w:t>本项目生活污水依托厂房已建化粪池预处理达到《污水综合排放标准》（GB8978-1996）表4中三级标准后，通过园区污水管网排入衡龙新区污水处理厂进行深度处理，本环评主要从接管可行性、水质、水量和时间四方面就本项目生活污水接入衡龙新区污水处理厂是可行性进行分析。</w:t>
            </w:r>
          </w:p>
          <w:p w14:paraId="2B07E97A">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（1）从水质上分析</w:t>
            </w:r>
          </w:p>
          <w:p w14:paraId="6994AF7B">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项目生活污水通过化粪池预处理后，处理后的污染物浓度较低，出水水质能够满足衡龙新区污水处理厂接管要求。</w:t>
            </w:r>
          </w:p>
          <w:p w14:paraId="081CEA70">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本评价认为通过上述污水处理工艺处理，生活污水能达到衡龙新区污水处理接管要求。因此从水质上说，本项目废水接入污水处理厂进行处理是可行的。</w:t>
            </w:r>
          </w:p>
          <w:p w14:paraId="585A7B9D">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ascii="Times New Roman" w:hAnsi="Times New Roman"/>
                <w:color w:val="000000"/>
                <w:kern w:val="2"/>
                <w:szCs w:val="24"/>
                <w:u w:val="single"/>
              </w:rPr>
              <w:t>（2）</w:t>
            </w:r>
            <w:r>
              <w:rPr>
                <w:rFonts w:hint="eastAsia" w:ascii="Times New Roman" w:hAnsi="Times New Roman"/>
                <w:color w:val="000000"/>
                <w:kern w:val="2"/>
                <w:szCs w:val="24"/>
                <w:u w:val="single"/>
              </w:rPr>
              <w:t>从水量上分析</w:t>
            </w:r>
          </w:p>
          <w:p w14:paraId="22452754">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本项目生活污水产生量较小，且污染因子浓度较低，因此主要考虑生活污水进入衡龙新区污水处理厂对其运行能力负荷分析。</w:t>
            </w:r>
          </w:p>
          <w:p w14:paraId="78A8B560">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根据《龙岭产业开发区调区扩区规划环境影响报告书》中相关内容衡龙新区平均处理规模0.3-0.4万m</w:t>
            </w:r>
            <w:r>
              <w:rPr>
                <w:rFonts w:hint="eastAsia" w:ascii="Times New Roman" w:hAnsi="Times New Roman"/>
                <w:color w:val="000000"/>
                <w:kern w:val="2"/>
                <w:szCs w:val="24"/>
                <w:u w:val="single"/>
                <w:vertAlign w:val="superscript"/>
              </w:rPr>
              <w:t>3</w:t>
            </w:r>
            <w:r>
              <w:rPr>
                <w:rFonts w:hint="eastAsia" w:ascii="Times New Roman" w:hAnsi="Times New Roman"/>
                <w:color w:val="000000"/>
                <w:kern w:val="2"/>
                <w:szCs w:val="24"/>
                <w:u w:val="single"/>
              </w:rPr>
              <w:t>/d，因此还剩约0.6万m</w:t>
            </w:r>
            <w:r>
              <w:rPr>
                <w:rFonts w:hint="eastAsia" w:ascii="Times New Roman" w:hAnsi="Times New Roman"/>
                <w:color w:val="000000"/>
                <w:kern w:val="2"/>
                <w:szCs w:val="24"/>
                <w:u w:val="single"/>
                <w:vertAlign w:val="superscript"/>
              </w:rPr>
              <w:t>3</w:t>
            </w:r>
            <w:r>
              <w:rPr>
                <w:rFonts w:hint="eastAsia" w:ascii="Times New Roman" w:hAnsi="Times New Roman"/>
                <w:color w:val="000000"/>
                <w:kern w:val="2"/>
                <w:szCs w:val="24"/>
                <w:u w:val="single"/>
              </w:rPr>
              <w:t>/d的处理规模。</w:t>
            </w:r>
          </w:p>
          <w:p w14:paraId="52028D91">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本项目污水产生量为</w:t>
            </w:r>
            <w:r>
              <w:rPr>
                <w:rFonts w:hint="eastAsia" w:ascii="Times New Roman" w:hAnsi="Times New Roman"/>
                <w:kern w:val="2"/>
                <w:szCs w:val="24"/>
                <w:u w:val="single"/>
              </w:rPr>
              <w:t>2.61</w:t>
            </w:r>
            <w:r>
              <w:rPr>
                <w:rFonts w:hint="eastAsia" w:ascii="Times New Roman" w:hAnsi="Times New Roman"/>
                <w:color w:val="000000"/>
                <w:kern w:val="2"/>
                <w:szCs w:val="24"/>
                <w:u w:val="single"/>
              </w:rPr>
              <w:t>m</w:t>
            </w:r>
            <w:r>
              <w:rPr>
                <w:rFonts w:hint="eastAsia" w:ascii="Times New Roman" w:hAnsi="Times New Roman"/>
                <w:color w:val="000000"/>
                <w:kern w:val="2"/>
                <w:szCs w:val="24"/>
                <w:u w:val="single"/>
                <w:vertAlign w:val="superscript"/>
              </w:rPr>
              <w:t>3</w:t>
            </w:r>
            <w:r>
              <w:rPr>
                <w:rFonts w:hint="eastAsia" w:ascii="Times New Roman" w:hAnsi="Times New Roman"/>
                <w:color w:val="000000"/>
                <w:kern w:val="2"/>
                <w:szCs w:val="24"/>
                <w:u w:val="single"/>
              </w:rPr>
              <w:t>/d，占衡龙新区污水处理厂剩余处理能力的比例为0.0435%，所占比例较小，因此本项目污水排入衡龙新区污水处理厂处理不会对污水处理厂造成冲击。不会影响污水处理厂的正常运行。</w:t>
            </w:r>
          </w:p>
          <w:p w14:paraId="46FDDB87">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（3）接管可行性</w:t>
            </w:r>
          </w:p>
          <w:p w14:paraId="13DB9A72">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本项目位于</w:t>
            </w:r>
            <w:r>
              <w:rPr>
                <w:rFonts w:ascii="Times New Roman" w:hAnsi="Times New Roman"/>
                <w:kern w:val="21"/>
                <w:szCs w:val="24"/>
              </w:rPr>
              <w:t>益阳市赫山区龙岭产业开发区新材料产业园朝阳路粤浙城科技示范基地</w:t>
            </w:r>
            <w:r>
              <w:rPr>
                <w:rFonts w:hint="eastAsia"/>
                <w:kern w:val="21"/>
                <w:szCs w:val="24"/>
              </w:rPr>
              <w:t>8栋属于益阳</w:t>
            </w:r>
            <w:r>
              <w:rPr>
                <w:rFonts w:ascii="Times New Roman" w:hAnsi="Times New Roman"/>
                <w:szCs w:val="24"/>
              </w:rPr>
              <w:t>龙岭</w:t>
            </w:r>
            <w:r>
              <w:rPr>
                <w:rFonts w:hint="eastAsia" w:ascii="Times New Roman" w:hAnsi="Times New Roman"/>
                <w:szCs w:val="24"/>
              </w:rPr>
              <w:t>产业开发区中区块六（衡龙新区），在衡龙新区污水处理厂收水服务范围之内，故从管网衔接上来说是可行的。</w:t>
            </w:r>
          </w:p>
          <w:p w14:paraId="6AC0B711">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（4）从时间上分析</w:t>
            </w:r>
          </w:p>
          <w:p w14:paraId="7E3BF518">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根据对项目现场情况调查，项目所在区域已完善污水管网的配套建设以及衡龙新区污水处理厂的建设运营，本项目废水排放能满足纳管进衡龙新区污水处理要求。</w:t>
            </w:r>
          </w:p>
          <w:p w14:paraId="5D368577">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综上所述，本项目生活污水进入衡龙新区污水处理厂进行处理是可行的。</w:t>
            </w:r>
          </w:p>
          <w:p w14:paraId="0FAB07DE">
            <w:pPr>
              <w:pStyle w:val="20"/>
              <w:widowControl w:val="0"/>
              <w:kinsoku w:val="0"/>
              <w:wordWrap w:val="0"/>
              <w:autoSpaceDE w:val="0"/>
              <w:autoSpaceDN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4、废水监测计划</w:t>
            </w:r>
          </w:p>
          <w:p w14:paraId="2F5976C3">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根据本项目的行业类别以及《固定污染源排污许可分类管理名录》</w:t>
            </w:r>
            <w:r>
              <w:rPr>
                <w:rFonts w:hint="eastAsia" w:cs="宋体"/>
                <w:color w:val="000000"/>
                <w:kern w:val="2"/>
                <w:szCs w:val="24"/>
              </w:rPr>
              <w:t>（</w:t>
            </w:r>
            <w:r>
              <w:rPr>
                <w:rFonts w:hint="eastAsia" w:ascii="Times New Roman" w:hAnsi="Times New Roman"/>
                <w:color w:val="000000"/>
                <w:kern w:val="2"/>
                <w:szCs w:val="24"/>
              </w:rPr>
              <w:t>2019版</w:t>
            </w:r>
            <w:r>
              <w:rPr>
                <w:rFonts w:hint="eastAsia" w:cs="宋体"/>
                <w:color w:val="000000"/>
                <w:kern w:val="2"/>
                <w:szCs w:val="24"/>
              </w:rPr>
              <w:t>）</w:t>
            </w:r>
            <w:r>
              <w:rPr>
                <w:rFonts w:hint="eastAsia" w:ascii="Times New Roman" w:hAnsi="Times New Roman"/>
                <w:color w:val="000000"/>
                <w:kern w:val="2"/>
                <w:szCs w:val="24"/>
              </w:rPr>
              <w:t>本项目排污许可为登记管理。本项目喷漆清洗废液回用于水性漆配置不外排；生活污水依托厂房已建化粪池处理后经园区污水管网排入衡龙新区污水处理厂深度处理，因此本项目可不设置运营期废水监测计划。</w:t>
            </w:r>
          </w:p>
          <w:p w14:paraId="162DE9A3">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三、噪声</w:t>
            </w:r>
          </w:p>
          <w:p w14:paraId="7A68E109">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szCs w:val="24"/>
              </w:rPr>
            </w:pPr>
            <w:r>
              <w:rPr>
                <w:rFonts w:hint="eastAsia" w:ascii="Times New Roman" w:hAnsi="Times New Roman"/>
                <w:b/>
                <w:bCs/>
                <w:color w:val="000000"/>
                <w:szCs w:val="24"/>
              </w:rPr>
              <w:t>1、噪声源强</w:t>
            </w:r>
          </w:p>
          <w:p w14:paraId="248E19C5">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szCs w:val="24"/>
              </w:rPr>
            </w:pPr>
            <w:r>
              <w:rPr>
                <w:rFonts w:hint="eastAsia" w:ascii="Times New Roman" w:hAnsi="Times New Roman"/>
                <w:color w:val="000000"/>
                <w:kern w:val="2"/>
                <w:szCs w:val="24"/>
              </w:rPr>
              <w:t>本项目噪声源主要来自</w:t>
            </w:r>
            <w:r>
              <w:rPr>
                <w:rFonts w:hint="eastAsia" w:ascii="Times New Roman" w:hAnsi="Times New Roman"/>
                <w:kern w:val="2"/>
                <w:szCs w:val="24"/>
              </w:rPr>
              <w:t>抛丸机、门型自动埋弧焊机、数控直条切割机、风机</w:t>
            </w:r>
            <w:r>
              <w:rPr>
                <w:rFonts w:hint="eastAsia" w:ascii="Times New Roman" w:hAnsi="Times New Roman"/>
                <w:color w:val="000000"/>
                <w:kern w:val="2"/>
                <w:szCs w:val="24"/>
              </w:rPr>
              <w:t>等设备产生的设备噪声，各源强噪声声级值为65-80dB</w:t>
            </w:r>
            <w:r>
              <w:rPr>
                <w:rFonts w:hint="eastAsia" w:cs="宋体"/>
                <w:color w:val="000000"/>
                <w:kern w:val="2"/>
                <w:szCs w:val="24"/>
              </w:rPr>
              <w:t>(</w:t>
            </w:r>
            <w:r>
              <w:rPr>
                <w:rFonts w:hint="eastAsia" w:ascii="Times New Roman" w:hAnsi="Times New Roman"/>
                <w:color w:val="000000"/>
                <w:kern w:val="2"/>
                <w:szCs w:val="24"/>
              </w:rPr>
              <w:t>A</w:t>
            </w:r>
            <w:r>
              <w:rPr>
                <w:rFonts w:hint="eastAsia" w:cs="宋体"/>
                <w:color w:val="000000"/>
                <w:kern w:val="2"/>
                <w:szCs w:val="24"/>
              </w:rPr>
              <w:t>)</w:t>
            </w:r>
            <w:r>
              <w:rPr>
                <w:rFonts w:hint="eastAsia" w:ascii="Times New Roman" w:hAnsi="Times New Roman"/>
                <w:color w:val="000000"/>
                <w:kern w:val="2"/>
                <w:szCs w:val="24"/>
              </w:rPr>
              <w:t>，企业通过采用低声设备，加强设备维护、合理布局，通过减振、消声、隔声，降低项且噪声对环境的影响。本项目生产设备产生的噪声源强及降噪措施详见表4-13、表4-14。</w:t>
            </w:r>
          </w:p>
        </w:tc>
      </w:tr>
    </w:tbl>
    <w:p w14:paraId="055F99F1">
      <w:pPr>
        <w:sectPr>
          <w:pgSz w:w="11906" w:h="16838"/>
          <w:pgMar w:top="1440" w:right="1800" w:bottom="1440" w:left="1800" w:header="851" w:footer="992" w:gutter="0"/>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13791"/>
      </w:tblGrid>
      <w:tr w14:paraId="3D2A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dxa"/>
            <w:vAlign w:val="center"/>
          </w:tcPr>
          <w:p w14:paraId="3FA166ED">
            <w:pPr>
              <w:pStyle w:val="20"/>
              <w:spacing w:before="0" w:beforeAutospacing="0" w:after="0" w:afterAutospacing="0"/>
              <w:jc w:val="center"/>
              <w:rPr>
                <w:rFonts w:hint="eastAsia" w:ascii="黑体" w:hAnsi="黑体" w:eastAsia="黑体"/>
                <w:snapToGrid w:val="0"/>
                <w:color w:val="000000"/>
                <w:sz w:val="30"/>
                <w:szCs w:val="30"/>
              </w:rPr>
            </w:pPr>
            <w:r>
              <w:rPr>
                <w:rFonts w:hint="eastAsia" w:cs="宋体"/>
                <w:snapToGrid w:val="0"/>
                <w:color w:val="000000"/>
                <w:szCs w:val="24"/>
              </w:rPr>
              <w:t>运营期环境影响和保护措施</w:t>
            </w:r>
          </w:p>
        </w:tc>
        <w:tc>
          <w:tcPr>
            <w:tcW w:w="13791" w:type="dxa"/>
          </w:tcPr>
          <w:p w14:paraId="2DF66AAA">
            <w:pPr>
              <w:pStyle w:val="20"/>
              <w:widowControl w:val="0"/>
              <w:kinsoku w:val="0"/>
              <w:wordWrap w:val="0"/>
              <w:autoSpaceDE w:val="0"/>
              <w:autoSpaceDN w:val="0"/>
              <w:adjustRightInd w:val="0"/>
              <w:snapToGrid w:val="0"/>
              <w:spacing w:before="0" w:beforeAutospacing="0" w:after="0" w:afterAutospacing="0"/>
              <w:jc w:val="center"/>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表</w:t>
            </w:r>
            <w:r>
              <w:rPr>
                <w:rFonts w:ascii="Times New Roman" w:hAnsi="Times New Roman"/>
                <w:b/>
                <w:bCs/>
                <w:color w:val="000000" w:themeColor="text1"/>
                <w:szCs w:val="24"/>
                <w14:textFill>
                  <w14:solidFill>
                    <w14:schemeClr w14:val="tx1"/>
                  </w14:solidFill>
                </w14:textFill>
              </w:rPr>
              <w:t>4-</w:t>
            </w:r>
            <w:r>
              <w:rPr>
                <w:rFonts w:hint="eastAsia" w:ascii="Times New Roman" w:hAnsi="Times New Roman"/>
                <w:b/>
                <w:bCs/>
                <w:color w:val="000000" w:themeColor="text1"/>
                <w:szCs w:val="24"/>
                <w14:textFill>
                  <w14:solidFill>
                    <w14:schemeClr w14:val="tx1"/>
                  </w14:solidFill>
                </w14:textFill>
              </w:rPr>
              <w:t>13</w:t>
            </w:r>
            <w:r>
              <w:rPr>
                <w:rFonts w:hint="eastAsia"/>
                <w:b/>
                <w:bCs/>
                <w:color w:val="000000" w:themeColor="text1"/>
                <w:szCs w:val="24"/>
                <w14:textFill>
                  <w14:solidFill>
                    <w14:schemeClr w14:val="tx1"/>
                  </w14:solidFill>
                </w14:textFill>
              </w:rPr>
              <w:t xml:space="preserve"> 工业企业噪声源强调查清单（室内噪声）</w:t>
            </w:r>
          </w:p>
          <w:tbl>
            <w:tblPr>
              <w:tblStyle w:val="23"/>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13"/>
              <w:gridCol w:w="696"/>
              <w:gridCol w:w="729"/>
              <w:gridCol w:w="780"/>
              <w:gridCol w:w="761"/>
              <w:gridCol w:w="943"/>
              <w:gridCol w:w="883"/>
              <w:gridCol w:w="604"/>
              <w:gridCol w:w="932"/>
              <w:gridCol w:w="1184"/>
              <w:gridCol w:w="1276"/>
              <w:gridCol w:w="694"/>
              <w:gridCol w:w="1395"/>
              <w:gridCol w:w="918"/>
              <w:gridCol w:w="937"/>
            </w:tblGrid>
            <w:tr w14:paraId="64F112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restart"/>
                  <w:tcBorders>
                    <w:tl2br w:val="nil"/>
                    <w:tr2bl w:val="nil"/>
                  </w:tcBorders>
                  <w:noWrap/>
                  <w:vAlign w:val="center"/>
                </w:tcPr>
                <w:p w14:paraId="6166CA0E">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建筑物名称</w:t>
                  </w:r>
                </w:p>
              </w:tc>
              <w:tc>
                <w:tcPr>
                  <w:tcW w:w="257" w:type="pct"/>
                  <w:vMerge w:val="restart"/>
                  <w:tcBorders>
                    <w:tl2br w:val="nil"/>
                    <w:tr2bl w:val="nil"/>
                  </w:tcBorders>
                  <w:noWrap/>
                  <w:vAlign w:val="center"/>
                </w:tcPr>
                <w:p w14:paraId="3F62742C">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声源名称</w:t>
                  </w:r>
                </w:p>
              </w:tc>
              <w:tc>
                <w:tcPr>
                  <w:tcW w:w="557" w:type="pct"/>
                  <w:gridSpan w:val="2"/>
                  <w:tcBorders>
                    <w:tl2br w:val="nil"/>
                    <w:tr2bl w:val="nil"/>
                  </w:tcBorders>
                  <w:noWrap/>
                  <w:vAlign w:val="center"/>
                </w:tcPr>
                <w:p w14:paraId="3F0F83D7">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声源源强（任选一种）</w:t>
                  </w:r>
                </w:p>
              </w:tc>
              <w:tc>
                <w:tcPr>
                  <w:tcW w:w="281" w:type="pct"/>
                  <w:vMerge w:val="restart"/>
                  <w:tcBorders>
                    <w:tl2br w:val="nil"/>
                    <w:tr2bl w:val="nil"/>
                  </w:tcBorders>
                  <w:noWrap/>
                  <w:vAlign w:val="center"/>
                </w:tcPr>
                <w:p w14:paraId="5141B05D">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声源控制措施</w:t>
                  </w:r>
                </w:p>
              </w:tc>
              <w:tc>
                <w:tcPr>
                  <w:tcW w:w="897" w:type="pct"/>
                  <w:gridSpan w:val="3"/>
                  <w:tcBorders>
                    <w:tl2br w:val="nil"/>
                    <w:tr2bl w:val="nil"/>
                  </w:tcBorders>
                  <w:noWrap/>
                  <w:vAlign w:val="center"/>
                </w:tcPr>
                <w:p w14:paraId="6017B0C8">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空间相对位置/m</w:t>
                  </w:r>
                </w:p>
              </w:tc>
              <w:tc>
                <w:tcPr>
                  <w:tcW w:w="344" w:type="pct"/>
                  <w:vMerge w:val="restart"/>
                  <w:tcBorders>
                    <w:tl2br w:val="nil"/>
                    <w:tr2bl w:val="nil"/>
                  </w:tcBorders>
                  <w:noWrap/>
                  <w:vAlign w:val="center"/>
                </w:tcPr>
                <w:p w14:paraId="07E5D010">
                  <w:pPr>
                    <w:widowControl/>
                    <w:adjustRightInd w:val="0"/>
                    <w:snapToGrid w:val="0"/>
                    <w:jc w:val="center"/>
                    <w:textAlignment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建筑边界方位</w:t>
                  </w:r>
                </w:p>
              </w:tc>
              <w:tc>
                <w:tcPr>
                  <w:tcW w:w="437" w:type="pct"/>
                  <w:vMerge w:val="restart"/>
                  <w:tcBorders>
                    <w:tl2br w:val="nil"/>
                    <w:tr2bl w:val="nil"/>
                  </w:tcBorders>
                  <w:noWrap/>
                  <w:vAlign w:val="center"/>
                </w:tcPr>
                <w:p w14:paraId="166B9C67">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距室内边界距离/m</w:t>
                  </w:r>
                </w:p>
              </w:tc>
              <w:tc>
                <w:tcPr>
                  <w:tcW w:w="471" w:type="pct"/>
                  <w:vMerge w:val="restart"/>
                  <w:tcBorders>
                    <w:tl2br w:val="nil"/>
                    <w:tr2bl w:val="nil"/>
                  </w:tcBorders>
                  <w:noWrap/>
                  <w:vAlign w:val="center"/>
                </w:tcPr>
                <w:p w14:paraId="395BE3CD">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室内边界声级/dB(A)</w:t>
                  </w:r>
                </w:p>
              </w:tc>
              <w:tc>
                <w:tcPr>
                  <w:tcW w:w="256" w:type="pct"/>
                  <w:vMerge w:val="restart"/>
                  <w:tcBorders>
                    <w:tl2br w:val="nil"/>
                    <w:tr2bl w:val="nil"/>
                  </w:tcBorders>
                  <w:noWrap/>
                  <w:vAlign w:val="center"/>
                </w:tcPr>
                <w:p w14:paraId="153EF4C9">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运行时段</w:t>
                  </w:r>
                </w:p>
              </w:tc>
              <w:tc>
                <w:tcPr>
                  <w:tcW w:w="515" w:type="pct"/>
                  <w:vMerge w:val="restart"/>
                  <w:tcBorders>
                    <w:tl2br w:val="nil"/>
                    <w:tr2bl w:val="nil"/>
                  </w:tcBorders>
                  <w:noWrap/>
                  <w:vAlign w:val="center"/>
                </w:tcPr>
                <w:p w14:paraId="2B41772C">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建筑物插入损失/dB(A)</w:t>
                  </w:r>
                </w:p>
              </w:tc>
              <w:tc>
                <w:tcPr>
                  <w:tcW w:w="685" w:type="pct"/>
                  <w:gridSpan w:val="2"/>
                  <w:tcBorders>
                    <w:tl2br w:val="nil"/>
                    <w:tr2bl w:val="nil"/>
                  </w:tcBorders>
                  <w:noWrap/>
                  <w:vAlign w:val="center"/>
                </w:tcPr>
                <w:p w14:paraId="098596A6">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建筑物外噪声</w:t>
                  </w:r>
                </w:p>
              </w:tc>
            </w:tr>
            <w:tr w14:paraId="5D257B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ign w:val="center"/>
                </w:tcPr>
                <w:p w14:paraId="0F6395E9">
                  <w:pPr>
                    <w:adjustRightInd w:val="0"/>
                    <w:snapToGrid w:val="0"/>
                    <w:jc w:val="center"/>
                    <w:rPr>
                      <w:b/>
                      <w:bCs/>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7A7AB7B3">
                  <w:pPr>
                    <w:adjustRightInd w:val="0"/>
                    <w:snapToGrid w:val="0"/>
                    <w:jc w:val="center"/>
                    <w:rPr>
                      <w:b/>
                      <w:bCs/>
                      <w:color w:val="000000" w:themeColor="text1"/>
                      <w:sz w:val="21"/>
                      <w:szCs w:val="21"/>
                      <w14:textFill>
                        <w14:solidFill>
                          <w14:schemeClr w14:val="tx1"/>
                        </w14:solidFill>
                      </w14:textFill>
                    </w:rPr>
                  </w:pPr>
                </w:p>
              </w:tc>
              <w:tc>
                <w:tcPr>
                  <w:tcW w:w="269" w:type="pct"/>
                  <w:tcBorders>
                    <w:tl2br w:val="nil"/>
                    <w:tr2bl w:val="nil"/>
                  </w:tcBorders>
                  <w:vAlign w:val="center"/>
                </w:tcPr>
                <w:p w14:paraId="50E646BC">
                  <w:pPr>
                    <w:widowControl/>
                    <w:adjustRightInd w:val="0"/>
                    <w:snapToGrid w:val="0"/>
                    <w:jc w:val="center"/>
                    <w:textAlignment w:val="center"/>
                    <w:rPr>
                      <w:b/>
                      <w:bCs/>
                      <w:color w:val="000000" w:themeColor="text1"/>
                      <w:sz w:val="21"/>
                      <w:szCs w:val="21"/>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声压级/距声源距离</w:t>
                  </w:r>
                  <w:r>
                    <w:rPr>
                      <w:rFonts w:hint="eastAsia" w:ascii="宋体" w:hAnsi="宋体" w:cs="宋体"/>
                      <w:b/>
                      <w:bCs/>
                      <w:color w:val="000000" w:themeColor="text1"/>
                      <w:kern w:val="0"/>
                      <w:sz w:val="21"/>
                      <w:szCs w:val="21"/>
                      <w:lang w:bidi="ar"/>
                      <w14:textFill>
                        <w14:solidFill>
                          <w14:schemeClr w14:val="tx1"/>
                        </w14:solidFill>
                      </w14:textFill>
                    </w:rPr>
                    <w:t>)</w:t>
                  </w:r>
                </w:p>
              </w:tc>
              <w:tc>
                <w:tcPr>
                  <w:tcW w:w="288" w:type="pct"/>
                  <w:tcBorders>
                    <w:tl2br w:val="nil"/>
                    <w:tr2bl w:val="nil"/>
                  </w:tcBorders>
                  <w:vAlign w:val="center"/>
                </w:tcPr>
                <w:p w14:paraId="2D348C1D">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声功率级</w:t>
                  </w:r>
                  <w:r>
                    <w:rPr>
                      <w:b/>
                      <w:bCs/>
                      <w:color w:val="000000" w:themeColor="text1"/>
                      <w:kern w:val="0"/>
                      <w:sz w:val="21"/>
                      <w:szCs w:val="21"/>
                      <w:lang w:bidi="ar"/>
                      <w14:textFill>
                        <w14:solidFill>
                          <w14:schemeClr w14:val="tx1"/>
                        </w14:solidFill>
                      </w14:textFill>
                    </w:rPr>
                    <w:br w:type="textWrapping"/>
                  </w:r>
                  <w:r>
                    <w:rPr>
                      <w:b/>
                      <w:bCs/>
                      <w:color w:val="000000" w:themeColor="text1"/>
                      <w:kern w:val="0"/>
                      <w:sz w:val="21"/>
                      <w:szCs w:val="21"/>
                      <w:lang w:bidi="ar"/>
                      <w14:textFill>
                        <w14:solidFill>
                          <w14:schemeClr w14:val="tx1"/>
                        </w14:solidFill>
                      </w14:textFill>
                    </w:rPr>
                    <w:t>/dB（A）</w:t>
                  </w:r>
                </w:p>
              </w:tc>
              <w:tc>
                <w:tcPr>
                  <w:tcW w:w="281" w:type="pct"/>
                  <w:vMerge w:val="continue"/>
                  <w:tcBorders>
                    <w:tl2br w:val="nil"/>
                    <w:tr2bl w:val="nil"/>
                  </w:tcBorders>
                  <w:noWrap/>
                  <w:vAlign w:val="center"/>
                </w:tcPr>
                <w:p w14:paraId="53F00B00">
                  <w:pPr>
                    <w:adjustRightInd w:val="0"/>
                    <w:snapToGrid w:val="0"/>
                    <w:jc w:val="center"/>
                    <w:rPr>
                      <w:b/>
                      <w:bCs/>
                      <w:color w:val="000000" w:themeColor="text1"/>
                      <w:sz w:val="21"/>
                      <w:szCs w:val="21"/>
                      <w14:textFill>
                        <w14:solidFill>
                          <w14:schemeClr w14:val="tx1"/>
                        </w14:solidFill>
                      </w14:textFill>
                    </w:rPr>
                  </w:pPr>
                </w:p>
              </w:tc>
              <w:tc>
                <w:tcPr>
                  <w:tcW w:w="348" w:type="pct"/>
                  <w:tcBorders>
                    <w:tl2br w:val="nil"/>
                    <w:tr2bl w:val="nil"/>
                  </w:tcBorders>
                  <w:noWrap/>
                  <w:vAlign w:val="center"/>
                </w:tcPr>
                <w:p w14:paraId="3AE2F05E">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X</w:t>
                  </w:r>
                </w:p>
              </w:tc>
              <w:tc>
                <w:tcPr>
                  <w:tcW w:w="326" w:type="pct"/>
                  <w:tcBorders>
                    <w:tl2br w:val="nil"/>
                    <w:tr2bl w:val="nil"/>
                  </w:tcBorders>
                  <w:noWrap/>
                  <w:vAlign w:val="center"/>
                </w:tcPr>
                <w:p w14:paraId="2F2C192C">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Y</w:t>
                  </w:r>
                </w:p>
              </w:tc>
              <w:tc>
                <w:tcPr>
                  <w:tcW w:w="223" w:type="pct"/>
                  <w:tcBorders>
                    <w:tl2br w:val="nil"/>
                    <w:tr2bl w:val="nil"/>
                  </w:tcBorders>
                  <w:noWrap/>
                  <w:vAlign w:val="center"/>
                </w:tcPr>
                <w:p w14:paraId="49CE6A5A">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Z</w:t>
                  </w:r>
                </w:p>
              </w:tc>
              <w:tc>
                <w:tcPr>
                  <w:tcW w:w="344" w:type="pct"/>
                  <w:vMerge w:val="continue"/>
                  <w:tcBorders>
                    <w:tl2br w:val="nil"/>
                    <w:tr2bl w:val="nil"/>
                  </w:tcBorders>
                  <w:noWrap/>
                  <w:vAlign w:val="center"/>
                </w:tcPr>
                <w:p w14:paraId="0ED2CF79">
                  <w:pPr>
                    <w:adjustRightInd w:val="0"/>
                    <w:snapToGrid w:val="0"/>
                    <w:jc w:val="center"/>
                    <w:rPr>
                      <w:b/>
                      <w:bCs/>
                      <w:color w:val="000000" w:themeColor="text1"/>
                      <w:sz w:val="21"/>
                      <w:szCs w:val="21"/>
                      <w14:textFill>
                        <w14:solidFill>
                          <w14:schemeClr w14:val="tx1"/>
                        </w14:solidFill>
                      </w14:textFill>
                    </w:rPr>
                  </w:pPr>
                </w:p>
              </w:tc>
              <w:tc>
                <w:tcPr>
                  <w:tcW w:w="437" w:type="pct"/>
                  <w:vMerge w:val="continue"/>
                  <w:tcBorders>
                    <w:tl2br w:val="nil"/>
                    <w:tr2bl w:val="nil"/>
                  </w:tcBorders>
                  <w:noWrap/>
                  <w:vAlign w:val="center"/>
                </w:tcPr>
                <w:p w14:paraId="486E0117">
                  <w:pPr>
                    <w:adjustRightInd w:val="0"/>
                    <w:snapToGrid w:val="0"/>
                    <w:jc w:val="center"/>
                    <w:rPr>
                      <w:b/>
                      <w:bCs/>
                      <w:color w:val="000000" w:themeColor="text1"/>
                      <w:sz w:val="21"/>
                      <w:szCs w:val="21"/>
                      <w14:textFill>
                        <w14:solidFill>
                          <w14:schemeClr w14:val="tx1"/>
                        </w14:solidFill>
                      </w14:textFill>
                    </w:rPr>
                  </w:pPr>
                </w:p>
              </w:tc>
              <w:tc>
                <w:tcPr>
                  <w:tcW w:w="471" w:type="pct"/>
                  <w:vMerge w:val="continue"/>
                  <w:tcBorders>
                    <w:tl2br w:val="nil"/>
                    <w:tr2bl w:val="nil"/>
                  </w:tcBorders>
                  <w:noWrap/>
                  <w:vAlign w:val="center"/>
                </w:tcPr>
                <w:p w14:paraId="3F2CA8AC">
                  <w:pPr>
                    <w:adjustRightInd w:val="0"/>
                    <w:snapToGrid w:val="0"/>
                    <w:jc w:val="center"/>
                    <w:rPr>
                      <w:b/>
                      <w:bCs/>
                      <w:color w:val="000000" w:themeColor="text1"/>
                      <w:sz w:val="21"/>
                      <w:szCs w:val="21"/>
                      <w14:textFill>
                        <w14:solidFill>
                          <w14:schemeClr w14:val="tx1"/>
                        </w14:solidFill>
                      </w14:textFill>
                    </w:rPr>
                  </w:pPr>
                </w:p>
              </w:tc>
              <w:tc>
                <w:tcPr>
                  <w:tcW w:w="256" w:type="pct"/>
                  <w:vMerge w:val="continue"/>
                  <w:tcBorders>
                    <w:tl2br w:val="nil"/>
                    <w:tr2bl w:val="nil"/>
                  </w:tcBorders>
                  <w:noWrap/>
                  <w:vAlign w:val="center"/>
                </w:tcPr>
                <w:p w14:paraId="2F4F95BE">
                  <w:pPr>
                    <w:adjustRightInd w:val="0"/>
                    <w:snapToGrid w:val="0"/>
                    <w:jc w:val="center"/>
                    <w:rPr>
                      <w:b/>
                      <w:bCs/>
                      <w:color w:val="000000" w:themeColor="text1"/>
                      <w:sz w:val="21"/>
                      <w:szCs w:val="21"/>
                      <w14:textFill>
                        <w14:solidFill>
                          <w14:schemeClr w14:val="tx1"/>
                        </w14:solidFill>
                      </w14:textFill>
                    </w:rPr>
                  </w:pPr>
                </w:p>
              </w:tc>
              <w:tc>
                <w:tcPr>
                  <w:tcW w:w="515" w:type="pct"/>
                  <w:vMerge w:val="continue"/>
                  <w:tcBorders>
                    <w:tl2br w:val="nil"/>
                    <w:tr2bl w:val="nil"/>
                  </w:tcBorders>
                  <w:noWrap/>
                  <w:vAlign w:val="center"/>
                </w:tcPr>
                <w:p w14:paraId="1B3069E6">
                  <w:pPr>
                    <w:adjustRightInd w:val="0"/>
                    <w:snapToGrid w:val="0"/>
                    <w:jc w:val="center"/>
                    <w:rPr>
                      <w:b/>
                      <w:bCs/>
                      <w:color w:val="000000" w:themeColor="text1"/>
                      <w:sz w:val="21"/>
                      <w:szCs w:val="21"/>
                      <w14:textFill>
                        <w14:solidFill>
                          <w14:schemeClr w14:val="tx1"/>
                        </w14:solidFill>
                      </w14:textFill>
                    </w:rPr>
                  </w:pPr>
                </w:p>
              </w:tc>
              <w:tc>
                <w:tcPr>
                  <w:tcW w:w="339" w:type="pct"/>
                  <w:tcBorders>
                    <w:tl2br w:val="nil"/>
                    <w:tr2bl w:val="nil"/>
                  </w:tcBorders>
                  <w:noWrap/>
                  <w:vAlign w:val="center"/>
                </w:tcPr>
                <w:p w14:paraId="2B5B6829">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声压级/dB(A)</w:t>
                  </w:r>
                </w:p>
              </w:tc>
              <w:tc>
                <w:tcPr>
                  <w:tcW w:w="346" w:type="pct"/>
                  <w:tcBorders>
                    <w:tl2br w:val="nil"/>
                    <w:tr2bl w:val="nil"/>
                  </w:tcBorders>
                  <w:noWrap/>
                  <w:vAlign w:val="center"/>
                </w:tcPr>
                <w:p w14:paraId="6CB7AAEF">
                  <w:pPr>
                    <w:widowControl/>
                    <w:adjustRightInd w:val="0"/>
                    <w:snapToGrid w:val="0"/>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建筑物外距离</w:t>
                  </w:r>
                </w:p>
              </w:tc>
            </w:tr>
            <w:tr w14:paraId="48ABF4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restart"/>
                  <w:tcBorders>
                    <w:tl2br w:val="nil"/>
                    <w:tr2bl w:val="nil"/>
                  </w:tcBorders>
                  <w:shd w:val="clear" w:color="auto" w:fill="FFFFFF"/>
                  <w:noWrap/>
                  <w:vAlign w:val="center"/>
                </w:tcPr>
                <w:p w14:paraId="0210ED20">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生产车间</w:t>
                  </w:r>
                </w:p>
              </w:tc>
              <w:tc>
                <w:tcPr>
                  <w:tcW w:w="257" w:type="pct"/>
                  <w:vMerge w:val="restart"/>
                  <w:tcBorders>
                    <w:tl2br w:val="nil"/>
                    <w:tr2bl w:val="nil"/>
                  </w:tcBorders>
                  <w:shd w:val="clear" w:color="auto" w:fill="FFFFFF"/>
                  <w:noWrap/>
                  <w:vAlign w:val="center"/>
                </w:tcPr>
                <w:p w14:paraId="5E65A1E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H型钢矫正机</w:t>
                  </w:r>
                </w:p>
              </w:tc>
              <w:tc>
                <w:tcPr>
                  <w:tcW w:w="269" w:type="pct"/>
                  <w:vMerge w:val="restart"/>
                  <w:tcBorders>
                    <w:tl2br w:val="nil"/>
                    <w:tr2bl w:val="nil"/>
                  </w:tcBorders>
                  <w:shd w:val="clear" w:color="auto" w:fill="FFFFFF"/>
                  <w:noWrap/>
                  <w:vAlign w:val="center"/>
                </w:tcPr>
                <w:p w14:paraId="7C017E2D">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88" w:type="pct"/>
                  <w:vMerge w:val="restart"/>
                  <w:tcBorders>
                    <w:tl2br w:val="nil"/>
                    <w:tr2bl w:val="nil"/>
                  </w:tcBorders>
                  <w:shd w:val="clear" w:color="auto" w:fill="FFFFFF"/>
                  <w:noWrap/>
                  <w:vAlign w:val="center"/>
                </w:tcPr>
                <w:p w14:paraId="605271F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281" w:type="pct"/>
                  <w:vMerge w:val="restart"/>
                  <w:tcBorders>
                    <w:tl2br w:val="nil"/>
                    <w:tr2bl w:val="nil"/>
                  </w:tcBorders>
                  <w:shd w:val="clear" w:color="auto" w:fill="FFFFFF"/>
                  <w:noWrap/>
                  <w:vAlign w:val="center"/>
                </w:tcPr>
                <w:p w14:paraId="55EB070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建筑隔声和减振、消声等措施</w:t>
                  </w:r>
                </w:p>
              </w:tc>
              <w:tc>
                <w:tcPr>
                  <w:tcW w:w="348" w:type="pct"/>
                  <w:vMerge w:val="restart"/>
                  <w:tcBorders>
                    <w:tl2br w:val="nil"/>
                    <w:tr2bl w:val="nil"/>
                  </w:tcBorders>
                  <w:shd w:val="clear" w:color="auto" w:fill="FFFFFF"/>
                  <w:noWrap/>
                  <w:vAlign w:val="center"/>
                </w:tcPr>
                <w:p w14:paraId="347A039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-29.9</w:t>
                  </w:r>
                </w:p>
              </w:tc>
              <w:tc>
                <w:tcPr>
                  <w:tcW w:w="326" w:type="pct"/>
                  <w:vMerge w:val="restart"/>
                  <w:tcBorders>
                    <w:tl2br w:val="nil"/>
                    <w:tr2bl w:val="nil"/>
                  </w:tcBorders>
                  <w:shd w:val="clear" w:color="auto" w:fill="FFFFFF"/>
                  <w:noWrap/>
                  <w:vAlign w:val="center"/>
                </w:tcPr>
                <w:p w14:paraId="47E7B1F5">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-6.28</w:t>
                  </w:r>
                </w:p>
              </w:tc>
              <w:tc>
                <w:tcPr>
                  <w:tcW w:w="223" w:type="pct"/>
                  <w:vMerge w:val="restart"/>
                  <w:tcBorders>
                    <w:tl2br w:val="nil"/>
                    <w:tr2bl w:val="nil"/>
                  </w:tcBorders>
                  <w:shd w:val="clear" w:color="auto" w:fill="FFFFFF"/>
                  <w:noWrap/>
                  <w:vAlign w:val="center"/>
                </w:tcPr>
                <w:p w14:paraId="1EA2ED8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shd w:val="clear" w:color="auto" w:fill="FFFFFF"/>
                  <w:noWrap/>
                  <w:vAlign w:val="center"/>
                </w:tcPr>
                <w:p w14:paraId="6B7E3E1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shd w:val="clear" w:color="auto" w:fill="FFFFFF"/>
                  <w:noWrap/>
                  <w:vAlign w:val="center"/>
                </w:tcPr>
                <w:p w14:paraId="6521A69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21.33</w:t>
                  </w:r>
                </w:p>
              </w:tc>
              <w:tc>
                <w:tcPr>
                  <w:tcW w:w="471" w:type="pct"/>
                  <w:tcBorders>
                    <w:tl2br w:val="nil"/>
                    <w:tr2bl w:val="nil"/>
                  </w:tcBorders>
                  <w:shd w:val="clear" w:color="auto" w:fill="FFFFFF"/>
                  <w:noWrap/>
                  <w:vAlign w:val="center"/>
                </w:tcPr>
                <w:p w14:paraId="5701CB5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55.56</w:t>
                  </w:r>
                </w:p>
              </w:tc>
              <w:tc>
                <w:tcPr>
                  <w:tcW w:w="256" w:type="pct"/>
                  <w:tcBorders>
                    <w:tl2br w:val="nil"/>
                    <w:tr2bl w:val="nil"/>
                  </w:tcBorders>
                  <w:shd w:val="clear" w:color="auto" w:fill="FFFFFF"/>
                  <w:noWrap/>
                  <w:vAlign w:val="center"/>
                </w:tcPr>
                <w:p w14:paraId="7AE2E7E6">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shd w:val="clear" w:color="auto" w:fill="FFFFFF"/>
                  <w:noWrap/>
                  <w:vAlign w:val="center"/>
                </w:tcPr>
                <w:p w14:paraId="6DE7693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shd w:val="clear" w:color="auto" w:fill="FFFFFF"/>
                  <w:noWrap/>
                  <w:vAlign w:val="center"/>
                </w:tcPr>
                <w:p w14:paraId="61BBB31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29.56</w:t>
                  </w:r>
                </w:p>
              </w:tc>
              <w:tc>
                <w:tcPr>
                  <w:tcW w:w="346" w:type="pct"/>
                  <w:tcBorders>
                    <w:tl2br w:val="nil"/>
                    <w:tr2bl w:val="nil"/>
                  </w:tcBorders>
                  <w:shd w:val="clear" w:color="auto" w:fill="FFFFFF"/>
                  <w:noWrap/>
                  <w:vAlign w:val="center"/>
                </w:tcPr>
                <w:p w14:paraId="78D2C3B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0FB822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ign w:val="center"/>
                </w:tcPr>
                <w:p w14:paraId="07D310E9">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473C7C22">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noWrap/>
                  <w:vAlign w:val="center"/>
                </w:tcPr>
                <w:p w14:paraId="7672F4BF">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33243FC5">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10AF3020">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2BD60103">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4BF18B35">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0C765629">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32D4179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0D990A1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79.72</w:t>
                  </w:r>
                </w:p>
              </w:tc>
              <w:tc>
                <w:tcPr>
                  <w:tcW w:w="471" w:type="pct"/>
                  <w:tcBorders>
                    <w:tl2br w:val="nil"/>
                    <w:tr2bl w:val="nil"/>
                  </w:tcBorders>
                  <w:noWrap/>
                  <w:vAlign w:val="center"/>
                </w:tcPr>
                <w:p w14:paraId="4325DEB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noWrap/>
                  <w:vAlign w:val="center"/>
                </w:tcPr>
                <w:p w14:paraId="1EDDE6B4">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41E8412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06189D7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noWrap/>
                  <w:vAlign w:val="center"/>
                </w:tcPr>
                <w:p w14:paraId="795D69F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61E0DE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shd w:val="clear" w:color="auto" w:fill="FFFFFF"/>
                  <w:noWrap/>
                  <w:vAlign w:val="center"/>
                </w:tcPr>
                <w:p w14:paraId="26225AF0">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shd w:val="clear" w:color="auto" w:fill="FFFFFF"/>
                  <w:noWrap/>
                  <w:vAlign w:val="center"/>
                </w:tcPr>
                <w:p w14:paraId="0F0770AC">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2B7A34E7">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shd w:val="clear" w:color="auto" w:fill="FFFFFF"/>
                  <w:noWrap/>
                  <w:vAlign w:val="center"/>
                </w:tcPr>
                <w:p w14:paraId="0A4C4129">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shd w:val="clear" w:color="auto" w:fill="FFFFFF"/>
                  <w:noWrap/>
                  <w:vAlign w:val="center"/>
                </w:tcPr>
                <w:p w14:paraId="2A6C8110">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shd w:val="clear" w:color="auto" w:fill="FFFFFF"/>
                  <w:noWrap/>
                  <w:vAlign w:val="center"/>
                </w:tcPr>
                <w:p w14:paraId="1F9FFB03">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shd w:val="clear" w:color="auto" w:fill="FFFFFF"/>
                  <w:noWrap/>
                  <w:vAlign w:val="center"/>
                </w:tcPr>
                <w:p w14:paraId="576D5E68">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shd w:val="clear" w:color="auto" w:fill="FFFFFF"/>
                  <w:noWrap/>
                  <w:vAlign w:val="center"/>
                </w:tcPr>
                <w:p w14:paraId="19CB9E17">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shd w:val="clear" w:color="auto" w:fill="FFFFFF"/>
                  <w:noWrap/>
                  <w:vAlign w:val="center"/>
                </w:tcPr>
                <w:p w14:paraId="337C97D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shd w:val="clear" w:color="auto" w:fill="FFFFFF"/>
                  <w:noWrap/>
                  <w:vAlign w:val="center"/>
                </w:tcPr>
                <w:p w14:paraId="4DD9275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73.31</w:t>
                  </w:r>
                </w:p>
              </w:tc>
              <w:tc>
                <w:tcPr>
                  <w:tcW w:w="471" w:type="pct"/>
                  <w:tcBorders>
                    <w:tl2br w:val="nil"/>
                    <w:tr2bl w:val="nil"/>
                  </w:tcBorders>
                  <w:shd w:val="clear" w:color="auto" w:fill="FFFFFF"/>
                  <w:noWrap/>
                  <w:vAlign w:val="center"/>
                </w:tcPr>
                <w:p w14:paraId="1EC7C69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shd w:val="clear" w:color="auto" w:fill="FFFFFF"/>
                  <w:noWrap/>
                  <w:vAlign w:val="center"/>
                </w:tcPr>
                <w:p w14:paraId="711B7F33">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shd w:val="clear" w:color="auto" w:fill="FFFFFF"/>
                  <w:noWrap/>
                  <w:vAlign w:val="center"/>
                </w:tcPr>
                <w:p w14:paraId="46EBC5A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shd w:val="clear" w:color="auto" w:fill="FFFFFF"/>
                  <w:noWrap/>
                  <w:vAlign w:val="center"/>
                </w:tcPr>
                <w:p w14:paraId="5E09A64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shd w:val="clear" w:color="auto" w:fill="FFFFFF"/>
                  <w:noWrap/>
                  <w:vAlign w:val="center"/>
                </w:tcPr>
                <w:p w14:paraId="333DB8A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2A9F2F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ign w:val="center"/>
                </w:tcPr>
                <w:p w14:paraId="0AC35D3E">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03DCB71E">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noWrap/>
                  <w:vAlign w:val="center"/>
                </w:tcPr>
                <w:p w14:paraId="4569B817">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03C81B0F">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2EC2B39D">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7E716B78">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6034C7D6">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63E356A6">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23800C7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026A721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66.10</w:t>
                  </w:r>
                </w:p>
              </w:tc>
              <w:tc>
                <w:tcPr>
                  <w:tcW w:w="471" w:type="pct"/>
                  <w:tcBorders>
                    <w:tl2br w:val="nil"/>
                    <w:tr2bl w:val="nil"/>
                  </w:tcBorders>
                  <w:noWrap/>
                  <w:vAlign w:val="center"/>
                </w:tcPr>
                <w:p w14:paraId="48A6CB4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noWrap/>
                  <w:vAlign w:val="center"/>
                </w:tcPr>
                <w:p w14:paraId="41D1E346">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2C08DBE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6AE9273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noWrap/>
                  <w:vAlign w:val="center"/>
                </w:tcPr>
                <w:p w14:paraId="0D91BA2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2CFA1B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7" w:hRule="atLeast"/>
                <w:jc w:val="center"/>
              </w:trPr>
              <w:tc>
                <w:tcPr>
                  <w:tcW w:w="300" w:type="pct"/>
                  <w:vMerge w:val="continue"/>
                  <w:tcBorders>
                    <w:tl2br w:val="nil"/>
                    <w:tr2bl w:val="nil"/>
                  </w:tcBorders>
                  <w:noWrap/>
                  <w:vAlign w:val="center"/>
                </w:tcPr>
                <w:p w14:paraId="37FE750F">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37DD91B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H型钢组立机</w:t>
                  </w:r>
                </w:p>
              </w:tc>
              <w:tc>
                <w:tcPr>
                  <w:tcW w:w="269" w:type="pct"/>
                  <w:vMerge w:val="restart"/>
                  <w:tcBorders>
                    <w:tl2br w:val="nil"/>
                    <w:tr2bl w:val="nil"/>
                  </w:tcBorders>
                  <w:noWrap/>
                  <w:vAlign w:val="center"/>
                </w:tcPr>
                <w:p w14:paraId="4A2D294C">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41962B7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281" w:type="pct"/>
                  <w:vMerge w:val="continue"/>
                  <w:tcBorders>
                    <w:tl2br w:val="nil"/>
                    <w:tr2bl w:val="nil"/>
                  </w:tcBorders>
                  <w:noWrap/>
                  <w:vAlign w:val="center"/>
                </w:tcPr>
                <w:p w14:paraId="390D57EE">
                  <w:pPr>
                    <w:adjustRightInd w:val="0"/>
                    <w:snapToGrid w:val="0"/>
                    <w:jc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4FF3230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-5.37</w:t>
                  </w:r>
                </w:p>
              </w:tc>
              <w:tc>
                <w:tcPr>
                  <w:tcW w:w="326" w:type="pct"/>
                  <w:vMerge w:val="restart"/>
                  <w:tcBorders>
                    <w:tl2br w:val="nil"/>
                    <w:tr2bl w:val="nil"/>
                  </w:tcBorders>
                  <w:noWrap/>
                  <w:vAlign w:val="center"/>
                </w:tcPr>
                <w:p w14:paraId="3D94582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-1.29</w:t>
                  </w:r>
                </w:p>
              </w:tc>
              <w:tc>
                <w:tcPr>
                  <w:tcW w:w="223" w:type="pct"/>
                  <w:vMerge w:val="restart"/>
                  <w:tcBorders>
                    <w:tl2br w:val="nil"/>
                    <w:tr2bl w:val="nil"/>
                  </w:tcBorders>
                  <w:noWrap/>
                  <w:vAlign w:val="center"/>
                </w:tcPr>
                <w:p w14:paraId="7F07A7D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shd w:val="clear" w:color="auto" w:fill="FFFFFF"/>
                  <w:noWrap/>
                  <w:vAlign w:val="center"/>
                </w:tcPr>
                <w:p w14:paraId="63BFAA3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4AF2E82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46.35</w:t>
                  </w:r>
                </w:p>
              </w:tc>
              <w:tc>
                <w:tcPr>
                  <w:tcW w:w="471" w:type="pct"/>
                  <w:tcBorders>
                    <w:tl2br w:val="nil"/>
                    <w:tr2bl w:val="nil"/>
                  </w:tcBorders>
                  <w:noWrap/>
                  <w:vAlign w:val="center"/>
                </w:tcPr>
                <w:p w14:paraId="63C14C5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55.51</w:t>
                  </w:r>
                </w:p>
              </w:tc>
              <w:tc>
                <w:tcPr>
                  <w:tcW w:w="256" w:type="pct"/>
                  <w:tcBorders>
                    <w:tl2br w:val="nil"/>
                    <w:tr2bl w:val="nil"/>
                  </w:tcBorders>
                  <w:noWrap/>
                  <w:vAlign w:val="center"/>
                </w:tcPr>
                <w:p w14:paraId="099B0246">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1AB2E84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5C85FC7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29.51</w:t>
                  </w:r>
                </w:p>
              </w:tc>
              <w:tc>
                <w:tcPr>
                  <w:tcW w:w="346" w:type="pct"/>
                  <w:tcBorders>
                    <w:tl2br w:val="nil"/>
                    <w:tr2bl w:val="nil"/>
                  </w:tcBorders>
                  <w:noWrap/>
                  <w:vAlign w:val="center"/>
                </w:tcPr>
                <w:p w14:paraId="1B33CAD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50375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shd w:val="clear" w:color="auto" w:fill="FFFFFF"/>
                  <w:noWrap/>
                  <w:vAlign w:val="center"/>
                </w:tcPr>
                <w:p w14:paraId="11EBFC31">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shd w:val="clear" w:color="auto" w:fill="FFFFFF"/>
                  <w:noWrap/>
                  <w:vAlign w:val="center"/>
                </w:tcPr>
                <w:p w14:paraId="2536A810">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3CDA337F">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shd w:val="clear" w:color="auto" w:fill="FFFFFF"/>
                  <w:noWrap/>
                  <w:vAlign w:val="center"/>
                </w:tcPr>
                <w:p w14:paraId="19F66622">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shd w:val="clear" w:color="auto" w:fill="FFFFFF"/>
                  <w:noWrap/>
                  <w:vAlign w:val="center"/>
                </w:tcPr>
                <w:p w14:paraId="1CB8D569">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shd w:val="clear" w:color="auto" w:fill="FFFFFF"/>
                  <w:noWrap/>
                  <w:vAlign w:val="center"/>
                </w:tcPr>
                <w:p w14:paraId="79DFD351">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shd w:val="clear" w:color="auto" w:fill="FFFFFF"/>
                  <w:noWrap/>
                  <w:vAlign w:val="center"/>
                </w:tcPr>
                <w:p w14:paraId="1ABAB0C8">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shd w:val="clear" w:color="auto" w:fill="FFFFFF"/>
                  <w:noWrap/>
                  <w:vAlign w:val="center"/>
                </w:tcPr>
                <w:p w14:paraId="071CA0EE">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70568DB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shd w:val="clear" w:color="auto" w:fill="FFFFFF"/>
                  <w:noWrap/>
                  <w:vAlign w:val="center"/>
                </w:tcPr>
                <w:p w14:paraId="4388B69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77.19</w:t>
                  </w:r>
                </w:p>
              </w:tc>
              <w:tc>
                <w:tcPr>
                  <w:tcW w:w="471" w:type="pct"/>
                  <w:tcBorders>
                    <w:tl2br w:val="nil"/>
                    <w:tr2bl w:val="nil"/>
                  </w:tcBorders>
                  <w:shd w:val="clear" w:color="auto" w:fill="FFFFFF"/>
                  <w:noWrap/>
                  <w:vAlign w:val="center"/>
                </w:tcPr>
                <w:p w14:paraId="6ED0E55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shd w:val="clear" w:color="auto" w:fill="FFFFFF"/>
                  <w:noWrap/>
                  <w:vAlign w:val="center"/>
                </w:tcPr>
                <w:p w14:paraId="5EFA2BF1">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shd w:val="clear" w:color="auto" w:fill="FFFFFF"/>
                  <w:noWrap/>
                  <w:vAlign w:val="center"/>
                </w:tcPr>
                <w:p w14:paraId="3E749C6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shd w:val="clear" w:color="auto" w:fill="FFFFFF"/>
                  <w:noWrap/>
                  <w:vAlign w:val="center"/>
                </w:tcPr>
                <w:p w14:paraId="1AA041A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shd w:val="clear" w:color="auto" w:fill="FFFFFF"/>
                  <w:noWrap/>
                  <w:vAlign w:val="center"/>
                </w:tcPr>
                <w:p w14:paraId="11038CA5">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30160A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ign w:val="center"/>
                </w:tcPr>
                <w:p w14:paraId="76C89FDB">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09A9881A">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noWrap/>
                  <w:vAlign w:val="center"/>
                </w:tcPr>
                <w:p w14:paraId="47D70484">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1ED52933">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729A5CEB">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26EBA9F2">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39E36515">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63A9AAFF">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shd w:val="clear" w:color="auto" w:fill="FFFFFF"/>
                  <w:noWrap/>
                  <w:vAlign w:val="center"/>
                </w:tcPr>
                <w:p w14:paraId="7F11E6B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6CCC811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48.41</w:t>
                  </w:r>
                </w:p>
              </w:tc>
              <w:tc>
                <w:tcPr>
                  <w:tcW w:w="471" w:type="pct"/>
                  <w:tcBorders>
                    <w:tl2br w:val="nil"/>
                    <w:tr2bl w:val="nil"/>
                  </w:tcBorders>
                  <w:noWrap/>
                  <w:vAlign w:val="center"/>
                </w:tcPr>
                <w:p w14:paraId="7C808F2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55.51</w:t>
                  </w:r>
                </w:p>
              </w:tc>
              <w:tc>
                <w:tcPr>
                  <w:tcW w:w="256" w:type="pct"/>
                  <w:tcBorders>
                    <w:tl2br w:val="nil"/>
                    <w:tr2bl w:val="nil"/>
                  </w:tcBorders>
                  <w:noWrap/>
                  <w:vAlign w:val="center"/>
                </w:tcPr>
                <w:p w14:paraId="6B003ECD">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03763FE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6A7D428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29.51</w:t>
                  </w:r>
                </w:p>
              </w:tc>
              <w:tc>
                <w:tcPr>
                  <w:tcW w:w="346" w:type="pct"/>
                  <w:tcBorders>
                    <w:tl2br w:val="nil"/>
                    <w:tr2bl w:val="nil"/>
                  </w:tcBorders>
                  <w:noWrap/>
                  <w:vAlign w:val="center"/>
                </w:tcPr>
                <w:p w14:paraId="626DF9D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330EC3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shd w:val="clear" w:color="auto" w:fill="FFFFFF"/>
                  <w:noWrap/>
                  <w:vAlign w:val="center"/>
                </w:tcPr>
                <w:p w14:paraId="588EDB0B">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shd w:val="clear" w:color="auto" w:fill="FFFFFF"/>
                  <w:noWrap/>
                  <w:vAlign w:val="center"/>
                </w:tcPr>
                <w:p w14:paraId="7B760D09">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7ADEFC84">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shd w:val="clear" w:color="auto" w:fill="FFFFFF"/>
                  <w:noWrap/>
                  <w:vAlign w:val="center"/>
                </w:tcPr>
                <w:p w14:paraId="578A43AC">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shd w:val="clear" w:color="auto" w:fill="FFFFFF"/>
                  <w:noWrap/>
                  <w:vAlign w:val="center"/>
                </w:tcPr>
                <w:p w14:paraId="6E52F0BA">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shd w:val="clear" w:color="auto" w:fill="FFFFFF"/>
                  <w:noWrap/>
                  <w:vAlign w:val="center"/>
                </w:tcPr>
                <w:p w14:paraId="7EEA0834">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shd w:val="clear" w:color="auto" w:fill="FFFFFF"/>
                  <w:noWrap/>
                  <w:vAlign w:val="center"/>
                </w:tcPr>
                <w:p w14:paraId="73499DCF">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shd w:val="clear" w:color="auto" w:fill="FFFFFF"/>
                  <w:noWrap/>
                  <w:vAlign w:val="center"/>
                </w:tcPr>
                <w:p w14:paraId="6A381631">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04B849B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shd w:val="clear" w:color="auto" w:fill="FFFFFF"/>
                  <w:noWrap/>
                  <w:vAlign w:val="center"/>
                </w:tcPr>
                <w:p w14:paraId="2CF0CB3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69.16</w:t>
                  </w:r>
                </w:p>
              </w:tc>
              <w:tc>
                <w:tcPr>
                  <w:tcW w:w="471" w:type="pct"/>
                  <w:tcBorders>
                    <w:tl2br w:val="nil"/>
                    <w:tr2bl w:val="nil"/>
                  </w:tcBorders>
                  <w:shd w:val="clear" w:color="auto" w:fill="FFFFFF"/>
                  <w:noWrap/>
                  <w:vAlign w:val="center"/>
                </w:tcPr>
                <w:p w14:paraId="2CB1FA9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shd w:val="clear" w:color="auto" w:fill="FFFFFF"/>
                  <w:noWrap/>
                  <w:vAlign w:val="center"/>
                </w:tcPr>
                <w:p w14:paraId="42E7505E">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shd w:val="clear" w:color="auto" w:fill="FFFFFF"/>
                  <w:noWrap/>
                  <w:vAlign w:val="center"/>
                </w:tcPr>
                <w:p w14:paraId="3F02F40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shd w:val="clear" w:color="auto" w:fill="FFFFFF"/>
                  <w:noWrap/>
                  <w:vAlign w:val="center"/>
                </w:tcPr>
                <w:p w14:paraId="6F57734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shd w:val="clear" w:color="auto" w:fill="FFFFFF"/>
                  <w:noWrap/>
                  <w:vAlign w:val="center"/>
                </w:tcPr>
                <w:p w14:paraId="08EE250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1E15C9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07" w:hRule="atLeast"/>
                <w:jc w:val="center"/>
              </w:trPr>
              <w:tc>
                <w:tcPr>
                  <w:tcW w:w="300" w:type="pct"/>
                  <w:vMerge w:val="continue"/>
                  <w:tcBorders>
                    <w:tl2br w:val="nil"/>
                    <w:tr2bl w:val="nil"/>
                  </w:tcBorders>
                  <w:shd w:val="clear" w:color="auto" w:fill="FFFFFF"/>
                  <w:noWrap/>
                  <w:vAlign w:val="center"/>
                </w:tcPr>
                <w:p w14:paraId="58625C14">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shd w:val="clear" w:color="auto" w:fill="FFFFFF"/>
                  <w:noWrap/>
                  <w:vAlign w:val="center"/>
                </w:tcPr>
                <w:p w14:paraId="5073571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切割机1</w:t>
                  </w:r>
                </w:p>
              </w:tc>
              <w:tc>
                <w:tcPr>
                  <w:tcW w:w="269" w:type="pct"/>
                  <w:vMerge w:val="restart"/>
                  <w:tcBorders>
                    <w:tl2br w:val="nil"/>
                    <w:tr2bl w:val="nil"/>
                  </w:tcBorders>
                  <w:noWrap/>
                  <w:vAlign w:val="center"/>
                </w:tcPr>
                <w:p w14:paraId="73E0CF70">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88" w:type="pct"/>
                  <w:vMerge w:val="restart"/>
                  <w:tcBorders>
                    <w:tl2br w:val="nil"/>
                    <w:tr2bl w:val="nil"/>
                  </w:tcBorders>
                  <w:shd w:val="clear" w:color="auto" w:fill="FFFFFF"/>
                  <w:noWrap/>
                  <w:vAlign w:val="center"/>
                </w:tcPr>
                <w:p w14:paraId="128303D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85</w:t>
                  </w:r>
                </w:p>
              </w:tc>
              <w:tc>
                <w:tcPr>
                  <w:tcW w:w="281" w:type="pct"/>
                  <w:vMerge w:val="continue"/>
                  <w:tcBorders>
                    <w:tl2br w:val="nil"/>
                    <w:tr2bl w:val="nil"/>
                  </w:tcBorders>
                  <w:shd w:val="clear" w:color="auto" w:fill="FFFFFF"/>
                  <w:noWrap/>
                  <w:vAlign w:val="center"/>
                </w:tcPr>
                <w:p w14:paraId="4736DDDE">
                  <w:pPr>
                    <w:adjustRightInd w:val="0"/>
                    <w:snapToGrid w:val="0"/>
                    <w:jc w:val="center"/>
                    <w:rPr>
                      <w:color w:val="000000" w:themeColor="text1"/>
                      <w:sz w:val="21"/>
                      <w:szCs w:val="21"/>
                      <w14:textFill>
                        <w14:solidFill>
                          <w14:schemeClr w14:val="tx1"/>
                        </w14:solidFill>
                      </w14:textFill>
                    </w:rPr>
                  </w:pPr>
                </w:p>
              </w:tc>
              <w:tc>
                <w:tcPr>
                  <w:tcW w:w="348" w:type="pct"/>
                  <w:vMerge w:val="restart"/>
                  <w:tcBorders>
                    <w:tl2br w:val="nil"/>
                    <w:tr2bl w:val="nil"/>
                  </w:tcBorders>
                  <w:shd w:val="clear" w:color="auto" w:fill="FFFFFF"/>
                  <w:noWrap/>
                  <w:vAlign w:val="center"/>
                </w:tcPr>
                <w:p w14:paraId="1EEA5F2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-15.35</w:t>
                  </w:r>
                </w:p>
              </w:tc>
              <w:tc>
                <w:tcPr>
                  <w:tcW w:w="326" w:type="pct"/>
                  <w:vMerge w:val="restart"/>
                  <w:tcBorders>
                    <w:tl2br w:val="nil"/>
                    <w:tr2bl w:val="nil"/>
                  </w:tcBorders>
                  <w:shd w:val="clear" w:color="auto" w:fill="FFFFFF"/>
                  <w:noWrap/>
                  <w:vAlign w:val="center"/>
                </w:tcPr>
                <w:p w14:paraId="2051E67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36.13</w:t>
                  </w:r>
                </w:p>
              </w:tc>
              <w:tc>
                <w:tcPr>
                  <w:tcW w:w="223" w:type="pct"/>
                  <w:vMerge w:val="restart"/>
                  <w:tcBorders>
                    <w:tl2br w:val="nil"/>
                    <w:tr2bl w:val="nil"/>
                  </w:tcBorders>
                  <w:shd w:val="clear" w:color="auto" w:fill="FFFFFF"/>
                  <w:noWrap/>
                  <w:vAlign w:val="center"/>
                </w:tcPr>
                <w:p w14:paraId="01022D2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shd w:val="clear" w:color="auto" w:fill="FFFFFF"/>
                  <w:noWrap/>
                  <w:vAlign w:val="center"/>
                </w:tcPr>
                <w:p w14:paraId="4B8B228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shd w:val="clear" w:color="auto" w:fill="FFFFFF"/>
                  <w:noWrap/>
                  <w:vAlign w:val="center"/>
                </w:tcPr>
                <w:p w14:paraId="33B8B4C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42.92</w:t>
                  </w:r>
                </w:p>
              </w:tc>
              <w:tc>
                <w:tcPr>
                  <w:tcW w:w="471" w:type="pct"/>
                  <w:tcBorders>
                    <w:tl2br w:val="nil"/>
                    <w:tr2bl w:val="nil"/>
                  </w:tcBorders>
                  <w:shd w:val="clear" w:color="auto" w:fill="FFFFFF"/>
                  <w:noWrap/>
                  <w:vAlign w:val="center"/>
                </w:tcPr>
                <w:p w14:paraId="4FFC9893">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shd w:val="clear" w:color="auto" w:fill="FFFFFF"/>
                  <w:noWrap/>
                  <w:vAlign w:val="center"/>
                </w:tcPr>
                <w:p w14:paraId="28762E86">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shd w:val="clear" w:color="auto" w:fill="FFFFFF"/>
                  <w:noWrap/>
                  <w:vAlign w:val="center"/>
                </w:tcPr>
                <w:p w14:paraId="58E38C7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shd w:val="clear" w:color="auto" w:fill="FFFFFF"/>
                  <w:noWrap/>
                  <w:vAlign w:val="center"/>
                </w:tcPr>
                <w:p w14:paraId="2C909D81">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shd w:val="clear" w:color="auto" w:fill="FFFFFF"/>
                  <w:noWrap/>
                  <w:vAlign w:val="center"/>
                </w:tcPr>
                <w:p w14:paraId="42F7236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6A25D6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ign w:val="center"/>
                </w:tcPr>
                <w:p w14:paraId="44D114D5">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24190B2B">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6FCE37A7">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5539E300">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28C64F0B">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5AD31CE1">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7007D34E">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774242EE">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440E9E5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7FDE6A5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115.88</w:t>
                  </w:r>
                </w:p>
              </w:tc>
              <w:tc>
                <w:tcPr>
                  <w:tcW w:w="471" w:type="pct"/>
                  <w:tcBorders>
                    <w:tl2br w:val="nil"/>
                    <w:tr2bl w:val="nil"/>
                  </w:tcBorders>
                  <w:noWrap/>
                  <w:vAlign w:val="center"/>
                </w:tcPr>
                <w:p w14:paraId="12A37969">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65.50</w:t>
                  </w:r>
                </w:p>
              </w:tc>
              <w:tc>
                <w:tcPr>
                  <w:tcW w:w="256" w:type="pct"/>
                  <w:tcBorders>
                    <w:tl2br w:val="nil"/>
                    <w:tr2bl w:val="nil"/>
                  </w:tcBorders>
                  <w:noWrap/>
                  <w:vAlign w:val="center"/>
                </w:tcPr>
                <w:p w14:paraId="24755BEE">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4554886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5702F565">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39.50</w:t>
                  </w:r>
                </w:p>
              </w:tc>
              <w:tc>
                <w:tcPr>
                  <w:tcW w:w="346" w:type="pct"/>
                  <w:tcBorders>
                    <w:tl2br w:val="nil"/>
                    <w:tr2bl w:val="nil"/>
                  </w:tcBorders>
                  <w:noWrap/>
                  <w:vAlign w:val="center"/>
                </w:tcPr>
                <w:p w14:paraId="278D133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1AE914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shd w:val="clear" w:color="auto" w:fill="FFFFFF"/>
                  <w:noWrap/>
                  <w:vAlign w:val="center"/>
                </w:tcPr>
                <w:p w14:paraId="48AA8F0E">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shd w:val="clear" w:color="auto" w:fill="FFFFFF"/>
                  <w:noWrap/>
                  <w:vAlign w:val="center"/>
                </w:tcPr>
                <w:p w14:paraId="523EF9DB">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noWrap/>
                  <w:vAlign w:val="center"/>
                </w:tcPr>
                <w:p w14:paraId="5504245E">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shd w:val="clear" w:color="auto" w:fill="FFFFFF"/>
                  <w:noWrap/>
                  <w:vAlign w:val="center"/>
                </w:tcPr>
                <w:p w14:paraId="1AF413E0">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shd w:val="clear" w:color="auto" w:fill="FFFFFF"/>
                  <w:noWrap/>
                  <w:vAlign w:val="center"/>
                </w:tcPr>
                <w:p w14:paraId="20AB372B">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shd w:val="clear" w:color="auto" w:fill="FFFFFF"/>
                  <w:noWrap/>
                  <w:vAlign w:val="center"/>
                </w:tcPr>
                <w:p w14:paraId="63702856">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shd w:val="clear" w:color="auto" w:fill="FFFFFF"/>
                  <w:noWrap/>
                  <w:vAlign w:val="center"/>
                </w:tcPr>
                <w:p w14:paraId="60C86287">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shd w:val="clear" w:color="auto" w:fill="FFFFFF"/>
                  <w:noWrap/>
                  <w:vAlign w:val="center"/>
                </w:tcPr>
                <w:p w14:paraId="0278B57B">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shd w:val="clear" w:color="auto" w:fill="FFFFFF"/>
                  <w:noWrap/>
                  <w:vAlign w:val="center"/>
                </w:tcPr>
                <w:p w14:paraId="6BD6DA6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shd w:val="clear" w:color="auto" w:fill="FFFFFF"/>
                  <w:noWrap/>
                  <w:vAlign w:val="center"/>
                </w:tcPr>
                <w:p w14:paraId="2C851CB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46.69</w:t>
                  </w:r>
                </w:p>
              </w:tc>
              <w:tc>
                <w:tcPr>
                  <w:tcW w:w="471" w:type="pct"/>
                  <w:tcBorders>
                    <w:tl2br w:val="nil"/>
                    <w:tr2bl w:val="nil"/>
                  </w:tcBorders>
                  <w:shd w:val="clear" w:color="auto" w:fill="FFFFFF"/>
                  <w:noWrap/>
                  <w:vAlign w:val="center"/>
                </w:tcPr>
                <w:p w14:paraId="09AADEDD">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shd w:val="clear" w:color="auto" w:fill="FFFFFF"/>
                  <w:noWrap/>
                  <w:vAlign w:val="center"/>
                </w:tcPr>
                <w:p w14:paraId="7B3483F9">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shd w:val="clear" w:color="auto" w:fill="FFFFFF"/>
                  <w:noWrap/>
                  <w:vAlign w:val="center"/>
                </w:tcPr>
                <w:p w14:paraId="28B7D06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shd w:val="clear" w:color="auto" w:fill="FFFFFF"/>
                  <w:noWrap/>
                  <w:vAlign w:val="center"/>
                </w:tcPr>
                <w:p w14:paraId="2EC3F83C">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shd w:val="clear" w:color="auto" w:fill="FFFFFF"/>
                  <w:noWrap/>
                  <w:vAlign w:val="center"/>
                </w:tcPr>
                <w:p w14:paraId="2F16DB55">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723942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ign w:val="center"/>
                </w:tcPr>
                <w:p w14:paraId="7AD4F27B">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56675AD5">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56148AD9">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6D1F8F21">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6EC2DF32">
                  <w:pPr>
                    <w:adjustRightInd w:val="0"/>
                    <w:snapToGrid w:val="0"/>
                    <w:jc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44F964E5">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2EA0760A">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5CDD3719">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2D978F4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2A605E6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30.51</w:t>
                  </w:r>
                </w:p>
              </w:tc>
              <w:tc>
                <w:tcPr>
                  <w:tcW w:w="471" w:type="pct"/>
                  <w:tcBorders>
                    <w:tl2br w:val="nil"/>
                    <w:tr2bl w:val="nil"/>
                  </w:tcBorders>
                  <w:noWrap/>
                  <w:vAlign w:val="center"/>
                </w:tcPr>
                <w:p w14:paraId="4E1347F3">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65.53</w:t>
                  </w:r>
                </w:p>
              </w:tc>
              <w:tc>
                <w:tcPr>
                  <w:tcW w:w="256" w:type="pct"/>
                  <w:tcBorders>
                    <w:tl2br w:val="nil"/>
                    <w:tr2bl w:val="nil"/>
                  </w:tcBorders>
                  <w:noWrap/>
                  <w:vAlign w:val="center"/>
                </w:tcPr>
                <w:p w14:paraId="54BC12A3">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4E23DD7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50F5024A">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39.53</w:t>
                  </w:r>
                </w:p>
              </w:tc>
              <w:tc>
                <w:tcPr>
                  <w:tcW w:w="346" w:type="pct"/>
                  <w:tcBorders>
                    <w:tl2br w:val="nil"/>
                    <w:tr2bl w:val="nil"/>
                  </w:tcBorders>
                  <w:noWrap/>
                  <w:vAlign w:val="center"/>
                </w:tcPr>
                <w:p w14:paraId="6265B0B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50472B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19BA4462">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19DE298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切割机2</w:t>
                  </w:r>
                </w:p>
              </w:tc>
              <w:tc>
                <w:tcPr>
                  <w:tcW w:w="269" w:type="pct"/>
                  <w:vMerge w:val="restart"/>
                  <w:tcBorders>
                    <w:tl2br w:val="nil"/>
                    <w:tr2bl w:val="nil"/>
                  </w:tcBorders>
                  <w:shd w:val="clear" w:color="auto" w:fill="FFFFFF"/>
                  <w:noWrap/>
                  <w:vAlign w:val="center"/>
                </w:tcPr>
                <w:p w14:paraId="7AEB4C1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2FD430A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c>
                <w:tcPr>
                  <w:tcW w:w="281" w:type="pct"/>
                  <w:vMerge w:val="continue"/>
                  <w:tcBorders>
                    <w:tl2br w:val="nil"/>
                    <w:tr2bl w:val="nil"/>
                  </w:tcBorders>
                  <w:noWrap/>
                  <w:vAlign w:val="center"/>
                </w:tcPr>
                <w:p w14:paraId="7A5C60F1">
                  <w:pPr>
                    <w:adjustRightInd w:val="0"/>
                    <w:snapToGrid w:val="0"/>
                    <w:jc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450006A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-6.62</w:t>
                  </w:r>
                </w:p>
              </w:tc>
              <w:tc>
                <w:tcPr>
                  <w:tcW w:w="326" w:type="pct"/>
                  <w:vMerge w:val="restart"/>
                  <w:tcBorders>
                    <w:tl2br w:val="nil"/>
                    <w:tr2bl w:val="nil"/>
                  </w:tcBorders>
                  <w:noWrap/>
                  <w:vAlign w:val="center"/>
                </w:tcPr>
                <w:p w14:paraId="2D0CB78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37.79</w:t>
                  </w:r>
                </w:p>
              </w:tc>
              <w:tc>
                <w:tcPr>
                  <w:tcW w:w="223" w:type="pct"/>
                  <w:vMerge w:val="restart"/>
                  <w:tcBorders>
                    <w:tl2br w:val="nil"/>
                    <w:tr2bl w:val="nil"/>
                  </w:tcBorders>
                  <w:noWrap/>
                  <w:vAlign w:val="center"/>
                </w:tcPr>
                <w:p w14:paraId="5BEA3F2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noWrap/>
                  <w:vAlign w:val="center"/>
                </w:tcPr>
                <w:p w14:paraId="4485144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4067DD95">
                  <w:pPr>
                    <w:widowControl/>
                    <w:adjustRightInd w:val="0"/>
                    <w:snapToGrid w:val="0"/>
                    <w:jc w:val="center"/>
                    <w:textAlignment w:val="center"/>
                    <w:rPr>
                      <w:sz w:val="21"/>
                      <w:szCs w:val="21"/>
                    </w:rPr>
                  </w:pPr>
                  <w:r>
                    <w:rPr>
                      <w:rFonts w:hint="eastAsia"/>
                      <w:sz w:val="21"/>
                      <w:szCs w:val="21"/>
                    </w:rPr>
                    <w:t>51.80</w:t>
                  </w:r>
                </w:p>
              </w:tc>
              <w:tc>
                <w:tcPr>
                  <w:tcW w:w="471" w:type="pct"/>
                  <w:tcBorders>
                    <w:tl2br w:val="nil"/>
                    <w:tr2bl w:val="nil"/>
                  </w:tcBorders>
                  <w:noWrap/>
                  <w:vAlign w:val="center"/>
                </w:tcPr>
                <w:p w14:paraId="6BAC6548">
                  <w:pPr>
                    <w:widowControl/>
                    <w:adjustRightInd w:val="0"/>
                    <w:snapToGrid w:val="0"/>
                    <w:jc w:val="center"/>
                    <w:textAlignment w:val="center"/>
                    <w:rPr>
                      <w:sz w:val="21"/>
                      <w:szCs w:val="21"/>
                    </w:rPr>
                  </w:pPr>
                  <w:r>
                    <w:rPr>
                      <w:sz w:val="21"/>
                      <w:szCs w:val="21"/>
                    </w:rPr>
                    <w:t>65.51</w:t>
                  </w:r>
                </w:p>
              </w:tc>
              <w:tc>
                <w:tcPr>
                  <w:tcW w:w="256" w:type="pct"/>
                  <w:tcBorders>
                    <w:tl2br w:val="nil"/>
                    <w:tr2bl w:val="nil"/>
                  </w:tcBorders>
                  <w:noWrap/>
                  <w:vAlign w:val="center"/>
                </w:tcPr>
                <w:p w14:paraId="4FB67849">
                  <w:pPr>
                    <w:widowControl/>
                    <w:adjustRightInd w:val="0"/>
                    <w:snapToGrid w:val="0"/>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26316F8C">
                  <w:pPr>
                    <w:widowControl/>
                    <w:adjustRightInd w:val="0"/>
                    <w:snapToGrid w:val="0"/>
                    <w:jc w:val="center"/>
                    <w:textAlignment w:val="center"/>
                    <w:rPr>
                      <w:sz w:val="21"/>
                      <w:szCs w:val="21"/>
                    </w:rPr>
                  </w:pPr>
                  <w:r>
                    <w:rPr>
                      <w:rFonts w:hint="eastAsia"/>
                      <w:sz w:val="21"/>
                      <w:szCs w:val="21"/>
                    </w:rPr>
                    <w:t>20</w:t>
                  </w:r>
                </w:p>
              </w:tc>
              <w:tc>
                <w:tcPr>
                  <w:tcW w:w="339" w:type="pct"/>
                  <w:tcBorders>
                    <w:tl2br w:val="nil"/>
                    <w:tr2bl w:val="nil"/>
                  </w:tcBorders>
                  <w:noWrap/>
                  <w:vAlign w:val="center"/>
                </w:tcPr>
                <w:p w14:paraId="51911E55">
                  <w:pPr>
                    <w:widowControl/>
                    <w:adjustRightInd w:val="0"/>
                    <w:snapToGrid w:val="0"/>
                    <w:jc w:val="center"/>
                    <w:textAlignment w:val="center"/>
                    <w:rPr>
                      <w:sz w:val="21"/>
                      <w:szCs w:val="21"/>
                    </w:rPr>
                  </w:pPr>
                  <w:r>
                    <w:rPr>
                      <w:sz w:val="21"/>
                      <w:szCs w:val="21"/>
                    </w:rPr>
                    <w:t>39.51</w:t>
                  </w:r>
                </w:p>
              </w:tc>
              <w:tc>
                <w:tcPr>
                  <w:tcW w:w="346" w:type="pct"/>
                  <w:tcBorders>
                    <w:tl2br w:val="nil"/>
                    <w:tr2bl w:val="nil"/>
                  </w:tcBorders>
                  <w:noWrap/>
                  <w:vAlign w:val="center"/>
                </w:tcPr>
                <w:p w14:paraId="47457FDD">
                  <w:pPr>
                    <w:widowControl/>
                    <w:adjustRightInd w:val="0"/>
                    <w:snapToGrid w:val="0"/>
                    <w:jc w:val="center"/>
                    <w:textAlignment w:val="center"/>
                    <w:rPr>
                      <w:sz w:val="21"/>
                      <w:szCs w:val="21"/>
                    </w:rPr>
                  </w:pPr>
                  <w:r>
                    <w:rPr>
                      <w:rFonts w:hint="eastAsia"/>
                      <w:sz w:val="21"/>
                      <w:szCs w:val="21"/>
                    </w:rPr>
                    <w:t>1</w:t>
                  </w:r>
                </w:p>
              </w:tc>
            </w:tr>
            <w:tr w14:paraId="756A65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554CB0C0">
                  <w:pPr>
                    <w:widowControl/>
                    <w:adjustRightInd w:val="0"/>
                    <w:snapToGrid w:val="0"/>
                    <w:jc w:val="center"/>
                    <w:textAlignment w:val="center"/>
                    <w:rPr>
                      <w:sz w:val="21"/>
                      <w:szCs w:val="21"/>
                    </w:rPr>
                  </w:pPr>
                </w:p>
              </w:tc>
              <w:tc>
                <w:tcPr>
                  <w:tcW w:w="257" w:type="pct"/>
                  <w:vMerge w:val="continue"/>
                  <w:tcBorders>
                    <w:tl2br w:val="nil"/>
                    <w:tr2bl w:val="nil"/>
                  </w:tcBorders>
                  <w:noWrap/>
                  <w:vAlign w:val="center"/>
                </w:tcPr>
                <w:p w14:paraId="7A2593B5">
                  <w:pPr>
                    <w:widowControl/>
                    <w:adjustRightInd w:val="0"/>
                    <w:snapToGrid w:val="0"/>
                    <w:jc w:val="center"/>
                    <w:textAlignment w:val="center"/>
                    <w:rPr>
                      <w:sz w:val="21"/>
                      <w:szCs w:val="21"/>
                    </w:rPr>
                  </w:pPr>
                </w:p>
              </w:tc>
              <w:tc>
                <w:tcPr>
                  <w:tcW w:w="269" w:type="pct"/>
                  <w:vMerge w:val="continue"/>
                  <w:tcBorders>
                    <w:tl2br w:val="nil"/>
                    <w:tr2bl w:val="nil"/>
                  </w:tcBorders>
                  <w:shd w:val="clear" w:color="auto" w:fill="FFFFFF"/>
                  <w:noWrap/>
                  <w:vAlign w:val="center"/>
                </w:tcPr>
                <w:p w14:paraId="0EA07E6B">
                  <w:pPr>
                    <w:widowControl/>
                    <w:adjustRightInd w:val="0"/>
                    <w:snapToGrid w:val="0"/>
                    <w:jc w:val="center"/>
                    <w:textAlignment w:val="center"/>
                    <w:rPr>
                      <w:sz w:val="21"/>
                      <w:szCs w:val="21"/>
                    </w:rPr>
                  </w:pPr>
                </w:p>
              </w:tc>
              <w:tc>
                <w:tcPr>
                  <w:tcW w:w="288" w:type="pct"/>
                  <w:vMerge w:val="continue"/>
                  <w:tcBorders>
                    <w:tl2br w:val="nil"/>
                    <w:tr2bl w:val="nil"/>
                  </w:tcBorders>
                  <w:noWrap/>
                  <w:vAlign w:val="center"/>
                </w:tcPr>
                <w:p w14:paraId="3E1E857F">
                  <w:pPr>
                    <w:widowControl/>
                    <w:adjustRightInd w:val="0"/>
                    <w:snapToGrid w:val="0"/>
                    <w:jc w:val="center"/>
                    <w:textAlignment w:val="center"/>
                    <w:rPr>
                      <w:sz w:val="21"/>
                      <w:szCs w:val="21"/>
                    </w:rPr>
                  </w:pPr>
                </w:p>
              </w:tc>
              <w:tc>
                <w:tcPr>
                  <w:tcW w:w="281" w:type="pct"/>
                  <w:vMerge w:val="continue"/>
                  <w:tcBorders>
                    <w:tl2br w:val="nil"/>
                    <w:tr2bl w:val="nil"/>
                  </w:tcBorders>
                  <w:noWrap/>
                  <w:vAlign w:val="center"/>
                </w:tcPr>
                <w:p w14:paraId="33F41C93">
                  <w:pPr>
                    <w:widowControl/>
                    <w:adjustRightInd w:val="0"/>
                    <w:snapToGrid w:val="0"/>
                    <w:jc w:val="center"/>
                    <w:textAlignment w:val="center"/>
                    <w:rPr>
                      <w:sz w:val="21"/>
                      <w:szCs w:val="21"/>
                    </w:rPr>
                  </w:pPr>
                </w:p>
              </w:tc>
              <w:tc>
                <w:tcPr>
                  <w:tcW w:w="348" w:type="pct"/>
                  <w:vMerge w:val="continue"/>
                  <w:tcBorders>
                    <w:tl2br w:val="nil"/>
                    <w:tr2bl w:val="nil"/>
                  </w:tcBorders>
                  <w:noWrap/>
                  <w:vAlign w:val="center"/>
                </w:tcPr>
                <w:p w14:paraId="36F8F929">
                  <w:pPr>
                    <w:widowControl/>
                    <w:adjustRightInd w:val="0"/>
                    <w:snapToGrid w:val="0"/>
                    <w:jc w:val="center"/>
                    <w:textAlignment w:val="center"/>
                    <w:rPr>
                      <w:sz w:val="21"/>
                      <w:szCs w:val="21"/>
                    </w:rPr>
                  </w:pPr>
                </w:p>
              </w:tc>
              <w:tc>
                <w:tcPr>
                  <w:tcW w:w="326" w:type="pct"/>
                  <w:vMerge w:val="continue"/>
                  <w:tcBorders>
                    <w:tl2br w:val="nil"/>
                    <w:tr2bl w:val="nil"/>
                  </w:tcBorders>
                  <w:noWrap/>
                  <w:vAlign w:val="center"/>
                </w:tcPr>
                <w:p w14:paraId="087B77DC">
                  <w:pPr>
                    <w:widowControl/>
                    <w:adjustRightInd w:val="0"/>
                    <w:snapToGrid w:val="0"/>
                    <w:jc w:val="center"/>
                    <w:textAlignment w:val="center"/>
                    <w:rPr>
                      <w:sz w:val="21"/>
                      <w:szCs w:val="21"/>
                    </w:rPr>
                  </w:pPr>
                </w:p>
              </w:tc>
              <w:tc>
                <w:tcPr>
                  <w:tcW w:w="223" w:type="pct"/>
                  <w:vMerge w:val="continue"/>
                  <w:tcBorders>
                    <w:tl2br w:val="nil"/>
                    <w:tr2bl w:val="nil"/>
                  </w:tcBorders>
                  <w:noWrap/>
                  <w:vAlign w:val="center"/>
                </w:tcPr>
                <w:p w14:paraId="03B1DDDC">
                  <w:pPr>
                    <w:widowControl/>
                    <w:adjustRightInd w:val="0"/>
                    <w:snapToGrid w:val="0"/>
                    <w:jc w:val="center"/>
                    <w:textAlignment w:val="center"/>
                    <w:rPr>
                      <w:sz w:val="21"/>
                      <w:szCs w:val="21"/>
                    </w:rPr>
                  </w:pPr>
                </w:p>
              </w:tc>
              <w:tc>
                <w:tcPr>
                  <w:tcW w:w="344" w:type="pct"/>
                  <w:tcBorders>
                    <w:tl2br w:val="nil"/>
                    <w:tr2bl w:val="nil"/>
                  </w:tcBorders>
                  <w:noWrap/>
                  <w:vAlign w:val="center"/>
                </w:tcPr>
                <w:p w14:paraId="5998F77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5C5A996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114.87</w:t>
                  </w:r>
                </w:p>
              </w:tc>
              <w:tc>
                <w:tcPr>
                  <w:tcW w:w="471" w:type="pct"/>
                  <w:tcBorders>
                    <w:tl2br w:val="nil"/>
                    <w:tr2bl w:val="nil"/>
                  </w:tcBorders>
                  <w:noWrap/>
                  <w:vAlign w:val="center"/>
                </w:tcPr>
                <w:p w14:paraId="1ABCB47B">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65.50</w:t>
                  </w:r>
                </w:p>
              </w:tc>
              <w:tc>
                <w:tcPr>
                  <w:tcW w:w="256" w:type="pct"/>
                  <w:tcBorders>
                    <w:tl2br w:val="nil"/>
                    <w:tr2bl w:val="nil"/>
                  </w:tcBorders>
                  <w:noWrap/>
                  <w:vAlign w:val="center"/>
                </w:tcPr>
                <w:p w14:paraId="546489E8">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300B5E1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3F25D699">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39.50</w:t>
                  </w:r>
                </w:p>
              </w:tc>
              <w:tc>
                <w:tcPr>
                  <w:tcW w:w="346" w:type="pct"/>
                  <w:tcBorders>
                    <w:tl2br w:val="nil"/>
                    <w:tr2bl w:val="nil"/>
                  </w:tcBorders>
                  <w:noWrap/>
                  <w:vAlign w:val="center"/>
                </w:tcPr>
                <w:p w14:paraId="29A68C8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6D4565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0DC95649">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7FFFF9F8">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1A259BED">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2FDB9E41">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1752DE36">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612372BD">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27F5B48C">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181C2A51">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0B90158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3196CD6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37.86</w:t>
                  </w:r>
                </w:p>
              </w:tc>
              <w:tc>
                <w:tcPr>
                  <w:tcW w:w="471" w:type="pct"/>
                  <w:tcBorders>
                    <w:tl2br w:val="nil"/>
                    <w:tr2bl w:val="nil"/>
                  </w:tcBorders>
                  <w:noWrap/>
                  <w:vAlign w:val="center"/>
                </w:tcPr>
                <w:p w14:paraId="0153082B">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65.52</w:t>
                  </w:r>
                </w:p>
              </w:tc>
              <w:tc>
                <w:tcPr>
                  <w:tcW w:w="256" w:type="pct"/>
                  <w:tcBorders>
                    <w:tl2br w:val="nil"/>
                    <w:tr2bl w:val="nil"/>
                  </w:tcBorders>
                  <w:noWrap/>
                  <w:vAlign w:val="center"/>
                </w:tcPr>
                <w:p w14:paraId="696D16FC">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1917B8B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3E14EF89">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39.52</w:t>
                  </w:r>
                </w:p>
              </w:tc>
              <w:tc>
                <w:tcPr>
                  <w:tcW w:w="346" w:type="pct"/>
                  <w:tcBorders>
                    <w:tl2br w:val="nil"/>
                    <w:tr2bl w:val="nil"/>
                  </w:tcBorders>
                  <w:noWrap/>
                  <w:vAlign w:val="center"/>
                </w:tcPr>
                <w:p w14:paraId="44362C1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0D39E5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1A43DFD3">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38EE6B9B">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2DA2FDDD">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60F1D7FB">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38F7AA13">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10447857">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2DC9687D">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22BA56CF">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61A0FD0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7818718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31.71</w:t>
                  </w:r>
                </w:p>
              </w:tc>
              <w:tc>
                <w:tcPr>
                  <w:tcW w:w="471" w:type="pct"/>
                  <w:tcBorders>
                    <w:tl2br w:val="nil"/>
                    <w:tr2bl w:val="nil"/>
                  </w:tcBorders>
                  <w:noWrap/>
                  <w:vAlign w:val="center"/>
                </w:tcPr>
                <w:p w14:paraId="5CC81C69">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65.53</w:t>
                  </w:r>
                </w:p>
              </w:tc>
              <w:tc>
                <w:tcPr>
                  <w:tcW w:w="256" w:type="pct"/>
                  <w:tcBorders>
                    <w:tl2br w:val="nil"/>
                    <w:tr2bl w:val="nil"/>
                  </w:tcBorders>
                  <w:noWrap/>
                  <w:vAlign w:val="center"/>
                </w:tcPr>
                <w:p w14:paraId="03F6D65E">
                  <w:pPr>
                    <w:widowControl/>
                    <w:adjustRightInd w:val="0"/>
                    <w:snapToGrid w:val="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昼间</w:t>
                  </w:r>
                </w:p>
              </w:tc>
              <w:tc>
                <w:tcPr>
                  <w:tcW w:w="515" w:type="pct"/>
                  <w:tcBorders>
                    <w:tl2br w:val="nil"/>
                    <w:tr2bl w:val="nil"/>
                  </w:tcBorders>
                  <w:noWrap/>
                  <w:vAlign w:val="center"/>
                </w:tcPr>
                <w:p w14:paraId="2F8A8F0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719E69FE">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39.53</w:t>
                  </w:r>
                </w:p>
              </w:tc>
              <w:tc>
                <w:tcPr>
                  <w:tcW w:w="346" w:type="pct"/>
                  <w:tcBorders>
                    <w:tl2br w:val="nil"/>
                    <w:tr2bl w:val="nil"/>
                  </w:tcBorders>
                  <w:noWrap/>
                  <w:vAlign w:val="center"/>
                </w:tcPr>
                <w:p w14:paraId="65551CA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2ECCA5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0131B1DC">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6DB2962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喷漆房</w:t>
                  </w:r>
                </w:p>
              </w:tc>
              <w:tc>
                <w:tcPr>
                  <w:tcW w:w="269" w:type="pct"/>
                  <w:vMerge w:val="restart"/>
                  <w:tcBorders>
                    <w:tl2br w:val="nil"/>
                    <w:tr2bl w:val="nil"/>
                  </w:tcBorders>
                  <w:shd w:val="clear" w:color="auto" w:fill="FFFFFF"/>
                  <w:noWrap/>
                  <w:vAlign w:val="center"/>
                </w:tcPr>
                <w:p w14:paraId="2ADDBA4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63AC05F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281" w:type="pct"/>
                  <w:vMerge w:val="continue"/>
                  <w:tcBorders>
                    <w:tl2br w:val="nil"/>
                    <w:tr2bl w:val="nil"/>
                  </w:tcBorders>
                  <w:noWrap/>
                  <w:vAlign w:val="center"/>
                </w:tcPr>
                <w:p w14:paraId="596DA13B">
                  <w:pPr>
                    <w:adjustRightInd w:val="0"/>
                    <w:snapToGrid w:val="0"/>
                    <w:jc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34F9F05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-33.72</w:t>
                  </w:r>
                </w:p>
              </w:tc>
              <w:tc>
                <w:tcPr>
                  <w:tcW w:w="326" w:type="pct"/>
                  <w:vMerge w:val="restart"/>
                  <w:tcBorders>
                    <w:tl2br w:val="nil"/>
                    <w:tr2bl w:val="nil"/>
                  </w:tcBorders>
                  <w:noWrap/>
                  <w:vAlign w:val="center"/>
                </w:tcPr>
                <w:p w14:paraId="5758ECF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-34.47</w:t>
                  </w:r>
                </w:p>
              </w:tc>
              <w:tc>
                <w:tcPr>
                  <w:tcW w:w="223" w:type="pct"/>
                  <w:vMerge w:val="restart"/>
                  <w:tcBorders>
                    <w:tl2br w:val="nil"/>
                    <w:tr2bl w:val="nil"/>
                  </w:tcBorders>
                  <w:noWrap/>
                  <w:vAlign w:val="center"/>
                </w:tcPr>
                <w:p w14:paraId="10AA3B9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noWrap/>
                  <w:vAlign w:val="center"/>
                </w:tcPr>
                <w:p w14:paraId="6DBBC6A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57C199A3">
                  <w:pPr>
                    <w:widowControl/>
                    <w:adjustRightInd w:val="0"/>
                    <w:snapToGrid w:val="0"/>
                    <w:jc w:val="center"/>
                    <w:textAlignment w:val="center"/>
                    <w:rPr>
                      <w:sz w:val="21"/>
                      <w:szCs w:val="21"/>
                    </w:rPr>
                  </w:pPr>
                  <w:r>
                    <w:rPr>
                      <w:rFonts w:hint="eastAsia"/>
                      <w:sz w:val="21"/>
                      <w:szCs w:val="21"/>
                    </w:rPr>
                    <w:t>12.75</w:t>
                  </w:r>
                </w:p>
              </w:tc>
              <w:tc>
                <w:tcPr>
                  <w:tcW w:w="471" w:type="pct"/>
                  <w:tcBorders>
                    <w:tl2br w:val="nil"/>
                    <w:tr2bl w:val="nil"/>
                  </w:tcBorders>
                  <w:noWrap/>
                  <w:vAlign w:val="center"/>
                </w:tcPr>
                <w:p w14:paraId="392FE472">
                  <w:pPr>
                    <w:widowControl/>
                    <w:adjustRightInd w:val="0"/>
                    <w:snapToGrid w:val="0"/>
                    <w:jc w:val="center"/>
                    <w:textAlignment w:val="center"/>
                    <w:rPr>
                      <w:sz w:val="21"/>
                      <w:szCs w:val="21"/>
                    </w:rPr>
                  </w:pPr>
                  <w:r>
                    <w:rPr>
                      <w:rFonts w:hint="eastAsia"/>
                      <w:sz w:val="21"/>
                      <w:szCs w:val="21"/>
                    </w:rPr>
                    <w:t>45.68</w:t>
                  </w:r>
                </w:p>
              </w:tc>
              <w:tc>
                <w:tcPr>
                  <w:tcW w:w="256" w:type="pct"/>
                  <w:tcBorders>
                    <w:tl2br w:val="nil"/>
                    <w:tr2bl w:val="nil"/>
                  </w:tcBorders>
                  <w:noWrap/>
                  <w:vAlign w:val="center"/>
                </w:tcPr>
                <w:p w14:paraId="7D5BC845">
                  <w:pPr>
                    <w:widowControl/>
                    <w:adjustRightInd w:val="0"/>
                    <w:snapToGrid w:val="0"/>
                    <w:jc w:val="center"/>
                    <w:textAlignment w:val="center"/>
                    <w:rPr>
                      <w:color w:val="000000" w:themeColor="text1"/>
                      <w:kern w:val="0"/>
                      <w:sz w:val="21"/>
                      <w:szCs w:val="21"/>
                      <w:lang w:bidi="ar"/>
                      <w14:textFill>
                        <w14:solidFill>
                          <w14:schemeClr w14:val="tx1"/>
                        </w14:solidFill>
                      </w14:textFill>
                    </w:rPr>
                  </w:pPr>
                  <w:r>
                    <w:rPr>
                      <w:rFonts w:hint="eastAsia"/>
                      <w:sz w:val="21"/>
                      <w:szCs w:val="21"/>
                    </w:rPr>
                    <w:t>昼夜</w:t>
                  </w:r>
                </w:p>
              </w:tc>
              <w:tc>
                <w:tcPr>
                  <w:tcW w:w="515" w:type="pct"/>
                  <w:tcBorders>
                    <w:tl2br w:val="nil"/>
                    <w:tr2bl w:val="nil"/>
                  </w:tcBorders>
                  <w:noWrap/>
                  <w:vAlign w:val="center"/>
                </w:tcPr>
                <w:p w14:paraId="451EFD9F">
                  <w:pPr>
                    <w:widowControl/>
                    <w:adjustRightInd w:val="0"/>
                    <w:snapToGrid w:val="0"/>
                    <w:jc w:val="center"/>
                    <w:textAlignment w:val="center"/>
                    <w:rPr>
                      <w:sz w:val="21"/>
                      <w:szCs w:val="21"/>
                    </w:rPr>
                  </w:pPr>
                  <w:r>
                    <w:rPr>
                      <w:rFonts w:hint="eastAsia"/>
                      <w:sz w:val="21"/>
                      <w:szCs w:val="21"/>
                    </w:rPr>
                    <w:t>20</w:t>
                  </w:r>
                </w:p>
              </w:tc>
              <w:tc>
                <w:tcPr>
                  <w:tcW w:w="339" w:type="pct"/>
                  <w:tcBorders>
                    <w:tl2br w:val="nil"/>
                    <w:tr2bl w:val="nil"/>
                  </w:tcBorders>
                  <w:noWrap/>
                  <w:vAlign w:val="center"/>
                </w:tcPr>
                <w:p w14:paraId="50F48EA8">
                  <w:pPr>
                    <w:widowControl/>
                    <w:adjustRightInd w:val="0"/>
                    <w:snapToGrid w:val="0"/>
                    <w:jc w:val="center"/>
                    <w:textAlignment w:val="center"/>
                    <w:rPr>
                      <w:sz w:val="21"/>
                      <w:szCs w:val="21"/>
                    </w:rPr>
                  </w:pPr>
                  <w:r>
                    <w:rPr>
                      <w:rFonts w:hint="eastAsia"/>
                      <w:sz w:val="21"/>
                      <w:szCs w:val="21"/>
                    </w:rPr>
                    <w:t>19.68</w:t>
                  </w:r>
                </w:p>
              </w:tc>
              <w:tc>
                <w:tcPr>
                  <w:tcW w:w="346" w:type="pct"/>
                  <w:tcBorders>
                    <w:tl2br w:val="nil"/>
                    <w:tr2bl w:val="nil"/>
                  </w:tcBorders>
                  <w:noWrap/>
                  <w:vAlign w:val="center"/>
                </w:tcPr>
                <w:p w14:paraId="5111B153">
                  <w:pPr>
                    <w:widowControl/>
                    <w:adjustRightInd w:val="0"/>
                    <w:snapToGrid w:val="0"/>
                    <w:jc w:val="center"/>
                    <w:textAlignment w:val="center"/>
                    <w:rPr>
                      <w:sz w:val="21"/>
                      <w:szCs w:val="21"/>
                    </w:rPr>
                  </w:pPr>
                  <w:r>
                    <w:rPr>
                      <w:rFonts w:hint="eastAsia"/>
                      <w:sz w:val="21"/>
                      <w:szCs w:val="21"/>
                    </w:rPr>
                    <w:t>1</w:t>
                  </w:r>
                </w:p>
              </w:tc>
            </w:tr>
            <w:tr w14:paraId="695856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7BF1471D">
                  <w:pPr>
                    <w:widowControl/>
                    <w:adjustRightInd w:val="0"/>
                    <w:snapToGrid w:val="0"/>
                    <w:jc w:val="center"/>
                    <w:textAlignment w:val="center"/>
                    <w:rPr>
                      <w:sz w:val="21"/>
                      <w:szCs w:val="21"/>
                    </w:rPr>
                  </w:pPr>
                </w:p>
              </w:tc>
              <w:tc>
                <w:tcPr>
                  <w:tcW w:w="257" w:type="pct"/>
                  <w:vMerge w:val="continue"/>
                  <w:tcBorders>
                    <w:tl2br w:val="nil"/>
                    <w:tr2bl w:val="nil"/>
                  </w:tcBorders>
                  <w:noWrap/>
                  <w:vAlign w:val="center"/>
                </w:tcPr>
                <w:p w14:paraId="72420B4F">
                  <w:pPr>
                    <w:widowControl/>
                    <w:adjustRightInd w:val="0"/>
                    <w:snapToGrid w:val="0"/>
                    <w:jc w:val="center"/>
                    <w:textAlignment w:val="center"/>
                    <w:rPr>
                      <w:sz w:val="21"/>
                      <w:szCs w:val="21"/>
                    </w:rPr>
                  </w:pPr>
                </w:p>
              </w:tc>
              <w:tc>
                <w:tcPr>
                  <w:tcW w:w="269" w:type="pct"/>
                  <w:vMerge w:val="continue"/>
                  <w:tcBorders>
                    <w:tl2br w:val="nil"/>
                    <w:tr2bl w:val="nil"/>
                  </w:tcBorders>
                  <w:shd w:val="clear" w:color="auto" w:fill="FFFFFF"/>
                  <w:noWrap/>
                  <w:vAlign w:val="center"/>
                </w:tcPr>
                <w:p w14:paraId="6AB8C591">
                  <w:pPr>
                    <w:widowControl/>
                    <w:adjustRightInd w:val="0"/>
                    <w:snapToGrid w:val="0"/>
                    <w:jc w:val="center"/>
                    <w:textAlignment w:val="center"/>
                    <w:rPr>
                      <w:sz w:val="21"/>
                      <w:szCs w:val="21"/>
                    </w:rPr>
                  </w:pPr>
                </w:p>
              </w:tc>
              <w:tc>
                <w:tcPr>
                  <w:tcW w:w="288" w:type="pct"/>
                  <w:vMerge w:val="continue"/>
                  <w:tcBorders>
                    <w:tl2br w:val="nil"/>
                    <w:tr2bl w:val="nil"/>
                  </w:tcBorders>
                  <w:noWrap/>
                  <w:vAlign w:val="center"/>
                </w:tcPr>
                <w:p w14:paraId="4D802CDB">
                  <w:pPr>
                    <w:widowControl/>
                    <w:adjustRightInd w:val="0"/>
                    <w:snapToGrid w:val="0"/>
                    <w:jc w:val="center"/>
                    <w:textAlignment w:val="center"/>
                    <w:rPr>
                      <w:sz w:val="21"/>
                      <w:szCs w:val="21"/>
                    </w:rPr>
                  </w:pPr>
                </w:p>
              </w:tc>
              <w:tc>
                <w:tcPr>
                  <w:tcW w:w="281" w:type="pct"/>
                  <w:vMerge w:val="continue"/>
                  <w:tcBorders>
                    <w:tl2br w:val="nil"/>
                    <w:tr2bl w:val="nil"/>
                  </w:tcBorders>
                  <w:noWrap/>
                  <w:vAlign w:val="center"/>
                </w:tcPr>
                <w:p w14:paraId="4945BDF3">
                  <w:pPr>
                    <w:widowControl/>
                    <w:adjustRightInd w:val="0"/>
                    <w:snapToGrid w:val="0"/>
                    <w:jc w:val="center"/>
                    <w:textAlignment w:val="center"/>
                    <w:rPr>
                      <w:sz w:val="21"/>
                      <w:szCs w:val="21"/>
                    </w:rPr>
                  </w:pPr>
                </w:p>
              </w:tc>
              <w:tc>
                <w:tcPr>
                  <w:tcW w:w="348" w:type="pct"/>
                  <w:vMerge w:val="continue"/>
                  <w:tcBorders>
                    <w:tl2br w:val="nil"/>
                    <w:tr2bl w:val="nil"/>
                  </w:tcBorders>
                  <w:noWrap/>
                  <w:vAlign w:val="center"/>
                </w:tcPr>
                <w:p w14:paraId="1394FECD">
                  <w:pPr>
                    <w:widowControl/>
                    <w:adjustRightInd w:val="0"/>
                    <w:snapToGrid w:val="0"/>
                    <w:jc w:val="center"/>
                    <w:textAlignment w:val="center"/>
                    <w:rPr>
                      <w:sz w:val="21"/>
                      <w:szCs w:val="21"/>
                    </w:rPr>
                  </w:pPr>
                </w:p>
              </w:tc>
              <w:tc>
                <w:tcPr>
                  <w:tcW w:w="326" w:type="pct"/>
                  <w:vMerge w:val="continue"/>
                  <w:tcBorders>
                    <w:tl2br w:val="nil"/>
                    <w:tr2bl w:val="nil"/>
                  </w:tcBorders>
                  <w:noWrap/>
                  <w:vAlign w:val="center"/>
                </w:tcPr>
                <w:p w14:paraId="55FFCB0C">
                  <w:pPr>
                    <w:widowControl/>
                    <w:adjustRightInd w:val="0"/>
                    <w:snapToGrid w:val="0"/>
                    <w:jc w:val="center"/>
                    <w:textAlignment w:val="center"/>
                    <w:rPr>
                      <w:sz w:val="21"/>
                      <w:szCs w:val="21"/>
                    </w:rPr>
                  </w:pPr>
                </w:p>
              </w:tc>
              <w:tc>
                <w:tcPr>
                  <w:tcW w:w="223" w:type="pct"/>
                  <w:vMerge w:val="continue"/>
                  <w:tcBorders>
                    <w:tl2br w:val="nil"/>
                    <w:tr2bl w:val="nil"/>
                  </w:tcBorders>
                  <w:noWrap/>
                  <w:vAlign w:val="center"/>
                </w:tcPr>
                <w:p w14:paraId="511D7DA0">
                  <w:pPr>
                    <w:widowControl/>
                    <w:adjustRightInd w:val="0"/>
                    <w:snapToGrid w:val="0"/>
                    <w:jc w:val="center"/>
                    <w:textAlignment w:val="center"/>
                    <w:rPr>
                      <w:sz w:val="21"/>
                      <w:szCs w:val="21"/>
                    </w:rPr>
                  </w:pPr>
                </w:p>
              </w:tc>
              <w:tc>
                <w:tcPr>
                  <w:tcW w:w="344" w:type="pct"/>
                  <w:tcBorders>
                    <w:tl2br w:val="nil"/>
                    <w:tr2bl w:val="nil"/>
                  </w:tcBorders>
                  <w:noWrap/>
                  <w:vAlign w:val="center"/>
                </w:tcPr>
                <w:p w14:paraId="73693D0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2757814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53.94</w:t>
                  </w:r>
                </w:p>
              </w:tc>
              <w:tc>
                <w:tcPr>
                  <w:tcW w:w="471" w:type="pct"/>
                  <w:tcBorders>
                    <w:tl2br w:val="nil"/>
                    <w:tr2bl w:val="nil"/>
                  </w:tcBorders>
                  <w:noWrap/>
                  <w:vAlign w:val="center"/>
                </w:tcPr>
                <w:p w14:paraId="63072FC5">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45.51</w:t>
                  </w:r>
                </w:p>
              </w:tc>
              <w:tc>
                <w:tcPr>
                  <w:tcW w:w="256" w:type="pct"/>
                  <w:tcBorders>
                    <w:tl2br w:val="nil"/>
                    <w:tr2bl w:val="nil"/>
                  </w:tcBorders>
                  <w:noWrap/>
                </w:tcPr>
                <w:p w14:paraId="25C0948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昼夜</w:t>
                  </w:r>
                </w:p>
              </w:tc>
              <w:tc>
                <w:tcPr>
                  <w:tcW w:w="515" w:type="pct"/>
                  <w:tcBorders>
                    <w:tl2br w:val="nil"/>
                    <w:tr2bl w:val="nil"/>
                  </w:tcBorders>
                  <w:noWrap/>
                  <w:vAlign w:val="center"/>
                </w:tcPr>
                <w:p w14:paraId="680DB69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71235CC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19.51</w:t>
                  </w:r>
                </w:p>
              </w:tc>
              <w:tc>
                <w:tcPr>
                  <w:tcW w:w="346" w:type="pct"/>
                  <w:tcBorders>
                    <w:tl2br w:val="nil"/>
                    <w:tr2bl w:val="nil"/>
                  </w:tcBorders>
                  <w:noWrap/>
                  <w:vAlign w:val="center"/>
                </w:tcPr>
                <w:p w14:paraId="74AB43E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27B588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7CFE09A9">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38C58471">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0C76BA32">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41D1CD28">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28B84BD4">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4141C4C1">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1325F78F">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3296DB74">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606DB4F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6BC3B6E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85.42</w:t>
                  </w:r>
                </w:p>
              </w:tc>
              <w:tc>
                <w:tcPr>
                  <w:tcW w:w="471" w:type="pct"/>
                  <w:tcBorders>
                    <w:tl2br w:val="nil"/>
                    <w:tr2bl w:val="nil"/>
                  </w:tcBorders>
                  <w:noWrap/>
                  <w:vAlign w:val="center"/>
                </w:tcPr>
                <w:p w14:paraId="4E4B9F1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45.50</w:t>
                  </w:r>
                </w:p>
              </w:tc>
              <w:tc>
                <w:tcPr>
                  <w:tcW w:w="256" w:type="pct"/>
                  <w:tcBorders>
                    <w:tl2br w:val="nil"/>
                    <w:tr2bl w:val="nil"/>
                  </w:tcBorders>
                  <w:noWrap/>
                </w:tcPr>
                <w:p w14:paraId="46232EF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昼夜</w:t>
                  </w:r>
                </w:p>
              </w:tc>
              <w:tc>
                <w:tcPr>
                  <w:tcW w:w="515" w:type="pct"/>
                  <w:tcBorders>
                    <w:tl2br w:val="nil"/>
                    <w:tr2bl w:val="nil"/>
                  </w:tcBorders>
                  <w:noWrap/>
                  <w:vAlign w:val="center"/>
                </w:tcPr>
                <w:p w14:paraId="4ECD8C0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3E80C6C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19.50</w:t>
                  </w:r>
                </w:p>
              </w:tc>
              <w:tc>
                <w:tcPr>
                  <w:tcW w:w="346" w:type="pct"/>
                  <w:tcBorders>
                    <w:tl2br w:val="nil"/>
                    <w:tr2bl w:val="nil"/>
                  </w:tcBorders>
                  <w:noWrap/>
                  <w:vAlign w:val="center"/>
                </w:tcPr>
                <w:p w14:paraId="6D566D8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4EC4AC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7A548EB2">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18F3457E">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47BDABF2">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527A2D18">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3420C4D1">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682B4A42">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5FCCB8FD">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4BE1BB25">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2DD5503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6B73E6C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91.62</w:t>
                  </w:r>
                </w:p>
              </w:tc>
              <w:tc>
                <w:tcPr>
                  <w:tcW w:w="471" w:type="pct"/>
                  <w:tcBorders>
                    <w:tl2br w:val="nil"/>
                    <w:tr2bl w:val="nil"/>
                  </w:tcBorders>
                  <w:noWrap/>
                  <w:vAlign w:val="center"/>
                </w:tcPr>
                <w:p w14:paraId="586A8B4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45.50</w:t>
                  </w:r>
                </w:p>
              </w:tc>
              <w:tc>
                <w:tcPr>
                  <w:tcW w:w="256" w:type="pct"/>
                  <w:tcBorders>
                    <w:tl2br w:val="nil"/>
                    <w:tr2bl w:val="nil"/>
                  </w:tcBorders>
                  <w:noWrap/>
                </w:tcPr>
                <w:p w14:paraId="0A6F362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昼夜</w:t>
                  </w:r>
                </w:p>
              </w:tc>
              <w:tc>
                <w:tcPr>
                  <w:tcW w:w="515" w:type="pct"/>
                  <w:tcBorders>
                    <w:tl2br w:val="nil"/>
                    <w:tr2bl w:val="nil"/>
                  </w:tcBorders>
                  <w:noWrap/>
                  <w:vAlign w:val="center"/>
                </w:tcPr>
                <w:p w14:paraId="677C876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2F64289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19.50</w:t>
                  </w:r>
                </w:p>
              </w:tc>
              <w:tc>
                <w:tcPr>
                  <w:tcW w:w="346" w:type="pct"/>
                  <w:tcBorders>
                    <w:tl2br w:val="nil"/>
                    <w:tr2bl w:val="nil"/>
                  </w:tcBorders>
                  <w:noWrap/>
                  <w:vAlign w:val="center"/>
                </w:tcPr>
                <w:p w14:paraId="30768B2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387E35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6A274F87">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0122DA5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抛丸机1</w:t>
                  </w:r>
                </w:p>
              </w:tc>
              <w:tc>
                <w:tcPr>
                  <w:tcW w:w="269" w:type="pct"/>
                  <w:vMerge w:val="restart"/>
                  <w:tcBorders>
                    <w:tl2br w:val="nil"/>
                    <w:tr2bl w:val="nil"/>
                  </w:tcBorders>
                  <w:shd w:val="clear" w:color="auto" w:fill="FFFFFF"/>
                  <w:noWrap/>
                  <w:vAlign w:val="center"/>
                </w:tcPr>
                <w:p w14:paraId="311E1AF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6AFD186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c>
                <w:tcPr>
                  <w:tcW w:w="281" w:type="pct"/>
                  <w:vMerge w:val="continue"/>
                  <w:tcBorders>
                    <w:tl2br w:val="nil"/>
                    <w:tr2bl w:val="nil"/>
                  </w:tcBorders>
                  <w:noWrap/>
                  <w:vAlign w:val="center"/>
                </w:tcPr>
                <w:p w14:paraId="0A9ED066">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09AD9D2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3.36</w:t>
                  </w:r>
                </w:p>
              </w:tc>
              <w:tc>
                <w:tcPr>
                  <w:tcW w:w="326" w:type="pct"/>
                  <w:vMerge w:val="restart"/>
                  <w:tcBorders>
                    <w:tl2br w:val="nil"/>
                    <w:tr2bl w:val="nil"/>
                  </w:tcBorders>
                  <w:noWrap/>
                  <w:vAlign w:val="center"/>
                </w:tcPr>
                <w:p w14:paraId="6473325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-33.31</w:t>
                  </w:r>
                </w:p>
              </w:tc>
              <w:tc>
                <w:tcPr>
                  <w:tcW w:w="223" w:type="pct"/>
                  <w:vMerge w:val="restart"/>
                  <w:tcBorders>
                    <w:tl2br w:val="nil"/>
                    <w:tr2bl w:val="nil"/>
                  </w:tcBorders>
                  <w:noWrap/>
                  <w:vAlign w:val="center"/>
                </w:tcPr>
                <w:p w14:paraId="32601F6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noWrap/>
                  <w:vAlign w:val="center"/>
                </w:tcPr>
                <w:p w14:paraId="2CA0C74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2F0985A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49.48</w:t>
                  </w:r>
                </w:p>
              </w:tc>
              <w:tc>
                <w:tcPr>
                  <w:tcW w:w="471" w:type="pct"/>
                  <w:tcBorders>
                    <w:tl2br w:val="nil"/>
                    <w:tr2bl w:val="nil"/>
                  </w:tcBorders>
                  <w:noWrap/>
                  <w:vAlign w:val="center"/>
                </w:tcPr>
                <w:p w14:paraId="1B58F425">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noWrap/>
                  <w:vAlign w:val="center"/>
                </w:tcPr>
                <w:p w14:paraId="3E9AE3D1">
                  <w:pPr>
                    <w:widowControl/>
                    <w:adjustRightInd w:val="0"/>
                    <w:snapToGrid w:val="0"/>
                    <w:jc w:val="center"/>
                    <w:textAlignment w:val="center"/>
                    <w:rPr>
                      <w:color w:val="000000" w:themeColor="text1"/>
                      <w:kern w:val="0"/>
                      <w:sz w:val="21"/>
                      <w:szCs w:val="21"/>
                      <w:lang w:bidi="ar"/>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5722A17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669A2D12">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noWrap/>
                  <w:vAlign w:val="center"/>
                </w:tcPr>
                <w:p w14:paraId="43C004A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52885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5CE9BF70">
                  <w:pPr>
                    <w:widowControl/>
                    <w:adjustRightInd w:val="0"/>
                    <w:snapToGrid w:val="0"/>
                    <w:jc w:val="center"/>
                    <w:textAlignment w:val="center"/>
                    <w:rPr>
                      <w:sz w:val="21"/>
                      <w:szCs w:val="21"/>
                    </w:rPr>
                  </w:pPr>
                </w:p>
              </w:tc>
              <w:tc>
                <w:tcPr>
                  <w:tcW w:w="257" w:type="pct"/>
                  <w:vMerge w:val="continue"/>
                  <w:tcBorders>
                    <w:tl2br w:val="nil"/>
                    <w:tr2bl w:val="nil"/>
                  </w:tcBorders>
                  <w:noWrap/>
                  <w:vAlign w:val="center"/>
                </w:tcPr>
                <w:p w14:paraId="0E62230D">
                  <w:pPr>
                    <w:widowControl/>
                    <w:adjustRightInd w:val="0"/>
                    <w:snapToGrid w:val="0"/>
                    <w:jc w:val="center"/>
                    <w:textAlignment w:val="center"/>
                    <w:rPr>
                      <w:sz w:val="21"/>
                      <w:szCs w:val="21"/>
                    </w:rPr>
                  </w:pPr>
                </w:p>
              </w:tc>
              <w:tc>
                <w:tcPr>
                  <w:tcW w:w="269" w:type="pct"/>
                  <w:vMerge w:val="continue"/>
                  <w:tcBorders>
                    <w:tl2br w:val="nil"/>
                    <w:tr2bl w:val="nil"/>
                  </w:tcBorders>
                  <w:shd w:val="clear" w:color="auto" w:fill="FFFFFF"/>
                  <w:noWrap/>
                  <w:vAlign w:val="center"/>
                </w:tcPr>
                <w:p w14:paraId="65E76AC2">
                  <w:pPr>
                    <w:widowControl/>
                    <w:adjustRightInd w:val="0"/>
                    <w:snapToGrid w:val="0"/>
                    <w:jc w:val="center"/>
                    <w:textAlignment w:val="center"/>
                    <w:rPr>
                      <w:sz w:val="21"/>
                      <w:szCs w:val="21"/>
                    </w:rPr>
                  </w:pPr>
                </w:p>
              </w:tc>
              <w:tc>
                <w:tcPr>
                  <w:tcW w:w="288" w:type="pct"/>
                  <w:vMerge w:val="continue"/>
                  <w:tcBorders>
                    <w:tl2br w:val="nil"/>
                    <w:tr2bl w:val="nil"/>
                  </w:tcBorders>
                  <w:noWrap/>
                  <w:vAlign w:val="center"/>
                </w:tcPr>
                <w:p w14:paraId="79F787CA">
                  <w:pPr>
                    <w:widowControl/>
                    <w:adjustRightInd w:val="0"/>
                    <w:snapToGrid w:val="0"/>
                    <w:jc w:val="center"/>
                    <w:textAlignment w:val="center"/>
                    <w:rPr>
                      <w:sz w:val="21"/>
                      <w:szCs w:val="21"/>
                    </w:rPr>
                  </w:pPr>
                </w:p>
              </w:tc>
              <w:tc>
                <w:tcPr>
                  <w:tcW w:w="281" w:type="pct"/>
                  <w:vMerge w:val="continue"/>
                  <w:tcBorders>
                    <w:tl2br w:val="nil"/>
                    <w:tr2bl w:val="nil"/>
                  </w:tcBorders>
                  <w:noWrap/>
                  <w:vAlign w:val="center"/>
                </w:tcPr>
                <w:p w14:paraId="28213F21">
                  <w:pPr>
                    <w:widowControl/>
                    <w:adjustRightInd w:val="0"/>
                    <w:snapToGrid w:val="0"/>
                    <w:jc w:val="center"/>
                    <w:textAlignment w:val="center"/>
                    <w:rPr>
                      <w:sz w:val="21"/>
                      <w:szCs w:val="21"/>
                    </w:rPr>
                  </w:pPr>
                </w:p>
              </w:tc>
              <w:tc>
                <w:tcPr>
                  <w:tcW w:w="348" w:type="pct"/>
                  <w:vMerge w:val="continue"/>
                  <w:tcBorders>
                    <w:tl2br w:val="nil"/>
                    <w:tr2bl w:val="nil"/>
                  </w:tcBorders>
                  <w:noWrap/>
                  <w:vAlign w:val="center"/>
                </w:tcPr>
                <w:p w14:paraId="1E7F9A73">
                  <w:pPr>
                    <w:widowControl/>
                    <w:adjustRightInd w:val="0"/>
                    <w:snapToGrid w:val="0"/>
                    <w:jc w:val="center"/>
                    <w:textAlignment w:val="center"/>
                    <w:rPr>
                      <w:sz w:val="21"/>
                      <w:szCs w:val="21"/>
                    </w:rPr>
                  </w:pPr>
                </w:p>
              </w:tc>
              <w:tc>
                <w:tcPr>
                  <w:tcW w:w="326" w:type="pct"/>
                  <w:vMerge w:val="continue"/>
                  <w:tcBorders>
                    <w:tl2br w:val="nil"/>
                    <w:tr2bl w:val="nil"/>
                  </w:tcBorders>
                  <w:noWrap/>
                  <w:vAlign w:val="center"/>
                </w:tcPr>
                <w:p w14:paraId="2054EFDE">
                  <w:pPr>
                    <w:widowControl/>
                    <w:adjustRightInd w:val="0"/>
                    <w:snapToGrid w:val="0"/>
                    <w:jc w:val="center"/>
                    <w:textAlignment w:val="center"/>
                    <w:rPr>
                      <w:sz w:val="21"/>
                      <w:szCs w:val="21"/>
                    </w:rPr>
                  </w:pPr>
                </w:p>
              </w:tc>
              <w:tc>
                <w:tcPr>
                  <w:tcW w:w="223" w:type="pct"/>
                  <w:vMerge w:val="continue"/>
                  <w:tcBorders>
                    <w:tl2br w:val="nil"/>
                    <w:tr2bl w:val="nil"/>
                  </w:tcBorders>
                  <w:noWrap/>
                  <w:vAlign w:val="center"/>
                </w:tcPr>
                <w:p w14:paraId="7582D310">
                  <w:pPr>
                    <w:widowControl/>
                    <w:adjustRightInd w:val="0"/>
                    <w:snapToGrid w:val="0"/>
                    <w:jc w:val="center"/>
                    <w:textAlignment w:val="center"/>
                    <w:rPr>
                      <w:sz w:val="21"/>
                      <w:szCs w:val="21"/>
                    </w:rPr>
                  </w:pPr>
                </w:p>
              </w:tc>
              <w:tc>
                <w:tcPr>
                  <w:tcW w:w="344" w:type="pct"/>
                  <w:tcBorders>
                    <w:tl2br w:val="nil"/>
                    <w:tr2bl w:val="nil"/>
                  </w:tcBorders>
                  <w:noWrap/>
                  <w:vAlign w:val="center"/>
                </w:tcPr>
                <w:p w14:paraId="36E80E9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7F84816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44.02</w:t>
                  </w:r>
                </w:p>
              </w:tc>
              <w:tc>
                <w:tcPr>
                  <w:tcW w:w="471" w:type="pct"/>
                  <w:tcBorders>
                    <w:tl2br w:val="nil"/>
                    <w:tr2bl w:val="nil"/>
                  </w:tcBorders>
                  <w:noWrap/>
                  <w:vAlign w:val="center"/>
                </w:tcPr>
                <w:p w14:paraId="196568B9">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noWrap/>
                  <w:vAlign w:val="center"/>
                </w:tcPr>
                <w:p w14:paraId="626F311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5EBAF57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45674286">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noWrap/>
                  <w:vAlign w:val="center"/>
                </w:tcPr>
                <w:p w14:paraId="256FF14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733C5E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53C5B382">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628455EB">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09E11475">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1ADA7831">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4A419F4E">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52895351">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794E3E69">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49BD493D">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7DAF962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5421479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49.70</w:t>
                  </w:r>
                </w:p>
              </w:tc>
              <w:tc>
                <w:tcPr>
                  <w:tcW w:w="471" w:type="pct"/>
                  <w:tcBorders>
                    <w:tl2br w:val="nil"/>
                    <w:tr2bl w:val="nil"/>
                  </w:tcBorders>
                  <w:noWrap/>
                  <w:vAlign w:val="center"/>
                </w:tcPr>
                <w:p w14:paraId="1BC34C09">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noWrap/>
                  <w:vAlign w:val="center"/>
                </w:tcPr>
                <w:p w14:paraId="2E48BE4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37B773F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13E7C476">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noWrap/>
                  <w:vAlign w:val="center"/>
                </w:tcPr>
                <w:p w14:paraId="3D68A98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0AE0D2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6E0373FA">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15851F4E">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2F0EB2F4">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61F3F648">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673C1879">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0783BE84">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64307849">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32837A69">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78FBEB9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73897A0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102.29</w:t>
                  </w:r>
                </w:p>
              </w:tc>
              <w:tc>
                <w:tcPr>
                  <w:tcW w:w="471" w:type="pct"/>
                  <w:tcBorders>
                    <w:tl2br w:val="nil"/>
                    <w:tr2bl w:val="nil"/>
                  </w:tcBorders>
                  <w:noWrap/>
                  <w:vAlign w:val="center"/>
                </w:tcPr>
                <w:p w14:paraId="7C1A98A2">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65.50</w:t>
                  </w:r>
                </w:p>
              </w:tc>
              <w:tc>
                <w:tcPr>
                  <w:tcW w:w="256" w:type="pct"/>
                  <w:tcBorders>
                    <w:tl2br w:val="nil"/>
                    <w:tr2bl w:val="nil"/>
                  </w:tcBorders>
                  <w:noWrap/>
                  <w:vAlign w:val="center"/>
                </w:tcPr>
                <w:p w14:paraId="235E6D1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788B2CD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0E453EFB">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39.50</w:t>
                  </w:r>
                </w:p>
              </w:tc>
              <w:tc>
                <w:tcPr>
                  <w:tcW w:w="346" w:type="pct"/>
                  <w:tcBorders>
                    <w:tl2br w:val="nil"/>
                    <w:tr2bl w:val="nil"/>
                  </w:tcBorders>
                  <w:noWrap/>
                  <w:vAlign w:val="center"/>
                </w:tcPr>
                <w:p w14:paraId="118DE04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1944DC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6DF8CE91">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7D198ED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抛丸机2</w:t>
                  </w:r>
                </w:p>
              </w:tc>
              <w:tc>
                <w:tcPr>
                  <w:tcW w:w="269" w:type="pct"/>
                  <w:vMerge w:val="restart"/>
                  <w:tcBorders>
                    <w:tl2br w:val="nil"/>
                    <w:tr2bl w:val="nil"/>
                  </w:tcBorders>
                  <w:shd w:val="clear" w:color="auto" w:fill="FFFFFF"/>
                  <w:noWrap/>
                  <w:vAlign w:val="center"/>
                </w:tcPr>
                <w:p w14:paraId="588A3CE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4A4F3F90">
                  <w:pPr>
                    <w:widowControl/>
                    <w:adjustRightInd w:val="0"/>
                    <w:snapToGrid w:val="0"/>
                    <w:jc w:val="center"/>
                    <w:textAlignment w:val="center"/>
                    <w:rPr>
                      <w:sz w:val="21"/>
                      <w:szCs w:val="21"/>
                    </w:rPr>
                  </w:pPr>
                  <w:r>
                    <w:rPr>
                      <w:rFonts w:hint="eastAsia"/>
                      <w:color w:val="000000" w:themeColor="text1"/>
                      <w:sz w:val="21"/>
                      <w:szCs w:val="21"/>
                      <w14:textFill>
                        <w14:solidFill>
                          <w14:schemeClr w14:val="tx1"/>
                        </w14:solidFill>
                      </w14:textFill>
                    </w:rPr>
                    <w:t>85</w:t>
                  </w:r>
                </w:p>
              </w:tc>
              <w:tc>
                <w:tcPr>
                  <w:tcW w:w="281" w:type="pct"/>
                  <w:vMerge w:val="continue"/>
                  <w:tcBorders>
                    <w:tl2br w:val="nil"/>
                    <w:tr2bl w:val="nil"/>
                  </w:tcBorders>
                  <w:noWrap/>
                  <w:vAlign w:val="center"/>
                </w:tcPr>
                <w:p w14:paraId="5D464264">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6B6DD05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6.68</w:t>
                  </w:r>
                </w:p>
              </w:tc>
              <w:tc>
                <w:tcPr>
                  <w:tcW w:w="326" w:type="pct"/>
                  <w:vMerge w:val="restart"/>
                  <w:tcBorders>
                    <w:tl2br w:val="nil"/>
                    <w:tr2bl w:val="nil"/>
                  </w:tcBorders>
                  <w:noWrap/>
                  <w:vAlign w:val="center"/>
                </w:tcPr>
                <w:p w14:paraId="6EDD930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-41.21</w:t>
                  </w:r>
                </w:p>
              </w:tc>
              <w:tc>
                <w:tcPr>
                  <w:tcW w:w="223" w:type="pct"/>
                  <w:vMerge w:val="restart"/>
                  <w:tcBorders>
                    <w:tl2br w:val="nil"/>
                    <w:tr2bl w:val="nil"/>
                  </w:tcBorders>
                  <w:noWrap/>
                  <w:vAlign w:val="center"/>
                </w:tcPr>
                <w:p w14:paraId="455E916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noWrap/>
                  <w:vAlign w:val="center"/>
                </w:tcPr>
                <w:p w14:paraId="57FD84E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33E11D6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51.40</w:t>
                  </w:r>
                </w:p>
              </w:tc>
              <w:tc>
                <w:tcPr>
                  <w:tcW w:w="471" w:type="pct"/>
                  <w:tcBorders>
                    <w:tl2br w:val="nil"/>
                    <w:tr2bl w:val="nil"/>
                  </w:tcBorders>
                  <w:noWrap/>
                  <w:vAlign w:val="center"/>
                </w:tcPr>
                <w:p w14:paraId="5E323084">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noWrap/>
                  <w:vAlign w:val="center"/>
                </w:tcPr>
                <w:p w14:paraId="467C1CF5">
                  <w:pPr>
                    <w:widowControl/>
                    <w:adjustRightInd w:val="0"/>
                    <w:snapToGrid w:val="0"/>
                    <w:jc w:val="center"/>
                    <w:textAlignment w:val="center"/>
                    <w:rPr>
                      <w:color w:val="000000" w:themeColor="text1"/>
                      <w:kern w:val="0"/>
                      <w:sz w:val="21"/>
                      <w:szCs w:val="21"/>
                      <w:lang w:bidi="ar"/>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226FB72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32D205F8">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noWrap/>
                  <w:vAlign w:val="center"/>
                </w:tcPr>
                <w:p w14:paraId="3E3BDAC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6B0228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01C87301">
                  <w:pPr>
                    <w:widowControl/>
                    <w:adjustRightInd w:val="0"/>
                    <w:snapToGrid w:val="0"/>
                    <w:jc w:val="center"/>
                    <w:textAlignment w:val="center"/>
                    <w:rPr>
                      <w:sz w:val="21"/>
                      <w:szCs w:val="21"/>
                    </w:rPr>
                  </w:pPr>
                </w:p>
              </w:tc>
              <w:tc>
                <w:tcPr>
                  <w:tcW w:w="257" w:type="pct"/>
                  <w:vMerge w:val="continue"/>
                  <w:tcBorders>
                    <w:tl2br w:val="nil"/>
                    <w:tr2bl w:val="nil"/>
                  </w:tcBorders>
                  <w:noWrap/>
                  <w:vAlign w:val="center"/>
                </w:tcPr>
                <w:p w14:paraId="01F08C17">
                  <w:pPr>
                    <w:widowControl/>
                    <w:adjustRightInd w:val="0"/>
                    <w:snapToGrid w:val="0"/>
                    <w:jc w:val="center"/>
                    <w:textAlignment w:val="center"/>
                    <w:rPr>
                      <w:sz w:val="21"/>
                      <w:szCs w:val="21"/>
                    </w:rPr>
                  </w:pPr>
                </w:p>
              </w:tc>
              <w:tc>
                <w:tcPr>
                  <w:tcW w:w="269" w:type="pct"/>
                  <w:vMerge w:val="continue"/>
                  <w:tcBorders>
                    <w:tl2br w:val="nil"/>
                    <w:tr2bl w:val="nil"/>
                  </w:tcBorders>
                  <w:shd w:val="clear" w:color="auto" w:fill="FFFFFF"/>
                  <w:noWrap/>
                  <w:vAlign w:val="center"/>
                </w:tcPr>
                <w:p w14:paraId="043AED9B">
                  <w:pPr>
                    <w:widowControl/>
                    <w:adjustRightInd w:val="0"/>
                    <w:snapToGrid w:val="0"/>
                    <w:jc w:val="center"/>
                    <w:textAlignment w:val="center"/>
                    <w:rPr>
                      <w:sz w:val="21"/>
                      <w:szCs w:val="21"/>
                    </w:rPr>
                  </w:pPr>
                </w:p>
              </w:tc>
              <w:tc>
                <w:tcPr>
                  <w:tcW w:w="288" w:type="pct"/>
                  <w:vMerge w:val="continue"/>
                  <w:tcBorders>
                    <w:tl2br w:val="nil"/>
                    <w:tr2bl w:val="nil"/>
                  </w:tcBorders>
                  <w:noWrap/>
                  <w:vAlign w:val="center"/>
                </w:tcPr>
                <w:p w14:paraId="63BA13F7">
                  <w:pPr>
                    <w:widowControl/>
                    <w:adjustRightInd w:val="0"/>
                    <w:snapToGrid w:val="0"/>
                    <w:jc w:val="center"/>
                    <w:textAlignment w:val="center"/>
                    <w:rPr>
                      <w:sz w:val="21"/>
                      <w:szCs w:val="21"/>
                    </w:rPr>
                  </w:pPr>
                </w:p>
              </w:tc>
              <w:tc>
                <w:tcPr>
                  <w:tcW w:w="281" w:type="pct"/>
                  <w:vMerge w:val="continue"/>
                  <w:tcBorders>
                    <w:tl2br w:val="nil"/>
                    <w:tr2bl w:val="nil"/>
                  </w:tcBorders>
                  <w:noWrap/>
                  <w:vAlign w:val="center"/>
                </w:tcPr>
                <w:p w14:paraId="749CD9EF">
                  <w:pPr>
                    <w:widowControl/>
                    <w:adjustRightInd w:val="0"/>
                    <w:snapToGrid w:val="0"/>
                    <w:jc w:val="center"/>
                    <w:textAlignment w:val="center"/>
                    <w:rPr>
                      <w:sz w:val="21"/>
                      <w:szCs w:val="21"/>
                    </w:rPr>
                  </w:pPr>
                </w:p>
              </w:tc>
              <w:tc>
                <w:tcPr>
                  <w:tcW w:w="348" w:type="pct"/>
                  <w:vMerge w:val="continue"/>
                  <w:tcBorders>
                    <w:tl2br w:val="nil"/>
                    <w:tr2bl w:val="nil"/>
                  </w:tcBorders>
                  <w:noWrap/>
                  <w:vAlign w:val="center"/>
                </w:tcPr>
                <w:p w14:paraId="4061ABCC">
                  <w:pPr>
                    <w:widowControl/>
                    <w:adjustRightInd w:val="0"/>
                    <w:snapToGrid w:val="0"/>
                    <w:jc w:val="center"/>
                    <w:textAlignment w:val="center"/>
                    <w:rPr>
                      <w:sz w:val="21"/>
                      <w:szCs w:val="21"/>
                    </w:rPr>
                  </w:pPr>
                </w:p>
              </w:tc>
              <w:tc>
                <w:tcPr>
                  <w:tcW w:w="326" w:type="pct"/>
                  <w:vMerge w:val="continue"/>
                  <w:tcBorders>
                    <w:tl2br w:val="nil"/>
                    <w:tr2bl w:val="nil"/>
                  </w:tcBorders>
                  <w:noWrap/>
                  <w:vAlign w:val="center"/>
                </w:tcPr>
                <w:p w14:paraId="7E088241">
                  <w:pPr>
                    <w:widowControl/>
                    <w:adjustRightInd w:val="0"/>
                    <w:snapToGrid w:val="0"/>
                    <w:jc w:val="center"/>
                    <w:textAlignment w:val="center"/>
                    <w:rPr>
                      <w:sz w:val="21"/>
                      <w:szCs w:val="21"/>
                    </w:rPr>
                  </w:pPr>
                </w:p>
              </w:tc>
              <w:tc>
                <w:tcPr>
                  <w:tcW w:w="223" w:type="pct"/>
                  <w:vMerge w:val="continue"/>
                  <w:tcBorders>
                    <w:tl2br w:val="nil"/>
                    <w:tr2bl w:val="nil"/>
                  </w:tcBorders>
                  <w:noWrap/>
                  <w:vAlign w:val="center"/>
                </w:tcPr>
                <w:p w14:paraId="2779ECF4">
                  <w:pPr>
                    <w:widowControl/>
                    <w:adjustRightInd w:val="0"/>
                    <w:snapToGrid w:val="0"/>
                    <w:jc w:val="center"/>
                    <w:textAlignment w:val="center"/>
                    <w:rPr>
                      <w:sz w:val="21"/>
                      <w:szCs w:val="21"/>
                    </w:rPr>
                  </w:pPr>
                </w:p>
              </w:tc>
              <w:tc>
                <w:tcPr>
                  <w:tcW w:w="344" w:type="pct"/>
                  <w:tcBorders>
                    <w:tl2br w:val="nil"/>
                    <w:tr2bl w:val="nil"/>
                  </w:tcBorders>
                  <w:noWrap/>
                  <w:vAlign w:val="center"/>
                </w:tcPr>
                <w:p w14:paraId="0B84118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64A0329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35.49</w:t>
                  </w:r>
                </w:p>
              </w:tc>
              <w:tc>
                <w:tcPr>
                  <w:tcW w:w="471" w:type="pct"/>
                  <w:tcBorders>
                    <w:tl2br w:val="nil"/>
                    <w:tr2bl w:val="nil"/>
                  </w:tcBorders>
                  <w:noWrap/>
                  <w:vAlign w:val="center"/>
                </w:tcPr>
                <w:p w14:paraId="70C0C10F">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65.52</w:t>
                  </w:r>
                </w:p>
              </w:tc>
              <w:tc>
                <w:tcPr>
                  <w:tcW w:w="256" w:type="pct"/>
                  <w:tcBorders>
                    <w:tl2br w:val="nil"/>
                    <w:tr2bl w:val="nil"/>
                  </w:tcBorders>
                  <w:noWrap/>
                  <w:vAlign w:val="center"/>
                </w:tcPr>
                <w:p w14:paraId="2DBB5B3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07A7A6C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45B6BB13">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39.52</w:t>
                  </w:r>
                </w:p>
              </w:tc>
              <w:tc>
                <w:tcPr>
                  <w:tcW w:w="346" w:type="pct"/>
                  <w:tcBorders>
                    <w:tl2br w:val="nil"/>
                    <w:tr2bl w:val="nil"/>
                  </w:tcBorders>
                  <w:noWrap/>
                  <w:vAlign w:val="center"/>
                </w:tcPr>
                <w:p w14:paraId="0E338F0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6655C5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4CC66863">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729F81B1">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6C3F5A6F">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557D4D55">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430C9D35">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55F7C03C">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1C96B0AA">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5C042EB1">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27801A5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787F2D8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48.91</w:t>
                  </w:r>
                </w:p>
              </w:tc>
              <w:tc>
                <w:tcPr>
                  <w:tcW w:w="471" w:type="pct"/>
                  <w:tcBorders>
                    <w:tl2br w:val="nil"/>
                    <w:tr2bl w:val="nil"/>
                  </w:tcBorders>
                  <w:noWrap/>
                  <w:vAlign w:val="center"/>
                </w:tcPr>
                <w:p w14:paraId="4201AD04">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65.51</w:t>
                  </w:r>
                </w:p>
              </w:tc>
              <w:tc>
                <w:tcPr>
                  <w:tcW w:w="256" w:type="pct"/>
                  <w:tcBorders>
                    <w:tl2br w:val="nil"/>
                    <w:tr2bl w:val="nil"/>
                  </w:tcBorders>
                  <w:noWrap/>
                  <w:vAlign w:val="center"/>
                </w:tcPr>
                <w:p w14:paraId="555755B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1280DAA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744FF0FB">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39.51</w:t>
                  </w:r>
                </w:p>
              </w:tc>
              <w:tc>
                <w:tcPr>
                  <w:tcW w:w="346" w:type="pct"/>
                  <w:tcBorders>
                    <w:tl2br w:val="nil"/>
                    <w:tr2bl w:val="nil"/>
                  </w:tcBorders>
                  <w:noWrap/>
                  <w:vAlign w:val="center"/>
                </w:tcPr>
                <w:p w14:paraId="39DCCA9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296677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03895865">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4710D2D0">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6B745146">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685ED0DB">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187F4717">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65D6F58D">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029704E8">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76A3F439">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0ADD148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5E69B6D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110.84</w:t>
                  </w:r>
                </w:p>
              </w:tc>
              <w:tc>
                <w:tcPr>
                  <w:tcW w:w="471" w:type="pct"/>
                  <w:tcBorders>
                    <w:tl2br w:val="nil"/>
                    <w:tr2bl w:val="nil"/>
                  </w:tcBorders>
                  <w:noWrap/>
                  <w:vAlign w:val="center"/>
                </w:tcPr>
                <w:p w14:paraId="1898459A">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65.50</w:t>
                  </w:r>
                </w:p>
              </w:tc>
              <w:tc>
                <w:tcPr>
                  <w:tcW w:w="256" w:type="pct"/>
                  <w:tcBorders>
                    <w:tl2br w:val="nil"/>
                    <w:tr2bl w:val="nil"/>
                  </w:tcBorders>
                  <w:noWrap/>
                  <w:vAlign w:val="center"/>
                </w:tcPr>
                <w:p w14:paraId="24B2E33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7DC3664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4C37C5ED">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39.50</w:t>
                  </w:r>
                </w:p>
              </w:tc>
              <w:tc>
                <w:tcPr>
                  <w:tcW w:w="346" w:type="pct"/>
                  <w:tcBorders>
                    <w:tl2br w:val="nil"/>
                    <w:tr2bl w:val="nil"/>
                  </w:tcBorders>
                  <w:noWrap/>
                  <w:vAlign w:val="center"/>
                </w:tcPr>
                <w:p w14:paraId="12B0F2F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344A99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5B11AD68">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5036513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自动埋弧焊机1</w:t>
                  </w:r>
                </w:p>
              </w:tc>
              <w:tc>
                <w:tcPr>
                  <w:tcW w:w="269" w:type="pct"/>
                  <w:vMerge w:val="restart"/>
                  <w:tcBorders>
                    <w:tl2br w:val="nil"/>
                    <w:tr2bl w:val="nil"/>
                  </w:tcBorders>
                  <w:shd w:val="clear" w:color="auto" w:fill="FFFFFF"/>
                  <w:noWrap/>
                  <w:vAlign w:val="center"/>
                </w:tcPr>
                <w:p w14:paraId="4ED75E8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37538624">
                  <w:pPr>
                    <w:widowControl/>
                    <w:adjustRightInd w:val="0"/>
                    <w:snapToGrid w:val="0"/>
                    <w:jc w:val="center"/>
                    <w:textAlignment w:val="center"/>
                    <w:rPr>
                      <w:sz w:val="21"/>
                      <w:szCs w:val="21"/>
                    </w:rPr>
                  </w:pPr>
                  <w:r>
                    <w:rPr>
                      <w:rFonts w:hint="eastAsia"/>
                      <w:color w:val="000000" w:themeColor="text1"/>
                      <w:sz w:val="21"/>
                      <w:szCs w:val="21"/>
                      <w14:textFill>
                        <w14:solidFill>
                          <w14:schemeClr w14:val="tx1"/>
                        </w14:solidFill>
                      </w14:textFill>
                    </w:rPr>
                    <w:t>75</w:t>
                  </w:r>
                </w:p>
              </w:tc>
              <w:tc>
                <w:tcPr>
                  <w:tcW w:w="281" w:type="pct"/>
                  <w:vMerge w:val="continue"/>
                  <w:tcBorders>
                    <w:tl2br w:val="nil"/>
                    <w:tr2bl w:val="nil"/>
                  </w:tcBorders>
                  <w:noWrap/>
                  <w:vAlign w:val="center"/>
                </w:tcPr>
                <w:p w14:paraId="1A4DE607">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397E50F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-40.17</w:t>
                  </w:r>
                </w:p>
              </w:tc>
              <w:tc>
                <w:tcPr>
                  <w:tcW w:w="326" w:type="pct"/>
                  <w:vMerge w:val="restart"/>
                  <w:tcBorders>
                    <w:tl2br w:val="nil"/>
                    <w:tr2bl w:val="nil"/>
                  </w:tcBorders>
                  <w:noWrap/>
                  <w:vAlign w:val="center"/>
                </w:tcPr>
                <w:p w14:paraId="3DF4027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39.3</w:t>
                  </w:r>
                </w:p>
              </w:tc>
              <w:tc>
                <w:tcPr>
                  <w:tcW w:w="223" w:type="pct"/>
                  <w:vMerge w:val="restart"/>
                  <w:tcBorders>
                    <w:tl2br w:val="nil"/>
                    <w:tr2bl w:val="nil"/>
                  </w:tcBorders>
                  <w:noWrap/>
                  <w:vAlign w:val="center"/>
                </w:tcPr>
                <w:p w14:paraId="550EA18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noWrap/>
                  <w:vAlign w:val="center"/>
                </w:tcPr>
                <w:p w14:paraId="2D57E19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1F76D32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19.00</w:t>
                  </w:r>
                </w:p>
              </w:tc>
              <w:tc>
                <w:tcPr>
                  <w:tcW w:w="471" w:type="pct"/>
                  <w:tcBorders>
                    <w:tl2br w:val="nil"/>
                    <w:tr2bl w:val="nil"/>
                  </w:tcBorders>
                  <w:noWrap/>
                  <w:vAlign w:val="center"/>
                </w:tcPr>
                <w:p w14:paraId="2C900CF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55.58</w:t>
                  </w:r>
                </w:p>
              </w:tc>
              <w:tc>
                <w:tcPr>
                  <w:tcW w:w="256" w:type="pct"/>
                  <w:tcBorders>
                    <w:tl2br w:val="nil"/>
                    <w:tr2bl w:val="nil"/>
                  </w:tcBorders>
                  <w:noWrap/>
                  <w:vAlign w:val="center"/>
                </w:tcPr>
                <w:p w14:paraId="2D4EFCC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4A4376D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19320FB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29.58</w:t>
                  </w:r>
                </w:p>
              </w:tc>
              <w:tc>
                <w:tcPr>
                  <w:tcW w:w="346" w:type="pct"/>
                  <w:tcBorders>
                    <w:tl2br w:val="nil"/>
                    <w:tr2bl w:val="nil"/>
                  </w:tcBorders>
                  <w:noWrap/>
                  <w:vAlign w:val="center"/>
                </w:tcPr>
                <w:p w14:paraId="30908BA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316BE0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2CE14C73">
                  <w:pPr>
                    <w:widowControl/>
                    <w:adjustRightInd w:val="0"/>
                    <w:snapToGrid w:val="0"/>
                    <w:jc w:val="center"/>
                    <w:textAlignment w:val="center"/>
                    <w:rPr>
                      <w:sz w:val="21"/>
                      <w:szCs w:val="21"/>
                    </w:rPr>
                  </w:pPr>
                </w:p>
              </w:tc>
              <w:tc>
                <w:tcPr>
                  <w:tcW w:w="257" w:type="pct"/>
                  <w:vMerge w:val="continue"/>
                  <w:tcBorders>
                    <w:tl2br w:val="nil"/>
                    <w:tr2bl w:val="nil"/>
                  </w:tcBorders>
                  <w:noWrap/>
                  <w:vAlign w:val="center"/>
                </w:tcPr>
                <w:p w14:paraId="5A3E99DD">
                  <w:pPr>
                    <w:widowControl/>
                    <w:adjustRightInd w:val="0"/>
                    <w:snapToGrid w:val="0"/>
                    <w:jc w:val="center"/>
                    <w:textAlignment w:val="center"/>
                    <w:rPr>
                      <w:sz w:val="21"/>
                      <w:szCs w:val="21"/>
                    </w:rPr>
                  </w:pPr>
                </w:p>
              </w:tc>
              <w:tc>
                <w:tcPr>
                  <w:tcW w:w="269" w:type="pct"/>
                  <w:vMerge w:val="continue"/>
                  <w:tcBorders>
                    <w:tl2br w:val="nil"/>
                    <w:tr2bl w:val="nil"/>
                  </w:tcBorders>
                  <w:shd w:val="clear" w:color="auto" w:fill="FFFFFF"/>
                  <w:noWrap/>
                  <w:vAlign w:val="center"/>
                </w:tcPr>
                <w:p w14:paraId="2EA19511">
                  <w:pPr>
                    <w:widowControl/>
                    <w:adjustRightInd w:val="0"/>
                    <w:snapToGrid w:val="0"/>
                    <w:jc w:val="center"/>
                    <w:textAlignment w:val="center"/>
                    <w:rPr>
                      <w:sz w:val="21"/>
                      <w:szCs w:val="21"/>
                    </w:rPr>
                  </w:pPr>
                </w:p>
              </w:tc>
              <w:tc>
                <w:tcPr>
                  <w:tcW w:w="288" w:type="pct"/>
                  <w:vMerge w:val="continue"/>
                  <w:tcBorders>
                    <w:tl2br w:val="nil"/>
                    <w:tr2bl w:val="nil"/>
                  </w:tcBorders>
                  <w:noWrap/>
                  <w:vAlign w:val="center"/>
                </w:tcPr>
                <w:p w14:paraId="07E08898">
                  <w:pPr>
                    <w:widowControl/>
                    <w:adjustRightInd w:val="0"/>
                    <w:snapToGrid w:val="0"/>
                    <w:jc w:val="center"/>
                    <w:textAlignment w:val="center"/>
                    <w:rPr>
                      <w:sz w:val="21"/>
                      <w:szCs w:val="21"/>
                    </w:rPr>
                  </w:pPr>
                </w:p>
              </w:tc>
              <w:tc>
                <w:tcPr>
                  <w:tcW w:w="281" w:type="pct"/>
                  <w:vMerge w:val="continue"/>
                  <w:tcBorders>
                    <w:tl2br w:val="nil"/>
                    <w:tr2bl w:val="nil"/>
                  </w:tcBorders>
                  <w:noWrap/>
                  <w:vAlign w:val="center"/>
                </w:tcPr>
                <w:p w14:paraId="4BE4D369">
                  <w:pPr>
                    <w:widowControl/>
                    <w:adjustRightInd w:val="0"/>
                    <w:snapToGrid w:val="0"/>
                    <w:jc w:val="center"/>
                    <w:textAlignment w:val="center"/>
                    <w:rPr>
                      <w:sz w:val="21"/>
                      <w:szCs w:val="21"/>
                    </w:rPr>
                  </w:pPr>
                </w:p>
              </w:tc>
              <w:tc>
                <w:tcPr>
                  <w:tcW w:w="348" w:type="pct"/>
                  <w:vMerge w:val="continue"/>
                  <w:tcBorders>
                    <w:tl2br w:val="nil"/>
                    <w:tr2bl w:val="nil"/>
                  </w:tcBorders>
                  <w:noWrap/>
                  <w:vAlign w:val="center"/>
                </w:tcPr>
                <w:p w14:paraId="248F32B8">
                  <w:pPr>
                    <w:widowControl/>
                    <w:adjustRightInd w:val="0"/>
                    <w:snapToGrid w:val="0"/>
                    <w:jc w:val="center"/>
                    <w:textAlignment w:val="center"/>
                    <w:rPr>
                      <w:sz w:val="21"/>
                      <w:szCs w:val="21"/>
                    </w:rPr>
                  </w:pPr>
                </w:p>
              </w:tc>
              <w:tc>
                <w:tcPr>
                  <w:tcW w:w="326" w:type="pct"/>
                  <w:vMerge w:val="continue"/>
                  <w:tcBorders>
                    <w:tl2br w:val="nil"/>
                    <w:tr2bl w:val="nil"/>
                  </w:tcBorders>
                  <w:noWrap/>
                  <w:vAlign w:val="center"/>
                </w:tcPr>
                <w:p w14:paraId="249992F0">
                  <w:pPr>
                    <w:widowControl/>
                    <w:adjustRightInd w:val="0"/>
                    <w:snapToGrid w:val="0"/>
                    <w:jc w:val="center"/>
                    <w:textAlignment w:val="center"/>
                    <w:rPr>
                      <w:sz w:val="21"/>
                      <w:szCs w:val="21"/>
                    </w:rPr>
                  </w:pPr>
                </w:p>
              </w:tc>
              <w:tc>
                <w:tcPr>
                  <w:tcW w:w="223" w:type="pct"/>
                  <w:vMerge w:val="continue"/>
                  <w:tcBorders>
                    <w:tl2br w:val="nil"/>
                    <w:tr2bl w:val="nil"/>
                  </w:tcBorders>
                  <w:noWrap/>
                  <w:vAlign w:val="center"/>
                </w:tcPr>
                <w:p w14:paraId="32A6CFB7">
                  <w:pPr>
                    <w:widowControl/>
                    <w:adjustRightInd w:val="0"/>
                    <w:snapToGrid w:val="0"/>
                    <w:jc w:val="center"/>
                    <w:textAlignment w:val="center"/>
                    <w:rPr>
                      <w:sz w:val="21"/>
                      <w:szCs w:val="21"/>
                    </w:rPr>
                  </w:pPr>
                </w:p>
              </w:tc>
              <w:tc>
                <w:tcPr>
                  <w:tcW w:w="344" w:type="pct"/>
                  <w:tcBorders>
                    <w:tl2br w:val="nil"/>
                    <w:tr2bl w:val="nil"/>
                  </w:tcBorders>
                  <w:noWrap/>
                  <w:vAlign w:val="center"/>
                </w:tcPr>
                <w:p w14:paraId="447B60B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4C3B3AE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126.29</w:t>
                  </w:r>
                </w:p>
              </w:tc>
              <w:tc>
                <w:tcPr>
                  <w:tcW w:w="471" w:type="pct"/>
                  <w:tcBorders>
                    <w:tl2br w:val="nil"/>
                    <w:tr2bl w:val="nil"/>
                  </w:tcBorders>
                  <w:noWrap/>
                  <w:vAlign w:val="center"/>
                </w:tcPr>
                <w:p w14:paraId="174EAC1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noWrap/>
                  <w:vAlign w:val="center"/>
                </w:tcPr>
                <w:p w14:paraId="402DE7B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3C1E679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7579C49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noWrap/>
                  <w:vAlign w:val="center"/>
                </w:tcPr>
                <w:p w14:paraId="5B784E9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738962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128DB32E">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611FAFAB">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17A329A9">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6981F981">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3A4DC426">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546AAA10">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1B0B13DD">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1305B5EB">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5D20A76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48C3DD2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69.41</w:t>
                  </w:r>
                </w:p>
              </w:tc>
              <w:tc>
                <w:tcPr>
                  <w:tcW w:w="471" w:type="pct"/>
                  <w:tcBorders>
                    <w:tl2br w:val="nil"/>
                    <w:tr2bl w:val="nil"/>
                  </w:tcBorders>
                  <w:noWrap/>
                  <w:vAlign w:val="center"/>
                </w:tcPr>
                <w:p w14:paraId="1D0747B5">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noWrap/>
                  <w:vAlign w:val="center"/>
                </w:tcPr>
                <w:p w14:paraId="3B56A2E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05B3471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49BAFD6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noWrap/>
                  <w:vAlign w:val="center"/>
                </w:tcPr>
                <w:p w14:paraId="2598D75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60CDA2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3" w:hRule="atLeast"/>
                <w:jc w:val="center"/>
              </w:trPr>
              <w:tc>
                <w:tcPr>
                  <w:tcW w:w="300" w:type="pct"/>
                  <w:vMerge w:val="continue"/>
                  <w:tcBorders>
                    <w:tl2br w:val="nil"/>
                    <w:tr2bl w:val="nil"/>
                  </w:tcBorders>
                  <w:noWrap/>
                  <w:vAlign w:val="center"/>
                </w:tcPr>
                <w:p w14:paraId="789DF9D2">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5F85F595">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312B3E8E">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630B96DD">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4EA78EDA">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0D20109F">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222A6BEB">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507AED23">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16E83E9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66B60FC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19.62</w:t>
                  </w:r>
                </w:p>
              </w:tc>
              <w:tc>
                <w:tcPr>
                  <w:tcW w:w="471" w:type="pct"/>
                  <w:tcBorders>
                    <w:tl2br w:val="nil"/>
                    <w:tr2bl w:val="nil"/>
                  </w:tcBorders>
                  <w:noWrap/>
                  <w:vAlign w:val="center"/>
                </w:tcPr>
                <w:p w14:paraId="7187445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55.58</w:t>
                  </w:r>
                </w:p>
              </w:tc>
              <w:tc>
                <w:tcPr>
                  <w:tcW w:w="256" w:type="pct"/>
                  <w:tcBorders>
                    <w:tl2br w:val="nil"/>
                    <w:tr2bl w:val="nil"/>
                  </w:tcBorders>
                  <w:noWrap/>
                  <w:vAlign w:val="center"/>
                </w:tcPr>
                <w:p w14:paraId="6D55A6A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09E747F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08C1570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29.58</w:t>
                  </w:r>
                </w:p>
              </w:tc>
              <w:tc>
                <w:tcPr>
                  <w:tcW w:w="346" w:type="pct"/>
                  <w:tcBorders>
                    <w:tl2br w:val="nil"/>
                    <w:tr2bl w:val="nil"/>
                  </w:tcBorders>
                  <w:noWrap/>
                  <w:vAlign w:val="center"/>
                </w:tcPr>
                <w:p w14:paraId="7C338DA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7A30C5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4BF1EE91">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1B5A0EC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自动埋弧焊机2</w:t>
                  </w:r>
                </w:p>
              </w:tc>
              <w:tc>
                <w:tcPr>
                  <w:tcW w:w="269" w:type="pct"/>
                  <w:vMerge w:val="restart"/>
                  <w:tcBorders>
                    <w:tl2br w:val="nil"/>
                    <w:tr2bl w:val="nil"/>
                  </w:tcBorders>
                  <w:shd w:val="clear" w:color="auto" w:fill="FFFFFF"/>
                  <w:noWrap/>
                  <w:vAlign w:val="center"/>
                </w:tcPr>
                <w:p w14:paraId="68F6144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4373D64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281" w:type="pct"/>
                  <w:vMerge w:val="continue"/>
                  <w:tcBorders>
                    <w:tl2br w:val="nil"/>
                    <w:tr2bl w:val="nil"/>
                  </w:tcBorders>
                  <w:noWrap/>
                  <w:vAlign w:val="center"/>
                </w:tcPr>
                <w:p w14:paraId="4DF06BBC">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1B61F48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-37.8</w:t>
                  </w:r>
                </w:p>
              </w:tc>
              <w:tc>
                <w:tcPr>
                  <w:tcW w:w="326" w:type="pct"/>
                  <w:vMerge w:val="restart"/>
                  <w:tcBorders>
                    <w:tl2br w:val="nil"/>
                    <w:tr2bl w:val="nil"/>
                  </w:tcBorders>
                  <w:noWrap/>
                  <w:vAlign w:val="center"/>
                </w:tcPr>
                <w:p w14:paraId="17ED86E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29.06</w:t>
                  </w:r>
                </w:p>
              </w:tc>
              <w:tc>
                <w:tcPr>
                  <w:tcW w:w="223" w:type="pct"/>
                  <w:vMerge w:val="restart"/>
                  <w:tcBorders>
                    <w:tl2br w:val="nil"/>
                    <w:tr2bl w:val="nil"/>
                  </w:tcBorders>
                  <w:noWrap/>
                  <w:vAlign w:val="center"/>
                </w:tcPr>
                <w:p w14:paraId="0E5C17F2">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c>
                <w:tcPr>
                  <w:tcW w:w="344" w:type="pct"/>
                  <w:tcBorders>
                    <w:tl2br w:val="nil"/>
                    <w:tr2bl w:val="nil"/>
                  </w:tcBorders>
                  <w:noWrap/>
                  <w:vAlign w:val="center"/>
                </w:tcPr>
                <w:p w14:paraId="7E0F46D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2B1DEBE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19.59</w:t>
                  </w:r>
                </w:p>
              </w:tc>
              <w:tc>
                <w:tcPr>
                  <w:tcW w:w="471" w:type="pct"/>
                  <w:tcBorders>
                    <w:tl2br w:val="nil"/>
                    <w:tr2bl w:val="nil"/>
                  </w:tcBorders>
                  <w:noWrap/>
                  <w:vAlign w:val="center"/>
                </w:tcPr>
                <w:p w14:paraId="35F05E3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55.58</w:t>
                  </w:r>
                </w:p>
              </w:tc>
              <w:tc>
                <w:tcPr>
                  <w:tcW w:w="256" w:type="pct"/>
                  <w:tcBorders>
                    <w:tl2br w:val="nil"/>
                    <w:tr2bl w:val="nil"/>
                  </w:tcBorders>
                  <w:noWrap/>
                  <w:vAlign w:val="center"/>
                </w:tcPr>
                <w:p w14:paraId="615BB85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16BB3F8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28806BFE">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29.58</w:t>
                  </w:r>
                </w:p>
              </w:tc>
              <w:tc>
                <w:tcPr>
                  <w:tcW w:w="346" w:type="pct"/>
                  <w:tcBorders>
                    <w:tl2br w:val="nil"/>
                    <w:tr2bl w:val="nil"/>
                  </w:tcBorders>
                  <w:noWrap/>
                  <w:vAlign w:val="center"/>
                </w:tcPr>
                <w:p w14:paraId="61BBBC3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176785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3C13B873">
                  <w:pPr>
                    <w:widowControl/>
                    <w:adjustRightInd w:val="0"/>
                    <w:snapToGrid w:val="0"/>
                    <w:jc w:val="center"/>
                    <w:textAlignment w:val="center"/>
                    <w:rPr>
                      <w:sz w:val="21"/>
                      <w:szCs w:val="21"/>
                    </w:rPr>
                  </w:pPr>
                </w:p>
              </w:tc>
              <w:tc>
                <w:tcPr>
                  <w:tcW w:w="257" w:type="pct"/>
                  <w:vMerge w:val="continue"/>
                  <w:tcBorders>
                    <w:tl2br w:val="nil"/>
                    <w:tr2bl w:val="nil"/>
                  </w:tcBorders>
                  <w:noWrap/>
                  <w:vAlign w:val="center"/>
                </w:tcPr>
                <w:p w14:paraId="5B97EE5D">
                  <w:pPr>
                    <w:widowControl/>
                    <w:adjustRightInd w:val="0"/>
                    <w:snapToGrid w:val="0"/>
                    <w:jc w:val="center"/>
                    <w:textAlignment w:val="center"/>
                    <w:rPr>
                      <w:sz w:val="21"/>
                      <w:szCs w:val="21"/>
                    </w:rPr>
                  </w:pPr>
                </w:p>
              </w:tc>
              <w:tc>
                <w:tcPr>
                  <w:tcW w:w="269" w:type="pct"/>
                  <w:vMerge w:val="continue"/>
                  <w:tcBorders>
                    <w:tl2br w:val="nil"/>
                    <w:tr2bl w:val="nil"/>
                  </w:tcBorders>
                  <w:shd w:val="clear" w:color="auto" w:fill="FFFFFF"/>
                  <w:noWrap/>
                  <w:vAlign w:val="center"/>
                </w:tcPr>
                <w:p w14:paraId="6EA056C6">
                  <w:pPr>
                    <w:widowControl/>
                    <w:adjustRightInd w:val="0"/>
                    <w:snapToGrid w:val="0"/>
                    <w:jc w:val="center"/>
                    <w:textAlignment w:val="center"/>
                    <w:rPr>
                      <w:sz w:val="21"/>
                      <w:szCs w:val="21"/>
                    </w:rPr>
                  </w:pPr>
                </w:p>
              </w:tc>
              <w:tc>
                <w:tcPr>
                  <w:tcW w:w="288" w:type="pct"/>
                  <w:vMerge w:val="continue"/>
                  <w:tcBorders>
                    <w:tl2br w:val="nil"/>
                    <w:tr2bl w:val="nil"/>
                  </w:tcBorders>
                  <w:noWrap/>
                  <w:vAlign w:val="center"/>
                </w:tcPr>
                <w:p w14:paraId="182DE6D7">
                  <w:pPr>
                    <w:widowControl/>
                    <w:adjustRightInd w:val="0"/>
                    <w:snapToGrid w:val="0"/>
                    <w:jc w:val="center"/>
                    <w:textAlignment w:val="center"/>
                    <w:rPr>
                      <w:sz w:val="21"/>
                      <w:szCs w:val="21"/>
                    </w:rPr>
                  </w:pPr>
                </w:p>
              </w:tc>
              <w:tc>
                <w:tcPr>
                  <w:tcW w:w="281" w:type="pct"/>
                  <w:vMerge w:val="continue"/>
                  <w:tcBorders>
                    <w:tl2br w:val="nil"/>
                    <w:tr2bl w:val="nil"/>
                  </w:tcBorders>
                  <w:noWrap/>
                  <w:vAlign w:val="center"/>
                </w:tcPr>
                <w:p w14:paraId="33FD71CA">
                  <w:pPr>
                    <w:widowControl/>
                    <w:adjustRightInd w:val="0"/>
                    <w:snapToGrid w:val="0"/>
                    <w:jc w:val="center"/>
                    <w:textAlignment w:val="center"/>
                    <w:rPr>
                      <w:sz w:val="21"/>
                      <w:szCs w:val="21"/>
                    </w:rPr>
                  </w:pPr>
                </w:p>
              </w:tc>
              <w:tc>
                <w:tcPr>
                  <w:tcW w:w="348" w:type="pct"/>
                  <w:vMerge w:val="continue"/>
                  <w:tcBorders>
                    <w:tl2br w:val="nil"/>
                    <w:tr2bl w:val="nil"/>
                  </w:tcBorders>
                  <w:noWrap/>
                  <w:vAlign w:val="center"/>
                </w:tcPr>
                <w:p w14:paraId="1D032841">
                  <w:pPr>
                    <w:widowControl/>
                    <w:adjustRightInd w:val="0"/>
                    <w:snapToGrid w:val="0"/>
                    <w:jc w:val="center"/>
                    <w:textAlignment w:val="center"/>
                    <w:rPr>
                      <w:sz w:val="21"/>
                      <w:szCs w:val="21"/>
                    </w:rPr>
                  </w:pPr>
                </w:p>
              </w:tc>
              <w:tc>
                <w:tcPr>
                  <w:tcW w:w="326" w:type="pct"/>
                  <w:vMerge w:val="continue"/>
                  <w:tcBorders>
                    <w:tl2br w:val="nil"/>
                    <w:tr2bl w:val="nil"/>
                  </w:tcBorders>
                  <w:noWrap/>
                  <w:vAlign w:val="center"/>
                </w:tcPr>
                <w:p w14:paraId="1D2BFF3C">
                  <w:pPr>
                    <w:widowControl/>
                    <w:adjustRightInd w:val="0"/>
                    <w:snapToGrid w:val="0"/>
                    <w:jc w:val="center"/>
                    <w:textAlignment w:val="center"/>
                    <w:rPr>
                      <w:sz w:val="21"/>
                      <w:szCs w:val="21"/>
                    </w:rPr>
                  </w:pPr>
                </w:p>
              </w:tc>
              <w:tc>
                <w:tcPr>
                  <w:tcW w:w="223" w:type="pct"/>
                  <w:vMerge w:val="continue"/>
                  <w:tcBorders>
                    <w:tl2br w:val="nil"/>
                    <w:tr2bl w:val="nil"/>
                  </w:tcBorders>
                  <w:noWrap/>
                  <w:vAlign w:val="center"/>
                </w:tcPr>
                <w:p w14:paraId="3BEB6E6C">
                  <w:pPr>
                    <w:widowControl/>
                    <w:adjustRightInd w:val="0"/>
                    <w:snapToGrid w:val="0"/>
                    <w:jc w:val="center"/>
                    <w:textAlignment w:val="center"/>
                    <w:rPr>
                      <w:sz w:val="21"/>
                      <w:szCs w:val="21"/>
                    </w:rPr>
                  </w:pPr>
                </w:p>
              </w:tc>
              <w:tc>
                <w:tcPr>
                  <w:tcW w:w="344" w:type="pct"/>
                  <w:tcBorders>
                    <w:tl2br w:val="nil"/>
                    <w:tr2bl w:val="nil"/>
                  </w:tcBorders>
                  <w:noWrap/>
                  <w:vAlign w:val="center"/>
                </w:tcPr>
                <w:p w14:paraId="51F805F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3309C1A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115.81</w:t>
                  </w:r>
                </w:p>
              </w:tc>
              <w:tc>
                <w:tcPr>
                  <w:tcW w:w="471" w:type="pct"/>
                  <w:tcBorders>
                    <w:tl2br w:val="nil"/>
                    <w:tr2bl w:val="nil"/>
                  </w:tcBorders>
                  <w:noWrap/>
                  <w:vAlign w:val="center"/>
                </w:tcPr>
                <w:p w14:paraId="1857E7B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noWrap/>
                  <w:vAlign w:val="center"/>
                </w:tcPr>
                <w:p w14:paraId="7F61E19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6919982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15EF191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noWrap/>
                  <w:vAlign w:val="center"/>
                </w:tcPr>
                <w:p w14:paraId="10A14F2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0D2E70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79841CF9">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5C587C0F">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499C322D">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083DC350">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447A9B2B">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2E9FA8EC">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3E203994">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754DC66B">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43C1E70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00C94154">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70.22</w:t>
                  </w:r>
                </w:p>
              </w:tc>
              <w:tc>
                <w:tcPr>
                  <w:tcW w:w="471" w:type="pct"/>
                  <w:tcBorders>
                    <w:tl2br w:val="nil"/>
                    <w:tr2bl w:val="nil"/>
                  </w:tcBorders>
                  <w:noWrap/>
                  <w:vAlign w:val="center"/>
                </w:tcPr>
                <w:p w14:paraId="43DBED10">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55.50</w:t>
                  </w:r>
                </w:p>
              </w:tc>
              <w:tc>
                <w:tcPr>
                  <w:tcW w:w="256" w:type="pct"/>
                  <w:tcBorders>
                    <w:tl2br w:val="nil"/>
                    <w:tr2bl w:val="nil"/>
                  </w:tcBorders>
                  <w:noWrap/>
                  <w:vAlign w:val="center"/>
                </w:tcPr>
                <w:p w14:paraId="67224578">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28CFFCE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4E265B33">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29.50</w:t>
                  </w:r>
                </w:p>
              </w:tc>
              <w:tc>
                <w:tcPr>
                  <w:tcW w:w="346" w:type="pct"/>
                  <w:tcBorders>
                    <w:tl2br w:val="nil"/>
                    <w:tr2bl w:val="nil"/>
                  </w:tcBorders>
                  <w:noWrap/>
                  <w:vAlign w:val="center"/>
                </w:tcPr>
                <w:p w14:paraId="3085843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3CCC21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49A27B04">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795635B2">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7B56E76B">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4FF8FA84">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1DAF8388">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7155A942">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7E4B334C">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25FBE139">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4AFC0FD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42F9680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30.08</w:t>
                  </w:r>
                </w:p>
              </w:tc>
              <w:tc>
                <w:tcPr>
                  <w:tcW w:w="471" w:type="pct"/>
                  <w:tcBorders>
                    <w:tl2br w:val="nil"/>
                    <w:tr2bl w:val="nil"/>
                  </w:tcBorders>
                  <w:noWrap/>
                  <w:vAlign w:val="center"/>
                </w:tcPr>
                <w:p w14:paraId="7519A19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55.53</w:t>
                  </w:r>
                </w:p>
              </w:tc>
              <w:tc>
                <w:tcPr>
                  <w:tcW w:w="256" w:type="pct"/>
                  <w:tcBorders>
                    <w:tl2br w:val="nil"/>
                    <w:tr2bl w:val="nil"/>
                  </w:tcBorders>
                  <w:noWrap/>
                  <w:vAlign w:val="center"/>
                </w:tcPr>
                <w:p w14:paraId="7359537B">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昼间</w:t>
                  </w:r>
                </w:p>
              </w:tc>
              <w:tc>
                <w:tcPr>
                  <w:tcW w:w="515" w:type="pct"/>
                  <w:tcBorders>
                    <w:tl2br w:val="nil"/>
                    <w:tr2bl w:val="nil"/>
                  </w:tcBorders>
                  <w:noWrap/>
                  <w:vAlign w:val="center"/>
                </w:tcPr>
                <w:p w14:paraId="44E47AE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20</w:t>
                  </w:r>
                </w:p>
              </w:tc>
              <w:tc>
                <w:tcPr>
                  <w:tcW w:w="339" w:type="pct"/>
                  <w:tcBorders>
                    <w:tl2br w:val="nil"/>
                    <w:tr2bl w:val="nil"/>
                  </w:tcBorders>
                  <w:noWrap/>
                  <w:vAlign w:val="center"/>
                </w:tcPr>
                <w:p w14:paraId="0C4C25C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29.53</w:t>
                  </w:r>
                </w:p>
              </w:tc>
              <w:tc>
                <w:tcPr>
                  <w:tcW w:w="346" w:type="pct"/>
                  <w:tcBorders>
                    <w:tl2br w:val="nil"/>
                    <w:tr2bl w:val="nil"/>
                  </w:tcBorders>
                  <w:noWrap/>
                  <w:vAlign w:val="center"/>
                </w:tcPr>
                <w:p w14:paraId="6051CA56">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1</w:t>
                  </w:r>
                </w:p>
              </w:tc>
            </w:tr>
            <w:tr w14:paraId="12B688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76AAB0EA">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restart"/>
                  <w:tcBorders>
                    <w:tl2br w:val="nil"/>
                    <w:tr2bl w:val="nil"/>
                  </w:tcBorders>
                  <w:noWrap/>
                  <w:vAlign w:val="center"/>
                </w:tcPr>
                <w:p w14:paraId="0D51E6FD">
                  <w:pPr>
                    <w:widowControl/>
                    <w:adjustRightInd w:val="0"/>
                    <w:snapToGrid w:val="0"/>
                    <w:jc w:val="center"/>
                    <w:textAlignment w:val="center"/>
                    <w:rPr>
                      <w:color w:val="000000" w:themeColor="text1"/>
                      <w:sz w:val="21"/>
                      <w:szCs w:val="21"/>
                      <w14:textFill>
                        <w14:solidFill>
                          <w14:schemeClr w14:val="tx1"/>
                        </w14:solidFill>
                      </w14:textFill>
                    </w:rPr>
                  </w:pPr>
                  <w:r>
                    <w:rPr>
                      <w:rFonts w:hint="eastAsia"/>
                      <w:sz w:val="21"/>
                      <w:szCs w:val="21"/>
                    </w:rPr>
                    <w:t>激光切割机</w:t>
                  </w:r>
                </w:p>
              </w:tc>
              <w:tc>
                <w:tcPr>
                  <w:tcW w:w="269" w:type="pct"/>
                  <w:vMerge w:val="restart"/>
                  <w:tcBorders>
                    <w:tl2br w:val="nil"/>
                    <w:tr2bl w:val="nil"/>
                  </w:tcBorders>
                  <w:shd w:val="clear" w:color="auto" w:fill="FFFFFF"/>
                  <w:noWrap/>
                  <w:vAlign w:val="center"/>
                </w:tcPr>
                <w:p w14:paraId="1A1733A1">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8" w:type="pct"/>
                  <w:vMerge w:val="restart"/>
                  <w:tcBorders>
                    <w:tl2br w:val="nil"/>
                    <w:tr2bl w:val="nil"/>
                  </w:tcBorders>
                  <w:noWrap/>
                  <w:vAlign w:val="center"/>
                </w:tcPr>
                <w:p w14:paraId="0724786A">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c>
                <w:tcPr>
                  <w:tcW w:w="281" w:type="pct"/>
                  <w:vMerge w:val="continue"/>
                  <w:tcBorders>
                    <w:tl2br w:val="nil"/>
                    <w:tr2bl w:val="nil"/>
                  </w:tcBorders>
                  <w:noWrap/>
                  <w:vAlign w:val="center"/>
                </w:tcPr>
                <w:p w14:paraId="1D2C3494">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restart"/>
                  <w:tcBorders>
                    <w:tl2br w:val="nil"/>
                    <w:tr2bl w:val="nil"/>
                  </w:tcBorders>
                  <w:noWrap/>
                  <w:vAlign w:val="center"/>
                </w:tcPr>
                <w:p w14:paraId="43E9E2D7">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2.17</w:t>
                  </w:r>
                </w:p>
              </w:tc>
              <w:tc>
                <w:tcPr>
                  <w:tcW w:w="326" w:type="pct"/>
                  <w:vMerge w:val="restart"/>
                  <w:tcBorders>
                    <w:tl2br w:val="nil"/>
                    <w:tr2bl w:val="nil"/>
                  </w:tcBorders>
                  <w:noWrap/>
                  <w:vAlign w:val="center"/>
                </w:tcPr>
                <w:p w14:paraId="7EB01A1C">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41.25</w:t>
                  </w:r>
                </w:p>
              </w:tc>
              <w:tc>
                <w:tcPr>
                  <w:tcW w:w="223" w:type="pct"/>
                  <w:vMerge w:val="restart"/>
                  <w:tcBorders>
                    <w:tl2br w:val="nil"/>
                    <w:tr2bl w:val="nil"/>
                  </w:tcBorders>
                  <w:noWrap/>
                  <w:vAlign w:val="center"/>
                </w:tcPr>
                <w:p w14:paraId="44E6935E">
                  <w:pPr>
                    <w:widowControl/>
                    <w:adjustRightInd w:val="0"/>
                    <w:snapToGrid w:val="0"/>
                    <w:jc w:val="center"/>
                    <w:textAlignment w:val="center"/>
                    <w:rPr>
                      <w:color w:val="000000" w:themeColor="text1"/>
                      <w:sz w:val="21"/>
                      <w:szCs w:val="21"/>
                      <w14:textFill>
                        <w14:solidFill>
                          <w14:schemeClr w14:val="tx1"/>
                        </w14:solidFill>
                      </w14:textFill>
                    </w:rPr>
                  </w:pPr>
                  <w:r>
                    <w:rPr>
                      <w:sz w:val="21"/>
                      <w:szCs w:val="21"/>
                    </w:rPr>
                    <w:t>1</w:t>
                  </w:r>
                </w:p>
              </w:tc>
              <w:tc>
                <w:tcPr>
                  <w:tcW w:w="344" w:type="pct"/>
                  <w:tcBorders>
                    <w:tl2br w:val="nil"/>
                    <w:tr2bl w:val="nil"/>
                  </w:tcBorders>
                  <w:noWrap/>
                  <w:vAlign w:val="center"/>
                </w:tcPr>
                <w:p w14:paraId="5CB045E7">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西</w:t>
                  </w:r>
                </w:p>
              </w:tc>
              <w:tc>
                <w:tcPr>
                  <w:tcW w:w="437" w:type="pct"/>
                  <w:tcBorders>
                    <w:tl2br w:val="nil"/>
                    <w:tr2bl w:val="nil"/>
                  </w:tcBorders>
                  <w:noWrap/>
                  <w:vAlign w:val="center"/>
                </w:tcPr>
                <w:p w14:paraId="71769711">
                  <w:pPr>
                    <w:widowControl/>
                    <w:adjustRightInd w:val="0"/>
                    <w:snapToGrid w:val="0"/>
                    <w:jc w:val="center"/>
                    <w:textAlignment w:val="center"/>
                    <w:rPr>
                      <w:sz w:val="21"/>
                      <w:szCs w:val="21"/>
                    </w:rPr>
                  </w:pPr>
                  <w:r>
                    <w:rPr>
                      <w:rFonts w:hint="eastAsia"/>
                      <w:sz w:val="21"/>
                      <w:szCs w:val="21"/>
                    </w:rPr>
                    <w:t>61.05</w:t>
                  </w:r>
                </w:p>
              </w:tc>
              <w:tc>
                <w:tcPr>
                  <w:tcW w:w="471" w:type="pct"/>
                  <w:tcBorders>
                    <w:tl2br w:val="nil"/>
                    <w:tr2bl w:val="nil"/>
                  </w:tcBorders>
                  <w:noWrap/>
                  <w:vAlign w:val="center"/>
                </w:tcPr>
                <w:p w14:paraId="6D8E5372">
                  <w:pPr>
                    <w:widowControl/>
                    <w:adjustRightInd w:val="0"/>
                    <w:snapToGrid w:val="0"/>
                    <w:jc w:val="center"/>
                    <w:textAlignment w:val="center"/>
                    <w:rPr>
                      <w:sz w:val="21"/>
                      <w:szCs w:val="21"/>
                    </w:rPr>
                  </w:pPr>
                  <w:r>
                    <w:rPr>
                      <w:rFonts w:hint="eastAsia"/>
                      <w:sz w:val="21"/>
                      <w:szCs w:val="21"/>
                    </w:rPr>
                    <w:t>65.51</w:t>
                  </w:r>
                </w:p>
              </w:tc>
              <w:tc>
                <w:tcPr>
                  <w:tcW w:w="256" w:type="pct"/>
                  <w:tcBorders>
                    <w:tl2br w:val="nil"/>
                    <w:tr2bl w:val="nil"/>
                  </w:tcBorders>
                  <w:noWrap/>
                  <w:vAlign w:val="center"/>
                </w:tcPr>
                <w:p w14:paraId="08242864">
                  <w:pPr>
                    <w:widowControl/>
                    <w:adjustRightInd w:val="0"/>
                    <w:snapToGrid w:val="0"/>
                    <w:jc w:val="center"/>
                    <w:textAlignment w:val="center"/>
                    <w:rPr>
                      <w:sz w:val="21"/>
                      <w:szCs w:val="21"/>
                    </w:rPr>
                  </w:pPr>
                  <w:r>
                    <w:rPr>
                      <w:rFonts w:hint="eastAsia"/>
                      <w:sz w:val="21"/>
                      <w:szCs w:val="21"/>
                    </w:rPr>
                    <w:t>昼间</w:t>
                  </w:r>
                </w:p>
              </w:tc>
              <w:tc>
                <w:tcPr>
                  <w:tcW w:w="515" w:type="pct"/>
                  <w:tcBorders>
                    <w:tl2br w:val="nil"/>
                    <w:tr2bl w:val="nil"/>
                  </w:tcBorders>
                  <w:noWrap/>
                  <w:vAlign w:val="center"/>
                </w:tcPr>
                <w:p w14:paraId="6E2E2E10">
                  <w:pPr>
                    <w:widowControl/>
                    <w:adjustRightInd w:val="0"/>
                    <w:snapToGrid w:val="0"/>
                    <w:jc w:val="center"/>
                    <w:textAlignment w:val="center"/>
                    <w:rPr>
                      <w:sz w:val="21"/>
                      <w:szCs w:val="21"/>
                    </w:rPr>
                  </w:pPr>
                  <w:r>
                    <w:rPr>
                      <w:rFonts w:hint="eastAsia"/>
                      <w:sz w:val="21"/>
                      <w:szCs w:val="21"/>
                    </w:rPr>
                    <w:t>20</w:t>
                  </w:r>
                </w:p>
              </w:tc>
              <w:tc>
                <w:tcPr>
                  <w:tcW w:w="339" w:type="pct"/>
                  <w:tcBorders>
                    <w:tl2br w:val="nil"/>
                    <w:tr2bl w:val="nil"/>
                  </w:tcBorders>
                  <w:noWrap/>
                  <w:vAlign w:val="center"/>
                </w:tcPr>
                <w:p w14:paraId="7CA9FC51">
                  <w:pPr>
                    <w:widowControl/>
                    <w:adjustRightInd w:val="0"/>
                    <w:snapToGrid w:val="0"/>
                    <w:jc w:val="center"/>
                    <w:textAlignment w:val="center"/>
                    <w:rPr>
                      <w:sz w:val="21"/>
                      <w:szCs w:val="21"/>
                    </w:rPr>
                  </w:pPr>
                  <w:r>
                    <w:rPr>
                      <w:rFonts w:hint="eastAsia"/>
                      <w:sz w:val="21"/>
                      <w:szCs w:val="21"/>
                    </w:rPr>
                    <w:t>39.51</w:t>
                  </w:r>
                </w:p>
              </w:tc>
              <w:tc>
                <w:tcPr>
                  <w:tcW w:w="346" w:type="pct"/>
                  <w:tcBorders>
                    <w:tl2br w:val="nil"/>
                    <w:tr2bl w:val="nil"/>
                  </w:tcBorders>
                  <w:noWrap/>
                  <w:vAlign w:val="center"/>
                </w:tcPr>
                <w:p w14:paraId="2041ADD5">
                  <w:pPr>
                    <w:widowControl/>
                    <w:adjustRightInd w:val="0"/>
                    <w:snapToGrid w:val="0"/>
                    <w:jc w:val="center"/>
                    <w:textAlignment w:val="center"/>
                    <w:rPr>
                      <w:sz w:val="21"/>
                      <w:szCs w:val="21"/>
                    </w:rPr>
                  </w:pPr>
                  <w:r>
                    <w:rPr>
                      <w:rFonts w:hint="eastAsia"/>
                      <w:sz w:val="21"/>
                      <w:szCs w:val="21"/>
                    </w:rPr>
                    <w:t>1</w:t>
                  </w:r>
                </w:p>
              </w:tc>
            </w:tr>
            <w:tr w14:paraId="0AA492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7F9941C6">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357D56C5">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24769790">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74A13A8A">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684FA80E">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52EF1EE4">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3A80E9B2">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7E921578">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454EAB8F">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南</w:t>
                  </w:r>
                </w:p>
              </w:tc>
              <w:tc>
                <w:tcPr>
                  <w:tcW w:w="437" w:type="pct"/>
                  <w:tcBorders>
                    <w:tl2br w:val="nil"/>
                    <w:tr2bl w:val="nil"/>
                  </w:tcBorders>
                  <w:noWrap/>
                  <w:vAlign w:val="center"/>
                </w:tcPr>
                <w:p w14:paraId="7618564D">
                  <w:pPr>
                    <w:widowControl/>
                    <w:adjustRightInd w:val="0"/>
                    <w:snapToGrid w:val="0"/>
                    <w:jc w:val="center"/>
                    <w:textAlignment w:val="center"/>
                    <w:rPr>
                      <w:sz w:val="21"/>
                      <w:szCs w:val="21"/>
                    </w:rPr>
                  </w:pPr>
                  <w:r>
                    <w:rPr>
                      <w:rFonts w:hint="eastAsia"/>
                      <w:sz w:val="21"/>
                      <w:szCs w:val="21"/>
                    </w:rPr>
                    <w:t>115.56</w:t>
                  </w:r>
                </w:p>
              </w:tc>
              <w:tc>
                <w:tcPr>
                  <w:tcW w:w="471" w:type="pct"/>
                  <w:tcBorders>
                    <w:tl2br w:val="nil"/>
                    <w:tr2bl w:val="nil"/>
                  </w:tcBorders>
                  <w:noWrap/>
                  <w:vAlign w:val="center"/>
                </w:tcPr>
                <w:p w14:paraId="1EB3C182">
                  <w:pPr>
                    <w:widowControl/>
                    <w:adjustRightInd w:val="0"/>
                    <w:snapToGrid w:val="0"/>
                    <w:jc w:val="center"/>
                    <w:textAlignment w:val="center"/>
                    <w:rPr>
                      <w:sz w:val="21"/>
                      <w:szCs w:val="21"/>
                    </w:rPr>
                  </w:pPr>
                  <w:r>
                    <w:rPr>
                      <w:rFonts w:hint="eastAsia"/>
                      <w:sz w:val="21"/>
                      <w:szCs w:val="21"/>
                    </w:rPr>
                    <w:t>65.50</w:t>
                  </w:r>
                </w:p>
              </w:tc>
              <w:tc>
                <w:tcPr>
                  <w:tcW w:w="256" w:type="pct"/>
                  <w:tcBorders>
                    <w:tl2br w:val="nil"/>
                    <w:tr2bl w:val="nil"/>
                  </w:tcBorders>
                  <w:noWrap/>
                  <w:vAlign w:val="center"/>
                </w:tcPr>
                <w:p w14:paraId="711363AD">
                  <w:pPr>
                    <w:widowControl/>
                    <w:adjustRightInd w:val="0"/>
                    <w:snapToGrid w:val="0"/>
                    <w:jc w:val="center"/>
                    <w:textAlignment w:val="center"/>
                    <w:rPr>
                      <w:sz w:val="21"/>
                      <w:szCs w:val="21"/>
                    </w:rPr>
                  </w:pPr>
                  <w:r>
                    <w:rPr>
                      <w:rFonts w:hint="eastAsia"/>
                      <w:sz w:val="21"/>
                      <w:szCs w:val="21"/>
                    </w:rPr>
                    <w:t>昼间</w:t>
                  </w:r>
                </w:p>
              </w:tc>
              <w:tc>
                <w:tcPr>
                  <w:tcW w:w="515" w:type="pct"/>
                  <w:tcBorders>
                    <w:tl2br w:val="nil"/>
                    <w:tr2bl w:val="nil"/>
                  </w:tcBorders>
                  <w:noWrap/>
                  <w:vAlign w:val="center"/>
                </w:tcPr>
                <w:p w14:paraId="0FE3E0AE">
                  <w:pPr>
                    <w:widowControl/>
                    <w:adjustRightInd w:val="0"/>
                    <w:snapToGrid w:val="0"/>
                    <w:jc w:val="center"/>
                    <w:textAlignment w:val="center"/>
                    <w:rPr>
                      <w:sz w:val="21"/>
                      <w:szCs w:val="21"/>
                    </w:rPr>
                  </w:pPr>
                  <w:r>
                    <w:rPr>
                      <w:rFonts w:hint="eastAsia"/>
                      <w:sz w:val="21"/>
                      <w:szCs w:val="21"/>
                    </w:rPr>
                    <w:t>20</w:t>
                  </w:r>
                </w:p>
              </w:tc>
              <w:tc>
                <w:tcPr>
                  <w:tcW w:w="339" w:type="pct"/>
                  <w:tcBorders>
                    <w:tl2br w:val="nil"/>
                    <w:tr2bl w:val="nil"/>
                  </w:tcBorders>
                  <w:noWrap/>
                  <w:vAlign w:val="center"/>
                </w:tcPr>
                <w:p w14:paraId="342F3E5D">
                  <w:pPr>
                    <w:widowControl/>
                    <w:adjustRightInd w:val="0"/>
                    <w:snapToGrid w:val="0"/>
                    <w:jc w:val="center"/>
                    <w:textAlignment w:val="center"/>
                    <w:rPr>
                      <w:sz w:val="21"/>
                      <w:szCs w:val="21"/>
                    </w:rPr>
                  </w:pPr>
                  <w:r>
                    <w:rPr>
                      <w:rFonts w:hint="eastAsia"/>
                      <w:sz w:val="21"/>
                      <w:szCs w:val="21"/>
                    </w:rPr>
                    <w:t>39.50</w:t>
                  </w:r>
                </w:p>
              </w:tc>
              <w:tc>
                <w:tcPr>
                  <w:tcW w:w="346" w:type="pct"/>
                  <w:tcBorders>
                    <w:tl2br w:val="nil"/>
                    <w:tr2bl w:val="nil"/>
                  </w:tcBorders>
                  <w:noWrap/>
                  <w:vAlign w:val="center"/>
                </w:tcPr>
                <w:p w14:paraId="137856BF">
                  <w:pPr>
                    <w:widowControl/>
                    <w:adjustRightInd w:val="0"/>
                    <w:snapToGrid w:val="0"/>
                    <w:jc w:val="center"/>
                    <w:textAlignment w:val="center"/>
                    <w:rPr>
                      <w:sz w:val="21"/>
                      <w:szCs w:val="21"/>
                    </w:rPr>
                  </w:pPr>
                  <w:r>
                    <w:rPr>
                      <w:rFonts w:hint="eastAsia"/>
                      <w:sz w:val="21"/>
                      <w:szCs w:val="21"/>
                    </w:rPr>
                    <w:t>1</w:t>
                  </w:r>
                </w:p>
              </w:tc>
            </w:tr>
            <w:tr w14:paraId="354C83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66957D1C">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0FED8CFE">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27469C61">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5AEA003D">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5E181D8B">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5E324139">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48FD1ED8">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319516F7">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3F9EDB0C">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w:t>
                  </w:r>
                </w:p>
              </w:tc>
              <w:tc>
                <w:tcPr>
                  <w:tcW w:w="437" w:type="pct"/>
                  <w:tcBorders>
                    <w:tl2br w:val="nil"/>
                    <w:tr2bl w:val="nil"/>
                  </w:tcBorders>
                  <w:noWrap/>
                  <w:vAlign w:val="center"/>
                </w:tcPr>
                <w:p w14:paraId="4C46229E">
                  <w:pPr>
                    <w:widowControl/>
                    <w:adjustRightInd w:val="0"/>
                    <w:snapToGrid w:val="0"/>
                    <w:jc w:val="center"/>
                    <w:textAlignment w:val="center"/>
                    <w:rPr>
                      <w:sz w:val="21"/>
                      <w:szCs w:val="21"/>
                    </w:rPr>
                  </w:pPr>
                  <w:r>
                    <w:rPr>
                      <w:rFonts w:hint="eastAsia"/>
                      <w:sz w:val="21"/>
                      <w:szCs w:val="21"/>
                    </w:rPr>
                    <w:t>28.44</w:t>
                  </w:r>
                </w:p>
              </w:tc>
              <w:tc>
                <w:tcPr>
                  <w:tcW w:w="471" w:type="pct"/>
                  <w:tcBorders>
                    <w:tl2br w:val="nil"/>
                    <w:tr2bl w:val="nil"/>
                  </w:tcBorders>
                  <w:noWrap/>
                  <w:vAlign w:val="center"/>
                </w:tcPr>
                <w:p w14:paraId="39AAD746">
                  <w:pPr>
                    <w:widowControl/>
                    <w:adjustRightInd w:val="0"/>
                    <w:snapToGrid w:val="0"/>
                    <w:jc w:val="center"/>
                    <w:textAlignment w:val="center"/>
                    <w:rPr>
                      <w:sz w:val="21"/>
                      <w:szCs w:val="21"/>
                    </w:rPr>
                  </w:pPr>
                  <w:r>
                    <w:rPr>
                      <w:rFonts w:hint="eastAsia"/>
                      <w:sz w:val="21"/>
                      <w:szCs w:val="21"/>
                    </w:rPr>
                    <w:t>65.54</w:t>
                  </w:r>
                </w:p>
              </w:tc>
              <w:tc>
                <w:tcPr>
                  <w:tcW w:w="256" w:type="pct"/>
                  <w:tcBorders>
                    <w:tl2br w:val="nil"/>
                    <w:tr2bl w:val="nil"/>
                  </w:tcBorders>
                  <w:noWrap/>
                  <w:vAlign w:val="center"/>
                </w:tcPr>
                <w:p w14:paraId="6A116408">
                  <w:pPr>
                    <w:widowControl/>
                    <w:adjustRightInd w:val="0"/>
                    <w:snapToGrid w:val="0"/>
                    <w:jc w:val="center"/>
                    <w:textAlignment w:val="center"/>
                    <w:rPr>
                      <w:sz w:val="21"/>
                      <w:szCs w:val="21"/>
                    </w:rPr>
                  </w:pPr>
                  <w:r>
                    <w:rPr>
                      <w:rFonts w:hint="eastAsia"/>
                      <w:sz w:val="21"/>
                      <w:szCs w:val="21"/>
                    </w:rPr>
                    <w:t>昼间</w:t>
                  </w:r>
                </w:p>
              </w:tc>
              <w:tc>
                <w:tcPr>
                  <w:tcW w:w="515" w:type="pct"/>
                  <w:tcBorders>
                    <w:tl2br w:val="nil"/>
                    <w:tr2bl w:val="nil"/>
                  </w:tcBorders>
                  <w:noWrap/>
                  <w:vAlign w:val="center"/>
                </w:tcPr>
                <w:p w14:paraId="38376B50">
                  <w:pPr>
                    <w:widowControl/>
                    <w:adjustRightInd w:val="0"/>
                    <w:snapToGrid w:val="0"/>
                    <w:jc w:val="center"/>
                    <w:textAlignment w:val="center"/>
                    <w:rPr>
                      <w:sz w:val="21"/>
                      <w:szCs w:val="21"/>
                    </w:rPr>
                  </w:pPr>
                  <w:r>
                    <w:rPr>
                      <w:rFonts w:hint="eastAsia"/>
                      <w:sz w:val="21"/>
                      <w:szCs w:val="21"/>
                    </w:rPr>
                    <w:t>20</w:t>
                  </w:r>
                </w:p>
              </w:tc>
              <w:tc>
                <w:tcPr>
                  <w:tcW w:w="339" w:type="pct"/>
                  <w:tcBorders>
                    <w:tl2br w:val="nil"/>
                    <w:tr2bl w:val="nil"/>
                  </w:tcBorders>
                  <w:noWrap/>
                  <w:vAlign w:val="center"/>
                </w:tcPr>
                <w:p w14:paraId="411C9ED3">
                  <w:pPr>
                    <w:widowControl/>
                    <w:adjustRightInd w:val="0"/>
                    <w:snapToGrid w:val="0"/>
                    <w:jc w:val="center"/>
                    <w:textAlignment w:val="center"/>
                    <w:rPr>
                      <w:sz w:val="21"/>
                      <w:szCs w:val="21"/>
                    </w:rPr>
                  </w:pPr>
                  <w:r>
                    <w:rPr>
                      <w:rFonts w:hint="eastAsia"/>
                      <w:sz w:val="21"/>
                      <w:szCs w:val="21"/>
                    </w:rPr>
                    <w:t>39.54</w:t>
                  </w:r>
                </w:p>
              </w:tc>
              <w:tc>
                <w:tcPr>
                  <w:tcW w:w="346" w:type="pct"/>
                  <w:tcBorders>
                    <w:tl2br w:val="nil"/>
                    <w:tr2bl w:val="nil"/>
                  </w:tcBorders>
                  <w:noWrap/>
                  <w:vAlign w:val="center"/>
                </w:tcPr>
                <w:p w14:paraId="0205D86D">
                  <w:pPr>
                    <w:widowControl/>
                    <w:adjustRightInd w:val="0"/>
                    <w:snapToGrid w:val="0"/>
                    <w:jc w:val="center"/>
                    <w:textAlignment w:val="center"/>
                    <w:rPr>
                      <w:sz w:val="21"/>
                      <w:szCs w:val="21"/>
                    </w:rPr>
                  </w:pPr>
                  <w:r>
                    <w:rPr>
                      <w:rFonts w:hint="eastAsia"/>
                      <w:sz w:val="21"/>
                      <w:szCs w:val="21"/>
                    </w:rPr>
                    <w:t>1</w:t>
                  </w:r>
                </w:p>
              </w:tc>
            </w:tr>
            <w:tr w14:paraId="41AD51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 w:hRule="atLeast"/>
                <w:jc w:val="center"/>
              </w:trPr>
              <w:tc>
                <w:tcPr>
                  <w:tcW w:w="300" w:type="pct"/>
                  <w:vMerge w:val="continue"/>
                  <w:tcBorders>
                    <w:tl2br w:val="nil"/>
                    <w:tr2bl w:val="nil"/>
                  </w:tcBorders>
                  <w:noWrap/>
                  <w:vAlign w:val="center"/>
                </w:tcPr>
                <w:p w14:paraId="536DC2A9">
                  <w:pPr>
                    <w:widowControl/>
                    <w:adjustRightInd w:val="0"/>
                    <w:snapToGrid w:val="0"/>
                    <w:jc w:val="center"/>
                    <w:textAlignment w:val="center"/>
                    <w:rPr>
                      <w:color w:val="000000" w:themeColor="text1"/>
                      <w:sz w:val="21"/>
                      <w:szCs w:val="21"/>
                      <w14:textFill>
                        <w14:solidFill>
                          <w14:schemeClr w14:val="tx1"/>
                        </w14:solidFill>
                      </w14:textFill>
                    </w:rPr>
                  </w:pPr>
                </w:p>
              </w:tc>
              <w:tc>
                <w:tcPr>
                  <w:tcW w:w="257" w:type="pct"/>
                  <w:vMerge w:val="continue"/>
                  <w:tcBorders>
                    <w:tl2br w:val="nil"/>
                    <w:tr2bl w:val="nil"/>
                  </w:tcBorders>
                  <w:noWrap/>
                  <w:vAlign w:val="center"/>
                </w:tcPr>
                <w:p w14:paraId="34D1BAA4">
                  <w:pPr>
                    <w:widowControl/>
                    <w:adjustRightInd w:val="0"/>
                    <w:snapToGrid w:val="0"/>
                    <w:jc w:val="center"/>
                    <w:textAlignment w:val="center"/>
                    <w:rPr>
                      <w:color w:val="000000" w:themeColor="text1"/>
                      <w:sz w:val="21"/>
                      <w:szCs w:val="21"/>
                      <w14:textFill>
                        <w14:solidFill>
                          <w14:schemeClr w14:val="tx1"/>
                        </w14:solidFill>
                      </w14:textFill>
                    </w:rPr>
                  </w:pPr>
                </w:p>
              </w:tc>
              <w:tc>
                <w:tcPr>
                  <w:tcW w:w="269" w:type="pct"/>
                  <w:vMerge w:val="continue"/>
                  <w:tcBorders>
                    <w:tl2br w:val="nil"/>
                    <w:tr2bl w:val="nil"/>
                  </w:tcBorders>
                  <w:shd w:val="clear" w:color="auto" w:fill="FFFFFF"/>
                  <w:noWrap/>
                  <w:vAlign w:val="center"/>
                </w:tcPr>
                <w:p w14:paraId="6CF1F8F9">
                  <w:pPr>
                    <w:widowControl/>
                    <w:adjustRightInd w:val="0"/>
                    <w:snapToGrid w:val="0"/>
                    <w:jc w:val="center"/>
                    <w:textAlignment w:val="center"/>
                    <w:rPr>
                      <w:color w:val="000000" w:themeColor="text1"/>
                      <w:sz w:val="21"/>
                      <w:szCs w:val="21"/>
                      <w14:textFill>
                        <w14:solidFill>
                          <w14:schemeClr w14:val="tx1"/>
                        </w14:solidFill>
                      </w14:textFill>
                    </w:rPr>
                  </w:pPr>
                </w:p>
              </w:tc>
              <w:tc>
                <w:tcPr>
                  <w:tcW w:w="288" w:type="pct"/>
                  <w:vMerge w:val="continue"/>
                  <w:tcBorders>
                    <w:tl2br w:val="nil"/>
                    <w:tr2bl w:val="nil"/>
                  </w:tcBorders>
                  <w:noWrap/>
                  <w:vAlign w:val="center"/>
                </w:tcPr>
                <w:p w14:paraId="19E948AB">
                  <w:pPr>
                    <w:widowControl/>
                    <w:adjustRightInd w:val="0"/>
                    <w:snapToGrid w:val="0"/>
                    <w:jc w:val="center"/>
                    <w:textAlignment w:val="center"/>
                    <w:rPr>
                      <w:color w:val="000000" w:themeColor="text1"/>
                      <w:sz w:val="21"/>
                      <w:szCs w:val="21"/>
                      <w14:textFill>
                        <w14:solidFill>
                          <w14:schemeClr w14:val="tx1"/>
                        </w14:solidFill>
                      </w14:textFill>
                    </w:rPr>
                  </w:pPr>
                </w:p>
              </w:tc>
              <w:tc>
                <w:tcPr>
                  <w:tcW w:w="281" w:type="pct"/>
                  <w:vMerge w:val="continue"/>
                  <w:tcBorders>
                    <w:tl2br w:val="nil"/>
                    <w:tr2bl w:val="nil"/>
                  </w:tcBorders>
                  <w:noWrap/>
                  <w:vAlign w:val="center"/>
                </w:tcPr>
                <w:p w14:paraId="2595844A">
                  <w:pPr>
                    <w:widowControl/>
                    <w:adjustRightInd w:val="0"/>
                    <w:snapToGrid w:val="0"/>
                    <w:jc w:val="center"/>
                    <w:textAlignment w:val="center"/>
                    <w:rPr>
                      <w:color w:val="000000" w:themeColor="text1"/>
                      <w:sz w:val="21"/>
                      <w:szCs w:val="21"/>
                      <w14:textFill>
                        <w14:solidFill>
                          <w14:schemeClr w14:val="tx1"/>
                        </w14:solidFill>
                      </w14:textFill>
                    </w:rPr>
                  </w:pPr>
                </w:p>
              </w:tc>
              <w:tc>
                <w:tcPr>
                  <w:tcW w:w="348" w:type="pct"/>
                  <w:vMerge w:val="continue"/>
                  <w:tcBorders>
                    <w:tl2br w:val="nil"/>
                    <w:tr2bl w:val="nil"/>
                  </w:tcBorders>
                  <w:noWrap/>
                  <w:vAlign w:val="center"/>
                </w:tcPr>
                <w:p w14:paraId="7400DF40">
                  <w:pPr>
                    <w:widowControl/>
                    <w:adjustRightInd w:val="0"/>
                    <w:snapToGrid w:val="0"/>
                    <w:jc w:val="center"/>
                    <w:textAlignment w:val="center"/>
                    <w:rPr>
                      <w:color w:val="000000" w:themeColor="text1"/>
                      <w:sz w:val="21"/>
                      <w:szCs w:val="21"/>
                      <w14:textFill>
                        <w14:solidFill>
                          <w14:schemeClr w14:val="tx1"/>
                        </w14:solidFill>
                      </w14:textFill>
                    </w:rPr>
                  </w:pPr>
                </w:p>
              </w:tc>
              <w:tc>
                <w:tcPr>
                  <w:tcW w:w="326" w:type="pct"/>
                  <w:vMerge w:val="continue"/>
                  <w:tcBorders>
                    <w:tl2br w:val="nil"/>
                    <w:tr2bl w:val="nil"/>
                  </w:tcBorders>
                  <w:noWrap/>
                  <w:vAlign w:val="center"/>
                </w:tcPr>
                <w:p w14:paraId="60818851">
                  <w:pPr>
                    <w:widowControl/>
                    <w:adjustRightInd w:val="0"/>
                    <w:snapToGrid w:val="0"/>
                    <w:jc w:val="center"/>
                    <w:textAlignment w:val="center"/>
                    <w:rPr>
                      <w:color w:val="000000" w:themeColor="text1"/>
                      <w:sz w:val="21"/>
                      <w:szCs w:val="21"/>
                      <w14:textFill>
                        <w14:solidFill>
                          <w14:schemeClr w14:val="tx1"/>
                        </w14:solidFill>
                      </w14:textFill>
                    </w:rPr>
                  </w:pPr>
                </w:p>
              </w:tc>
              <w:tc>
                <w:tcPr>
                  <w:tcW w:w="223" w:type="pct"/>
                  <w:vMerge w:val="continue"/>
                  <w:tcBorders>
                    <w:tl2br w:val="nil"/>
                    <w:tr2bl w:val="nil"/>
                  </w:tcBorders>
                  <w:noWrap/>
                  <w:vAlign w:val="center"/>
                </w:tcPr>
                <w:p w14:paraId="6457852F">
                  <w:pPr>
                    <w:widowControl/>
                    <w:adjustRightInd w:val="0"/>
                    <w:snapToGrid w:val="0"/>
                    <w:jc w:val="center"/>
                    <w:textAlignment w:val="center"/>
                    <w:rPr>
                      <w:color w:val="000000" w:themeColor="text1"/>
                      <w:sz w:val="21"/>
                      <w:szCs w:val="21"/>
                      <w14:textFill>
                        <w14:solidFill>
                          <w14:schemeClr w14:val="tx1"/>
                        </w14:solidFill>
                      </w14:textFill>
                    </w:rPr>
                  </w:pPr>
                </w:p>
              </w:tc>
              <w:tc>
                <w:tcPr>
                  <w:tcW w:w="344" w:type="pct"/>
                  <w:tcBorders>
                    <w:tl2br w:val="nil"/>
                    <w:tr2bl w:val="nil"/>
                  </w:tcBorders>
                  <w:noWrap/>
                  <w:vAlign w:val="center"/>
                </w:tcPr>
                <w:p w14:paraId="0C9D3C49">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北</w:t>
                  </w:r>
                </w:p>
              </w:tc>
              <w:tc>
                <w:tcPr>
                  <w:tcW w:w="437" w:type="pct"/>
                  <w:tcBorders>
                    <w:tl2br w:val="nil"/>
                    <w:tr2bl w:val="nil"/>
                  </w:tcBorders>
                  <w:noWrap/>
                  <w:vAlign w:val="center"/>
                </w:tcPr>
                <w:p w14:paraId="071E78B1">
                  <w:pPr>
                    <w:widowControl/>
                    <w:adjustRightInd w:val="0"/>
                    <w:snapToGrid w:val="0"/>
                    <w:jc w:val="center"/>
                    <w:textAlignment w:val="center"/>
                    <w:rPr>
                      <w:sz w:val="21"/>
                      <w:szCs w:val="21"/>
                    </w:rPr>
                  </w:pPr>
                  <w:r>
                    <w:rPr>
                      <w:rFonts w:hint="eastAsia"/>
                      <w:sz w:val="21"/>
                      <w:szCs w:val="21"/>
                    </w:rPr>
                    <w:t>31.22</w:t>
                  </w:r>
                </w:p>
              </w:tc>
              <w:tc>
                <w:tcPr>
                  <w:tcW w:w="471" w:type="pct"/>
                  <w:tcBorders>
                    <w:tl2br w:val="nil"/>
                    <w:tr2bl w:val="nil"/>
                  </w:tcBorders>
                  <w:noWrap/>
                  <w:vAlign w:val="center"/>
                </w:tcPr>
                <w:p w14:paraId="3708CC4F">
                  <w:pPr>
                    <w:widowControl/>
                    <w:adjustRightInd w:val="0"/>
                    <w:snapToGrid w:val="0"/>
                    <w:jc w:val="center"/>
                    <w:textAlignment w:val="center"/>
                    <w:rPr>
                      <w:sz w:val="21"/>
                      <w:szCs w:val="21"/>
                    </w:rPr>
                  </w:pPr>
                  <w:r>
                    <w:rPr>
                      <w:rFonts w:hint="eastAsia"/>
                      <w:sz w:val="21"/>
                      <w:szCs w:val="21"/>
                    </w:rPr>
                    <w:t>65.53</w:t>
                  </w:r>
                </w:p>
              </w:tc>
              <w:tc>
                <w:tcPr>
                  <w:tcW w:w="256" w:type="pct"/>
                  <w:tcBorders>
                    <w:tl2br w:val="nil"/>
                    <w:tr2bl w:val="nil"/>
                  </w:tcBorders>
                  <w:noWrap/>
                  <w:vAlign w:val="center"/>
                </w:tcPr>
                <w:p w14:paraId="6792BA67">
                  <w:pPr>
                    <w:widowControl/>
                    <w:adjustRightInd w:val="0"/>
                    <w:snapToGrid w:val="0"/>
                    <w:jc w:val="center"/>
                    <w:textAlignment w:val="center"/>
                    <w:rPr>
                      <w:sz w:val="21"/>
                      <w:szCs w:val="21"/>
                    </w:rPr>
                  </w:pPr>
                  <w:r>
                    <w:rPr>
                      <w:rFonts w:hint="eastAsia"/>
                      <w:sz w:val="21"/>
                      <w:szCs w:val="21"/>
                    </w:rPr>
                    <w:t>昼间</w:t>
                  </w:r>
                </w:p>
              </w:tc>
              <w:tc>
                <w:tcPr>
                  <w:tcW w:w="515" w:type="pct"/>
                  <w:tcBorders>
                    <w:tl2br w:val="nil"/>
                    <w:tr2bl w:val="nil"/>
                  </w:tcBorders>
                  <w:noWrap/>
                  <w:vAlign w:val="center"/>
                </w:tcPr>
                <w:p w14:paraId="0305FB1B">
                  <w:pPr>
                    <w:widowControl/>
                    <w:adjustRightInd w:val="0"/>
                    <w:snapToGrid w:val="0"/>
                    <w:jc w:val="center"/>
                    <w:textAlignment w:val="center"/>
                    <w:rPr>
                      <w:sz w:val="21"/>
                      <w:szCs w:val="21"/>
                    </w:rPr>
                  </w:pPr>
                  <w:r>
                    <w:rPr>
                      <w:rFonts w:hint="eastAsia"/>
                      <w:sz w:val="21"/>
                      <w:szCs w:val="21"/>
                    </w:rPr>
                    <w:t>20</w:t>
                  </w:r>
                </w:p>
              </w:tc>
              <w:tc>
                <w:tcPr>
                  <w:tcW w:w="339" w:type="pct"/>
                  <w:tcBorders>
                    <w:tl2br w:val="nil"/>
                    <w:tr2bl w:val="nil"/>
                  </w:tcBorders>
                  <w:noWrap/>
                  <w:vAlign w:val="center"/>
                </w:tcPr>
                <w:p w14:paraId="177EEDB0">
                  <w:pPr>
                    <w:widowControl/>
                    <w:adjustRightInd w:val="0"/>
                    <w:snapToGrid w:val="0"/>
                    <w:jc w:val="center"/>
                    <w:textAlignment w:val="center"/>
                    <w:rPr>
                      <w:sz w:val="21"/>
                      <w:szCs w:val="21"/>
                    </w:rPr>
                  </w:pPr>
                  <w:r>
                    <w:rPr>
                      <w:rFonts w:hint="eastAsia"/>
                      <w:sz w:val="21"/>
                      <w:szCs w:val="21"/>
                    </w:rPr>
                    <w:t>39.53</w:t>
                  </w:r>
                </w:p>
              </w:tc>
              <w:tc>
                <w:tcPr>
                  <w:tcW w:w="346" w:type="pct"/>
                  <w:tcBorders>
                    <w:tl2br w:val="nil"/>
                    <w:tr2bl w:val="nil"/>
                  </w:tcBorders>
                  <w:noWrap/>
                  <w:vAlign w:val="center"/>
                </w:tcPr>
                <w:p w14:paraId="7B71393A">
                  <w:pPr>
                    <w:widowControl/>
                    <w:adjustRightInd w:val="0"/>
                    <w:snapToGrid w:val="0"/>
                    <w:jc w:val="center"/>
                    <w:textAlignment w:val="center"/>
                    <w:rPr>
                      <w:sz w:val="21"/>
                      <w:szCs w:val="21"/>
                    </w:rPr>
                  </w:pPr>
                  <w:r>
                    <w:rPr>
                      <w:rFonts w:hint="eastAsia"/>
                      <w:sz w:val="21"/>
                      <w:szCs w:val="21"/>
                    </w:rPr>
                    <w:t>1</w:t>
                  </w:r>
                </w:p>
              </w:tc>
            </w:tr>
          </w:tbl>
          <w:p w14:paraId="7E3E7562">
            <w:pPr>
              <w:pStyle w:val="20"/>
              <w:widowControl w:val="0"/>
              <w:kinsoku w:val="0"/>
              <w:wordWrap w:val="0"/>
              <w:autoSpaceDE w:val="0"/>
              <w:autoSpaceDN w:val="0"/>
              <w:adjustRightInd w:val="0"/>
              <w:snapToGrid w:val="0"/>
              <w:spacing w:before="0" w:beforeAutospacing="0" w:after="0" w:afterAutospacing="0"/>
              <w:jc w:val="both"/>
              <w:rPr>
                <w:rFonts w:hint="eastAsia"/>
                <w:b/>
                <w:bCs/>
                <w:color w:val="000000" w:themeColor="text1"/>
                <w:szCs w:val="24"/>
                <w14:textFill>
                  <w14:solidFill>
                    <w14:schemeClr w14:val="tx1"/>
                  </w14:solidFill>
                </w14:textFill>
              </w:rPr>
            </w:pPr>
          </w:p>
        </w:tc>
      </w:tr>
    </w:tbl>
    <w:p w14:paraId="161526CB">
      <w:pPr>
        <w:sectPr>
          <w:pgSz w:w="16838" w:h="11906" w:orient="landscape"/>
          <w:pgMar w:top="1800" w:right="1440" w:bottom="1800" w:left="1440" w:header="851" w:footer="992" w:gutter="0"/>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067"/>
      </w:tblGrid>
      <w:tr w14:paraId="3293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5" w:type="dxa"/>
            <w:vAlign w:val="center"/>
          </w:tcPr>
          <w:p w14:paraId="447DF9BC">
            <w:pPr>
              <w:jc w:val="center"/>
            </w:pPr>
            <w:r>
              <w:rPr>
                <w:rFonts w:hint="eastAsia"/>
              </w:rPr>
              <w:t>运营期环境影响和保护措施</w:t>
            </w:r>
          </w:p>
        </w:tc>
        <w:tc>
          <w:tcPr>
            <w:tcW w:w="8067" w:type="dxa"/>
          </w:tcPr>
          <w:p w14:paraId="2FE27FC8">
            <w:pPr>
              <w:pStyle w:val="20"/>
              <w:widowControl w:val="0"/>
              <w:kinsoku w:val="0"/>
              <w:wordWrap w:val="0"/>
              <w:autoSpaceDE w:val="0"/>
              <w:autoSpaceDN w:val="0"/>
              <w:adjustRightInd w:val="0"/>
              <w:snapToGrid w:val="0"/>
              <w:spacing w:before="0" w:beforeAutospacing="0" w:after="0" w:afterAutospacing="0"/>
              <w:jc w:val="center"/>
              <w:rPr>
                <w:rFonts w:hint="eastAsia"/>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表</w:t>
            </w:r>
            <w:r>
              <w:rPr>
                <w:rFonts w:ascii="Times New Roman" w:hAnsi="Times New Roman"/>
                <w:b/>
                <w:bCs/>
                <w:color w:val="000000" w:themeColor="text1"/>
                <w:szCs w:val="24"/>
                <w14:textFill>
                  <w14:solidFill>
                    <w14:schemeClr w14:val="tx1"/>
                  </w14:solidFill>
                </w14:textFill>
              </w:rPr>
              <w:t>4-</w:t>
            </w:r>
            <w:r>
              <w:rPr>
                <w:rFonts w:hint="eastAsia" w:ascii="Times New Roman" w:hAnsi="Times New Roman"/>
                <w:b/>
                <w:bCs/>
                <w:color w:val="000000" w:themeColor="text1"/>
                <w:szCs w:val="24"/>
                <w14:textFill>
                  <w14:solidFill>
                    <w14:schemeClr w14:val="tx1"/>
                  </w14:solidFill>
                </w14:textFill>
              </w:rPr>
              <w:t>14</w:t>
            </w:r>
            <w:r>
              <w:rPr>
                <w:rFonts w:hint="eastAsia"/>
                <w:b/>
                <w:bCs/>
                <w:color w:val="000000" w:themeColor="text1"/>
                <w:szCs w:val="24"/>
                <w14:textFill>
                  <w14:solidFill>
                    <w14:schemeClr w14:val="tx1"/>
                  </w14:solidFill>
                </w14:textFill>
              </w:rPr>
              <w:t xml:space="preserve">  工业企业噪声源强调查清单（室外噪声）</w:t>
            </w:r>
          </w:p>
          <w:tbl>
            <w:tblPr>
              <w:tblStyle w:val="24"/>
              <w:tblW w:w="4996"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29"/>
              <w:gridCol w:w="939"/>
              <w:gridCol w:w="775"/>
              <w:gridCol w:w="711"/>
              <w:gridCol w:w="721"/>
              <w:gridCol w:w="713"/>
              <w:gridCol w:w="822"/>
              <w:gridCol w:w="996"/>
              <w:gridCol w:w="978"/>
              <w:gridCol w:w="631"/>
            </w:tblGrid>
            <w:tr w14:paraId="160A64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338" w:type="pct"/>
                  <w:vMerge w:val="restart"/>
                  <w:tcBorders>
                    <w:tl2br w:val="nil"/>
                    <w:tr2bl w:val="nil"/>
                  </w:tcBorders>
                  <w:vAlign w:val="center"/>
                </w:tcPr>
                <w:p w14:paraId="1F4CF75F">
                  <w:pPr>
                    <w:widowControl/>
                    <w:jc w:val="center"/>
                    <w:textAlignment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序号</w:t>
                  </w:r>
                </w:p>
              </w:tc>
              <w:tc>
                <w:tcPr>
                  <w:tcW w:w="600" w:type="pct"/>
                  <w:vMerge w:val="restart"/>
                  <w:tcBorders>
                    <w:tl2br w:val="nil"/>
                    <w:tr2bl w:val="nil"/>
                  </w:tcBorders>
                  <w:vAlign w:val="center"/>
                </w:tcPr>
                <w:p w14:paraId="66BAB793">
                  <w:pPr>
                    <w:widowControl/>
                    <w:jc w:val="center"/>
                    <w:textAlignment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声源名称</w:t>
                  </w:r>
                </w:p>
              </w:tc>
              <w:tc>
                <w:tcPr>
                  <w:tcW w:w="495" w:type="pct"/>
                  <w:vMerge w:val="restart"/>
                  <w:tcBorders>
                    <w:tl2br w:val="nil"/>
                    <w:tr2bl w:val="nil"/>
                  </w:tcBorders>
                  <w:vAlign w:val="center"/>
                </w:tcPr>
                <w:p w14:paraId="242167DB">
                  <w:pPr>
                    <w:widowControl/>
                    <w:jc w:val="center"/>
                    <w:textAlignment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型号</w:t>
                  </w:r>
                </w:p>
              </w:tc>
              <w:tc>
                <w:tcPr>
                  <w:tcW w:w="1371" w:type="pct"/>
                  <w:gridSpan w:val="3"/>
                  <w:tcBorders>
                    <w:tl2br w:val="nil"/>
                    <w:tr2bl w:val="nil"/>
                  </w:tcBorders>
                  <w:vAlign w:val="center"/>
                </w:tcPr>
                <w:p w14:paraId="309A1427">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空间相对位置/m</w:t>
                  </w:r>
                </w:p>
              </w:tc>
              <w:tc>
                <w:tcPr>
                  <w:tcW w:w="1163" w:type="pct"/>
                  <w:gridSpan w:val="2"/>
                  <w:tcBorders>
                    <w:tl2br w:val="nil"/>
                    <w:tr2bl w:val="nil"/>
                  </w:tcBorders>
                  <w:vAlign w:val="center"/>
                </w:tcPr>
                <w:p w14:paraId="2203DC9C">
                  <w:pPr>
                    <w:widowControl/>
                    <w:jc w:val="center"/>
                    <w:textAlignment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声源源强</w:t>
                  </w:r>
                </w:p>
              </w:tc>
              <w:tc>
                <w:tcPr>
                  <w:tcW w:w="626" w:type="pct"/>
                  <w:vMerge w:val="restart"/>
                  <w:tcBorders>
                    <w:tl2br w:val="nil"/>
                    <w:tr2bl w:val="nil"/>
                  </w:tcBorders>
                  <w:vAlign w:val="center"/>
                </w:tcPr>
                <w:p w14:paraId="0933083E">
                  <w:pPr>
                    <w:widowControl/>
                    <w:jc w:val="center"/>
                    <w:textAlignment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声源控制措施</w:t>
                  </w:r>
                </w:p>
              </w:tc>
              <w:tc>
                <w:tcPr>
                  <w:tcW w:w="404" w:type="pct"/>
                  <w:vMerge w:val="restart"/>
                  <w:tcBorders>
                    <w:tl2br w:val="nil"/>
                    <w:tr2bl w:val="nil"/>
                  </w:tcBorders>
                  <w:vAlign w:val="center"/>
                </w:tcPr>
                <w:p w14:paraId="05CFF583">
                  <w:pPr>
                    <w:widowControl/>
                    <w:jc w:val="center"/>
                    <w:textAlignment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运行时段</w:t>
                  </w:r>
                </w:p>
              </w:tc>
            </w:tr>
            <w:tr w14:paraId="3F2BDB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338" w:type="pct"/>
                  <w:vMerge w:val="continue"/>
                  <w:tcBorders>
                    <w:tl2br w:val="nil"/>
                    <w:tr2bl w:val="nil"/>
                  </w:tcBorders>
                  <w:vAlign w:val="center"/>
                </w:tcPr>
                <w:p w14:paraId="27CDC23E">
                  <w:pPr>
                    <w:widowControl/>
                    <w:jc w:val="center"/>
                    <w:textAlignment w:val="center"/>
                    <w:rPr>
                      <w:color w:val="000000" w:themeColor="text1"/>
                      <w:sz w:val="21"/>
                      <w:szCs w:val="21"/>
                      <w14:textFill>
                        <w14:solidFill>
                          <w14:schemeClr w14:val="tx1"/>
                        </w14:solidFill>
                      </w14:textFill>
                    </w:rPr>
                  </w:pPr>
                </w:p>
              </w:tc>
              <w:tc>
                <w:tcPr>
                  <w:tcW w:w="600" w:type="pct"/>
                  <w:vMerge w:val="continue"/>
                  <w:tcBorders>
                    <w:tl2br w:val="nil"/>
                    <w:tr2bl w:val="nil"/>
                  </w:tcBorders>
                  <w:vAlign w:val="center"/>
                </w:tcPr>
                <w:p w14:paraId="1BA19393">
                  <w:pPr>
                    <w:widowControl/>
                    <w:jc w:val="center"/>
                    <w:textAlignment w:val="center"/>
                    <w:rPr>
                      <w:color w:val="000000" w:themeColor="text1"/>
                      <w:sz w:val="21"/>
                      <w:szCs w:val="21"/>
                      <w14:textFill>
                        <w14:solidFill>
                          <w14:schemeClr w14:val="tx1"/>
                        </w14:solidFill>
                      </w14:textFill>
                    </w:rPr>
                  </w:pPr>
                </w:p>
              </w:tc>
              <w:tc>
                <w:tcPr>
                  <w:tcW w:w="495" w:type="pct"/>
                  <w:vMerge w:val="continue"/>
                  <w:tcBorders>
                    <w:tl2br w:val="nil"/>
                    <w:tr2bl w:val="nil"/>
                  </w:tcBorders>
                  <w:vAlign w:val="center"/>
                </w:tcPr>
                <w:p w14:paraId="20A73A15">
                  <w:pPr>
                    <w:widowControl/>
                    <w:jc w:val="center"/>
                    <w:textAlignment w:val="center"/>
                    <w:rPr>
                      <w:color w:val="000000" w:themeColor="text1"/>
                      <w:sz w:val="21"/>
                      <w:szCs w:val="21"/>
                      <w14:textFill>
                        <w14:solidFill>
                          <w14:schemeClr w14:val="tx1"/>
                        </w14:solidFill>
                      </w14:textFill>
                    </w:rPr>
                  </w:pPr>
                </w:p>
              </w:tc>
              <w:tc>
                <w:tcPr>
                  <w:tcW w:w="454" w:type="pct"/>
                  <w:tcBorders>
                    <w:tl2br w:val="nil"/>
                    <w:tr2bl w:val="nil"/>
                  </w:tcBorders>
                  <w:vAlign w:val="center"/>
                </w:tcPr>
                <w:p w14:paraId="4A6BFCA3">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X</w:t>
                  </w:r>
                </w:p>
              </w:tc>
              <w:tc>
                <w:tcPr>
                  <w:tcW w:w="461" w:type="pct"/>
                  <w:tcBorders>
                    <w:tl2br w:val="nil"/>
                    <w:tr2bl w:val="nil"/>
                  </w:tcBorders>
                  <w:vAlign w:val="center"/>
                </w:tcPr>
                <w:p w14:paraId="2BC7DE38">
                  <w:pPr>
                    <w:widowControl/>
                    <w:jc w:val="center"/>
                    <w:textAlignment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Y</w:t>
                  </w:r>
                </w:p>
              </w:tc>
              <w:tc>
                <w:tcPr>
                  <w:tcW w:w="455" w:type="pct"/>
                  <w:tcBorders>
                    <w:tl2br w:val="nil"/>
                    <w:tr2bl w:val="nil"/>
                  </w:tcBorders>
                  <w:vAlign w:val="center"/>
                </w:tcPr>
                <w:p w14:paraId="2DA4DE7D">
                  <w:pPr>
                    <w:widowControl/>
                    <w:jc w:val="center"/>
                    <w:textAlignment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Z</w:t>
                  </w:r>
                </w:p>
              </w:tc>
              <w:tc>
                <w:tcPr>
                  <w:tcW w:w="526" w:type="pct"/>
                  <w:tcBorders>
                    <w:tl2br w:val="nil"/>
                    <w:tr2bl w:val="nil"/>
                  </w:tcBorders>
                  <w:vAlign w:val="center"/>
                </w:tcPr>
                <w:p w14:paraId="28F83A94">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声压级/dB(A)</w:t>
                  </w:r>
                </w:p>
              </w:tc>
              <w:tc>
                <w:tcPr>
                  <w:tcW w:w="637" w:type="pct"/>
                  <w:tcBorders>
                    <w:tl2br w:val="nil"/>
                    <w:tr2bl w:val="nil"/>
                  </w:tcBorders>
                  <w:vAlign w:val="center"/>
                </w:tcPr>
                <w:p w14:paraId="55EBF916">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距声源距离/m</w:t>
                  </w:r>
                </w:p>
              </w:tc>
              <w:tc>
                <w:tcPr>
                  <w:tcW w:w="626" w:type="pct"/>
                  <w:vMerge w:val="continue"/>
                  <w:tcBorders>
                    <w:tl2br w:val="nil"/>
                    <w:tr2bl w:val="nil"/>
                  </w:tcBorders>
                  <w:vAlign w:val="center"/>
                </w:tcPr>
                <w:p w14:paraId="58BF991B">
                  <w:pPr>
                    <w:widowControl/>
                    <w:jc w:val="center"/>
                    <w:textAlignment w:val="center"/>
                    <w:rPr>
                      <w:b/>
                      <w:bCs/>
                      <w:color w:val="000000" w:themeColor="text1"/>
                      <w:kern w:val="0"/>
                      <w:sz w:val="21"/>
                      <w:szCs w:val="21"/>
                      <w:lang w:bidi="ar"/>
                      <w14:textFill>
                        <w14:solidFill>
                          <w14:schemeClr w14:val="tx1"/>
                        </w14:solidFill>
                      </w14:textFill>
                    </w:rPr>
                  </w:pPr>
                </w:p>
              </w:tc>
              <w:tc>
                <w:tcPr>
                  <w:tcW w:w="404" w:type="pct"/>
                  <w:vMerge w:val="continue"/>
                  <w:tcBorders>
                    <w:tl2br w:val="nil"/>
                    <w:tr2bl w:val="nil"/>
                  </w:tcBorders>
                  <w:vAlign w:val="center"/>
                </w:tcPr>
                <w:p w14:paraId="49619206">
                  <w:pPr>
                    <w:widowControl/>
                    <w:jc w:val="center"/>
                    <w:textAlignment w:val="center"/>
                    <w:rPr>
                      <w:b/>
                      <w:bCs/>
                      <w:color w:val="000000" w:themeColor="text1"/>
                      <w:kern w:val="0"/>
                      <w:sz w:val="21"/>
                      <w:szCs w:val="21"/>
                      <w:lang w:bidi="ar"/>
                      <w14:textFill>
                        <w14:solidFill>
                          <w14:schemeClr w14:val="tx1"/>
                        </w14:solidFill>
                      </w14:textFill>
                    </w:rPr>
                  </w:pPr>
                </w:p>
              </w:tc>
            </w:tr>
            <w:tr w14:paraId="590B7A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338" w:type="pct"/>
                  <w:tcBorders>
                    <w:tl2br w:val="nil"/>
                    <w:tr2bl w:val="nil"/>
                  </w:tcBorders>
                  <w:vAlign w:val="center"/>
                </w:tcPr>
                <w:p w14:paraId="1095751A">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w:t>
                  </w:r>
                </w:p>
              </w:tc>
              <w:tc>
                <w:tcPr>
                  <w:tcW w:w="600" w:type="pct"/>
                  <w:tcBorders>
                    <w:tl2br w:val="nil"/>
                    <w:tr2bl w:val="nil"/>
                  </w:tcBorders>
                  <w:vAlign w:val="center"/>
                </w:tcPr>
                <w:p w14:paraId="50BA101B">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风机1</w:t>
                  </w:r>
                </w:p>
              </w:tc>
              <w:tc>
                <w:tcPr>
                  <w:tcW w:w="495" w:type="pct"/>
                  <w:tcBorders>
                    <w:tl2br w:val="nil"/>
                    <w:tr2bl w:val="nil"/>
                  </w:tcBorders>
                  <w:vAlign w:val="center"/>
                </w:tcPr>
                <w:p w14:paraId="0D08B55A">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454" w:type="pct"/>
                  <w:tcBorders>
                    <w:tl2br w:val="nil"/>
                    <w:tr2bl w:val="nil"/>
                  </w:tcBorders>
                  <w:vAlign w:val="center"/>
                </w:tcPr>
                <w:p w14:paraId="2221F37F">
                  <w:pPr>
                    <w:widowControl/>
                    <w:jc w:val="center"/>
                    <w:textAlignment w:val="center"/>
                    <w:rPr>
                      <w:color w:val="000000" w:themeColor="text1"/>
                      <w:kern w:val="0"/>
                      <w:sz w:val="21"/>
                      <w:szCs w:val="21"/>
                      <w:lang w:bidi="ar"/>
                      <w14:textFill>
                        <w14:solidFill>
                          <w14:schemeClr w14:val="tx1"/>
                        </w14:solidFill>
                      </w14:textFill>
                    </w:rPr>
                  </w:pPr>
                  <w:r>
                    <w:rPr>
                      <w:rFonts w:hint="eastAsia"/>
                    </w:rPr>
                    <w:t>-47.18</w:t>
                  </w:r>
                </w:p>
              </w:tc>
              <w:tc>
                <w:tcPr>
                  <w:tcW w:w="461" w:type="pct"/>
                  <w:tcBorders>
                    <w:tl2br w:val="nil"/>
                    <w:tr2bl w:val="nil"/>
                  </w:tcBorders>
                  <w:vAlign w:val="center"/>
                </w:tcPr>
                <w:p w14:paraId="0B8712A7">
                  <w:pPr>
                    <w:widowControl/>
                    <w:jc w:val="center"/>
                    <w:textAlignment w:val="center"/>
                    <w:rPr>
                      <w:color w:val="000000" w:themeColor="text1"/>
                      <w:kern w:val="0"/>
                      <w:sz w:val="21"/>
                      <w:szCs w:val="21"/>
                      <w:lang w:bidi="ar"/>
                      <w14:textFill>
                        <w14:solidFill>
                          <w14:schemeClr w14:val="tx1"/>
                        </w14:solidFill>
                      </w14:textFill>
                    </w:rPr>
                  </w:pPr>
                  <w:r>
                    <w:rPr>
                      <w:rFonts w:hint="eastAsia"/>
                    </w:rPr>
                    <w:t>-37.27</w:t>
                  </w:r>
                </w:p>
              </w:tc>
              <w:tc>
                <w:tcPr>
                  <w:tcW w:w="455" w:type="pct"/>
                  <w:tcBorders>
                    <w:tl2br w:val="nil"/>
                    <w:tr2bl w:val="nil"/>
                  </w:tcBorders>
                  <w:vAlign w:val="center"/>
                </w:tcPr>
                <w:p w14:paraId="57E33708">
                  <w:pPr>
                    <w:widowControl/>
                    <w:jc w:val="center"/>
                    <w:textAlignment w:val="center"/>
                    <w:rPr>
                      <w:color w:val="000000" w:themeColor="text1"/>
                      <w:kern w:val="0"/>
                      <w:sz w:val="21"/>
                      <w:szCs w:val="21"/>
                      <w:lang w:bidi="ar"/>
                      <w14:textFill>
                        <w14:solidFill>
                          <w14:schemeClr w14:val="tx1"/>
                        </w14:solidFill>
                      </w14:textFill>
                    </w:rPr>
                  </w:pPr>
                  <w:r>
                    <w:rPr>
                      <w:rFonts w:hint="eastAsia"/>
                    </w:rPr>
                    <w:t>1</w:t>
                  </w:r>
                </w:p>
              </w:tc>
              <w:tc>
                <w:tcPr>
                  <w:tcW w:w="526" w:type="pct"/>
                  <w:tcBorders>
                    <w:tl2br w:val="nil"/>
                    <w:tr2bl w:val="nil"/>
                  </w:tcBorders>
                  <w:vAlign w:val="center"/>
                </w:tcPr>
                <w:p w14:paraId="42C307BF">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80</w:t>
                  </w:r>
                </w:p>
              </w:tc>
              <w:tc>
                <w:tcPr>
                  <w:tcW w:w="637" w:type="pct"/>
                  <w:tcBorders>
                    <w:tl2br w:val="nil"/>
                    <w:tr2bl w:val="nil"/>
                  </w:tcBorders>
                  <w:vAlign w:val="center"/>
                </w:tcPr>
                <w:p w14:paraId="4F0CFC0F">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626" w:type="pct"/>
                  <w:tcBorders>
                    <w:tl2br w:val="nil"/>
                    <w:tr2bl w:val="nil"/>
                  </w:tcBorders>
                  <w:vAlign w:val="center"/>
                </w:tcPr>
                <w:p w14:paraId="402EA4D7">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安装减振基础</w:t>
                  </w:r>
                  <w:r>
                    <w:rPr>
                      <w:rFonts w:hint="eastAsia"/>
                      <w:color w:val="000000" w:themeColor="text1"/>
                      <w:kern w:val="0"/>
                      <w:sz w:val="21"/>
                      <w:szCs w:val="21"/>
                      <w:lang w:bidi="ar"/>
                      <w14:textFill>
                        <w14:solidFill>
                          <w14:schemeClr w14:val="tx1"/>
                        </w14:solidFill>
                      </w14:textFill>
                    </w:rPr>
                    <w:t>，设置隔声屏障</w:t>
                  </w:r>
                </w:p>
              </w:tc>
              <w:tc>
                <w:tcPr>
                  <w:tcW w:w="404" w:type="pct"/>
                  <w:tcBorders>
                    <w:tl2br w:val="nil"/>
                    <w:tr2bl w:val="nil"/>
                  </w:tcBorders>
                  <w:vAlign w:val="center"/>
                </w:tcPr>
                <w:p w14:paraId="58769A54">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昼夜</w:t>
                  </w:r>
                </w:p>
              </w:tc>
            </w:tr>
          </w:tbl>
          <w:p w14:paraId="286C64D5">
            <w:pPr>
              <w:pStyle w:val="20"/>
              <w:widowControl w:val="0"/>
              <w:kinsoku w:val="0"/>
              <w:autoSpaceDE w:val="0"/>
              <w:autoSpaceDN w:val="0"/>
              <w:spacing w:before="0" w:beforeAutospacing="0" w:after="0" w:afterAutospacing="0" w:line="360" w:lineRule="auto"/>
              <w:jc w:val="both"/>
              <w:rPr>
                <w:rFonts w:ascii="Times New Roman" w:hAnsi="Times New Roman"/>
                <w:b/>
                <w:bCs/>
                <w:snapToGrid w:val="0"/>
                <w:color w:val="000000"/>
                <w:szCs w:val="24"/>
              </w:rPr>
            </w:pPr>
            <w:r>
              <w:rPr>
                <w:rFonts w:hint="eastAsia" w:ascii="Times New Roman" w:hAnsi="Times New Roman"/>
                <w:b/>
                <w:bCs/>
                <w:snapToGrid w:val="0"/>
                <w:color w:val="000000"/>
                <w:szCs w:val="24"/>
              </w:rPr>
              <w:t>2、噪声污染防治措施</w:t>
            </w:r>
          </w:p>
          <w:p w14:paraId="6164F9E5">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ascii="Times New Roman" w:hAnsi="Times New Roman"/>
                <w:color w:val="000000"/>
                <w:kern w:val="2"/>
                <w:szCs w:val="24"/>
              </w:rPr>
              <w:t>为确保项目生产过程中厂界噪声达标排放，并进一步减轻噪声对周边环境的影响，环</w:t>
            </w:r>
            <w:r>
              <w:rPr>
                <w:rFonts w:hint="eastAsia" w:ascii="Times New Roman" w:hAnsi="Times New Roman"/>
                <w:color w:val="000000"/>
                <w:kern w:val="2"/>
                <w:szCs w:val="24"/>
              </w:rPr>
              <w:t>评</w:t>
            </w:r>
            <w:r>
              <w:rPr>
                <w:rFonts w:ascii="Times New Roman" w:hAnsi="Times New Roman"/>
                <w:color w:val="000000"/>
                <w:kern w:val="2"/>
                <w:szCs w:val="24"/>
              </w:rPr>
              <w:t>要求建设单位采取以下措施</w:t>
            </w:r>
            <w:r>
              <w:rPr>
                <w:rFonts w:hint="eastAsia" w:ascii="Times New Roman" w:hAnsi="Times New Roman"/>
                <w:color w:val="000000"/>
                <w:kern w:val="2"/>
                <w:szCs w:val="24"/>
              </w:rPr>
              <w:t>：</w:t>
            </w:r>
          </w:p>
          <w:p w14:paraId="79D3C112">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w:t>
            </w:r>
            <w:r>
              <w:rPr>
                <w:rFonts w:ascii="Times New Roman" w:hAnsi="Times New Roman"/>
                <w:color w:val="000000"/>
                <w:kern w:val="2"/>
                <w:szCs w:val="24"/>
              </w:rPr>
              <w:t>选用低噪声设备</w:t>
            </w:r>
            <w:r>
              <w:rPr>
                <w:rFonts w:hint="eastAsia" w:ascii="Times New Roman" w:hAnsi="Times New Roman"/>
                <w:color w:val="000000"/>
                <w:kern w:val="2"/>
                <w:szCs w:val="24"/>
              </w:rPr>
              <w:t>：</w:t>
            </w:r>
            <w:r>
              <w:rPr>
                <w:rFonts w:ascii="Times New Roman" w:hAnsi="Times New Roman"/>
                <w:color w:val="000000"/>
                <w:kern w:val="2"/>
                <w:szCs w:val="24"/>
              </w:rPr>
              <w:t>在满足项目生产工艺的前提下，尽可能选择先进、</w:t>
            </w:r>
            <w:r>
              <w:rPr>
                <w:rFonts w:hint="eastAsia" w:ascii="Times New Roman" w:hAnsi="Times New Roman"/>
                <w:color w:val="000000"/>
                <w:kern w:val="2"/>
                <w:szCs w:val="24"/>
              </w:rPr>
              <w:t>噪</w:t>
            </w:r>
            <w:r>
              <w:rPr>
                <w:rFonts w:ascii="Times New Roman" w:hAnsi="Times New Roman"/>
                <w:color w:val="000000"/>
                <w:kern w:val="2"/>
                <w:szCs w:val="24"/>
              </w:rPr>
              <w:t>声低的生产设备，从源头降低噪声。</w:t>
            </w:r>
          </w:p>
          <w:p w14:paraId="4BA2CB8C">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（2）</w:t>
            </w:r>
            <w:r>
              <w:rPr>
                <w:rFonts w:ascii="Times New Roman" w:hAnsi="Times New Roman"/>
                <w:color w:val="000000"/>
                <w:kern w:val="2"/>
                <w:szCs w:val="24"/>
              </w:rPr>
              <w:t>车间内合理布局</w:t>
            </w:r>
            <w:r>
              <w:rPr>
                <w:rFonts w:hint="eastAsia" w:ascii="Times New Roman" w:hAnsi="Times New Roman"/>
                <w:color w:val="000000"/>
                <w:kern w:val="2"/>
                <w:szCs w:val="24"/>
              </w:rPr>
              <w:t>：</w:t>
            </w:r>
            <w:r>
              <w:rPr>
                <w:rFonts w:ascii="Times New Roman" w:hAnsi="Times New Roman"/>
                <w:color w:val="000000"/>
                <w:kern w:val="2"/>
                <w:szCs w:val="24"/>
              </w:rPr>
              <w:t>将</w:t>
            </w:r>
            <w:r>
              <w:rPr>
                <w:rFonts w:hint="eastAsia" w:ascii="Times New Roman" w:hAnsi="Times New Roman"/>
                <w:color w:val="000000"/>
                <w:kern w:val="2"/>
                <w:szCs w:val="24"/>
              </w:rPr>
              <w:t>设备</w:t>
            </w:r>
            <w:r>
              <w:rPr>
                <w:rFonts w:ascii="Times New Roman" w:hAnsi="Times New Roman"/>
                <w:color w:val="000000"/>
                <w:kern w:val="2"/>
                <w:szCs w:val="24"/>
              </w:rPr>
              <w:t>全部安置在车间内，在满足生产的前提下综合考虑，在车间设备布置时考虑地形、声源方向性和车间噪声强弱等因素，进行合理布局以求进一步降低厂界噪声。</w:t>
            </w:r>
          </w:p>
          <w:p w14:paraId="3F678503">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（3）</w:t>
            </w:r>
            <w:r>
              <w:rPr>
                <w:rFonts w:ascii="Times New Roman" w:hAnsi="Times New Roman"/>
                <w:color w:val="000000"/>
                <w:kern w:val="2"/>
                <w:szCs w:val="24"/>
              </w:rPr>
              <w:t>设备在安装时，根据设备的自重及振动特性采用合适的减振垫，以减轻由于设备自身振动引起的结构传声对周围环境产生的影响</w:t>
            </w:r>
            <w:r>
              <w:rPr>
                <w:rFonts w:hint="eastAsia" w:ascii="Times New Roman" w:hAnsi="Times New Roman"/>
                <w:color w:val="000000"/>
                <w:kern w:val="2"/>
                <w:szCs w:val="24"/>
              </w:rPr>
              <w:t>。</w:t>
            </w:r>
          </w:p>
          <w:p w14:paraId="0166A50D">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（4）</w:t>
            </w:r>
            <w:r>
              <w:rPr>
                <w:rFonts w:ascii="Times New Roman" w:hAnsi="Times New Roman"/>
                <w:color w:val="000000"/>
                <w:kern w:val="2"/>
                <w:szCs w:val="24"/>
              </w:rPr>
              <w:t>加强设备的维护，确保设备处于良好的运转状态</w:t>
            </w:r>
            <w:r>
              <w:rPr>
                <w:rFonts w:hint="eastAsia" w:ascii="Times New Roman" w:hAnsi="Times New Roman"/>
                <w:color w:val="000000"/>
                <w:kern w:val="2"/>
                <w:szCs w:val="24"/>
              </w:rPr>
              <w:t>。</w:t>
            </w:r>
          </w:p>
          <w:p w14:paraId="59D698D8">
            <w:pPr>
              <w:pStyle w:val="20"/>
              <w:widowControl w:val="0"/>
              <w:kinsoku w:val="0"/>
              <w:autoSpaceDE w:val="0"/>
              <w:autoSpaceDN w:val="0"/>
              <w:spacing w:before="0" w:beforeAutospacing="0" w:after="0" w:afterAutospacing="0" w:line="360" w:lineRule="auto"/>
              <w:jc w:val="both"/>
              <w:rPr>
                <w:rFonts w:ascii="Times New Roman" w:hAnsi="Times New Roman"/>
                <w:b/>
                <w:bCs/>
                <w:snapToGrid w:val="0"/>
                <w:color w:val="000000"/>
                <w:szCs w:val="24"/>
              </w:rPr>
            </w:pPr>
            <w:r>
              <w:rPr>
                <w:rFonts w:ascii="Times New Roman" w:hAnsi="Times New Roman"/>
                <w:b/>
                <w:bCs/>
                <w:snapToGrid w:val="0"/>
                <w:color w:val="000000"/>
                <w:szCs w:val="24"/>
              </w:rPr>
              <w:t>3、噪声排放达标性分析</w:t>
            </w:r>
          </w:p>
          <w:p w14:paraId="18B28E5C">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（1）噪声预测模式</w:t>
            </w:r>
          </w:p>
          <w:p w14:paraId="150C0FFA">
            <w:pPr>
              <w:pStyle w:val="33"/>
              <w:ind w:firstLine="480"/>
              <w:rPr>
                <w:rFonts w:hint="default"/>
                <w:kern w:val="2"/>
              </w:rPr>
            </w:pPr>
            <w:r>
              <w:rPr>
                <w:kern w:val="2"/>
              </w:rPr>
              <w:t>结合项目噪声源的特征及排放特点，根据《环境影响评价技术导则 声环境》（</w:t>
            </w:r>
            <w:r>
              <w:rPr>
                <w:rFonts w:hint="default"/>
                <w:kern w:val="2"/>
              </w:rPr>
              <w:t>HJ2.4-2021</w:t>
            </w:r>
            <w:r>
              <w:rPr>
                <w:kern w:val="2"/>
              </w:rPr>
              <w:t>）推荐的工业噪声预测计算模式，本项目可采用等效室外声源声功率级法进行计算。</w:t>
            </w:r>
          </w:p>
          <w:p w14:paraId="0ACDB846">
            <w:pPr>
              <w:pStyle w:val="33"/>
              <w:ind w:firstLine="480"/>
              <w:rPr>
                <w:rFonts w:hint="default"/>
                <w:kern w:val="2"/>
              </w:rPr>
            </w:pPr>
            <w:r>
              <w:rPr>
                <w:kern w:val="2"/>
              </w:rPr>
              <w:t>1）对室外噪声源主要考虑噪声的几何发散衰减及环境因素衰减：</w:t>
            </w:r>
          </w:p>
          <w:p w14:paraId="11230FBA">
            <w:pPr>
              <w:pStyle w:val="33"/>
              <w:kinsoku w:val="0"/>
              <w:autoSpaceDE w:val="0"/>
              <w:autoSpaceDN w:val="0"/>
              <w:ind w:firstLine="0" w:firstLineChars="0"/>
              <w:jc w:val="center"/>
              <w:rPr>
                <w:rFonts w:hint="default"/>
                <w:kern w:val="2"/>
              </w:rPr>
            </w:pPr>
            <w:r>
              <w:rPr>
                <w:rFonts w:hint="default"/>
                <w:kern w:val="2"/>
              </w:rPr>
              <w:drawing>
                <wp:inline distT="0" distB="0" distL="114300" distR="114300">
                  <wp:extent cx="2738120" cy="384175"/>
                  <wp:effectExtent l="0" t="0" r="5080" b="1587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4"/>
                          <a:stretch>
                            <a:fillRect/>
                          </a:stretch>
                        </pic:blipFill>
                        <pic:spPr>
                          <a:xfrm>
                            <a:off x="0" y="0"/>
                            <a:ext cx="2738120" cy="384175"/>
                          </a:xfrm>
                          <a:prstGeom prst="rect">
                            <a:avLst/>
                          </a:prstGeom>
                          <a:noFill/>
                          <a:ln>
                            <a:noFill/>
                          </a:ln>
                        </pic:spPr>
                      </pic:pic>
                    </a:graphicData>
                  </a:graphic>
                </wp:inline>
              </w:drawing>
            </w:r>
          </w:p>
          <w:p w14:paraId="091F1230">
            <w:pPr>
              <w:pStyle w:val="33"/>
              <w:ind w:firstLine="480"/>
              <w:rPr>
                <w:rFonts w:hint="default"/>
                <w:kern w:val="2"/>
              </w:rPr>
            </w:pPr>
            <w:r>
              <w:rPr>
                <w:kern w:val="2"/>
              </w:rPr>
              <w:t>式中：</w:t>
            </w:r>
            <w:r>
              <w:rPr>
                <w:rFonts w:hint="default"/>
                <w:kern w:val="2"/>
              </w:rPr>
              <w:t>Lp</w:t>
            </w:r>
            <w:r>
              <w:rPr>
                <w:kern w:val="2"/>
              </w:rPr>
              <w:t>（</w:t>
            </w:r>
            <w:r>
              <w:rPr>
                <w:rFonts w:hint="default"/>
                <w:kern w:val="2"/>
              </w:rPr>
              <w:t>r</w:t>
            </w:r>
            <w:r>
              <w:rPr>
                <w:kern w:val="2"/>
              </w:rPr>
              <w:t>）</w:t>
            </w:r>
            <w:r>
              <w:rPr>
                <w:rFonts w:hint="default"/>
                <w:kern w:val="2"/>
              </w:rPr>
              <w:t>——</w:t>
            </w:r>
            <w:r>
              <w:rPr>
                <w:kern w:val="2"/>
              </w:rPr>
              <w:t>点声源在预测点产生的声压级，</w:t>
            </w:r>
            <w:r>
              <w:rPr>
                <w:rFonts w:hint="default"/>
                <w:kern w:val="2"/>
              </w:rPr>
              <w:t>dB</w:t>
            </w:r>
            <w:r>
              <w:rPr>
                <w:kern w:val="2"/>
              </w:rPr>
              <w:t>（</w:t>
            </w:r>
            <w:r>
              <w:rPr>
                <w:rFonts w:hint="default"/>
                <w:kern w:val="2"/>
              </w:rPr>
              <w:t>A</w:t>
            </w:r>
            <w:r>
              <w:rPr>
                <w:kern w:val="2"/>
              </w:rPr>
              <w:t>）；</w:t>
            </w:r>
          </w:p>
          <w:p w14:paraId="08097716">
            <w:pPr>
              <w:pStyle w:val="33"/>
              <w:ind w:firstLine="480"/>
              <w:rPr>
                <w:rFonts w:hint="default"/>
                <w:kern w:val="2"/>
              </w:rPr>
            </w:pPr>
            <w:r>
              <w:rPr>
                <w:rFonts w:hint="default"/>
                <w:kern w:val="2"/>
              </w:rPr>
              <w:t>Lp</w:t>
            </w:r>
            <w:r>
              <w:rPr>
                <w:kern w:val="2"/>
              </w:rPr>
              <w:t>（</w:t>
            </w:r>
            <w:r>
              <w:rPr>
                <w:rFonts w:hint="default"/>
                <w:kern w:val="2"/>
              </w:rPr>
              <w:t>r0</w:t>
            </w:r>
            <w:r>
              <w:rPr>
                <w:kern w:val="2"/>
              </w:rPr>
              <w:t>）</w:t>
            </w:r>
            <w:r>
              <w:rPr>
                <w:rFonts w:hint="default"/>
                <w:kern w:val="2"/>
              </w:rPr>
              <w:t>——</w:t>
            </w:r>
            <w:r>
              <w:rPr>
                <w:kern w:val="2"/>
              </w:rPr>
              <w:t xml:space="preserve">点声源在参考点 </w:t>
            </w:r>
            <w:r>
              <w:rPr>
                <w:rFonts w:hint="default"/>
                <w:kern w:val="2"/>
              </w:rPr>
              <w:t xml:space="preserve">r0 </w:t>
            </w:r>
            <w:r>
              <w:rPr>
                <w:kern w:val="2"/>
              </w:rPr>
              <w:t>产生的声压级，</w:t>
            </w:r>
            <w:r>
              <w:rPr>
                <w:rFonts w:hint="default"/>
                <w:kern w:val="2"/>
              </w:rPr>
              <w:t>dB</w:t>
            </w:r>
            <w:r>
              <w:rPr>
                <w:kern w:val="2"/>
              </w:rPr>
              <w:t>（</w:t>
            </w:r>
            <w:r>
              <w:rPr>
                <w:rFonts w:hint="default"/>
                <w:kern w:val="2"/>
              </w:rPr>
              <w:t>A</w:t>
            </w:r>
            <w:r>
              <w:rPr>
                <w:kern w:val="2"/>
              </w:rPr>
              <w:t>）；</w:t>
            </w:r>
          </w:p>
          <w:p w14:paraId="6E2A2A95">
            <w:pPr>
              <w:pStyle w:val="33"/>
              <w:ind w:firstLine="480"/>
              <w:rPr>
                <w:rFonts w:hint="default"/>
                <w:kern w:val="2"/>
              </w:rPr>
            </w:pPr>
            <w:r>
              <w:rPr>
                <w:rFonts w:hint="default"/>
                <w:kern w:val="2"/>
              </w:rPr>
              <w:t>r——</w:t>
            </w:r>
            <w:r>
              <w:rPr>
                <w:kern w:val="2"/>
              </w:rPr>
              <w:t>预测点距声源的距离，</w:t>
            </w:r>
            <w:r>
              <w:rPr>
                <w:rFonts w:hint="default"/>
                <w:kern w:val="2"/>
              </w:rPr>
              <w:t>m</w:t>
            </w:r>
            <w:r>
              <w:rPr>
                <w:kern w:val="2"/>
              </w:rPr>
              <w:t>；</w:t>
            </w:r>
          </w:p>
          <w:p w14:paraId="62B07AAE">
            <w:pPr>
              <w:pStyle w:val="33"/>
              <w:ind w:firstLine="480"/>
              <w:rPr>
                <w:rFonts w:hint="default"/>
                <w:kern w:val="2"/>
              </w:rPr>
            </w:pPr>
            <w:r>
              <w:rPr>
                <w:rFonts w:hint="default"/>
                <w:kern w:val="2"/>
              </w:rPr>
              <w:t>r0——</w:t>
            </w:r>
            <w:r>
              <w:rPr>
                <w:kern w:val="2"/>
              </w:rPr>
              <w:t>参考位置距声源的距离，</w:t>
            </w:r>
            <w:r>
              <w:rPr>
                <w:rFonts w:hint="default"/>
                <w:kern w:val="2"/>
              </w:rPr>
              <w:t>m</w:t>
            </w:r>
            <w:r>
              <w:rPr>
                <w:kern w:val="2"/>
              </w:rPr>
              <w:t>；</w:t>
            </w:r>
          </w:p>
          <w:p w14:paraId="275F5C6C">
            <w:pPr>
              <w:pStyle w:val="33"/>
              <w:ind w:firstLine="480"/>
              <w:rPr>
                <w:rFonts w:hint="default"/>
                <w:kern w:val="2"/>
              </w:rPr>
            </w:pPr>
            <w:r>
              <w:rPr>
                <w:rFonts w:hint="default"/>
                <w:kern w:val="2"/>
              </w:rPr>
              <w:t>ΔL——</w:t>
            </w:r>
            <w:r>
              <w:rPr>
                <w:kern w:val="2"/>
              </w:rPr>
              <w:t>各种因素引起的衰减量（包括声屏障、空气吸收等引起的衰减量），</w:t>
            </w:r>
            <w:r>
              <w:rPr>
                <w:rFonts w:hint="default"/>
                <w:kern w:val="2"/>
              </w:rPr>
              <w:t>dB</w:t>
            </w:r>
            <w:r>
              <w:rPr>
                <w:kern w:val="2"/>
              </w:rPr>
              <w:t>（</w:t>
            </w:r>
            <w:r>
              <w:rPr>
                <w:rFonts w:hint="default"/>
                <w:kern w:val="2"/>
              </w:rPr>
              <w:t>A</w:t>
            </w:r>
            <w:r>
              <w:rPr>
                <w:kern w:val="2"/>
              </w:rPr>
              <w:t>）。</w:t>
            </w:r>
          </w:p>
          <w:p w14:paraId="106974B4">
            <w:pPr>
              <w:pStyle w:val="33"/>
              <w:ind w:firstLine="480"/>
              <w:rPr>
                <w:rFonts w:hint="default"/>
                <w:kern w:val="2"/>
              </w:rPr>
            </w:pPr>
            <w:r>
              <w:rPr>
                <w:kern w:val="2"/>
              </w:rPr>
              <w:t>2）对室内噪声源采用室内声源噪声模式并换算成等效的室外声源：</w:t>
            </w:r>
          </w:p>
          <w:p w14:paraId="38AECC39">
            <w:pPr>
              <w:pStyle w:val="33"/>
              <w:kinsoku w:val="0"/>
              <w:autoSpaceDE w:val="0"/>
              <w:autoSpaceDN w:val="0"/>
              <w:ind w:firstLine="0" w:firstLineChars="0"/>
              <w:jc w:val="center"/>
              <w:rPr>
                <w:rFonts w:hint="default"/>
                <w:kern w:val="2"/>
              </w:rPr>
            </w:pPr>
            <w:r>
              <w:rPr>
                <w:rFonts w:hint="default"/>
                <w:kern w:val="2"/>
              </w:rPr>
              <w:drawing>
                <wp:inline distT="0" distB="0" distL="114300" distR="114300">
                  <wp:extent cx="2877185" cy="593725"/>
                  <wp:effectExtent l="0" t="0" r="18415" b="1587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5"/>
                          <a:stretch>
                            <a:fillRect/>
                          </a:stretch>
                        </pic:blipFill>
                        <pic:spPr>
                          <a:xfrm>
                            <a:off x="0" y="0"/>
                            <a:ext cx="2877185" cy="593725"/>
                          </a:xfrm>
                          <a:prstGeom prst="rect">
                            <a:avLst/>
                          </a:prstGeom>
                          <a:noFill/>
                          <a:ln>
                            <a:noFill/>
                          </a:ln>
                        </pic:spPr>
                      </pic:pic>
                    </a:graphicData>
                  </a:graphic>
                </wp:inline>
              </w:drawing>
            </w:r>
          </w:p>
          <w:p w14:paraId="24DD6E57">
            <w:pPr>
              <w:pStyle w:val="33"/>
              <w:ind w:firstLine="480"/>
              <w:rPr>
                <w:rFonts w:hint="default"/>
                <w:kern w:val="2"/>
              </w:rPr>
            </w:pPr>
            <w:r>
              <w:rPr>
                <w:kern w:val="2"/>
              </w:rPr>
              <w:t>式中：</w:t>
            </w:r>
            <w:r>
              <w:rPr>
                <w:rFonts w:hint="default"/>
                <w:kern w:val="2"/>
              </w:rPr>
              <w:t>Lp1—</w:t>
            </w:r>
            <w:r>
              <w:rPr>
                <w:kern w:val="2"/>
              </w:rPr>
              <w:t>靠近开口处（或窗户）室内某倍频带的声压级或</w:t>
            </w:r>
            <w:r>
              <w:rPr>
                <w:rFonts w:hint="default"/>
                <w:kern w:val="2"/>
              </w:rPr>
              <w:t>A</w:t>
            </w:r>
            <w:r>
              <w:rPr>
                <w:kern w:val="2"/>
              </w:rPr>
              <w:t>声级，</w:t>
            </w:r>
            <w:r>
              <w:rPr>
                <w:rFonts w:hint="default"/>
                <w:kern w:val="2"/>
              </w:rPr>
              <w:t>dB</w:t>
            </w:r>
            <w:r>
              <w:rPr>
                <w:kern w:val="2"/>
              </w:rPr>
              <w:t>；</w:t>
            </w:r>
          </w:p>
          <w:p w14:paraId="5DDECBF5">
            <w:pPr>
              <w:pStyle w:val="33"/>
              <w:ind w:firstLine="480"/>
              <w:rPr>
                <w:rFonts w:hint="default"/>
                <w:kern w:val="2"/>
              </w:rPr>
            </w:pPr>
            <w:r>
              <w:rPr>
                <w:rFonts w:hint="default"/>
                <w:kern w:val="2"/>
              </w:rPr>
              <w:t>LW—</w:t>
            </w:r>
            <w:r>
              <w:rPr>
                <w:kern w:val="2"/>
              </w:rPr>
              <w:t>点声源声功率级（</w:t>
            </w:r>
            <w:r>
              <w:rPr>
                <w:rFonts w:hint="default"/>
                <w:kern w:val="2"/>
              </w:rPr>
              <w:t>A</w:t>
            </w:r>
            <w:r>
              <w:rPr>
                <w:kern w:val="2"/>
              </w:rPr>
              <w:t>计权或倍频带），</w:t>
            </w:r>
            <w:r>
              <w:rPr>
                <w:rFonts w:hint="default"/>
                <w:kern w:val="2"/>
              </w:rPr>
              <w:t>dB</w:t>
            </w:r>
            <w:r>
              <w:rPr>
                <w:kern w:val="2"/>
              </w:rPr>
              <w:t>；</w:t>
            </w:r>
          </w:p>
          <w:p w14:paraId="4743535D">
            <w:pPr>
              <w:pStyle w:val="33"/>
              <w:ind w:firstLine="480"/>
              <w:rPr>
                <w:rFonts w:hint="default"/>
                <w:kern w:val="2"/>
              </w:rPr>
            </w:pPr>
            <w:r>
              <w:rPr>
                <w:rFonts w:hint="default"/>
                <w:kern w:val="2"/>
              </w:rPr>
              <w:t>Lp1i</w:t>
            </w:r>
            <w:r>
              <w:rPr>
                <w:kern w:val="2"/>
              </w:rPr>
              <w:t>（</w:t>
            </w:r>
            <w:r>
              <w:rPr>
                <w:rFonts w:hint="default"/>
                <w:kern w:val="2"/>
              </w:rPr>
              <w:t>T</w:t>
            </w:r>
            <w:r>
              <w:rPr>
                <w:kern w:val="2"/>
              </w:rPr>
              <w:t>）</w:t>
            </w:r>
            <w:r>
              <w:rPr>
                <w:rFonts w:hint="default"/>
                <w:kern w:val="2"/>
              </w:rPr>
              <w:t>—</w:t>
            </w:r>
            <w:r>
              <w:rPr>
                <w:kern w:val="2"/>
              </w:rPr>
              <w:t>靠近围护结构处室内</w:t>
            </w:r>
            <w:r>
              <w:rPr>
                <w:rFonts w:hint="default"/>
                <w:kern w:val="2"/>
              </w:rPr>
              <w:t>N</w:t>
            </w:r>
            <w:r>
              <w:rPr>
                <w:kern w:val="2"/>
              </w:rPr>
              <w:t>个声源</w:t>
            </w:r>
            <w:r>
              <w:rPr>
                <w:rFonts w:hint="default"/>
                <w:kern w:val="2"/>
              </w:rPr>
              <w:t>i</w:t>
            </w:r>
            <w:r>
              <w:rPr>
                <w:kern w:val="2"/>
              </w:rPr>
              <w:t>倍频带的叠加声压级，</w:t>
            </w:r>
            <w:r>
              <w:rPr>
                <w:rFonts w:hint="default"/>
                <w:kern w:val="2"/>
              </w:rPr>
              <w:t>dB</w:t>
            </w:r>
            <w:r>
              <w:rPr>
                <w:kern w:val="2"/>
              </w:rPr>
              <w:t>；</w:t>
            </w:r>
          </w:p>
          <w:p w14:paraId="7CE1FD0F">
            <w:pPr>
              <w:pStyle w:val="33"/>
              <w:ind w:firstLine="480"/>
              <w:rPr>
                <w:rFonts w:hint="default"/>
                <w:kern w:val="2"/>
              </w:rPr>
            </w:pPr>
            <w:r>
              <w:rPr>
                <w:rFonts w:hint="default"/>
                <w:kern w:val="2"/>
              </w:rPr>
              <w:t>r——</w:t>
            </w:r>
            <w:r>
              <w:rPr>
                <w:kern w:val="2"/>
              </w:rPr>
              <w:t>声源与室内靠近围护结构处的距离，</w:t>
            </w:r>
            <w:r>
              <w:rPr>
                <w:rFonts w:hint="default"/>
                <w:kern w:val="2"/>
              </w:rPr>
              <w:t>m</w:t>
            </w:r>
            <w:r>
              <w:rPr>
                <w:kern w:val="2"/>
              </w:rPr>
              <w:t>；</w:t>
            </w:r>
          </w:p>
          <w:p w14:paraId="04B62655">
            <w:pPr>
              <w:pStyle w:val="33"/>
              <w:ind w:firstLine="480"/>
              <w:rPr>
                <w:rFonts w:hint="default"/>
                <w:kern w:val="2"/>
              </w:rPr>
            </w:pPr>
            <w:r>
              <w:rPr>
                <w:rFonts w:hint="default"/>
                <w:kern w:val="2"/>
              </w:rPr>
              <w:t>R——</w:t>
            </w:r>
            <w:r>
              <w:rPr>
                <w:kern w:val="2"/>
              </w:rPr>
              <w:t>房间常数，</w:t>
            </w:r>
            <w:r>
              <w:rPr>
                <w:rFonts w:hint="default"/>
                <w:kern w:val="2"/>
              </w:rPr>
              <w:t>m</w:t>
            </w:r>
            <w:r>
              <w:rPr>
                <w:rFonts w:hint="default"/>
                <w:kern w:val="2"/>
                <w:vertAlign w:val="superscript"/>
              </w:rPr>
              <w:t>2</w:t>
            </w:r>
            <w:r>
              <w:rPr>
                <w:kern w:val="2"/>
              </w:rPr>
              <w:t>；</w:t>
            </w:r>
          </w:p>
          <w:p w14:paraId="5AE94459">
            <w:pPr>
              <w:pStyle w:val="33"/>
              <w:ind w:firstLine="480"/>
              <w:rPr>
                <w:rFonts w:hint="default"/>
                <w:kern w:val="2"/>
              </w:rPr>
            </w:pPr>
            <w:r>
              <w:rPr>
                <w:rFonts w:hint="default"/>
                <w:kern w:val="2"/>
              </w:rPr>
              <w:t>Q——</w:t>
            </w:r>
            <w:r>
              <w:rPr>
                <w:kern w:val="2"/>
              </w:rPr>
              <w:t>方向性因子；</w:t>
            </w:r>
          </w:p>
          <w:p w14:paraId="41EFF062">
            <w:pPr>
              <w:pStyle w:val="33"/>
              <w:ind w:firstLine="480"/>
              <w:rPr>
                <w:rFonts w:hint="default"/>
                <w:kern w:val="2"/>
              </w:rPr>
            </w:pPr>
            <w:r>
              <w:rPr>
                <w:rFonts w:hint="default"/>
                <w:kern w:val="2"/>
              </w:rPr>
              <w:t>TLi——</w:t>
            </w:r>
            <w:r>
              <w:rPr>
                <w:kern w:val="2"/>
              </w:rPr>
              <w:t>围护结构的传输损失，</w:t>
            </w:r>
            <w:r>
              <w:rPr>
                <w:rFonts w:hint="default"/>
                <w:kern w:val="2"/>
              </w:rPr>
              <w:t>dB</w:t>
            </w:r>
            <w:r>
              <w:rPr>
                <w:kern w:val="2"/>
              </w:rPr>
              <w:t>；</w:t>
            </w:r>
          </w:p>
          <w:p w14:paraId="2CE5C894">
            <w:pPr>
              <w:pStyle w:val="33"/>
              <w:ind w:firstLine="480"/>
              <w:rPr>
                <w:rFonts w:hint="default"/>
                <w:kern w:val="2"/>
              </w:rPr>
            </w:pPr>
            <w:r>
              <w:rPr>
                <w:rFonts w:hint="default"/>
                <w:kern w:val="2"/>
              </w:rPr>
              <w:t>S——</w:t>
            </w:r>
            <w:r>
              <w:rPr>
                <w:kern w:val="2"/>
              </w:rPr>
              <w:t>透声面积，</w:t>
            </w:r>
            <w:r>
              <w:rPr>
                <w:rFonts w:hint="default"/>
                <w:kern w:val="2"/>
              </w:rPr>
              <w:t>m</w:t>
            </w:r>
            <w:r>
              <w:rPr>
                <w:rFonts w:hint="default"/>
                <w:kern w:val="2"/>
                <w:vertAlign w:val="superscript"/>
              </w:rPr>
              <w:t>2</w:t>
            </w:r>
            <w:r>
              <w:rPr>
                <w:kern w:val="2"/>
              </w:rPr>
              <w:t>。</w:t>
            </w:r>
          </w:p>
          <w:p w14:paraId="064C9B9A">
            <w:pPr>
              <w:pStyle w:val="33"/>
              <w:ind w:firstLine="480"/>
              <w:rPr>
                <w:rFonts w:hint="default"/>
                <w:kern w:val="2"/>
              </w:rPr>
            </w:pPr>
            <w:r>
              <w:rPr>
                <w:kern w:val="2"/>
              </w:rPr>
              <w:t>3）对两个以上多个声源同时存在时，其预测点总声压级采用下面公式：</w:t>
            </w:r>
          </w:p>
          <w:p w14:paraId="43FA2183">
            <w:pPr>
              <w:pStyle w:val="33"/>
              <w:kinsoku w:val="0"/>
              <w:autoSpaceDE w:val="0"/>
              <w:autoSpaceDN w:val="0"/>
              <w:ind w:firstLine="0" w:firstLineChars="0"/>
              <w:jc w:val="center"/>
              <w:rPr>
                <w:rFonts w:hint="default"/>
                <w:kern w:val="2"/>
              </w:rPr>
            </w:pPr>
            <w:r>
              <w:rPr>
                <w:rFonts w:hint="default"/>
                <w:kern w:val="2"/>
              </w:rPr>
              <w:drawing>
                <wp:inline distT="0" distB="0" distL="114300" distR="114300">
                  <wp:extent cx="2214245" cy="326390"/>
                  <wp:effectExtent l="0" t="0" r="14605" b="1651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6"/>
                          <a:stretch>
                            <a:fillRect/>
                          </a:stretch>
                        </pic:blipFill>
                        <pic:spPr>
                          <a:xfrm>
                            <a:off x="0" y="0"/>
                            <a:ext cx="2214245" cy="326390"/>
                          </a:xfrm>
                          <a:prstGeom prst="rect">
                            <a:avLst/>
                          </a:prstGeom>
                          <a:noFill/>
                          <a:ln>
                            <a:noFill/>
                          </a:ln>
                        </pic:spPr>
                      </pic:pic>
                    </a:graphicData>
                  </a:graphic>
                </wp:inline>
              </w:drawing>
            </w:r>
          </w:p>
          <w:p w14:paraId="6DE46BC3">
            <w:pPr>
              <w:pStyle w:val="33"/>
              <w:ind w:firstLine="480"/>
              <w:rPr>
                <w:rFonts w:hint="default"/>
                <w:kern w:val="2"/>
              </w:rPr>
            </w:pPr>
            <w:r>
              <w:rPr>
                <w:kern w:val="2"/>
              </w:rPr>
              <w:t>式中：</w:t>
            </w:r>
            <w:r>
              <w:rPr>
                <w:rFonts w:hint="default"/>
                <w:kern w:val="2"/>
              </w:rPr>
              <w:t>Leq—</w:t>
            </w:r>
            <w:r>
              <w:rPr>
                <w:kern w:val="2"/>
              </w:rPr>
              <w:t>预测点的总等效声级，</w:t>
            </w:r>
            <w:r>
              <w:rPr>
                <w:rFonts w:hint="default"/>
                <w:kern w:val="2"/>
              </w:rPr>
              <w:t>dB</w:t>
            </w:r>
            <w:r>
              <w:rPr>
                <w:kern w:val="2"/>
              </w:rPr>
              <w:t>（</w:t>
            </w:r>
            <w:r>
              <w:rPr>
                <w:rFonts w:hint="default"/>
                <w:kern w:val="2"/>
              </w:rPr>
              <w:t>A</w:t>
            </w:r>
            <w:r>
              <w:rPr>
                <w:kern w:val="2"/>
              </w:rPr>
              <w:t>）；</w:t>
            </w:r>
          </w:p>
          <w:p w14:paraId="6F071B7C">
            <w:pPr>
              <w:pStyle w:val="33"/>
              <w:ind w:firstLine="480"/>
              <w:rPr>
                <w:rFonts w:hint="default"/>
                <w:kern w:val="2"/>
              </w:rPr>
            </w:pPr>
            <w:r>
              <w:rPr>
                <w:rFonts w:hint="default"/>
                <w:kern w:val="2"/>
              </w:rPr>
              <w:t>Li—</w:t>
            </w:r>
            <w:r>
              <w:rPr>
                <w:kern w:val="2"/>
              </w:rPr>
              <w:t>第</w:t>
            </w:r>
            <w:r>
              <w:rPr>
                <w:rFonts w:hint="default"/>
                <w:kern w:val="2"/>
              </w:rPr>
              <w:t>i</w:t>
            </w:r>
            <w:r>
              <w:rPr>
                <w:kern w:val="2"/>
              </w:rPr>
              <w:t>个声源对预测点的声级影响，</w:t>
            </w:r>
            <w:r>
              <w:rPr>
                <w:rFonts w:hint="default"/>
                <w:kern w:val="2"/>
              </w:rPr>
              <w:t>dB</w:t>
            </w:r>
            <w:r>
              <w:rPr>
                <w:kern w:val="2"/>
              </w:rPr>
              <w:t>（</w:t>
            </w:r>
            <w:r>
              <w:rPr>
                <w:rFonts w:hint="default"/>
                <w:kern w:val="2"/>
              </w:rPr>
              <w:t>A</w:t>
            </w:r>
            <w:r>
              <w:rPr>
                <w:kern w:val="2"/>
              </w:rPr>
              <w:t>）。</w:t>
            </w:r>
          </w:p>
          <w:p w14:paraId="7EB669CA">
            <w:pPr>
              <w:pStyle w:val="33"/>
              <w:ind w:firstLine="480"/>
              <w:rPr>
                <w:rFonts w:hint="default"/>
                <w:kern w:val="2"/>
              </w:rPr>
            </w:pPr>
            <w:r>
              <w:rPr>
                <w:kern w:val="2"/>
              </w:rPr>
              <w:t>4）</w:t>
            </w:r>
            <w:r>
              <w:rPr>
                <w:rFonts w:hint="default"/>
                <w:kern w:val="2"/>
              </w:rPr>
              <w:t>为预测项目噪声源对周围声环境的影响情况，首先预测噪声源随距离的衰减，然后将噪声源产生的噪声值与区域噪声背景值叠加，即可以预测不同距离的噪声值。叠加公式为：</w:t>
            </w:r>
          </w:p>
          <w:p w14:paraId="3705736D">
            <w:pPr>
              <w:pStyle w:val="33"/>
              <w:ind w:firstLine="480"/>
              <w:rPr>
                <w:rFonts w:hint="default"/>
                <w:kern w:val="2"/>
              </w:rPr>
            </w:pPr>
            <w:r>
              <w:rPr>
                <w:rFonts w:hint="default"/>
                <w:kern w:val="2"/>
              </w:rPr>
              <w:t>Leq=10Lg[10L1/10+10L2/10]</w:t>
            </w:r>
          </w:p>
          <w:p w14:paraId="6729FEFA">
            <w:pPr>
              <w:pStyle w:val="33"/>
              <w:ind w:firstLine="480"/>
              <w:rPr>
                <w:rFonts w:hint="default"/>
                <w:kern w:val="2"/>
              </w:rPr>
            </w:pPr>
            <w:r>
              <w:rPr>
                <w:rFonts w:hint="default"/>
                <w:kern w:val="2"/>
              </w:rPr>
              <w:t>式中：Leq-----噪声源噪声与背景噪声叠加值；</w:t>
            </w:r>
          </w:p>
          <w:p w14:paraId="5127A99E">
            <w:pPr>
              <w:pStyle w:val="33"/>
              <w:ind w:firstLine="480"/>
              <w:rPr>
                <w:rFonts w:hint="default"/>
                <w:color w:val="000000"/>
                <w:kern w:val="2"/>
              </w:rPr>
            </w:pPr>
            <w:r>
              <w:rPr>
                <w:rFonts w:hint="default"/>
                <w:kern w:val="2"/>
              </w:rPr>
              <w:t>L1-----背景噪声，L2为噪声源影响值。</w:t>
            </w:r>
          </w:p>
          <w:p w14:paraId="79A2E258">
            <w:pPr>
              <w:pStyle w:val="20"/>
              <w:widowControl w:val="0"/>
              <w:kinsoku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（2）预测结果</w:t>
            </w:r>
          </w:p>
          <w:p w14:paraId="78D242E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themeColor="text1"/>
                <w:kern w:val="2"/>
                <w:szCs w:val="24"/>
                <w:u w:val="single"/>
                <w14:textFill>
                  <w14:solidFill>
                    <w14:schemeClr w14:val="tx1"/>
                  </w14:solidFill>
                </w14:textFill>
              </w:rPr>
            </w:pPr>
            <w:r>
              <w:rPr>
                <w:rFonts w:ascii="Times New Roman" w:hAnsi="Times New Roman"/>
                <w:b/>
                <w:bCs/>
                <w:color w:val="000000" w:themeColor="text1"/>
                <w:kern w:val="2"/>
                <w:szCs w:val="24"/>
                <w:u w:val="single"/>
                <w14:textFill>
                  <w14:solidFill>
                    <w14:schemeClr w14:val="tx1"/>
                  </w14:solidFill>
                </w14:textFill>
              </w:rPr>
              <w:t>表4-</w:t>
            </w:r>
            <w:r>
              <w:rPr>
                <w:rFonts w:hint="eastAsia" w:ascii="Times New Roman" w:hAnsi="Times New Roman"/>
                <w:b/>
                <w:bCs/>
                <w:color w:val="000000" w:themeColor="text1"/>
                <w:kern w:val="2"/>
                <w:szCs w:val="24"/>
                <w:u w:val="single"/>
                <w14:textFill>
                  <w14:solidFill>
                    <w14:schemeClr w14:val="tx1"/>
                  </w14:solidFill>
                </w14:textFill>
              </w:rPr>
              <w:t>15</w:t>
            </w:r>
            <w:r>
              <w:rPr>
                <w:rFonts w:ascii="Times New Roman" w:hAnsi="Times New Roman"/>
                <w:b/>
                <w:bCs/>
                <w:color w:val="000000" w:themeColor="text1"/>
                <w:kern w:val="2"/>
                <w:szCs w:val="24"/>
                <w:u w:val="single"/>
                <w14:textFill>
                  <w14:solidFill>
                    <w14:schemeClr w14:val="tx1"/>
                  </w14:solidFill>
                </w14:textFill>
              </w:rPr>
              <w:t xml:space="preserve">  项目厂界噪声排放预测结果 单位：dB（A）</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06"/>
              <w:gridCol w:w="1603"/>
              <w:gridCol w:w="1603"/>
              <w:gridCol w:w="1603"/>
              <w:gridCol w:w="1603"/>
            </w:tblGrid>
            <w:tr w14:paraId="620C94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355D785A">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厂界方位</w:t>
                  </w:r>
                </w:p>
              </w:tc>
              <w:tc>
                <w:tcPr>
                  <w:tcW w:w="1025" w:type="pct"/>
                  <w:vAlign w:val="center"/>
                </w:tcPr>
                <w:p w14:paraId="5DDEE5D7">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东厂界</w:t>
                  </w:r>
                </w:p>
              </w:tc>
              <w:tc>
                <w:tcPr>
                  <w:tcW w:w="1025" w:type="pct"/>
                  <w:vAlign w:val="center"/>
                </w:tcPr>
                <w:p w14:paraId="4B245E71">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南厂界</w:t>
                  </w:r>
                </w:p>
              </w:tc>
              <w:tc>
                <w:tcPr>
                  <w:tcW w:w="1025" w:type="pct"/>
                  <w:vAlign w:val="center"/>
                </w:tcPr>
                <w:p w14:paraId="4D48001F">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西厂界</w:t>
                  </w:r>
                </w:p>
              </w:tc>
              <w:tc>
                <w:tcPr>
                  <w:tcW w:w="1025" w:type="pct"/>
                  <w:vAlign w:val="center"/>
                </w:tcPr>
                <w:p w14:paraId="5E3994C1">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北厂界</w:t>
                  </w:r>
                </w:p>
              </w:tc>
            </w:tr>
            <w:tr w14:paraId="4692D7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17B314B1">
                  <w:pPr>
                    <w:pStyle w:val="50"/>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昼间</w:t>
                  </w:r>
                  <w:r>
                    <w:rPr>
                      <w:b/>
                      <w:bCs/>
                      <w:color w:val="000000" w:themeColor="text1"/>
                      <w:sz w:val="21"/>
                      <w:szCs w:val="21"/>
                      <w:u w:val="single"/>
                      <w14:textFill>
                        <w14:solidFill>
                          <w14:schemeClr w14:val="tx1"/>
                        </w14:solidFill>
                      </w14:textFill>
                    </w:rPr>
                    <w:t>贡献值</w:t>
                  </w:r>
                </w:p>
              </w:tc>
              <w:tc>
                <w:tcPr>
                  <w:tcW w:w="1025" w:type="pct"/>
                  <w:vAlign w:val="center"/>
                </w:tcPr>
                <w:p w14:paraId="4C2D91B5">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52.18</w:t>
                  </w:r>
                </w:p>
              </w:tc>
              <w:tc>
                <w:tcPr>
                  <w:tcW w:w="1025" w:type="pct"/>
                  <w:vAlign w:val="center"/>
                </w:tcPr>
                <w:p w14:paraId="0B3BAA91">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52.47</w:t>
                  </w:r>
                </w:p>
              </w:tc>
              <w:tc>
                <w:tcPr>
                  <w:tcW w:w="1025" w:type="pct"/>
                  <w:vAlign w:val="center"/>
                </w:tcPr>
                <w:p w14:paraId="0B0B400A">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52.71</w:t>
                  </w:r>
                </w:p>
              </w:tc>
              <w:tc>
                <w:tcPr>
                  <w:tcW w:w="1025" w:type="pct"/>
                  <w:vAlign w:val="center"/>
                </w:tcPr>
                <w:p w14:paraId="49A47E6C">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53.08</w:t>
                  </w:r>
                </w:p>
              </w:tc>
            </w:tr>
            <w:tr w14:paraId="743242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0A5B0F5A">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标准限值</w:t>
                  </w:r>
                </w:p>
              </w:tc>
              <w:tc>
                <w:tcPr>
                  <w:tcW w:w="1025" w:type="pct"/>
                  <w:vAlign w:val="center"/>
                </w:tcPr>
                <w:p w14:paraId="6268A9C3">
                  <w:pPr>
                    <w:pStyle w:val="50"/>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65</w:t>
                  </w:r>
                </w:p>
              </w:tc>
              <w:tc>
                <w:tcPr>
                  <w:tcW w:w="1025" w:type="pct"/>
                  <w:vAlign w:val="center"/>
                </w:tcPr>
                <w:p w14:paraId="64459546">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65</w:t>
                  </w:r>
                </w:p>
              </w:tc>
              <w:tc>
                <w:tcPr>
                  <w:tcW w:w="1025" w:type="pct"/>
                  <w:vAlign w:val="center"/>
                </w:tcPr>
                <w:p w14:paraId="5C7C8CC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65</w:t>
                  </w:r>
                </w:p>
              </w:tc>
              <w:tc>
                <w:tcPr>
                  <w:tcW w:w="1025" w:type="pct"/>
                  <w:vAlign w:val="center"/>
                </w:tcPr>
                <w:p w14:paraId="31325D4E">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65</w:t>
                  </w:r>
                </w:p>
              </w:tc>
            </w:tr>
            <w:tr w14:paraId="460616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471E5481">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是否达标</w:t>
                  </w:r>
                </w:p>
              </w:tc>
              <w:tc>
                <w:tcPr>
                  <w:tcW w:w="1025" w:type="pct"/>
                  <w:vAlign w:val="center"/>
                </w:tcPr>
                <w:p w14:paraId="719CC548">
                  <w:pPr>
                    <w:pStyle w:val="50"/>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c>
                <w:tcPr>
                  <w:tcW w:w="1025" w:type="pct"/>
                  <w:vAlign w:val="center"/>
                </w:tcPr>
                <w:p w14:paraId="264954FE">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c>
                <w:tcPr>
                  <w:tcW w:w="1025" w:type="pct"/>
                  <w:vAlign w:val="center"/>
                </w:tcPr>
                <w:p w14:paraId="664E553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c>
                <w:tcPr>
                  <w:tcW w:w="1025" w:type="pct"/>
                  <w:vAlign w:val="center"/>
                </w:tcPr>
                <w:p w14:paraId="6628CB24">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r>
            <w:tr w14:paraId="39F062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724BFA3C">
                  <w:pPr>
                    <w:pStyle w:val="50"/>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夜间</w:t>
                  </w:r>
                  <w:r>
                    <w:rPr>
                      <w:b/>
                      <w:bCs/>
                      <w:color w:val="000000" w:themeColor="text1"/>
                      <w:sz w:val="21"/>
                      <w:szCs w:val="21"/>
                      <w:u w:val="single"/>
                      <w14:textFill>
                        <w14:solidFill>
                          <w14:schemeClr w14:val="tx1"/>
                        </w14:solidFill>
                      </w14:textFill>
                    </w:rPr>
                    <w:t>贡献值</w:t>
                  </w:r>
                </w:p>
              </w:tc>
              <w:tc>
                <w:tcPr>
                  <w:tcW w:w="1025" w:type="pct"/>
                  <w:vAlign w:val="center"/>
                </w:tcPr>
                <w:p w14:paraId="67CBCF8C">
                  <w:pPr>
                    <w:pStyle w:val="50"/>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44.89</w:t>
                  </w:r>
                </w:p>
              </w:tc>
              <w:tc>
                <w:tcPr>
                  <w:tcW w:w="1025" w:type="pct"/>
                  <w:vAlign w:val="center"/>
                </w:tcPr>
                <w:p w14:paraId="10E62287">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45.18</w:t>
                  </w:r>
                </w:p>
              </w:tc>
              <w:tc>
                <w:tcPr>
                  <w:tcW w:w="1025" w:type="pct"/>
                  <w:vAlign w:val="center"/>
                </w:tcPr>
                <w:p w14:paraId="67C74166">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47.64</w:t>
                  </w:r>
                </w:p>
              </w:tc>
              <w:tc>
                <w:tcPr>
                  <w:tcW w:w="1025" w:type="pct"/>
                  <w:vAlign w:val="center"/>
                </w:tcPr>
                <w:p w14:paraId="6224D446">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45.79</w:t>
                  </w:r>
                </w:p>
              </w:tc>
            </w:tr>
            <w:tr w14:paraId="1E5911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5606CAEF">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标准限值</w:t>
                  </w:r>
                </w:p>
              </w:tc>
              <w:tc>
                <w:tcPr>
                  <w:tcW w:w="1025" w:type="pct"/>
                  <w:vAlign w:val="center"/>
                </w:tcPr>
                <w:p w14:paraId="5DA41A39">
                  <w:pPr>
                    <w:pStyle w:val="50"/>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55</w:t>
                  </w:r>
                </w:p>
              </w:tc>
              <w:tc>
                <w:tcPr>
                  <w:tcW w:w="1025" w:type="pct"/>
                  <w:vAlign w:val="center"/>
                </w:tcPr>
                <w:p w14:paraId="7B8EF005">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55</w:t>
                  </w:r>
                </w:p>
              </w:tc>
              <w:tc>
                <w:tcPr>
                  <w:tcW w:w="1025" w:type="pct"/>
                  <w:vAlign w:val="center"/>
                </w:tcPr>
                <w:p w14:paraId="359ADE90">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55</w:t>
                  </w:r>
                </w:p>
              </w:tc>
              <w:tc>
                <w:tcPr>
                  <w:tcW w:w="1025" w:type="pct"/>
                  <w:vAlign w:val="center"/>
                </w:tcPr>
                <w:p w14:paraId="1158FFC6">
                  <w:pPr>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55</w:t>
                  </w:r>
                </w:p>
              </w:tc>
            </w:tr>
            <w:tr w14:paraId="554F22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899" w:type="pct"/>
                  <w:vAlign w:val="center"/>
                </w:tcPr>
                <w:p w14:paraId="59EEA83C">
                  <w:pPr>
                    <w:pStyle w:val="50"/>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是否达标</w:t>
                  </w:r>
                </w:p>
              </w:tc>
              <w:tc>
                <w:tcPr>
                  <w:tcW w:w="1025" w:type="pct"/>
                  <w:vAlign w:val="center"/>
                </w:tcPr>
                <w:p w14:paraId="33B8E136">
                  <w:pPr>
                    <w:pStyle w:val="50"/>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c>
                <w:tcPr>
                  <w:tcW w:w="1025" w:type="pct"/>
                  <w:vAlign w:val="center"/>
                </w:tcPr>
                <w:p w14:paraId="56A49F2B">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c>
                <w:tcPr>
                  <w:tcW w:w="1025" w:type="pct"/>
                  <w:vAlign w:val="center"/>
                </w:tcPr>
                <w:p w14:paraId="047B2A90">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c>
                <w:tcPr>
                  <w:tcW w:w="1025" w:type="pct"/>
                  <w:vAlign w:val="center"/>
                </w:tcPr>
                <w:p w14:paraId="041C860C">
                  <w:pPr>
                    <w:jc w:val="center"/>
                    <w:rPr>
                      <w:color w:val="000000" w:themeColor="text1"/>
                      <w:sz w:val="21"/>
                      <w:szCs w:val="21"/>
                      <w:u w:val="single"/>
                      <w14:textFill>
                        <w14:solidFill>
                          <w14:schemeClr w14:val="tx1"/>
                        </w14:solidFill>
                      </w14:textFill>
                    </w:rPr>
                  </w:pPr>
                  <w:r>
                    <w:rPr>
                      <w:color w:val="000000" w:themeColor="text1"/>
                      <w:sz w:val="21"/>
                      <w:szCs w:val="21"/>
                      <w:u w:val="single"/>
                      <w14:textFill>
                        <w14:solidFill>
                          <w14:schemeClr w14:val="tx1"/>
                        </w14:solidFill>
                      </w14:textFill>
                    </w:rPr>
                    <w:t>达标</w:t>
                  </w:r>
                </w:p>
              </w:tc>
            </w:tr>
          </w:tbl>
          <w:p w14:paraId="72AB06D8">
            <w:pPr>
              <w:pStyle w:val="51"/>
              <w:kinsoku w:val="0"/>
              <w:autoSpaceDE w:val="0"/>
              <w:autoSpaceDN w:val="0"/>
              <w:ind w:firstLine="480"/>
              <w:jc w:val="both"/>
              <w:rPr>
                <w:color w:val="000000" w:themeColor="text1"/>
                <w:u w:val="single"/>
                <w14:textFill>
                  <w14:solidFill>
                    <w14:schemeClr w14:val="tx1"/>
                  </w14:solidFill>
                </w14:textFill>
              </w:rPr>
            </w:pPr>
            <w:r>
              <w:rPr>
                <w:color w:val="000000" w:themeColor="text1"/>
                <w:u w:val="single"/>
                <w14:textFill>
                  <w14:solidFill>
                    <w14:schemeClr w14:val="tx1"/>
                  </w14:solidFill>
                </w14:textFill>
              </w:rPr>
              <w:t>根据上述内容可知，本项目运营期间，厂界</w:t>
            </w:r>
            <w:r>
              <w:rPr>
                <w:rFonts w:hint="eastAsia"/>
                <w:color w:val="000000" w:themeColor="text1"/>
                <w:u w:val="single"/>
                <w14:textFill>
                  <w14:solidFill>
                    <w14:schemeClr w14:val="tx1"/>
                  </w14:solidFill>
                </w14:textFill>
              </w:rPr>
              <w:t>东、南、西、北侧</w:t>
            </w:r>
            <w:r>
              <w:rPr>
                <w:color w:val="000000" w:themeColor="text1"/>
                <w:u w:val="single"/>
                <w14:textFill>
                  <w14:solidFill>
                    <w14:schemeClr w14:val="tx1"/>
                  </w14:solidFill>
                </w14:textFill>
              </w:rPr>
              <w:t>噪声排放符合《工业企业厂界环境噪声排放标准》（GB12348-2008）中</w:t>
            </w:r>
            <w:r>
              <w:rPr>
                <w:rFonts w:hint="eastAsia"/>
                <w:color w:val="000000" w:themeColor="text1"/>
                <w:u w:val="single"/>
                <w14:textFill>
                  <w14:solidFill>
                    <w14:schemeClr w14:val="tx1"/>
                  </w14:solidFill>
                </w14:textFill>
              </w:rPr>
              <w:t>3</w:t>
            </w:r>
            <w:r>
              <w:rPr>
                <w:color w:val="000000" w:themeColor="text1"/>
                <w:u w:val="single"/>
                <w14:textFill>
                  <w14:solidFill>
                    <w14:schemeClr w14:val="tx1"/>
                  </w14:solidFill>
                </w14:textFill>
              </w:rPr>
              <w:t>类标准</w:t>
            </w:r>
            <w:r>
              <w:rPr>
                <w:rFonts w:hint="eastAsia"/>
                <w:color w:val="000000" w:themeColor="text1"/>
                <w:u w:val="single"/>
                <w14:textFill>
                  <w14:solidFill>
                    <w14:schemeClr w14:val="tx1"/>
                  </w14:solidFill>
                </w14:textFill>
              </w:rPr>
              <w:t>。</w:t>
            </w:r>
          </w:p>
          <w:p w14:paraId="263290DE">
            <w:pPr>
              <w:pStyle w:val="51"/>
              <w:kinsoku w:val="0"/>
              <w:wordWrap w:val="0"/>
              <w:autoSpaceDE w:val="0"/>
              <w:autoSpaceDN w:val="0"/>
              <w:ind w:firstLine="480"/>
              <w:jc w:val="both"/>
              <w:rPr>
                <w:b/>
                <w:bCs/>
                <w:snapToGrid w:val="0"/>
                <w:color w:val="000000"/>
                <w:szCs w:val="24"/>
              </w:rPr>
            </w:pPr>
            <w:r>
              <w:rPr>
                <w:color w:val="000000" w:themeColor="text1"/>
                <w14:textFill>
                  <w14:solidFill>
                    <w14:schemeClr w14:val="tx1"/>
                  </w14:solidFill>
                </w14:textFill>
              </w:rPr>
              <w:t>综上所述，本项目噪声均为达标排放，项目所在区域声环境影响</w:t>
            </w:r>
            <w:r>
              <w:rPr>
                <w:rFonts w:hint="eastAsia"/>
                <w:color w:val="000000" w:themeColor="text1"/>
                <w14:textFill>
                  <w14:solidFill>
                    <w14:schemeClr w14:val="tx1"/>
                  </w14:solidFill>
                </w14:textFill>
              </w:rPr>
              <w:t>较小</w:t>
            </w:r>
            <w:r>
              <w:rPr>
                <w:color w:val="000000" w:themeColor="text1"/>
                <w14:textFill>
                  <w14:solidFill>
                    <w14:schemeClr w14:val="tx1"/>
                  </w14:solidFill>
                </w14:textFill>
              </w:rPr>
              <w:t>。</w:t>
            </w:r>
          </w:p>
          <w:p w14:paraId="3BCC505B">
            <w:pPr>
              <w:pStyle w:val="20"/>
              <w:widowControl w:val="0"/>
              <w:kinsoku w:val="0"/>
              <w:wordWrap w:val="0"/>
              <w:autoSpaceDE w:val="0"/>
              <w:autoSpaceDN w:val="0"/>
              <w:spacing w:before="0" w:beforeAutospacing="0" w:after="0" w:afterAutospacing="0" w:line="360" w:lineRule="auto"/>
              <w:jc w:val="both"/>
              <w:rPr>
                <w:rFonts w:ascii="Times New Roman" w:hAnsi="Times New Roman"/>
                <w:b/>
                <w:bCs/>
                <w:snapToGrid w:val="0"/>
                <w:color w:val="000000"/>
                <w:szCs w:val="24"/>
              </w:rPr>
            </w:pPr>
            <w:r>
              <w:rPr>
                <w:rFonts w:hint="eastAsia" w:ascii="Times New Roman" w:hAnsi="Times New Roman"/>
                <w:b/>
                <w:bCs/>
                <w:snapToGrid w:val="0"/>
                <w:color w:val="000000"/>
                <w:szCs w:val="24"/>
              </w:rPr>
              <w:t>4、噪声监测计划</w:t>
            </w:r>
          </w:p>
          <w:p w14:paraId="283387BB">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根据《排污许可证申请与核发技术规范 工业噪声》（</w:t>
            </w:r>
            <w:r>
              <w:rPr>
                <w:rFonts w:ascii="Times New Roman" w:hAnsi="Times New Roman"/>
                <w:color w:val="000000" w:themeColor="text1"/>
                <w:kern w:val="2"/>
                <w:szCs w:val="24"/>
                <w14:textFill>
                  <w14:solidFill>
                    <w14:schemeClr w14:val="tx1"/>
                  </w14:solidFill>
                </w14:textFill>
              </w:rPr>
              <w:t>HJ1301—2023</w:t>
            </w:r>
            <w:r>
              <w:rPr>
                <w:rFonts w:hint="eastAsia" w:ascii="Times New Roman" w:hAnsi="Times New Roman"/>
                <w:color w:val="000000"/>
                <w:kern w:val="2"/>
                <w:szCs w:val="24"/>
              </w:rPr>
              <w:t>），本项目的噪声监测计划如下：</w:t>
            </w:r>
          </w:p>
          <w:p w14:paraId="5BEACE2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表4-</w:t>
            </w:r>
            <w:r>
              <w:rPr>
                <w:rFonts w:hint="eastAsia" w:ascii="Times New Roman" w:hAnsi="Times New Roman"/>
                <w:b/>
                <w:bCs/>
                <w:color w:val="000000" w:themeColor="text1"/>
                <w:kern w:val="2"/>
                <w:szCs w:val="24"/>
                <w14:textFill>
                  <w14:solidFill>
                    <w14:schemeClr w14:val="tx1"/>
                  </w14:solidFill>
                </w14:textFill>
              </w:rPr>
              <w:t>16</w:t>
            </w:r>
            <w:r>
              <w:rPr>
                <w:rFonts w:ascii="Times New Roman" w:hAnsi="Times New Roman"/>
                <w:b/>
                <w:bCs/>
                <w:color w:val="000000" w:themeColor="text1"/>
                <w:kern w:val="2"/>
                <w:szCs w:val="24"/>
                <w14:textFill>
                  <w14:solidFill>
                    <w14:schemeClr w14:val="tx1"/>
                  </w14:solidFill>
                </w14:textFill>
              </w:rPr>
              <w:t xml:space="preserve">  项目运营期噪声环境监测计划</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90"/>
              <w:gridCol w:w="1901"/>
              <w:gridCol w:w="1453"/>
              <w:gridCol w:w="1443"/>
              <w:gridCol w:w="2431"/>
            </w:tblGrid>
            <w:tr w14:paraId="78F8EE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77" w:type="pct"/>
                  <w:vAlign w:val="center"/>
                </w:tcPr>
                <w:p w14:paraId="59F37101">
                  <w:pPr>
                    <w:pStyle w:val="5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类型</w:t>
                  </w:r>
                </w:p>
              </w:tc>
              <w:tc>
                <w:tcPr>
                  <w:tcW w:w="1216" w:type="pct"/>
                  <w:vAlign w:val="center"/>
                </w:tcPr>
                <w:p w14:paraId="6B430E19">
                  <w:pPr>
                    <w:pStyle w:val="5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监测点位</w:t>
                  </w:r>
                </w:p>
              </w:tc>
              <w:tc>
                <w:tcPr>
                  <w:tcW w:w="929" w:type="pct"/>
                  <w:vAlign w:val="center"/>
                </w:tcPr>
                <w:p w14:paraId="0680D404">
                  <w:pPr>
                    <w:pStyle w:val="5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监测指标</w:t>
                  </w:r>
                </w:p>
              </w:tc>
              <w:tc>
                <w:tcPr>
                  <w:tcW w:w="923" w:type="pct"/>
                  <w:vAlign w:val="center"/>
                </w:tcPr>
                <w:p w14:paraId="1752458B">
                  <w:pPr>
                    <w:pStyle w:val="5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监测频次</w:t>
                  </w:r>
                </w:p>
              </w:tc>
              <w:tc>
                <w:tcPr>
                  <w:tcW w:w="1555" w:type="pct"/>
                  <w:vAlign w:val="center"/>
                </w:tcPr>
                <w:p w14:paraId="4A429FCA">
                  <w:pPr>
                    <w:pStyle w:val="5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4A348F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377" w:type="pct"/>
                  <w:vAlign w:val="center"/>
                </w:tcPr>
                <w:p w14:paraId="00DD216F">
                  <w:pPr>
                    <w:pStyle w:val="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216" w:type="pct"/>
                  <w:vAlign w:val="center"/>
                </w:tcPr>
                <w:p w14:paraId="3E5842EA">
                  <w:pPr>
                    <w:pStyle w:val="52"/>
                    <w:snapToGrid w:val="0"/>
                    <w:spacing w:line="240" w:lineRule="auto"/>
                    <w:ind w:firstLine="0"/>
                    <w:jc w:val="center"/>
                    <w:rPr>
                      <w:rFonts w:eastAsia="宋体"/>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厂界</w:t>
                  </w:r>
                  <w:r>
                    <w:rPr>
                      <w:rFonts w:hint="eastAsia" w:eastAsia="宋体"/>
                      <w:bCs/>
                      <w:color w:val="000000" w:themeColor="text1"/>
                      <w:sz w:val="21"/>
                      <w:szCs w:val="21"/>
                      <w14:textFill>
                        <w14:solidFill>
                          <w14:schemeClr w14:val="tx1"/>
                        </w14:solidFill>
                      </w14:textFill>
                    </w:rPr>
                    <w:t>四周</w:t>
                  </w:r>
                </w:p>
              </w:tc>
              <w:tc>
                <w:tcPr>
                  <w:tcW w:w="929" w:type="pct"/>
                  <w:vAlign w:val="center"/>
                </w:tcPr>
                <w:p w14:paraId="5B0BEF90">
                  <w:pPr>
                    <w:pStyle w:val="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等效A声级</w:t>
                  </w:r>
                  <w:r>
                    <w:rPr>
                      <w:rFonts w:hint="eastAsia"/>
                      <w:color w:val="000000" w:themeColor="text1"/>
                      <w:sz w:val="21"/>
                      <w:szCs w:val="21"/>
                      <w14:textFill>
                        <w14:solidFill>
                          <w14:schemeClr w14:val="tx1"/>
                        </w14:solidFill>
                      </w14:textFill>
                    </w:rPr>
                    <w:t>Leq</w:t>
                  </w:r>
                </w:p>
              </w:tc>
              <w:tc>
                <w:tcPr>
                  <w:tcW w:w="923" w:type="pct"/>
                  <w:vAlign w:val="center"/>
                </w:tcPr>
                <w:p w14:paraId="73F24379">
                  <w:pPr>
                    <w:pStyle w:val="5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昼间一次</w:t>
                  </w:r>
                </w:p>
                <w:p w14:paraId="301362D5">
                  <w:pPr>
                    <w:pStyle w:val="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1次/季度</w:t>
                  </w:r>
                </w:p>
              </w:tc>
              <w:tc>
                <w:tcPr>
                  <w:tcW w:w="1555" w:type="pct"/>
                  <w:vAlign w:val="center"/>
                </w:tcPr>
                <w:p w14:paraId="72C3522D">
                  <w:pPr>
                    <w:pStyle w:val="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《工业企业厂界环境噪声排放标准》（GB12348-2008）3类标准</w:t>
                  </w:r>
                </w:p>
              </w:tc>
            </w:tr>
          </w:tbl>
          <w:p w14:paraId="5D72AEDE">
            <w:pPr>
              <w:kinsoku w:val="0"/>
              <w:wordWrap w:val="0"/>
              <w:adjustRightInd w:val="0"/>
              <w:snapToGrid w:val="0"/>
              <w:spacing w:line="360" w:lineRule="auto"/>
              <w:rPr>
                <w:b/>
                <w:bCs/>
              </w:rPr>
            </w:pPr>
            <w:r>
              <w:rPr>
                <w:rFonts w:hint="eastAsia"/>
                <w:b/>
                <w:bCs/>
              </w:rPr>
              <w:t>四、固体废物</w:t>
            </w:r>
          </w:p>
          <w:p w14:paraId="13AB546A">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1、污染源分析</w:t>
            </w:r>
          </w:p>
          <w:p w14:paraId="2ED23136">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本项目运营期产生的固体废物主要为废钢材边角料、废布袋、焊渣、袋式除尘器收集粉尘、废钢丸、废水性漆桶、废水性漆漆渣、废活性炭、废过滤棉、废润滑油及其包装桶、含油抹布及手套和员工生活垃圾等。</w:t>
            </w:r>
          </w:p>
          <w:p w14:paraId="50B6C22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（1）废钢材边角料</w:t>
            </w:r>
          </w:p>
          <w:p w14:paraId="0E4239D8">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项目边角料主要为切割过程产生，根据《排放源统计调查产排污核算方法和系数手册》、《机械行业系数手册》中一般工业固体废物和危险废物产污系数核算表-33 金属制品业，金属结构体及其部件废边角料产污系数为6.17kg/吨产品。项目需切割的产品5050t/a，则产生切割边角料为31.158t/a。根据《固体废物分类与代码目录》（生态环境部公告2024年第4号）属于SW17 900-001-S17，暂存于一般固废暂存间，外售综合利用。</w:t>
            </w:r>
          </w:p>
          <w:p w14:paraId="1DB1BC62">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cs="宋体"/>
                <w:color w:val="000000"/>
                <w:kern w:val="2"/>
                <w:szCs w:val="24"/>
                <w:u w:val="single"/>
              </w:rPr>
            </w:pPr>
            <w:r>
              <w:rPr>
                <w:rFonts w:hint="eastAsia" w:cs="宋体"/>
                <w:color w:val="000000"/>
                <w:kern w:val="2"/>
                <w:szCs w:val="24"/>
                <w:u w:val="single"/>
              </w:rPr>
              <w:t>（</w:t>
            </w:r>
            <w:r>
              <w:rPr>
                <w:rFonts w:ascii="Times New Roman" w:hAnsi="Times New Roman"/>
                <w:color w:val="000000"/>
                <w:kern w:val="2"/>
                <w:szCs w:val="24"/>
                <w:u w:val="single"/>
              </w:rPr>
              <w:t>2</w:t>
            </w:r>
            <w:r>
              <w:rPr>
                <w:rFonts w:hint="eastAsia" w:cs="宋体"/>
                <w:color w:val="000000"/>
                <w:kern w:val="2"/>
                <w:szCs w:val="24"/>
                <w:u w:val="single"/>
              </w:rPr>
              <w:t>）废布袋</w:t>
            </w:r>
          </w:p>
          <w:p w14:paraId="4694B5D2">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cs="宋体"/>
                <w:color w:val="000000"/>
                <w:kern w:val="2"/>
                <w:szCs w:val="24"/>
                <w:u w:val="single"/>
              </w:rPr>
            </w:pPr>
            <w:r>
              <w:rPr>
                <w:rFonts w:hint="eastAsia" w:cs="宋体"/>
                <w:color w:val="000000"/>
                <w:kern w:val="2"/>
                <w:szCs w:val="24"/>
                <w:u w:val="single"/>
              </w:rPr>
              <w:t>项目除尘器布袋达到使用年限后，需定期更换，从而产生的废旧布袋，年产生量约为</w:t>
            </w:r>
            <w:r>
              <w:rPr>
                <w:rFonts w:ascii="Times New Roman" w:hAnsi="Times New Roman"/>
                <w:color w:val="000000"/>
                <w:kern w:val="2"/>
                <w:szCs w:val="24"/>
                <w:u w:val="single"/>
              </w:rPr>
              <w:t>0.5t/a</w:t>
            </w:r>
            <w:r>
              <w:rPr>
                <w:rFonts w:hint="eastAsia" w:cs="宋体"/>
                <w:color w:val="000000"/>
                <w:kern w:val="2"/>
                <w:szCs w:val="24"/>
                <w:u w:val="single"/>
              </w:rPr>
              <w:t>。</w:t>
            </w:r>
            <w:r>
              <w:rPr>
                <w:rFonts w:hint="eastAsia" w:ascii="Times New Roman" w:hAnsi="Times New Roman"/>
                <w:color w:val="000000"/>
                <w:kern w:val="2"/>
                <w:szCs w:val="24"/>
                <w:u w:val="single"/>
              </w:rPr>
              <w:t>根据《固体废物分类与代码目录》（生态环境部公告2024年第4号）属于SW59 900-009-S59，</w:t>
            </w:r>
            <w:r>
              <w:rPr>
                <w:rFonts w:hint="eastAsia" w:cs="宋体"/>
                <w:color w:val="000000"/>
                <w:kern w:val="2"/>
                <w:szCs w:val="24"/>
                <w:u w:val="single"/>
              </w:rPr>
              <w:t>收集暂存</w:t>
            </w:r>
            <w:r>
              <w:rPr>
                <w:rFonts w:hint="eastAsia" w:ascii="Times New Roman" w:hAnsi="Times New Roman"/>
                <w:color w:val="000000"/>
                <w:kern w:val="2"/>
                <w:szCs w:val="24"/>
                <w:u w:val="single"/>
              </w:rPr>
              <w:t>一般工业固体废物暂存间</w:t>
            </w:r>
            <w:r>
              <w:rPr>
                <w:rFonts w:hint="eastAsia" w:cs="宋体"/>
                <w:color w:val="000000"/>
                <w:kern w:val="2"/>
                <w:szCs w:val="24"/>
                <w:u w:val="single"/>
              </w:rPr>
              <w:t>后定期外售综合利用。</w:t>
            </w:r>
          </w:p>
          <w:p w14:paraId="5210184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cs="宋体"/>
                <w:color w:val="000000"/>
                <w:kern w:val="2"/>
                <w:szCs w:val="24"/>
                <w:u w:val="single"/>
              </w:rPr>
            </w:pPr>
            <w:r>
              <w:rPr>
                <w:rFonts w:hint="eastAsia" w:cs="宋体"/>
                <w:color w:val="000000"/>
                <w:kern w:val="2"/>
                <w:szCs w:val="24"/>
                <w:u w:val="single"/>
              </w:rPr>
              <w:t>（</w:t>
            </w:r>
            <w:r>
              <w:rPr>
                <w:rFonts w:ascii="Times New Roman" w:hAnsi="Times New Roman"/>
                <w:color w:val="000000"/>
                <w:kern w:val="2"/>
                <w:szCs w:val="24"/>
                <w:u w:val="single"/>
              </w:rPr>
              <w:t>3</w:t>
            </w:r>
            <w:r>
              <w:rPr>
                <w:rFonts w:hint="eastAsia" w:cs="宋体"/>
                <w:color w:val="000000"/>
                <w:kern w:val="2"/>
                <w:szCs w:val="24"/>
                <w:u w:val="single"/>
              </w:rPr>
              <w:t>）焊渣</w:t>
            </w:r>
          </w:p>
          <w:p w14:paraId="4E8101B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cs="宋体"/>
                <w:color w:val="000000"/>
                <w:kern w:val="2"/>
                <w:szCs w:val="24"/>
                <w:u w:val="single"/>
              </w:rPr>
              <w:t>根据《机加工行业环境影响评价中常见污染物源强估算及污染治理》（徐海萍）中，焊渣=焊条用量×（</w:t>
            </w:r>
            <w:r>
              <w:rPr>
                <w:rFonts w:ascii="Times New Roman" w:hAnsi="Times New Roman"/>
                <w:color w:val="000000"/>
                <w:kern w:val="2"/>
                <w:szCs w:val="24"/>
                <w:u w:val="single"/>
              </w:rPr>
              <w:t>1/11+4%</w:t>
            </w:r>
            <w:r>
              <w:rPr>
                <w:rFonts w:hint="eastAsia" w:cs="宋体"/>
                <w:color w:val="000000"/>
                <w:kern w:val="2"/>
                <w:szCs w:val="24"/>
                <w:u w:val="single"/>
              </w:rPr>
              <w:t>）计算，项目实芯焊丝用量</w:t>
            </w:r>
            <w:r>
              <w:rPr>
                <w:rFonts w:ascii="Times New Roman" w:hAnsi="Times New Roman"/>
                <w:color w:val="000000"/>
                <w:kern w:val="2"/>
                <w:szCs w:val="24"/>
                <w:u w:val="single"/>
              </w:rPr>
              <w:t>为39t/a，焊条用量为1.6t/a，则焊渣产生量为5.31t/a</w:t>
            </w:r>
            <w:r>
              <w:rPr>
                <w:rFonts w:hint="eastAsia" w:ascii="Times New Roman" w:hAnsi="Times New Roman"/>
                <w:color w:val="000000"/>
                <w:kern w:val="2"/>
                <w:szCs w:val="24"/>
                <w:u w:val="single"/>
              </w:rPr>
              <w:t>。根据《固体废物分类与代码目录》（生态环境部公告2024年第4号）属于SW59 900-099-S59，</w:t>
            </w:r>
            <w:r>
              <w:rPr>
                <w:rFonts w:ascii="Times New Roman" w:hAnsi="Times New Roman"/>
                <w:color w:val="000000"/>
                <w:kern w:val="2"/>
                <w:szCs w:val="24"/>
                <w:u w:val="single"/>
              </w:rPr>
              <w:t>收集暂存于一般固废暂存间，外售综合利用。</w:t>
            </w:r>
          </w:p>
          <w:p w14:paraId="462C793D">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cs="宋体"/>
                <w:color w:val="000000"/>
                <w:kern w:val="2"/>
                <w:szCs w:val="24"/>
                <w:u w:val="single"/>
              </w:rPr>
              <w:t>（</w:t>
            </w:r>
            <w:r>
              <w:rPr>
                <w:rFonts w:hint="eastAsia" w:ascii="Times New Roman" w:hAnsi="Times New Roman"/>
                <w:color w:val="000000"/>
                <w:kern w:val="2"/>
                <w:szCs w:val="24"/>
                <w:u w:val="single"/>
              </w:rPr>
              <w:t>4</w:t>
            </w:r>
            <w:r>
              <w:rPr>
                <w:rFonts w:hint="eastAsia" w:cs="宋体"/>
                <w:color w:val="000000"/>
                <w:kern w:val="2"/>
                <w:szCs w:val="24"/>
                <w:u w:val="single"/>
              </w:rPr>
              <w:t>）袋式除尘器收集粉尘</w:t>
            </w:r>
          </w:p>
          <w:p w14:paraId="3334013D">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cs="宋体"/>
                <w:color w:val="000000"/>
                <w:kern w:val="2"/>
                <w:szCs w:val="24"/>
                <w:u w:val="single"/>
              </w:rPr>
            </w:pPr>
            <w:r>
              <w:rPr>
                <w:rFonts w:hint="eastAsia" w:ascii="Times New Roman" w:hAnsi="Times New Roman"/>
                <w:color w:val="000000"/>
                <w:kern w:val="2"/>
                <w:szCs w:val="24"/>
                <w:u w:val="single"/>
              </w:rPr>
              <w:t>根据上述计算，布袋除尘器收集粉尘量为14.2673t/a，主要为金属氧化物、金属屑，根据《固体废物分类与代码目录》（生态环境部公告2024年第4号）属于SW59 900-099-S59，</w:t>
            </w:r>
            <w:r>
              <w:rPr>
                <w:rFonts w:hint="eastAsia" w:cs="宋体"/>
                <w:color w:val="000000"/>
                <w:kern w:val="2"/>
                <w:szCs w:val="24"/>
                <w:u w:val="single"/>
              </w:rPr>
              <w:t>收集暂存</w:t>
            </w:r>
            <w:r>
              <w:rPr>
                <w:rFonts w:hint="eastAsia" w:ascii="Times New Roman" w:hAnsi="Times New Roman"/>
                <w:color w:val="000000"/>
                <w:kern w:val="2"/>
                <w:szCs w:val="24"/>
                <w:u w:val="single"/>
              </w:rPr>
              <w:t>一般工业固体废物暂存间</w:t>
            </w:r>
            <w:r>
              <w:rPr>
                <w:rFonts w:hint="eastAsia" w:cs="宋体"/>
                <w:color w:val="000000"/>
                <w:kern w:val="2"/>
                <w:szCs w:val="24"/>
                <w:u w:val="single"/>
              </w:rPr>
              <w:t>后定期外售综合利用。</w:t>
            </w:r>
          </w:p>
          <w:p w14:paraId="6D204019">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（5）生活垃圾</w:t>
            </w:r>
          </w:p>
          <w:p w14:paraId="0947EF1A">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类比现有项目，人员数量不变，则生活垃圾产生量为7.8t/a。。根据《固体废物分类与代码目录》（生态环境部公告2024年第4号）属于SW64 900-099-S64，收集后交由环卫部门统一清运。</w:t>
            </w:r>
          </w:p>
          <w:p w14:paraId="27AC8134">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bookmarkStart w:id="79" w:name="OLE_LINK2"/>
            <w:r>
              <w:rPr>
                <w:rFonts w:hint="eastAsia" w:ascii="Times New Roman" w:hAnsi="Times New Roman"/>
                <w:color w:val="000000"/>
                <w:kern w:val="2"/>
                <w:szCs w:val="24"/>
                <w:u w:val="single"/>
              </w:rPr>
              <w:t>（6）废钢丸</w:t>
            </w:r>
          </w:p>
          <w:p w14:paraId="1FE569AE">
            <w:pPr>
              <w:pStyle w:val="20"/>
              <w:widowControl w:val="0"/>
              <w:kinsoku w:val="0"/>
              <w:overflowPunct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u w:val="single"/>
              </w:rPr>
            </w:pPr>
            <w:r>
              <w:rPr>
                <w:rFonts w:hint="eastAsia" w:ascii="Times New Roman" w:hAnsi="Times New Roman"/>
                <w:color w:val="000000"/>
                <w:kern w:val="2"/>
                <w:szCs w:val="24"/>
                <w:u w:val="single"/>
              </w:rPr>
              <w:t>类比现有项目，每年约补充6t新钢丸，其中50%为粒径较小的废钢丸，则废钢丸产生量为3t/a。根据《固体废物分类与代码目录》（生态环境部公告2024年第4号）属于SW17 900-001-S17，统一收集后外售综合利用。</w:t>
            </w:r>
            <w:bookmarkEnd w:id="79"/>
          </w:p>
          <w:p w14:paraId="3F13FE1F">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（7）废水性漆桶</w:t>
            </w:r>
          </w:p>
          <w:p w14:paraId="7D08B0CB">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hint="eastAsia"/>
                <w:color w:val="000000"/>
                <w:szCs w:val="24"/>
                <w:lang w:bidi="ar"/>
              </w:rPr>
            </w:pPr>
            <w:r>
              <w:rPr>
                <w:rFonts w:hint="eastAsia" w:ascii="Times New Roman" w:hAnsi="Times New Roman"/>
                <w:color w:val="000000"/>
                <w:kern w:val="2"/>
                <w:szCs w:val="24"/>
              </w:rPr>
              <w:t>本项目水性钢结构漆使用量为14.27t/a，使用完后产生的废水性漆桶，单个废桶约1kg重，平均每个桶的容量为50kg。因此，本项目废水性漆桶的产生量为0.2854t/a，</w:t>
            </w:r>
            <w:r>
              <w:rPr>
                <w:szCs w:val="24"/>
              </w:rPr>
              <w:t>属于</w:t>
            </w:r>
            <w:r>
              <w:rPr>
                <w:color w:val="000000"/>
                <w:szCs w:val="24"/>
                <w:lang w:bidi="ar"/>
              </w:rPr>
              <w:t>《国家危险废物名录》（</w:t>
            </w:r>
            <w:r>
              <w:rPr>
                <w:rFonts w:ascii="Times New Roman" w:hAnsi="Times New Roman" w:eastAsiaTheme="minorEastAsia"/>
                <w:color w:val="000000"/>
                <w:szCs w:val="24"/>
                <w:lang w:bidi="ar"/>
              </w:rPr>
              <w:t>202</w:t>
            </w:r>
            <w:r>
              <w:rPr>
                <w:rFonts w:hint="eastAsia" w:ascii="Times New Roman" w:hAnsi="Times New Roman" w:eastAsiaTheme="minorEastAsia"/>
                <w:color w:val="000000"/>
                <w:szCs w:val="24"/>
                <w:lang w:bidi="ar"/>
              </w:rPr>
              <w:t>5</w:t>
            </w:r>
            <w:r>
              <w:rPr>
                <w:color w:val="000000"/>
                <w:szCs w:val="24"/>
                <w:lang w:bidi="ar"/>
              </w:rPr>
              <w:t>年</w:t>
            </w:r>
            <w:r>
              <w:rPr>
                <w:rFonts w:hint="eastAsia"/>
                <w:color w:val="000000"/>
                <w:szCs w:val="24"/>
                <w:lang w:bidi="ar"/>
              </w:rPr>
              <w:t>版</w:t>
            </w:r>
            <w:r>
              <w:rPr>
                <w:color w:val="000000"/>
                <w:szCs w:val="24"/>
                <w:lang w:bidi="ar"/>
              </w:rPr>
              <w:t>）中</w:t>
            </w:r>
            <w:r>
              <w:rPr>
                <w:rFonts w:ascii="Times New Roman" w:hAnsi="Times New Roman"/>
                <w:color w:val="000000"/>
                <w:szCs w:val="24"/>
                <w:lang w:bidi="ar"/>
              </w:rPr>
              <w:t>HW49</w:t>
            </w:r>
            <w:r>
              <w:rPr>
                <w:color w:val="000000"/>
                <w:szCs w:val="24"/>
                <w:lang w:bidi="ar"/>
              </w:rPr>
              <w:t>其他废物，废物代码为</w:t>
            </w:r>
            <w:r>
              <w:rPr>
                <w:rFonts w:ascii="Times New Roman" w:hAnsi="Times New Roman"/>
                <w:color w:val="000000"/>
                <w:szCs w:val="24"/>
                <w:lang w:bidi="ar"/>
              </w:rPr>
              <w:t>900-041-49</w:t>
            </w:r>
            <w:r>
              <w:rPr>
                <w:color w:val="000000"/>
                <w:szCs w:val="24"/>
                <w:lang w:bidi="ar"/>
              </w:rPr>
              <w:t>，暂存在危废暂存间，</w:t>
            </w:r>
            <w:r>
              <w:rPr>
                <w:rFonts w:hint="eastAsia"/>
                <w:color w:val="000000"/>
                <w:szCs w:val="24"/>
                <w:lang w:bidi="ar"/>
              </w:rPr>
              <w:t>定期</w:t>
            </w:r>
            <w:r>
              <w:rPr>
                <w:color w:val="000000"/>
                <w:szCs w:val="24"/>
                <w:lang w:bidi="ar"/>
              </w:rPr>
              <w:t>委托有资质单位进行处置</w:t>
            </w:r>
            <w:r>
              <w:rPr>
                <w:rFonts w:hint="eastAsia"/>
                <w:color w:val="000000"/>
                <w:szCs w:val="24"/>
                <w:lang w:bidi="ar"/>
              </w:rPr>
              <w:t>。</w:t>
            </w:r>
          </w:p>
          <w:p w14:paraId="51734B2A">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（8）水性漆漆渣</w:t>
            </w:r>
          </w:p>
          <w:p w14:paraId="4F1767FE">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根据上文漆料平衡分析中可知，喷漆房喷漆工程中产生的漆渣为</w:t>
            </w:r>
            <w:r>
              <w:rPr>
                <w:rFonts w:hint="eastAsia" w:ascii="Times New Roman" w:hAnsi="Times New Roman"/>
                <w:color w:val="000000"/>
                <w:szCs w:val="24"/>
              </w:rPr>
              <w:t>0.1998t/a。</w:t>
            </w:r>
            <w:r>
              <w:rPr>
                <w:szCs w:val="24"/>
                <w:lang w:bidi="ar"/>
              </w:rPr>
              <w:t>属于《国家危险废物名录》（</w:t>
            </w:r>
            <w:r>
              <w:rPr>
                <w:rFonts w:ascii="Times New Roman" w:hAnsi="Times New Roman" w:eastAsiaTheme="minorEastAsia"/>
                <w:szCs w:val="24"/>
                <w:lang w:bidi="ar"/>
              </w:rPr>
              <w:t>202</w:t>
            </w:r>
            <w:r>
              <w:rPr>
                <w:rFonts w:hint="eastAsia" w:ascii="Times New Roman" w:hAnsi="Times New Roman" w:eastAsiaTheme="minorEastAsia"/>
                <w:szCs w:val="24"/>
                <w:lang w:bidi="ar"/>
              </w:rPr>
              <w:t>5</w:t>
            </w:r>
            <w:r>
              <w:rPr>
                <w:szCs w:val="24"/>
                <w:lang w:bidi="ar"/>
              </w:rPr>
              <w:t>年</w:t>
            </w:r>
            <w:r>
              <w:rPr>
                <w:rFonts w:hint="eastAsia"/>
                <w:szCs w:val="24"/>
                <w:lang w:bidi="ar"/>
              </w:rPr>
              <w:t>版</w:t>
            </w:r>
            <w:r>
              <w:rPr>
                <w:szCs w:val="24"/>
                <w:lang w:bidi="ar"/>
              </w:rPr>
              <w:t>）中的</w:t>
            </w:r>
            <w:r>
              <w:rPr>
                <w:rFonts w:ascii="Times New Roman" w:hAnsi="Times New Roman"/>
                <w:szCs w:val="24"/>
                <w:lang w:bidi="ar"/>
              </w:rPr>
              <w:t>HW12</w:t>
            </w:r>
            <w:r>
              <w:rPr>
                <w:szCs w:val="24"/>
                <w:lang w:bidi="ar"/>
              </w:rPr>
              <w:t>染料、涂料废物，废物代码</w:t>
            </w:r>
            <w:r>
              <w:rPr>
                <w:rFonts w:ascii="Times New Roman" w:hAnsi="Times New Roman"/>
                <w:szCs w:val="24"/>
                <w:lang w:bidi="ar"/>
              </w:rPr>
              <w:t>900-252-12</w:t>
            </w:r>
            <w:r>
              <w:rPr>
                <w:szCs w:val="24"/>
                <w:lang w:bidi="ar"/>
              </w:rPr>
              <w:t>，收集后用密闭袋装存储在危废暂存间，委托有资质单位进行处置</w:t>
            </w:r>
            <w:r>
              <w:rPr>
                <w:rFonts w:hint="eastAsia" w:ascii="Times New Roman" w:hAnsi="Times New Roman"/>
                <w:szCs w:val="24"/>
              </w:rPr>
              <w:t>。</w:t>
            </w:r>
          </w:p>
          <w:p w14:paraId="4FFD5E07">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Times New Roman" w:hAnsi="Times New Roman"/>
                <w:color w:val="000000"/>
                <w:kern w:val="2"/>
                <w:szCs w:val="24"/>
              </w:rPr>
              <w:t>（9</w:t>
            </w:r>
            <w:r>
              <w:rPr>
                <w:rFonts w:hint="eastAsia" w:ascii="Times New Roman" w:hAnsi="Times New Roman"/>
                <w:kern w:val="2"/>
                <w:szCs w:val="24"/>
              </w:rPr>
              <w:t>）废活性炭</w:t>
            </w:r>
          </w:p>
          <w:p w14:paraId="460D1BD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ascii="Times New Roman" w:hAnsi="Times New Roman"/>
                <w:color w:val="000000"/>
                <w:kern w:val="2"/>
                <w:szCs w:val="24"/>
              </w:rPr>
              <w:t>项目喷漆及晾干过程产生的</w:t>
            </w:r>
            <w:r>
              <w:rPr>
                <w:rFonts w:hint="eastAsia" w:ascii="Times New Roman" w:hAnsi="Times New Roman"/>
                <w:color w:val="000000"/>
                <w:kern w:val="2"/>
                <w:szCs w:val="24"/>
              </w:rPr>
              <w:t>废</w:t>
            </w:r>
            <w:r>
              <w:rPr>
                <w:rFonts w:ascii="Times New Roman" w:hAnsi="Times New Roman"/>
                <w:color w:val="000000"/>
                <w:kern w:val="2"/>
                <w:szCs w:val="24"/>
              </w:rPr>
              <w:t>气经</w:t>
            </w:r>
            <w:r>
              <w:rPr>
                <w:rFonts w:hint="eastAsia" w:ascii="Times New Roman" w:hAnsi="Times New Roman"/>
                <w:color w:val="000000"/>
                <w:kern w:val="2"/>
                <w:szCs w:val="24"/>
              </w:rPr>
              <w:t>三</w:t>
            </w:r>
            <w:r>
              <w:rPr>
                <w:rFonts w:ascii="Times New Roman" w:hAnsi="Times New Roman"/>
                <w:color w:val="000000"/>
                <w:kern w:val="2"/>
                <w:szCs w:val="24"/>
              </w:rPr>
              <w:t>级活性炭吸附装置处理，本项目活性炭最少装填量为</w:t>
            </w:r>
            <w:r>
              <w:rPr>
                <w:rFonts w:hint="eastAsia" w:ascii="Times New Roman" w:hAnsi="Times New Roman"/>
                <w:color w:val="000000"/>
                <w:kern w:val="2"/>
                <w:szCs w:val="24"/>
              </w:rPr>
              <w:t>0.6</w:t>
            </w:r>
            <w:r>
              <w:rPr>
                <w:rFonts w:ascii="Times New Roman" w:hAnsi="Times New Roman"/>
                <w:color w:val="000000"/>
                <w:kern w:val="2"/>
                <w:szCs w:val="24"/>
              </w:rPr>
              <w:t>t/次，</w:t>
            </w:r>
            <w:r>
              <w:rPr>
                <w:rFonts w:hint="eastAsia" w:ascii="Times New Roman" w:hAnsi="Times New Roman"/>
                <w:color w:val="000000"/>
                <w:kern w:val="2"/>
                <w:szCs w:val="24"/>
              </w:rPr>
              <w:t>一季度更换一次。根据上文漆料平衡分析</w:t>
            </w:r>
            <w:r>
              <w:rPr>
                <w:rFonts w:ascii="Times New Roman" w:hAnsi="Times New Roman"/>
                <w:color w:val="000000"/>
                <w:kern w:val="2"/>
                <w:szCs w:val="24"/>
              </w:rPr>
              <w:t>本项目活性炭吸附处理的有机废气为</w:t>
            </w:r>
            <w:r>
              <w:rPr>
                <w:rFonts w:hint="eastAsia" w:ascii="Times New Roman" w:hAnsi="Times New Roman"/>
                <w:color w:val="000000"/>
                <w:kern w:val="2"/>
                <w:szCs w:val="24"/>
              </w:rPr>
              <w:t>0.9989</w:t>
            </w:r>
            <w:r>
              <w:rPr>
                <w:rFonts w:ascii="Times New Roman" w:hAnsi="Times New Roman"/>
                <w:color w:val="000000"/>
                <w:kern w:val="2"/>
                <w:szCs w:val="24"/>
              </w:rPr>
              <w:t>t/</w:t>
            </w:r>
            <w:r>
              <w:rPr>
                <w:rFonts w:hint="eastAsia" w:ascii="Times New Roman" w:hAnsi="Times New Roman"/>
                <w:color w:val="000000"/>
                <w:kern w:val="2"/>
                <w:szCs w:val="24"/>
              </w:rPr>
              <w:t>a，废活性炭产生量为8.1989t/a。属于危险废物。根据《国家危废名录》（2025版）废物种类：HW49其他废物，废物代码：900-039-49，暂存于危废间，定期委托有资质单位处理处置。</w:t>
            </w:r>
          </w:p>
          <w:p w14:paraId="7FF102A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（10）废过滤棉</w:t>
            </w:r>
          </w:p>
          <w:p w14:paraId="5BFED54B">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kern w:val="2"/>
                <w:szCs w:val="24"/>
              </w:rPr>
              <w:t>项目采用过滤棉去除喷漆废气中的漆雾，过滤棉重量约250g/m</w:t>
            </w:r>
            <w:r>
              <w:rPr>
                <w:rFonts w:hint="eastAsia" w:ascii="Times New Roman" w:hAnsi="Times New Roman"/>
                <w:kern w:val="2"/>
                <w:szCs w:val="24"/>
                <w:vertAlign w:val="superscript"/>
              </w:rPr>
              <w:t>2</w:t>
            </w:r>
            <w:r>
              <w:rPr>
                <w:rFonts w:hint="eastAsia" w:ascii="Times New Roman" w:hAnsi="Times New Roman"/>
                <w:kern w:val="2"/>
                <w:szCs w:val="24"/>
              </w:rPr>
              <w:t>，过滤棉吸附漆雾的能力为1-2kg/m</w:t>
            </w:r>
            <w:r>
              <w:rPr>
                <w:rFonts w:hint="eastAsia" w:ascii="Times New Roman" w:hAnsi="Times New Roman"/>
                <w:kern w:val="2"/>
                <w:szCs w:val="24"/>
                <w:vertAlign w:val="superscript"/>
              </w:rPr>
              <w:t>2</w:t>
            </w:r>
            <w:r>
              <w:rPr>
                <w:rFonts w:hint="eastAsia" w:ascii="Times New Roman" w:hAnsi="Times New Roman"/>
                <w:kern w:val="2"/>
                <w:szCs w:val="24"/>
              </w:rPr>
              <w:t>，本次评价取1.5kg/m</w:t>
            </w:r>
            <w:r>
              <w:rPr>
                <w:rFonts w:hint="eastAsia" w:ascii="Times New Roman" w:hAnsi="Times New Roman"/>
                <w:kern w:val="2"/>
                <w:szCs w:val="24"/>
                <w:vertAlign w:val="superscript"/>
              </w:rPr>
              <w:t>2</w:t>
            </w:r>
            <w:r>
              <w:rPr>
                <w:rFonts w:hint="eastAsia" w:ascii="Times New Roman" w:hAnsi="Times New Roman"/>
                <w:kern w:val="2"/>
                <w:szCs w:val="24"/>
              </w:rPr>
              <w:t>，根据前文漆料平衡，进入过滤棉中的漆雾为2.0138t/a，则过滤棉使用量约为302.07m</w:t>
            </w:r>
            <w:r>
              <w:rPr>
                <w:rFonts w:hint="eastAsia" w:ascii="Times New Roman" w:hAnsi="Times New Roman"/>
                <w:kern w:val="2"/>
                <w:szCs w:val="24"/>
                <w:vertAlign w:val="superscript"/>
              </w:rPr>
              <w:t>2</w:t>
            </w:r>
            <w:r>
              <w:rPr>
                <w:rFonts w:hint="eastAsia" w:ascii="Times New Roman" w:hAnsi="Times New Roman"/>
                <w:kern w:val="2"/>
                <w:szCs w:val="24"/>
              </w:rPr>
              <w:t>/a（0.076t/a），则废过滤棉产生量为2.0898t/a。属于《国家危险废物名录》（</w:t>
            </w:r>
            <w:r>
              <w:rPr>
                <w:rFonts w:ascii="Times New Roman" w:hAnsi="Times New Roman"/>
                <w:kern w:val="2"/>
                <w:szCs w:val="24"/>
              </w:rPr>
              <w:t>2025</w:t>
            </w:r>
            <w:r>
              <w:rPr>
                <w:rFonts w:hint="eastAsia" w:ascii="Times New Roman" w:hAnsi="Times New Roman"/>
                <w:kern w:val="2"/>
                <w:szCs w:val="24"/>
              </w:rPr>
              <w:t>年版）中</w:t>
            </w:r>
            <w:r>
              <w:rPr>
                <w:rFonts w:ascii="Times New Roman" w:hAnsi="Times New Roman"/>
                <w:kern w:val="2"/>
                <w:szCs w:val="24"/>
              </w:rPr>
              <w:t>HW49</w:t>
            </w:r>
            <w:r>
              <w:rPr>
                <w:rFonts w:hint="eastAsia" w:ascii="Times New Roman" w:hAnsi="Times New Roman"/>
                <w:kern w:val="2"/>
                <w:szCs w:val="24"/>
              </w:rPr>
              <w:t>其他废物，废物代码为</w:t>
            </w:r>
            <w:r>
              <w:rPr>
                <w:rFonts w:ascii="Times New Roman" w:hAnsi="Times New Roman"/>
                <w:kern w:val="2"/>
                <w:szCs w:val="24"/>
              </w:rPr>
              <w:t>900-041-49</w:t>
            </w:r>
            <w:r>
              <w:rPr>
                <w:rFonts w:hint="eastAsia" w:ascii="Times New Roman" w:hAnsi="Times New Roman"/>
                <w:kern w:val="2"/>
                <w:szCs w:val="24"/>
              </w:rPr>
              <w:t>，采用密闭袋装暂存在危废暂存间，委托有资质单位进行处置。</w:t>
            </w:r>
          </w:p>
          <w:p w14:paraId="49B4A459">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（11）废润滑油及其包装桶</w:t>
            </w:r>
          </w:p>
          <w:p w14:paraId="3211CDD7">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润滑油规格</w:t>
            </w:r>
            <w:r>
              <w:rPr>
                <w:rFonts w:ascii="Times New Roman" w:hAnsi="Times New Roman"/>
                <w:color w:val="000000"/>
                <w:kern w:val="2"/>
                <w:szCs w:val="24"/>
              </w:rPr>
              <w:t>20L/</w:t>
            </w:r>
            <w:r>
              <w:rPr>
                <w:rFonts w:hint="eastAsia" w:ascii="Times New Roman" w:hAnsi="Times New Roman"/>
                <w:color w:val="000000"/>
                <w:kern w:val="2"/>
                <w:szCs w:val="24"/>
              </w:rPr>
              <w:t>桶，每个桶约</w:t>
            </w:r>
            <w:r>
              <w:rPr>
                <w:rFonts w:ascii="Times New Roman" w:hAnsi="Times New Roman"/>
                <w:color w:val="000000"/>
                <w:kern w:val="2"/>
                <w:szCs w:val="24"/>
              </w:rPr>
              <w:t>0.5kg</w:t>
            </w:r>
            <w:r>
              <w:rPr>
                <w:rFonts w:hint="eastAsia" w:ascii="Times New Roman" w:hAnsi="Times New Roman"/>
                <w:color w:val="000000"/>
                <w:kern w:val="2"/>
                <w:szCs w:val="24"/>
              </w:rPr>
              <w:t>，因此包装桶的产生量为</w:t>
            </w:r>
            <w:r>
              <w:rPr>
                <w:rFonts w:ascii="Times New Roman" w:hAnsi="Times New Roman"/>
                <w:color w:val="000000"/>
                <w:kern w:val="2"/>
                <w:szCs w:val="24"/>
              </w:rPr>
              <w:t>0.025t/a</w:t>
            </w:r>
            <w:r>
              <w:rPr>
                <w:rFonts w:hint="eastAsia" w:ascii="Times New Roman" w:hAnsi="Times New Roman"/>
                <w:color w:val="000000"/>
                <w:kern w:val="2"/>
                <w:szCs w:val="24"/>
              </w:rPr>
              <w:t>，废润滑油产生量约为用量的</w:t>
            </w:r>
            <w:r>
              <w:rPr>
                <w:rFonts w:ascii="Times New Roman" w:hAnsi="Times New Roman"/>
                <w:color w:val="000000"/>
                <w:kern w:val="2"/>
                <w:szCs w:val="24"/>
              </w:rPr>
              <w:t>10%</w:t>
            </w:r>
            <w:r>
              <w:rPr>
                <w:rFonts w:hint="eastAsia" w:ascii="Times New Roman" w:hAnsi="Times New Roman"/>
                <w:color w:val="000000"/>
                <w:kern w:val="2"/>
                <w:szCs w:val="24"/>
              </w:rPr>
              <w:t>，即废润滑油的产生量为</w:t>
            </w:r>
            <w:r>
              <w:rPr>
                <w:rFonts w:ascii="Times New Roman" w:hAnsi="Times New Roman"/>
                <w:color w:val="000000"/>
                <w:kern w:val="2"/>
                <w:szCs w:val="24"/>
              </w:rPr>
              <w:t>0.1t/a</w:t>
            </w:r>
            <w:r>
              <w:rPr>
                <w:rFonts w:hint="eastAsia" w:ascii="Times New Roman" w:hAnsi="Times New Roman"/>
                <w:color w:val="000000"/>
                <w:kern w:val="2"/>
                <w:szCs w:val="24"/>
              </w:rPr>
              <w:t>。废润滑油及其包装桶属于《国家危险废物名录》（</w:t>
            </w:r>
            <w:r>
              <w:rPr>
                <w:rFonts w:ascii="Times New Roman" w:hAnsi="Times New Roman"/>
                <w:color w:val="000000"/>
                <w:kern w:val="2"/>
                <w:szCs w:val="24"/>
              </w:rPr>
              <w:t>2025</w:t>
            </w:r>
            <w:r>
              <w:rPr>
                <w:rFonts w:hint="eastAsia" w:ascii="Times New Roman" w:hAnsi="Times New Roman"/>
                <w:color w:val="000000"/>
                <w:kern w:val="2"/>
                <w:szCs w:val="24"/>
              </w:rPr>
              <w:t>年版）中的</w:t>
            </w:r>
            <w:r>
              <w:rPr>
                <w:rFonts w:ascii="Times New Roman" w:hAnsi="Times New Roman"/>
                <w:color w:val="000000"/>
                <w:kern w:val="2"/>
                <w:szCs w:val="24"/>
              </w:rPr>
              <w:t>HW08 900-217-08</w:t>
            </w:r>
            <w:r>
              <w:rPr>
                <w:rFonts w:hint="eastAsia" w:ascii="Times New Roman" w:hAnsi="Times New Roman"/>
                <w:color w:val="000000"/>
                <w:kern w:val="2"/>
                <w:szCs w:val="24"/>
              </w:rPr>
              <w:t>、</w:t>
            </w:r>
            <w:r>
              <w:rPr>
                <w:rFonts w:ascii="Times New Roman" w:hAnsi="Times New Roman"/>
                <w:color w:val="000000"/>
                <w:kern w:val="2"/>
                <w:szCs w:val="24"/>
              </w:rPr>
              <w:t>900-249-08</w:t>
            </w:r>
            <w:r>
              <w:rPr>
                <w:rFonts w:hint="eastAsia" w:ascii="Times New Roman" w:hAnsi="Times New Roman"/>
                <w:color w:val="000000"/>
                <w:kern w:val="2"/>
                <w:szCs w:val="24"/>
              </w:rPr>
              <w:t>，收集后暂存在危废暂存间，定期委托有资质单位进行处置。</w:t>
            </w:r>
          </w:p>
          <w:p w14:paraId="70126CF8">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（12）含油抹布及手套</w:t>
            </w:r>
          </w:p>
          <w:p w14:paraId="0DEB6B52">
            <w:pPr>
              <w:pStyle w:val="20"/>
              <w:widowControl w:val="0"/>
              <w:kinsoku w:val="0"/>
              <w:wordWrap w:val="0"/>
              <w:autoSpaceDE w:val="0"/>
              <w:autoSpaceDN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类比现有项目操作过程中、检维修过程中产生含油抹布及手套，根据企业提供资料，产生量约为0.05t/a。</w:t>
            </w:r>
            <w:r>
              <w:rPr>
                <w:szCs w:val="24"/>
                <w:lang w:bidi="ar"/>
              </w:rPr>
              <w:t>属于《国家危险废物名录》（</w:t>
            </w:r>
            <w:r>
              <w:rPr>
                <w:rFonts w:ascii="Times New Roman" w:hAnsi="Times New Roman" w:eastAsiaTheme="minorEastAsia"/>
                <w:szCs w:val="24"/>
                <w:lang w:bidi="ar"/>
              </w:rPr>
              <w:t>202</w:t>
            </w:r>
            <w:r>
              <w:rPr>
                <w:rFonts w:hint="eastAsia" w:ascii="Times New Roman" w:hAnsi="Times New Roman" w:eastAsiaTheme="minorEastAsia"/>
                <w:szCs w:val="24"/>
                <w:lang w:bidi="ar"/>
              </w:rPr>
              <w:t>5</w:t>
            </w:r>
            <w:r>
              <w:rPr>
                <w:szCs w:val="24"/>
                <w:lang w:bidi="ar"/>
              </w:rPr>
              <w:t>年</w:t>
            </w:r>
            <w:r>
              <w:rPr>
                <w:rFonts w:hint="eastAsia"/>
                <w:szCs w:val="24"/>
                <w:lang w:bidi="ar"/>
              </w:rPr>
              <w:t>版</w:t>
            </w:r>
            <w:r>
              <w:rPr>
                <w:szCs w:val="24"/>
                <w:lang w:bidi="ar"/>
              </w:rPr>
              <w:t>）中的</w:t>
            </w:r>
            <w:r>
              <w:rPr>
                <w:rFonts w:ascii="Times New Roman" w:hAnsi="Times New Roman"/>
                <w:szCs w:val="24"/>
                <w:lang w:bidi="ar"/>
              </w:rPr>
              <w:t>HW</w:t>
            </w:r>
            <w:r>
              <w:rPr>
                <w:rFonts w:hint="eastAsia" w:ascii="Times New Roman" w:hAnsi="Times New Roman"/>
                <w:szCs w:val="24"/>
                <w:lang w:bidi="ar"/>
              </w:rPr>
              <w:t xml:space="preserve">49 </w:t>
            </w:r>
            <w:r>
              <w:rPr>
                <w:rFonts w:ascii="Times New Roman" w:hAnsi="Times New Roman"/>
                <w:szCs w:val="24"/>
                <w:lang w:bidi="ar"/>
              </w:rPr>
              <w:t>900-</w:t>
            </w:r>
            <w:r>
              <w:rPr>
                <w:rFonts w:hint="eastAsia" w:ascii="Times New Roman" w:hAnsi="Times New Roman"/>
                <w:szCs w:val="24"/>
                <w:lang w:bidi="ar"/>
              </w:rPr>
              <w:t>041</w:t>
            </w:r>
            <w:r>
              <w:rPr>
                <w:rFonts w:ascii="Times New Roman" w:hAnsi="Times New Roman"/>
                <w:szCs w:val="24"/>
                <w:lang w:bidi="ar"/>
              </w:rPr>
              <w:t>-</w:t>
            </w:r>
            <w:r>
              <w:rPr>
                <w:rFonts w:hint="eastAsia" w:ascii="Times New Roman" w:hAnsi="Times New Roman"/>
                <w:szCs w:val="24"/>
                <w:lang w:bidi="ar"/>
              </w:rPr>
              <w:t>49</w:t>
            </w:r>
            <w:r>
              <w:rPr>
                <w:szCs w:val="24"/>
                <w:lang w:bidi="ar"/>
              </w:rPr>
              <w:t>，用密闭袋装</w:t>
            </w:r>
            <w:r>
              <w:rPr>
                <w:rFonts w:hint="eastAsia"/>
                <w:szCs w:val="24"/>
                <w:lang w:bidi="ar"/>
              </w:rPr>
              <w:t>收集后暂存</w:t>
            </w:r>
            <w:r>
              <w:rPr>
                <w:szCs w:val="24"/>
                <w:lang w:bidi="ar"/>
              </w:rPr>
              <w:t>在危废暂存间，</w:t>
            </w:r>
            <w:r>
              <w:rPr>
                <w:rFonts w:hint="eastAsia"/>
                <w:szCs w:val="24"/>
                <w:lang w:bidi="ar"/>
              </w:rPr>
              <w:t>定期</w:t>
            </w:r>
            <w:r>
              <w:rPr>
                <w:szCs w:val="24"/>
                <w:lang w:bidi="ar"/>
              </w:rPr>
              <w:t>委托有资质单位进行处置</w:t>
            </w:r>
            <w:r>
              <w:rPr>
                <w:rFonts w:hint="eastAsia" w:ascii="Times New Roman" w:hAnsi="Times New Roman"/>
                <w:szCs w:val="24"/>
              </w:rPr>
              <w:t>。</w:t>
            </w:r>
          </w:p>
          <w:p w14:paraId="1B80DAC5">
            <w:pPr>
              <w:kinsoku w:val="0"/>
              <w:wordWrap w:val="0"/>
              <w:autoSpaceDE w:val="0"/>
              <w:autoSpaceDN w:val="0"/>
              <w:adjustRightInd w:val="0"/>
              <w:snapToGrid w:val="0"/>
              <w:jc w:val="center"/>
              <w:rPr>
                <w:b/>
                <w:color w:val="000000" w:themeColor="text1"/>
                <w:szCs w:val="20"/>
                <w14:textFill>
                  <w14:solidFill>
                    <w14:schemeClr w14:val="tx1"/>
                  </w14:solidFill>
                </w14:textFill>
              </w:rPr>
            </w:pPr>
            <w:r>
              <w:rPr>
                <w:b/>
                <w:color w:val="000000" w:themeColor="text1"/>
                <w:szCs w:val="20"/>
                <w14:textFill>
                  <w14:solidFill>
                    <w14:schemeClr w14:val="tx1"/>
                  </w14:solidFill>
                </w14:textFill>
              </w:rPr>
              <w:t>表4-</w:t>
            </w:r>
            <w:r>
              <w:rPr>
                <w:rFonts w:hint="eastAsia"/>
                <w:b/>
                <w:color w:val="000000" w:themeColor="text1"/>
                <w:szCs w:val="20"/>
                <w14:textFill>
                  <w14:solidFill>
                    <w14:schemeClr w14:val="tx1"/>
                  </w14:solidFill>
                </w14:textFill>
              </w:rPr>
              <w:t xml:space="preserve">17 </w:t>
            </w:r>
            <w:r>
              <w:rPr>
                <w:b/>
                <w:color w:val="000000" w:themeColor="text1"/>
                <w:szCs w:val="20"/>
                <w14:textFill>
                  <w14:solidFill>
                    <w14:schemeClr w14:val="tx1"/>
                  </w14:solidFill>
                </w14:textFill>
              </w:rPr>
              <w:t xml:space="preserve"> 项目</w:t>
            </w:r>
            <w:r>
              <w:rPr>
                <w:rFonts w:hint="eastAsia"/>
                <w:b/>
                <w:color w:val="000000" w:themeColor="text1"/>
                <w:szCs w:val="20"/>
                <w14:textFill>
                  <w14:solidFill>
                    <w14:schemeClr w14:val="tx1"/>
                  </w14:solidFill>
                </w14:textFill>
              </w:rPr>
              <w:t>固体</w:t>
            </w:r>
            <w:r>
              <w:rPr>
                <w:b/>
                <w:color w:val="000000" w:themeColor="text1"/>
                <w:szCs w:val="20"/>
                <w14:textFill>
                  <w14:solidFill>
                    <w14:schemeClr w14:val="tx1"/>
                  </w14:solidFill>
                </w14:textFill>
              </w:rPr>
              <w:t>废物产生情况一览表</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395"/>
              <w:gridCol w:w="1618"/>
              <w:gridCol w:w="828"/>
              <w:gridCol w:w="1263"/>
              <w:gridCol w:w="841"/>
              <w:gridCol w:w="613"/>
              <w:gridCol w:w="639"/>
              <w:gridCol w:w="611"/>
              <w:gridCol w:w="1007"/>
            </w:tblGrid>
            <w:tr w14:paraId="0A74A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395570F6">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035" w:type="pct"/>
                  <w:tcBorders>
                    <w:tl2br w:val="nil"/>
                    <w:tr2bl w:val="nil"/>
                  </w:tcBorders>
                  <w:vAlign w:val="center"/>
                </w:tcPr>
                <w:p w14:paraId="1DDB6C74">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固废名称</w:t>
                  </w:r>
                </w:p>
              </w:tc>
              <w:tc>
                <w:tcPr>
                  <w:tcW w:w="530" w:type="pct"/>
                  <w:tcBorders>
                    <w:tl2br w:val="nil"/>
                    <w:tr2bl w:val="nil"/>
                  </w:tcBorders>
                  <w:vAlign w:val="center"/>
                </w:tcPr>
                <w:p w14:paraId="05DC64E0">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固废类别</w:t>
                  </w:r>
                </w:p>
              </w:tc>
              <w:tc>
                <w:tcPr>
                  <w:tcW w:w="808" w:type="pct"/>
                  <w:tcBorders>
                    <w:tl2br w:val="nil"/>
                    <w:tr2bl w:val="nil"/>
                  </w:tcBorders>
                  <w:vAlign w:val="center"/>
                </w:tcPr>
                <w:p w14:paraId="7316AAD5">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固废代码</w:t>
                  </w:r>
                </w:p>
              </w:tc>
              <w:tc>
                <w:tcPr>
                  <w:tcW w:w="538" w:type="pct"/>
                  <w:tcBorders>
                    <w:tl2br w:val="nil"/>
                    <w:tr2bl w:val="nil"/>
                  </w:tcBorders>
                  <w:vAlign w:val="center"/>
                </w:tcPr>
                <w:p w14:paraId="47A495D4">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产生量</w:t>
                  </w:r>
                </w:p>
                <w:p w14:paraId="1014C7F3">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t/a</w:t>
                  </w:r>
                </w:p>
              </w:tc>
              <w:tc>
                <w:tcPr>
                  <w:tcW w:w="392" w:type="pct"/>
                  <w:tcBorders>
                    <w:tl2br w:val="nil"/>
                    <w:tr2bl w:val="nil"/>
                  </w:tcBorders>
                  <w:vAlign w:val="center"/>
                </w:tcPr>
                <w:p w14:paraId="08477844">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固废分类</w:t>
                  </w:r>
                </w:p>
              </w:tc>
              <w:tc>
                <w:tcPr>
                  <w:tcW w:w="409" w:type="pct"/>
                  <w:tcBorders>
                    <w:tl2br w:val="nil"/>
                    <w:tr2bl w:val="nil"/>
                  </w:tcBorders>
                  <w:vAlign w:val="center"/>
                </w:tcPr>
                <w:p w14:paraId="38DD8B04">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物理性状</w:t>
                  </w:r>
                </w:p>
              </w:tc>
              <w:tc>
                <w:tcPr>
                  <w:tcW w:w="391" w:type="pct"/>
                  <w:tcBorders>
                    <w:tl2br w:val="nil"/>
                    <w:tr2bl w:val="nil"/>
                  </w:tcBorders>
                  <w:vAlign w:val="center"/>
                </w:tcPr>
                <w:p w14:paraId="262AE8C7">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危险特性</w:t>
                  </w:r>
                </w:p>
              </w:tc>
              <w:tc>
                <w:tcPr>
                  <w:tcW w:w="644" w:type="pct"/>
                  <w:tcBorders>
                    <w:tl2br w:val="nil"/>
                    <w:tr2bl w:val="nil"/>
                  </w:tcBorders>
                  <w:vAlign w:val="center"/>
                </w:tcPr>
                <w:p w14:paraId="5730E957">
                  <w:pPr>
                    <w:autoSpaceDE w:val="0"/>
                    <w:autoSpaceDN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污染防治措施</w:t>
                  </w:r>
                </w:p>
              </w:tc>
            </w:tr>
            <w:tr w14:paraId="3B6CC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3743C551">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35" w:type="pct"/>
                  <w:tcBorders>
                    <w:tl2br w:val="nil"/>
                    <w:tr2bl w:val="nil"/>
                  </w:tcBorders>
                  <w:vAlign w:val="center"/>
                </w:tcPr>
                <w:p w14:paraId="3DF57311">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废钢材边角料</w:t>
                  </w:r>
                </w:p>
              </w:tc>
              <w:tc>
                <w:tcPr>
                  <w:tcW w:w="530" w:type="pct"/>
                  <w:tcBorders>
                    <w:tl2br w:val="nil"/>
                    <w:tr2bl w:val="nil"/>
                  </w:tcBorders>
                  <w:vAlign w:val="center"/>
                </w:tcPr>
                <w:p w14:paraId="0C4C2753">
                  <w:pPr>
                    <w:autoSpaceDE w:val="0"/>
                    <w:autoSpaceDN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SW17</w:t>
                  </w:r>
                </w:p>
              </w:tc>
              <w:tc>
                <w:tcPr>
                  <w:tcW w:w="808" w:type="pct"/>
                  <w:tcBorders>
                    <w:tl2br w:val="nil"/>
                    <w:tr2bl w:val="nil"/>
                  </w:tcBorders>
                  <w:vAlign w:val="center"/>
                </w:tcPr>
                <w:p w14:paraId="608D4DF4">
                  <w:pPr>
                    <w:autoSpaceDE w:val="0"/>
                    <w:autoSpaceDN w:val="0"/>
                    <w:jc w:val="center"/>
                    <w:rPr>
                      <w:color w:val="000000" w:themeColor="text1"/>
                      <w:kern w:val="48"/>
                      <w:sz w:val="21"/>
                      <w:szCs w:val="21"/>
                      <w:u w:val="single"/>
                      <w14:textFill>
                        <w14:solidFill>
                          <w14:schemeClr w14:val="tx1"/>
                        </w14:solidFill>
                      </w14:textFill>
                    </w:rPr>
                  </w:pPr>
                  <w:r>
                    <w:rPr>
                      <w:rFonts w:hint="eastAsia"/>
                      <w:color w:val="000000" w:themeColor="text1"/>
                      <w:kern w:val="48"/>
                      <w:sz w:val="21"/>
                      <w:szCs w:val="21"/>
                      <w:u w:val="single"/>
                      <w14:textFill>
                        <w14:solidFill>
                          <w14:schemeClr w14:val="tx1"/>
                        </w14:solidFill>
                      </w14:textFill>
                    </w:rPr>
                    <w:t>900-001-S17</w:t>
                  </w:r>
                </w:p>
              </w:tc>
              <w:tc>
                <w:tcPr>
                  <w:tcW w:w="538" w:type="pct"/>
                  <w:tcBorders>
                    <w:tl2br w:val="nil"/>
                    <w:tr2bl w:val="nil"/>
                  </w:tcBorders>
                  <w:vAlign w:val="center"/>
                </w:tcPr>
                <w:p w14:paraId="27F46953">
                  <w:pPr>
                    <w:pStyle w:val="50"/>
                    <w:autoSpaceDE w:val="0"/>
                    <w:autoSpaceDN w:val="0"/>
                    <w:rPr>
                      <w:color w:val="000000" w:themeColor="text1"/>
                      <w:kern w:val="48"/>
                      <w:sz w:val="21"/>
                      <w:szCs w:val="21"/>
                      <w14:textFill>
                        <w14:solidFill>
                          <w14:schemeClr w14:val="tx1"/>
                        </w14:solidFill>
                      </w14:textFill>
                    </w:rPr>
                  </w:pPr>
                  <w:r>
                    <w:rPr>
                      <w:rFonts w:hint="eastAsia"/>
                      <w:color w:val="000000"/>
                      <w:sz w:val="21"/>
                      <w:szCs w:val="21"/>
                    </w:rPr>
                    <w:t>31.158</w:t>
                  </w:r>
                </w:p>
              </w:tc>
              <w:tc>
                <w:tcPr>
                  <w:tcW w:w="392" w:type="pct"/>
                  <w:vMerge w:val="restart"/>
                  <w:tcBorders>
                    <w:tl2br w:val="nil"/>
                    <w:tr2bl w:val="nil"/>
                  </w:tcBorders>
                  <w:vAlign w:val="center"/>
                </w:tcPr>
                <w:p w14:paraId="66796D44">
                  <w:pPr>
                    <w:autoSpaceDE w:val="0"/>
                    <w:autoSpaceDN w:val="0"/>
                    <w:jc w:val="center"/>
                    <w:rPr>
                      <w:color w:val="000000" w:themeColor="text1"/>
                      <w:kern w:val="0"/>
                      <w:sz w:val="21"/>
                      <w:szCs w:val="21"/>
                      <w:lang w:bidi="ar"/>
                      <w14:textFill>
                        <w14:solidFill>
                          <w14:schemeClr w14:val="tx1"/>
                        </w14:solidFill>
                      </w14:textFill>
                    </w:rPr>
                  </w:pPr>
                  <w:r>
                    <w:rPr>
                      <w:color w:val="000000" w:themeColor="text1"/>
                      <w:sz w:val="21"/>
                      <w:szCs w:val="21"/>
                      <w14:textFill>
                        <w14:solidFill>
                          <w14:schemeClr w14:val="tx1"/>
                        </w14:solidFill>
                      </w14:textFill>
                    </w:rPr>
                    <w:t>一般废物</w:t>
                  </w:r>
                </w:p>
              </w:tc>
              <w:tc>
                <w:tcPr>
                  <w:tcW w:w="409" w:type="pct"/>
                  <w:tcBorders>
                    <w:tl2br w:val="nil"/>
                    <w:tr2bl w:val="nil"/>
                  </w:tcBorders>
                  <w:vAlign w:val="center"/>
                </w:tcPr>
                <w:p w14:paraId="5B61BAEB">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391" w:type="pct"/>
                  <w:tcBorders>
                    <w:tl2br w:val="nil"/>
                    <w:tr2bl w:val="nil"/>
                  </w:tcBorders>
                  <w:vAlign w:val="center"/>
                </w:tcPr>
                <w:p w14:paraId="4F4CB4D1">
                  <w:pPr>
                    <w:pStyle w:val="50"/>
                    <w:autoSpaceDE w:val="0"/>
                    <w:autoSpaceDN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44" w:type="pct"/>
                  <w:vMerge w:val="restart"/>
                  <w:tcBorders>
                    <w:tl2br w:val="nil"/>
                    <w:tr2bl w:val="nil"/>
                  </w:tcBorders>
                  <w:vAlign w:val="center"/>
                </w:tcPr>
                <w:p w14:paraId="4CC1A1E6">
                  <w:pPr>
                    <w:pStyle w:val="50"/>
                    <w:autoSpaceDE w:val="0"/>
                    <w:autoSpaceDN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分类收集于一般固体废物暂存间，定期外售综合利用</w:t>
                  </w:r>
                </w:p>
              </w:tc>
            </w:tr>
            <w:tr w14:paraId="3A801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56BE3B4E">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035" w:type="pct"/>
                  <w:tcBorders>
                    <w:tl2br w:val="nil"/>
                    <w:tr2bl w:val="nil"/>
                  </w:tcBorders>
                  <w:vAlign w:val="center"/>
                </w:tcPr>
                <w:p w14:paraId="5AF5FB7F">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焊渣</w:t>
                  </w:r>
                </w:p>
              </w:tc>
              <w:tc>
                <w:tcPr>
                  <w:tcW w:w="530" w:type="pct"/>
                  <w:tcBorders>
                    <w:tl2br w:val="nil"/>
                    <w:tr2bl w:val="nil"/>
                  </w:tcBorders>
                  <w:vAlign w:val="center"/>
                </w:tcPr>
                <w:p w14:paraId="29BE2103">
                  <w:pPr>
                    <w:autoSpaceDE w:val="0"/>
                    <w:autoSpaceDN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SW59</w:t>
                  </w:r>
                </w:p>
              </w:tc>
              <w:tc>
                <w:tcPr>
                  <w:tcW w:w="808" w:type="pct"/>
                  <w:tcBorders>
                    <w:tl2br w:val="nil"/>
                    <w:tr2bl w:val="nil"/>
                  </w:tcBorders>
                  <w:vAlign w:val="center"/>
                </w:tcPr>
                <w:p w14:paraId="7E053CD0">
                  <w:pPr>
                    <w:autoSpaceDE w:val="0"/>
                    <w:autoSpaceDN w:val="0"/>
                    <w:jc w:val="center"/>
                    <w:rPr>
                      <w:color w:val="000000" w:themeColor="text1"/>
                      <w:kern w:val="48"/>
                      <w:sz w:val="21"/>
                      <w:szCs w:val="21"/>
                      <w:u w:val="single"/>
                      <w14:textFill>
                        <w14:solidFill>
                          <w14:schemeClr w14:val="tx1"/>
                        </w14:solidFill>
                      </w14:textFill>
                    </w:rPr>
                  </w:pPr>
                  <w:r>
                    <w:rPr>
                      <w:rFonts w:hint="eastAsia"/>
                      <w:color w:val="000000" w:themeColor="text1"/>
                      <w:kern w:val="48"/>
                      <w:sz w:val="21"/>
                      <w:szCs w:val="21"/>
                      <w:u w:val="single"/>
                      <w14:textFill>
                        <w14:solidFill>
                          <w14:schemeClr w14:val="tx1"/>
                        </w14:solidFill>
                      </w14:textFill>
                    </w:rPr>
                    <w:t>900-099-S59</w:t>
                  </w:r>
                </w:p>
              </w:tc>
              <w:tc>
                <w:tcPr>
                  <w:tcW w:w="538" w:type="pct"/>
                  <w:tcBorders>
                    <w:tl2br w:val="nil"/>
                    <w:tr2bl w:val="nil"/>
                  </w:tcBorders>
                  <w:vAlign w:val="center"/>
                </w:tcPr>
                <w:p w14:paraId="29FAF7C4">
                  <w:pPr>
                    <w:pStyle w:val="50"/>
                    <w:autoSpaceDE w:val="0"/>
                    <w:autoSpaceDN w:val="0"/>
                    <w:rPr>
                      <w:color w:val="000000" w:themeColor="text1"/>
                      <w:kern w:val="48"/>
                      <w:sz w:val="21"/>
                      <w:szCs w:val="21"/>
                      <w14:textFill>
                        <w14:solidFill>
                          <w14:schemeClr w14:val="tx1"/>
                        </w14:solidFill>
                      </w14:textFill>
                    </w:rPr>
                  </w:pPr>
                  <w:r>
                    <w:rPr>
                      <w:rFonts w:hint="eastAsia"/>
                      <w:color w:val="000000" w:themeColor="text1"/>
                      <w:kern w:val="48"/>
                      <w:sz w:val="21"/>
                      <w:szCs w:val="21"/>
                      <w14:textFill>
                        <w14:solidFill>
                          <w14:schemeClr w14:val="tx1"/>
                        </w14:solidFill>
                      </w14:textFill>
                    </w:rPr>
                    <w:t>5.31</w:t>
                  </w:r>
                </w:p>
              </w:tc>
              <w:tc>
                <w:tcPr>
                  <w:tcW w:w="392" w:type="pct"/>
                  <w:vMerge w:val="continue"/>
                  <w:tcBorders>
                    <w:tl2br w:val="nil"/>
                    <w:tr2bl w:val="nil"/>
                  </w:tcBorders>
                  <w:vAlign w:val="center"/>
                </w:tcPr>
                <w:p w14:paraId="1BFFEBF4">
                  <w:pPr>
                    <w:autoSpaceDE w:val="0"/>
                    <w:autoSpaceDN w:val="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440BA9A3">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固态</w:t>
                  </w:r>
                </w:p>
              </w:tc>
              <w:tc>
                <w:tcPr>
                  <w:tcW w:w="391" w:type="pct"/>
                  <w:tcBorders>
                    <w:tl2br w:val="nil"/>
                    <w:tr2bl w:val="nil"/>
                  </w:tcBorders>
                  <w:vAlign w:val="center"/>
                </w:tcPr>
                <w:p w14:paraId="0E779C53">
                  <w:pPr>
                    <w:pStyle w:val="50"/>
                    <w:autoSpaceDE w:val="0"/>
                    <w:autoSpaceDN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44" w:type="pct"/>
                  <w:vMerge w:val="continue"/>
                  <w:tcBorders>
                    <w:tl2br w:val="nil"/>
                    <w:tr2bl w:val="nil"/>
                  </w:tcBorders>
                  <w:vAlign w:val="center"/>
                </w:tcPr>
                <w:p w14:paraId="1DB4C1EB">
                  <w:pPr>
                    <w:pStyle w:val="50"/>
                    <w:autoSpaceDE w:val="0"/>
                    <w:autoSpaceDN w:val="0"/>
                    <w:rPr>
                      <w:color w:val="000000" w:themeColor="text1"/>
                      <w:sz w:val="21"/>
                      <w:szCs w:val="21"/>
                      <w14:textFill>
                        <w14:solidFill>
                          <w14:schemeClr w14:val="tx1"/>
                        </w14:solidFill>
                      </w14:textFill>
                    </w:rPr>
                  </w:pPr>
                </w:p>
              </w:tc>
            </w:tr>
            <w:tr w14:paraId="0A9DB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5FDEBD4A">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35" w:type="pct"/>
                  <w:tcBorders>
                    <w:tl2br w:val="nil"/>
                    <w:tr2bl w:val="nil"/>
                  </w:tcBorders>
                  <w:vAlign w:val="center"/>
                </w:tcPr>
                <w:p w14:paraId="7F10BCA3">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废布袋</w:t>
                  </w:r>
                </w:p>
              </w:tc>
              <w:tc>
                <w:tcPr>
                  <w:tcW w:w="530" w:type="pct"/>
                  <w:tcBorders>
                    <w:tl2br w:val="nil"/>
                    <w:tr2bl w:val="nil"/>
                  </w:tcBorders>
                  <w:vAlign w:val="center"/>
                </w:tcPr>
                <w:p w14:paraId="4021A39D">
                  <w:pPr>
                    <w:autoSpaceDE w:val="0"/>
                    <w:autoSpaceDN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SW59</w:t>
                  </w:r>
                </w:p>
              </w:tc>
              <w:tc>
                <w:tcPr>
                  <w:tcW w:w="808" w:type="pct"/>
                  <w:tcBorders>
                    <w:tl2br w:val="nil"/>
                    <w:tr2bl w:val="nil"/>
                  </w:tcBorders>
                  <w:vAlign w:val="center"/>
                </w:tcPr>
                <w:p w14:paraId="658E952D">
                  <w:pPr>
                    <w:autoSpaceDE w:val="0"/>
                    <w:autoSpaceDN w:val="0"/>
                    <w:jc w:val="center"/>
                    <w:rPr>
                      <w:color w:val="000000" w:themeColor="text1"/>
                      <w:kern w:val="48"/>
                      <w:sz w:val="21"/>
                      <w:szCs w:val="21"/>
                      <w:u w:val="single"/>
                      <w14:textFill>
                        <w14:solidFill>
                          <w14:schemeClr w14:val="tx1"/>
                        </w14:solidFill>
                      </w14:textFill>
                    </w:rPr>
                  </w:pPr>
                  <w:r>
                    <w:rPr>
                      <w:rFonts w:hint="eastAsia"/>
                      <w:color w:val="000000" w:themeColor="text1"/>
                      <w:kern w:val="48"/>
                      <w:sz w:val="21"/>
                      <w:szCs w:val="21"/>
                      <w:u w:val="single"/>
                      <w14:textFill>
                        <w14:solidFill>
                          <w14:schemeClr w14:val="tx1"/>
                        </w14:solidFill>
                      </w14:textFill>
                    </w:rPr>
                    <w:t>900-009-S59</w:t>
                  </w:r>
                </w:p>
              </w:tc>
              <w:tc>
                <w:tcPr>
                  <w:tcW w:w="538" w:type="pct"/>
                  <w:tcBorders>
                    <w:tl2br w:val="nil"/>
                    <w:tr2bl w:val="nil"/>
                  </w:tcBorders>
                  <w:vAlign w:val="center"/>
                </w:tcPr>
                <w:p w14:paraId="29FDC2B4">
                  <w:pPr>
                    <w:pStyle w:val="50"/>
                    <w:autoSpaceDE w:val="0"/>
                    <w:autoSpaceDN w:val="0"/>
                    <w:rPr>
                      <w:color w:val="000000" w:themeColor="text1"/>
                      <w:kern w:val="48"/>
                      <w:sz w:val="21"/>
                      <w:szCs w:val="21"/>
                      <w14:textFill>
                        <w14:solidFill>
                          <w14:schemeClr w14:val="tx1"/>
                        </w14:solidFill>
                      </w14:textFill>
                    </w:rPr>
                  </w:pPr>
                  <w:r>
                    <w:rPr>
                      <w:rFonts w:hint="eastAsia"/>
                      <w:color w:val="000000" w:themeColor="text1"/>
                      <w:kern w:val="48"/>
                      <w:sz w:val="21"/>
                      <w:szCs w:val="21"/>
                      <w14:textFill>
                        <w14:solidFill>
                          <w14:schemeClr w14:val="tx1"/>
                        </w14:solidFill>
                      </w14:textFill>
                    </w:rPr>
                    <w:t>0.5</w:t>
                  </w:r>
                </w:p>
              </w:tc>
              <w:tc>
                <w:tcPr>
                  <w:tcW w:w="392" w:type="pct"/>
                  <w:vMerge w:val="continue"/>
                  <w:tcBorders>
                    <w:tl2br w:val="nil"/>
                    <w:tr2bl w:val="nil"/>
                  </w:tcBorders>
                  <w:vAlign w:val="center"/>
                </w:tcPr>
                <w:p w14:paraId="072347B0">
                  <w:pPr>
                    <w:autoSpaceDE w:val="0"/>
                    <w:autoSpaceDN w:val="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6F81EBAC">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391" w:type="pct"/>
                  <w:tcBorders>
                    <w:tl2br w:val="nil"/>
                    <w:tr2bl w:val="nil"/>
                  </w:tcBorders>
                  <w:vAlign w:val="center"/>
                </w:tcPr>
                <w:p w14:paraId="663B2349">
                  <w:pPr>
                    <w:pStyle w:val="50"/>
                    <w:autoSpaceDE w:val="0"/>
                    <w:autoSpaceDN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44" w:type="pct"/>
                  <w:vMerge w:val="continue"/>
                  <w:tcBorders>
                    <w:tl2br w:val="nil"/>
                    <w:tr2bl w:val="nil"/>
                  </w:tcBorders>
                  <w:vAlign w:val="center"/>
                </w:tcPr>
                <w:p w14:paraId="05C5A6D4">
                  <w:pPr>
                    <w:pStyle w:val="50"/>
                    <w:autoSpaceDE w:val="0"/>
                    <w:autoSpaceDN w:val="0"/>
                    <w:rPr>
                      <w:color w:val="000000" w:themeColor="text1"/>
                      <w:sz w:val="21"/>
                      <w:szCs w:val="21"/>
                      <w14:textFill>
                        <w14:solidFill>
                          <w14:schemeClr w14:val="tx1"/>
                        </w14:solidFill>
                      </w14:textFill>
                    </w:rPr>
                  </w:pPr>
                </w:p>
              </w:tc>
            </w:tr>
            <w:tr w14:paraId="26E34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5F92DB70">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035" w:type="pct"/>
                  <w:tcBorders>
                    <w:tl2br w:val="nil"/>
                    <w:tr2bl w:val="nil"/>
                  </w:tcBorders>
                  <w:vAlign w:val="center"/>
                </w:tcPr>
                <w:p w14:paraId="1FF947C8">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袋式除尘器收集粉尘</w:t>
                  </w:r>
                </w:p>
              </w:tc>
              <w:tc>
                <w:tcPr>
                  <w:tcW w:w="530" w:type="pct"/>
                  <w:tcBorders>
                    <w:tl2br w:val="nil"/>
                    <w:tr2bl w:val="nil"/>
                  </w:tcBorders>
                  <w:vAlign w:val="center"/>
                </w:tcPr>
                <w:p w14:paraId="3943934E">
                  <w:pPr>
                    <w:autoSpaceDE w:val="0"/>
                    <w:autoSpaceDN w:val="0"/>
                    <w:jc w:val="center"/>
                    <w:rPr>
                      <w:color w:val="000000" w:themeColor="text1"/>
                      <w:sz w:val="21"/>
                      <w:szCs w:val="21"/>
                      <w:u w:val="single"/>
                      <w14:textFill>
                        <w14:solidFill>
                          <w14:schemeClr w14:val="tx1"/>
                        </w14:solidFill>
                      </w14:textFill>
                    </w:rPr>
                  </w:pPr>
                  <w:r>
                    <w:rPr>
                      <w:rFonts w:hint="eastAsia"/>
                      <w:color w:val="000000" w:themeColor="text1"/>
                      <w:sz w:val="21"/>
                      <w:szCs w:val="21"/>
                      <w:u w:val="single"/>
                      <w14:textFill>
                        <w14:solidFill>
                          <w14:schemeClr w14:val="tx1"/>
                        </w14:solidFill>
                      </w14:textFill>
                    </w:rPr>
                    <w:t>SW59</w:t>
                  </w:r>
                </w:p>
              </w:tc>
              <w:tc>
                <w:tcPr>
                  <w:tcW w:w="808" w:type="pct"/>
                  <w:tcBorders>
                    <w:tl2br w:val="nil"/>
                    <w:tr2bl w:val="nil"/>
                  </w:tcBorders>
                  <w:vAlign w:val="center"/>
                </w:tcPr>
                <w:p w14:paraId="7076F465">
                  <w:pPr>
                    <w:autoSpaceDE w:val="0"/>
                    <w:autoSpaceDN w:val="0"/>
                    <w:jc w:val="center"/>
                    <w:rPr>
                      <w:color w:val="000000" w:themeColor="text1"/>
                      <w:kern w:val="48"/>
                      <w:sz w:val="21"/>
                      <w:szCs w:val="21"/>
                      <w:u w:val="single"/>
                      <w14:textFill>
                        <w14:solidFill>
                          <w14:schemeClr w14:val="tx1"/>
                        </w14:solidFill>
                      </w14:textFill>
                    </w:rPr>
                  </w:pPr>
                  <w:r>
                    <w:rPr>
                      <w:rFonts w:hint="eastAsia"/>
                      <w:color w:val="000000" w:themeColor="text1"/>
                      <w:kern w:val="48"/>
                      <w:sz w:val="21"/>
                      <w:szCs w:val="21"/>
                      <w:u w:val="single"/>
                      <w14:textFill>
                        <w14:solidFill>
                          <w14:schemeClr w14:val="tx1"/>
                        </w14:solidFill>
                      </w14:textFill>
                    </w:rPr>
                    <w:t>900-099-S59</w:t>
                  </w:r>
                </w:p>
              </w:tc>
              <w:tc>
                <w:tcPr>
                  <w:tcW w:w="538" w:type="pct"/>
                  <w:tcBorders>
                    <w:tl2br w:val="nil"/>
                    <w:tr2bl w:val="nil"/>
                  </w:tcBorders>
                  <w:vAlign w:val="center"/>
                </w:tcPr>
                <w:p w14:paraId="1E8AB776">
                  <w:pPr>
                    <w:pStyle w:val="50"/>
                    <w:autoSpaceDE w:val="0"/>
                    <w:autoSpaceDN w:val="0"/>
                    <w:rPr>
                      <w:color w:val="000000" w:themeColor="text1"/>
                      <w:kern w:val="48"/>
                      <w:sz w:val="21"/>
                      <w:szCs w:val="21"/>
                      <w14:textFill>
                        <w14:solidFill>
                          <w14:schemeClr w14:val="tx1"/>
                        </w14:solidFill>
                      </w14:textFill>
                    </w:rPr>
                  </w:pPr>
                  <w:r>
                    <w:rPr>
                      <w:rFonts w:hint="eastAsia"/>
                      <w:color w:val="000000" w:themeColor="text1"/>
                      <w:kern w:val="48"/>
                      <w:sz w:val="21"/>
                      <w:szCs w:val="21"/>
                      <w14:textFill>
                        <w14:solidFill>
                          <w14:schemeClr w14:val="tx1"/>
                        </w14:solidFill>
                      </w14:textFill>
                    </w:rPr>
                    <w:t>14.2673</w:t>
                  </w:r>
                </w:p>
              </w:tc>
              <w:tc>
                <w:tcPr>
                  <w:tcW w:w="392" w:type="pct"/>
                  <w:vMerge w:val="continue"/>
                  <w:tcBorders>
                    <w:tl2br w:val="nil"/>
                    <w:tr2bl w:val="nil"/>
                  </w:tcBorders>
                  <w:vAlign w:val="center"/>
                </w:tcPr>
                <w:p w14:paraId="4AACEB94">
                  <w:pPr>
                    <w:autoSpaceDE w:val="0"/>
                    <w:autoSpaceDN w:val="0"/>
                    <w:jc w:val="center"/>
                    <w:rPr>
                      <w:color w:val="000000" w:themeColor="text1"/>
                      <w:sz w:val="21"/>
                      <w:szCs w:val="21"/>
                      <w14:textFill>
                        <w14:solidFill>
                          <w14:schemeClr w14:val="tx1"/>
                        </w14:solidFill>
                      </w14:textFill>
                    </w:rPr>
                  </w:pPr>
                </w:p>
              </w:tc>
              <w:tc>
                <w:tcPr>
                  <w:tcW w:w="409" w:type="pct"/>
                  <w:tcBorders>
                    <w:tl2br w:val="nil"/>
                    <w:tr2bl w:val="nil"/>
                  </w:tcBorders>
                  <w:vAlign w:val="center"/>
                </w:tcPr>
                <w:p w14:paraId="66D67211">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固态</w:t>
                  </w:r>
                </w:p>
              </w:tc>
              <w:tc>
                <w:tcPr>
                  <w:tcW w:w="391" w:type="pct"/>
                  <w:tcBorders>
                    <w:tl2br w:val="nil"/>
                    <w:tr2bl w:val="nil"/>
                  </w:tcBorders>
                  <w:vAlign w:val="center"/>
                </w:tcPr>
                <w:p w14:paraId="4BE2E631">
                  <w:pPr>
                    <w:pStyle w:val="50"/>
                    <w:autoSpaceDE w:val="0"/>
                    <w:autoSpaceDN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644" w:type="pct"/>
                  <w:vMerge w:val="continue"/>
                  <w:tcBorders>
                    <w:tl2br w:val="nil"/>
                    <w:tr2bl w:val="nil"/>
                  </w:tcBorders>
                  <w:vAlign w:val="center"/>
                </w:tcPr>
                <w:p w14:paraId="5AA5D4D8">
                  <w:pPr>
                    <w:pStyle w:val="50"/>
                    <w:autoSpaceDE w:val="0"/>
                    <w:autoSpaceDN w:val="0"/>
                    <w:rPr>
                      <w:color w:val="000000" w:themeColor="text1"/>
                      <w:sz w:val="21"/>
                      <w:szCs w:val="21"/>
                      <w14:textFill>
                        <w14:solidFill>
                          <w14:schemeClr w14:val="tx1"/>
                        </w14:solidFill>
                      </w14:textFill>
                    </w:rPr>
                  </w:pPr>
                </w:p>
              </w:tc>
            </w:tr>
            <w:tr w14:paraId="241563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77A727B2">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035" w:type="pct"/>
                  <w:tcBorders>
                    <w:tl2br w:val="nil"/>
                    <w:tr2bl w:val="nil"/>
                  </w:tcBorders>
                  <w:vAlign w:val="center"/>
                </w:tcPr>
                <w:p w14:paraId="62AAC32F">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sz w:val="21"/>
                      <w:szCs w:val="21"/>
                    </w:rPr>
                    <w:t>废钢丸</w:t>
                  </w:r>
                </w:p>
              </w:tc>
              <w:tc>
                <w:tcPr>
                  <w:tcW w:w="530" w:type="pct"/>
                  <w:tcBorders>
                    <w:tl2br w:val="nil"/>
                    <w:tr2bl w:val="nil"/>
                  </w:tcBorders>
                  <w:vAlign w:val="center"/>
                </w:tcPr>
                <w:p w14:paraId="4C0ED517">
                  <w:pPr>
                    <w:autoSpaceDE w:val="0"/>
                    <w:autoSpaceDN w:val="0"/>
                    <w:jc w:val="center"/>
                    <w:rPr>
                      <w:color w:val="000000" w:themeColor="text1"/>
                      <w:kern w:val="0"/>
                      <w:sz w:val="21"/>
                      <w:szCs w:val="21"/>
                      <w:u w:val="single"/>
                      <w:lang w:bidi="ar"/>
                      <w14:textFill>
                        <w14:solidFill>
                          <w14:schemeClr w14:val="tx1"/>
                        </w14:solidFill>
                      </w14:textFill>
                    </w:rPr>
                  </w:pPr>
                  <w:r>
                    <w:rPr>
                      <w:rFonts w:hint="eastAsia"/>
                      <w:color w:val="000000" w:themeColor="text1"/>
                      <w:sz w:val="21"/>
                      <w:szCs w:val="21"/>
                      <w:u w:val="single"/>
                      <w14:textFill>
                        <w14:solidFill>
                          <w14:schemeClr w14:val="tx1"/>
                        </w14:solidFill>
                      </w14:textFill>
                    </w:rPr>
                    <w:t>SW17</w:t>
                  </w:r>
                </w:p>
              </w:tc>
              <w:tc>
                <w:tcPr>
                  <w:tcW w:w="808" w:type="pct"/>
                  <w:tcBorders>
                    <w:tl2br w:val="nil"/>
                    <w:tr2bl w:val="nil"/>
                  </w:tcBorders>
                  <w:vAlign w:val="center"/>
                </w:tcPr>
                <w:p w14:paraId="7011A639">
                  <w:pPr>
                    <w:autoSpaceDE w:val="0"/>
                    <w:autoSpaceDN w:val="0"/>
                    <w:jc w:val="center"/>
                    <w:rPr>
                      <w:color w:val="000000" w:themeColor="text1"/>
                      <w:kern w:val="0"/>
                      <w:sz w:val="21"/>
                      <w:szCs w:val="21"/>
                      <w:u w:val="single"/>
                      <w:lang w:bidi="ar"/>
                      <w14:textFill>
                        <w14:solidFill>
                          <w14:schemeClr w14:val="tx1"/>
                        </w14:solidFill>
                      </w14:textFill>
                    </w:rPr>
                  </w:pPr>
                  <w:r>
                    <w:rPr>
                      <w:rFonts w:hint="eastAsia"/>
                      <w:color w:val="000000" w:themeColor="text1"/>
                      <w:kern w:val="48"/>
                      <w:sz w:val="21"/>
                      <w:szCs w:val="21"/>
                      <w:u w:val="single"/>
                      <w14:textFill>
                        <w14:solidFill>
                          <w14:schemeClr w14:val="tx1"/>
                        </w14:solidFill>
                      </w14:textFill>
                    </w:rPr>
                    <w:t>900-001-S17</w:t>
                  </w:r>
                </w:p>
              </w:tc>
              <w:tc>
                <w:tcPr>
                  <w:tcW w:w="538" w:type="pct"/>
                  <w:tcBorders>
                    <w:tl2br w:val="nil"/>
                    <w:tr2bl w:val="nil"/>
                  </w:tcBorders>
                  <w:vAlign w:val="center"/>
                </w:tcPr>
                <w:p w14:paraId="7022D4DC">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w:t>
                  </w:r>
                </w:p>
              </w:tc>
              <w:tc>
                <w:tcPr>
                  <w:tcW w:w="392" w:type="pct"/>
                  <w:vMerge w:val="continue"/>
                  <w:tcBorders>
                    <w:tl2br w:val="nil"/>
                    <w:tr2bl w:val="nil"/>
                  </w:tcBorders>
                  <w:vAlign w:val="center"/>
                </w:tcPr>
                <w:p w14:paraId="034CFB61">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3B546AAA">
                  <w:pPr>
                    <w:autoSpaceDE w:val="0"/>
                    <w:autoSpaceDN w:val="0"/>
                    <w:jc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固态</w:t>
                  </w:r>
                </w:p>
              </w:tc>
              <w:tc>
                <w:tcPr>
                  <w:tcW w:w="391" w:type="pct"/>
                  <w:tcBorders>
                    <w:tl2br w:val="nil"/>
                    <w:tr2bl w:val="nil"/>
                  </w:tcBorders>
                  <w:vAlign w:val="center"/>
                </w:tcPr>
                <w:p w14:paraId="308CDEF7">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644" w:type="pct"/>
                  <w:vMerge w:val="continue"/>
                  <w:tcBorders>
                    <w:tl2br w:val="nil"/>
                    <w:tr2bl w:val="nil"/>
                  </w:tcBorders>
                  <w:vAlign w:val="center"/>
                </w:tcPr>
                <w:p w14:paraId="27528718">
                  <w:pPr>
                    <w:pStyle w:val="50"/>
                    <w:autoSpaceDE w:val="0"/>
                    <w:autoSpaceDN w:val="0"/>
                    <w:rPr>
                      <w:color w:val="000000" w:themeColor="text1"/>
                      <w:kern w:val="0"/>
                      <w:sz w:val="21"/>
                      <w:szCs w:val="21"/>
                      <w:lang w:bidi="ar"/>
                      <w14:textFill>
                        <w14:solidFill>
                          <w14:schemeClr w14:val="tx1"/>
                        </w14:solidFill>
                      </w14:textFill>
                    </w:rPr>
                  </w:pPr>
                </w:p>
              </w:tc>
            </w:tr>
            <w:tr w14:paraId="504DB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639C155E">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35" w:type="pct"/>
                  <w:tcBorders>
                    <w:tl2br w:val="nil"/>
                    <w:tr2bl w:val="nil"/>
                  </w:tcBorders>
                  <w:vAlign w:val="center"/>
                </w:tcPr>
                <w:p w14:paraId="75EC96FB">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生活垃圾</w:t>
                  </w:r>
                </w:p>
              </w:tc>
              <w:tc>
                <w:tcPr>
                  <w:tcW w:w="530" w:type="pct"/>
                  <w:tcBorders>
                    <w:tl2br w:val="nil"/>
                    <w:tr2bl w:val="nil"/>
                  </w:tcBorders>
                  <w:vAlign w:val="center"/>
                </w:tcPr>
                <w:p w14:paraId="1069013D">
                  <w:pPr>
                    <w:autoSpaceDE w:val="0"/>
                    <w:autoSpaceDN w:val="0"/>
                    <w:jc w:val="center"/>
                    <w:rPr>
                      <w:color w:val="000000" w:themeColor="text1"/>
                      <w:kern w:val="0"/>
                      <w:sz w:val="21"/>
                      <w:szCs w:val="21"/>
                      <w:u w:val="single"/>
                      <w:lang w:bidi="ar"/>
                      <w14:textFill>
                        <w14:solidFill>
                          <w14:schemeClr w14:val="tx1"/>
                        </w14:solidFill>
                      </w14:textFill>
                    </w:rPr>
                  </w:pPr>
                  <w:r>
                    <w:rPr>
                      <w:rFonts w:hint="eastAsia"/>
                      <w:color w:val="000000" w:themeColor="text1"/>
                      <w:kern w:val="0"/>
                      <w:sz w:val="21"/>
                      <w:szCs w:val="21"/>
                      <w:u w:val="single"/>
                      <w:lang w:bidi="ar"/>
                      <w14:textFill>
                        <w14:solidFill>
                          <w14:schemeClr w14:val="tx1"/>
                        </w14:solidFill>
                      </w14:textFill>
                    </w:rPr>
                    <w:t>SW64</w:t>
                  </w:r>
                </w:p>
              </w:tc>
              <w:tc>
                <w:tcPr>
                  <w:tcW w:w="808" w:type="pct"/>
                  <w:tcBorders>
                    <w:tl2br w:val="nil"/>
                    <w:tr2bl w:val="nil"/>
                  </w:tcBorders>
                  <w:vAlign w:val="center"/>
                </w:tcPr>
                <w:p w14:paraId="276143EC">
                  <w:pPr>
                    <w:autoSpaceDE w:val="0"/>
                    <w:autoSpaceDN w:val="0"/>
                    <w:jc w:val="center"/>
                    <w:rPr>
                      <w:color w:val="000000" w:themeColor="text1"/>
                      <w:kern w:val="0"/>
                      <w:sz w:val="21"/>
                      <w:szCs w:val="21"/>
                      <w:u w:val="single"/>
                      <w:lang w:bidi="ar"/>
                      <w14:textFill>
                        <w14:solidFill>
                          <w14:schemeClr w14:val="tx1"/>
                        </w14:solidFill>
                      </w14:textFill>
                    </w:rPr>
                  </w:pPr>
                  <w:r>
                    <w:rPr>
                      <w:rFonts w:hint="eastAsia"/>
                      <w:color w:val="000000" w:themeColor="text1"/>
                      <w:kern w:val="0"/>
                      <w:sz w:val="21"/>
                      <w:szCs w:val="21"/>
                      <w:u w:val="single"/>
                      <w:lang w:bidi="ar"/>
                      <w14:textFill>
                        <w14:solidFill>
                          <w14:schemeClr w14:val="tx1"/>
                        </w14:solidFill>
                      </w14:textFill>
                    </w:rPr>
                    <w:t>900-099-S64</w:t>
                  </w:r>
                </w:p>
              </w:tc>
              <w:tc>
                <w:tcPr>
                  <w:tcW w:w="538" w:type="pct"/>
                  <w:tcBorders>
                    <w:tl2br w:val="nil"/>
                    <w:tr2bl w:val="nil"/>
                  </w:tcBorders>
                  <w:vAlign w:val="center"/>
                </w:tcPr>
                <w:p w14:paraId="59778881">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7.8</w:t>
                  </w:r>
                </w:p>
              </w:tc>
              <w:tc>
                <w:tcPr>
                  <w:tcW w:w="392" w:type="pct"/>
                  <w:vMerge w:val="continue"/>
                  <w:tcBorders>
                    <w:tl2br w:val="nil"/>
                    <w:tr2bl w:val="nil"/>
                  </w:tcBorders>
                  <w:vAlign w:val="center"/>
                </w:tcPr>
                <w:p w14:paraId="59BC998C">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335B8426">
                  <w:pPr>
                    <w:autoSpaceDE w:val="0"/>
                    <w:autoSpaceDN w:val="0"/>
                    <w:jc w:val="center"/>
                    <w:rPr>
                      <w:color w:val="000000" w:themeColor="text1"/>
                      <w:kern w:val="0"/>
                      <w:sz w:val="21"/>
                      <w:szCs w:val="21"/>
                      <w:lang w:bidi="ar"/>
                      <w14:textFill>
                        <w14:solidFill>
                          <w14:schemeClr w14:val="tx1"/>
                        </w14:solidFill>
                      </w14:textFill>
                    </w:rPr>
                  </w:pPr>
                  <w:r>
                    <w:rPr>
                      <w:color w:val="000000" w:themeColor="text1"/>
                      <w:sz w:val="21"/>
                      <w:szCs w:val="21"/>
                      <w14:textFill>
                        <w14:solidFill>
                          <w14:schemeClr w14:val="tx1"/>
                        </w14:solidFill>
                      </w14:textFill>
                    </w:rPr>
                    <w:t>固态</w:t>
                  </w:r>
                </w:p>
              </w:tc>
              <w:tc>
                <w:tcPr>
                  <w:tcW w:w="391" w:type="pct"/>
                  <w:tcBorders>
                    <w:tl2br w:val="nil"/>
                    <w:tr2bl w:val="nil"/>
                  </w:tcBorders>
                  <w:vAlign w:val="center"/>
                </w:tcPr>
                <w:p w14:paraId="58E97C0C">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644" w:type="pct"/>
                  <w:tcBorders>
                    <w:tl2br w:val="nil"/>
                    <w:tr2bl w:val="nil"/>
                  </w:tcBorders>
                  <w:vAlign w:val="center"/>
                </w:tcPr>
                <w:p w14:paraId="1048B4D3">
                  <w:pPr>
                    <w:pStyle w:val="50"/>
                    <w:autoSpaceDE w:val="0"/>
                    <w:autoSpaceDN w:val="0"/>
                    <w:rPr>
                      <w:sz w:val="21"/>
                      <w:szCs w:val="21"/>
                    </w:rPr>
                  </w:pPr>
                  <w:r>
                    <w:rPr>
                      <w:color w:val="000000" w:themeColor="text1"/>
                      <w:kern w:val="0"/>
                      <w:sz w:val="21"/>
                      <w:szCs w:val="21"/>
                      <w:lang w:bidi="ar"/>
                      <w14:textFill>
                        <w14:solidFill>
                          <w14:schemeClr w14:val="tx1"/>
                        </w14:solidFill>
                      </w14:textFill>
                    </w:rPr>
                    <w:t>环卫部门定期清运</w:t>
                  </w:r>
                </w:p>
              </w:tc>
            </w:tr>
            <w:tr w14:paraId="1FD6E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51259817">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035" w:type="pct"/>
                  <w:tcBorders>
                    <w:tl2br w:val="nil"/>
                    <w:tr2bl w:val="nil"/>
                  </w:tcBorders>
                  <w:vAlign w:val="center"/>
                </w:tcPr>
                <w:p w14:paraId="2A4885B2">
                  <w:pPr>
                    <w:pStyle w:val="18"/>
                    <w:autoSpaceDE w:val="0"/>
                    <w:autoSpaceDN w:val="0"/>
                    <w:ind w:left="0" w:left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废水性漆桶</w:t>
                  </w:r>
                </w:p>
              </w:tc>
              <w:tc>
                <w:tcPr>
                  <w:tcW w:w="530" w:type="pct"/>
                  <w:tcBorders>
                    <w:tl2br w:val="nil"/>
                    <w:tr2bl w:val="nil"/>
                  </w:tcBorders>
                  <w:vAlign w:val="center"/>
                </w:tcPr>
                <w:p w14:paraId="3B3DC140">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HW49</w:t>
                  </w:r>
                </w:p>
              </w:tc>
              <w:tc>
                <w:tcPr>
                  <w:tcW w:w="808" w:type="pct"/>
                  <w:tcBorders>
                    <w:tl2br w:val="nil"/>
                    <w:tr2bl w:val="nil"/>
                  </w:tcBorders>
                  <w:vAlign w:val="center"/>
                </w:tcPr>
                <w:p w14:paraId="4B2B87F2">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48"/>
                      <w:sz w:val="21"/>
                      <w:szCs w:val="21"/>
                      <w14:textFill>
                        <w14:solidFill>
                          <w14:schemeClr w14:val="tx1"/>
                        </w14:solidFill>
                      </w14:textFill>
                    </w:rPr>
                    <w:t>900-041-49</w:t>
                  </w:r>
                </w:p>
              </w:tc>
              <w:tc>
                <w:tcPr>
                  <w:tcW w:w="538" w:type="pct"/>
                  <w:tcBorders>
                    <w:tl2br w:val="nil"/>
                    <w:tr2bl w:val="nil"/>
                  </w:tcBorders>
                  <w:vAlign w:val="center"/>
                </w:tcPr>
                <w:p w14:paraId="600B24A1">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0.2854</w:t>
                  </w:r>
                </w:p>
              </w:tc>
              <w:tc>
                <w:tcPr>
                  <w:tcW w:w="392" w:type="pct"/>
                  <w:vMerge w:val="restart"/>
                  <w:tcBorders>
                    <w:tl2br w:val="nil"/>
                    <w:tr2bl w:val="nil"/>
                  </w:tcBorders>
                  <w:vAlign w:val="center"/>
                </w:tcPr>
                <w:p w14:paraId="26892CE6">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危险废物</w:t>
                  </w:r>
                </w:p>
              </w:tc>
              <w:tc>
                <w:tcPr>
                  <w:tcW w:w="409" w:type="pct"/>
                  <w:tcBorders>
                    <w:tl2br w:val="nil"/>
                    <w:tr2bl w:val="nil"/>
                  </w:tcBorders>
                  <w:vAlign w:val="center"/>
                </w:tcPr>
                <w:p w14:paraId="778C496B">
                  <w:pPr>
                    <w:autoSpaceDE w:val="0"/>
                    <w:autoSpaceDN w:val="0"/>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固态</w:t>
                  </w:r>
                </w:p>
              </w:tc>
              <w:tc>
                <w:tcPr>
                  <w:tcW w:w="391" w:type="pct"/>
                  <w:tcBorders>
                    <w:tl2br w:val="nil"/>
                    <w:tr2bl w:val="nil"/>
                  </w:tcBorders>
                  <w:vAlign w:val="center"/>
                </w:tcPr>
                <w:p w14:paraId="5BE99437">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T/In</w:t>
                  </w:r>
                </w:p>
              </w:tc>
              <w:tc>
                <w:tcPr>
                  <w:tcW w:w="644" w:type="pct"/>
                  <w:vMerge w:val="restart"/>
                  <w:tcBorders>
                    <w:tl2br w:val="nil"/>
                    <w:tr2bl w:val="nil"/>
                  </w:tcBorders>
                  <w:vAlign w:val="center"/>
                </w:tcPr>
                <w:p w14:paraId="2AE7F60C">
                  <w:pPr>
                    <w:pStyle w:val="50"/>
                    <w:autoSpaceDE w:val="0"/>
                    <w:autoSpaceDN w:val="0"/>
                    <w:rPr>
                      <w:sz w:val="21"/>
                      <w:szCs w:val="21"/>
                    </w:rPr>
                  </w:pPr>
                  <w:r>
                    <w:rPr>
                      <w:rFonts w:hint="eastAsia"/>
                      <w:color w:val="000000" w:themeColor="text1"/>
                      <w:kern w:val="0"/>
                      <w:sz w:val="21"/>
                      <w:szCs w:val="21"/>
                      <w14:textFill>
                        <w14:solidFill>
                          <w14:schemeClr w14:val="tx1"/>
                        </w14:solidFill>
                      </w14:textFill>
                    </w:rPr>
                    <w:t>分类收集暂存于危废间，定期</w:t>
                  </w:r>
                  <w:r>
                    <w:rPr>
                      <w:color w:val="000000" w:themeColor="text1"/>
                      <w:kern w:val="0"/>
                      <w:sz w:val="21"/>
                      <w:szCs w:val="21"/>
                      <w14:textFill>
                        <w14:solidFill>
                          <w14:schemeClr w14:val="tx1"/>
                        </w14:solidFill>
                      </w14:textFill>
                    </w:rPr>
                    <w:t>委托有资质单位处</w:t>
                  </w:r>
                  <w:r>
                    <w:rPr>
                      <w:rFonts w:hint="eastAsia"/>
                      <w:color w:val="000000" w:themeColor="text1"/>
                      <w:kern w:val="0"/>
                      <w:sz w:val="21"/>
                      <w:szCs w:val="21"/>
                      <w14:textFill>
                        <w14:solidFill>
                          <w14:schemeClr w14:val="tx1"/>
                        </w14:solidFill>
                      </w14:textFill>
                    </w:rPr>
                    <w:t>置</w:t>
                  </w:r>
                </w:p>
              </w:tc>
            </w:tr>
            <w:tr w14:paraId="6581BB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131CF47E">
                  <w:pPr>
                    <w:pStyle w:val="18"/>
                    <w:autoSpaceDE w:val="0"/>
                    <w:autoSpaceDN w:val="0"/>
                    <w:ind w:left="0" w:leftChars="0"/>
                    <w:jc w:val="center"/>
                    <w:rPr>
                      <w:color w:val="000000"/>
                      <w:sz w:val="21"/>
                      <w:szCs w:val="21"/>
                    </w:rPr>
                  </w:pPr>
                  <w:r>
                    <w:rPr>
                      <w:rFonts w:hint="eastAsia"/>
                      <w:color w:val="000000"/>
                      <w:sz w:val="21"/>
                      <w:szCs w:val="21"/>
                    </w:rPr>
                    <w:t>8</w:t>
                  </w:r>
                </w:p>
              </w:tc>
              <w:tc>
                <w:tcPr>
                  <w:tcW w:w="1035" w:type="pct"/>
                  <w:tcBorders>
                    <w:tl2br w:val="nil"/>
                    <w:tr2bl w:val="nil"/>
                  </w:tcBorders>
                  <w:vAlign w:val="center"/>
                </w:tcPr>
                <w:p w14:paraId="58DC3DAB">
                  <w:pPr>
                    <w:pStyle w:val="18"/>
                    <w:autoSpaceDE w:val="0"/>
                    <w:autoSpaceDN w:val="0"/>
                    <w:ind w:left="0" w:leftChars="0"/>
                    <w:jc w:val="center"/>
                    <w:rPr>
                      <w:color w:val="000000"/>
                      <w:sz w:val="21"/>
                      <w:szCs w:val="21"/>
                    </w:rPr>
                  </w:pPr>
                  <w:r>
                    <w:rPr>
                      <w:rFonts w:hint="eastAsia"/>
                      <w:color w:val="000000"/>
                      <w:sz w:val="21"/>
                      <w:szCs w:val="21"/>
                    </w:rPr>
                    <w:t>水性漆漆渣</w:t>
                  </w:r>
                </w:p>
              </w:tc>
              <w:tc>
                <w:tcPr>
                  <w:tcW w:w="530" w:type="pct"/>
                  <w:tcBorders>
                    <w:tl2br w:val="nil"/>
                    <w:tr2bl w:val="nil"/>
                  </w:tcBorders>
                  <w:vAlign w:val="center"/>
                </w:tcPr>
                <w:p w14:paraId="1436B64B">
                  <w:pPr>
                    <w:autoSpaceDE w:val="0"/>
                    <w:autoSpaceDN w:val="0"/>
                    <w:jc w:val="center"/>
                    <w:rPr>
                      <w:color w:val="000000"/>
                      <w:sz w:val="21"/>
                      <w:szCs w:val="21"/>
                    </w:rPr>
                  </w:pPr>
                  <w:r>
                    <w:rPr>
                      <w:rFonts w:hint="eastAsia"/>
                      <w:color w:val="000000" w:themeColor="text1"/>
                      <w:sz w:val="21"/>
                      <w:szCs w:val="21"/>
                      <w14:textFill>
                        <w14:solidFill>
                          <w14:schemeClr w14:val="tx1"/>
                        </w14:solidFill>
                      </w14:textFill>
                    </w:rPr>
                    <w:t>HW12</w:t>
                  </w:r>
                </w:p>
              </w:tc>
              <w:tc>
                <w:tcPr>
                  <w:tcW w:w="808" w:type="pct"/>
                  <w:tcBorders>
                    <w:tl2br w:val="nil"/>
                    <w:tr2bl w:val="nil"/>
                  </w:tcBorders>
                  <w:vAlign w:val="center"/>
                </w:tcPr>
                <w:p w14:paraId="11FC27AD">
                  <w:pPr>
                    <w:autoSpaceDE w:val="0"/>
                    <w:autoSpaceDN w:val="0"/>
                    <w:jc w:val="center"/>
                    <w:rPr>
                      <w:color w:val="000000"/>
                      <w:sz w:val="21"/>
                      <w:szCs w:val="21"/>
                    </w:rPr>
                  </w:pPr>
                  <w:r>
                    <w:rPr>
                      <w:rFonts w:hint="eastAsia"/>
                      <w:color w:val="000000" w:themeColor="text1"/>
                      <w:kern w:val="48"/>
                      <w:sz w:val="21"/>
                      <w:szCs w:val="21"/>
                      <w14:textFill>
                        <w14:solidFill>
                          <w14:schemeClr w14:val="tx1"/>
                        </w14:solidFill>
                      </w14:textFill>
                    </w:rPr>
                    <w:t>900-252-12</w:t>
                  </w:r>
                </w:p>
              </w:tc>
              <w:tc>
                <w:tcPr>
                  <w:tcW w:w="538" w:type="pct"/>
                  <w:tcBorders>
                    <w:tl2br w:val="nil"/>
                    <w:tr2bl w:val="nil"/>
                  </w:tcBorders>
                  <w:vAlign w:val="center"/>
                </w:tcPr>
                <w:p w14:paraId="118AD5D1">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0.1998</w:t>
                  </w:r>
                </w:p>
              </w:tc>
              <w:tc>
                <w:tcPr>
                  <w:tcW w:w="392" w:type="pct"/>
                  <w:vMerge w:val="continue"/>
                  <w:tcBorders>
                    <w:tl2br w:val="nil"/>
                    <w:tr2bl w:val="nil"/>
                  </w:tcBorders>
                  <w:vAlign w:val="center"/>
                </w:tcPr>
                <w:p w14:paraId="16396EB9">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345960BC">
                  <w:pPr>
                    <w:autoSpaceDE w:val="0"/>
                    <w:autoSpaceDN w:val="0"/>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固态</w:t>
                  </w:r>
                </w:p>
              </w:tc>
              <w:tc>
                <w:tcPr>
                  <w:tcW w:w="391" w:type="pct"/>
                  <w:tcBorders>
                    <w:tl2br w:val="nil"/>
                    <w:tr2bl w:val="nil"/>
                  </w:tcBorders>
                  <w:vAlign w:val="center"/>
                </w:tcPr>
                <w:p w14:paraId="63E0E89B">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T/I</w:t>
                  </w:r>
                </w:p>
              </w:tc>
              <w:tc>
                <w:tcPr>
                  <w:tcW w:w="644" w:type="pct"/>
                  <w:vMerge w:val="continue"/>
                  <w:tcBorders>
                    <w:tl2br w:val="nil"/>
                    <w:tr2bl w:val="nil"/>
                  </w:tcBorders>
                  <w:vAlign w:val="center"/>
                </w:tcPr>
                <w:p w14:paraId="46487A1E">
                  <w:pPr>
                    <w:pStyle w:val="50"/>
                    <w:autoSpaceDE w:val="0"/>
                    <w:autoSpaceDN w:val="0"/>
                    <w:rPr>
                      <w:sz w:val="21"/>
                      <w:szCs w:val="21"/>
                    </w:rPr>
                  </w:pPr>
                </w:p>
              </w:tc>
            </w:tr>
            <w:tr w14:paraId="58447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3D0C68FA">
                  <w:pPr>
                    <w:pStyle w:val="18"/>
                    <w:autoSpaceDE w:val="0"/>
                    <w:autoSpaceDN w:val="0"/>
                    <w:ind w:left="0" w:leftChars="0"/>
                    <w:jc w:val="center"/>
                    <w:rPr>
                      <w:color w:val="000000"/>
                      <w:sz w:val="21"/>
                      <w:szCs w:val="21"/>
                    </w:rPr>
                  </w:pPr>
                  <w:r>
                    <w:rPr>
                      <w:rFonts w:hint="eastAsia"/>
                      <w:color w:val="000000"/>
                      <w:sz w:val="21"/>
                      <w:szCs w:val="21"/>
                    </w:rPr>
                    <w:t>9</w:t>
                  </w:r>
                </w:p>
              </w:tc>
              <w:tc>
                <w:tcPr>
                  <w:tcW w:w="1035" w:type="pct"/>
                  <w:tcBorders>
                    <w:tl2br w:val="nil"/>
                    <w:tr2bl w:val="nil"/>
                  </w:tcBorders>
                  <w:vAlign w:val="center"/>
                </w:tcPr>
                <w:p w14:paraId="20240973">
                  <w:pPr>
                    <w:pStyle w:val="18"/>
                    <w:autoSpaceDE w:val="0"/>
                    <w:autoSpaceDN w:val="0"/>
                    <w:ind w:left="0" w:leftChars="0"/>
                    <w:jc w:val="center"/>
                    <w:rPr>
                      <w:color w:val="000000"/>
                      <w:sz w:val="21"/>
                      <w:szCs w:val="21"/>
                    </w:rPr>
                  </w:pPr>
                  <w:r>
                    <w:rPr>
                      <w:rFonts w:hint="eastAsia"/>
                      <w:color w:val="000000"/>
                      <w:sz w:val="21"/>
                      <w:szCs w:val="21"/>
                    </w:rPr>
                    <w:t>废活性炭</w:t>
                  </w:r>
                </w:p>
              </w:tc>
              <w:tc>
                <w:tcPr>
                  <w:tcW w:w="530" w:type="pct"/>
                  <w:tcBorders>
                    <w:tl2br w:val="nil"/>
                    <w:tr2bl w:val="nil"/>
                  </w:tcBorders>
                  <w:vAlign w:val="center"/>
                </w:tcPr>
                <w:p w14:paraId="218B5752">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HW49</w:t>
                  </w:r>
                </w:p>
              </w:tc>
              <w:tc>
                <w:tcPr>
                  <w:tcW w:w="808" w:type="pct"/>
                  <w:tcBorders>
                    <w:tl2br w:val="nil"/>
                    <w:tr2bl w:val="nil"/>
                  </w:tcBorders>
                  <w:vAlign w:val="center"/>
                </w:tcPr>
                <w:p w14:paraId="79A1B6C2">
                  <w:pPr>
                    <w:autoSpaceDE w:val="0"/>
                    <w:autoSpaceDN w:val="0"/>
                    <w:jc w:val="center"/>
                    <w:rPr>
                      <w:color w:val="000000"/>
                      <w:sz w:val="21"/>
                      <w:szCs w:val="21"/>
                    </w:rPr>
                  </w:pPr>
                  <w:r>
                    <w:rPr>
                      <w:rFonts w:hint="eastAsia"/>
                      <w:color w:val="000000"/>
                      <w:sz w:val="21"/>
                      <w:szCs w:val="21"/>
                    </w:rPr>
                    <w:t>900-039-49</w:t>
                  </w:r>
                </w:p>
              </w:tc>
              <w:tc>
                <w:tcPr>
                  <w:tcW w:w="538" w:type="pct"/>
                  <w:tcBorders>
                    <w:tl2br w:val="nil"/>
                    <w:tr2bl w:val="nil"/>
                  </w:tcBorders>
                  <w:vAlign w:val="center"/>
                </w:tcPr>
                <w:p w14:paraId="4BED25BD">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8.1989</w:t>
                  </w:r>
                </w:p>
              </w:tc>
              <w:tc>
                <w:tcPr>
                  <w:tcW w:w="392" w:type="pct"/>
                  <w:vMerge w:val="continue"/>
                  <w:tcBorders>
                    <w:tl2br w:val="nil"/>
                    <w:tr2bl w:val="nil"/>
                  </w:tcBorders>
                  <w:vAlign w:val="center"/>
                </w:tcPr>
                <w:p w14:paraId="63CDA7D6">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63ACB753">
                  <w:pPr>
                    <w:autoSpaceDE w:val="0"/>
                    <w:autoSpaceDN w:val="0"/>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固态</w:t>
                  </w:r>
                </w:p>
              </w:tc>
              <w:tc>
                <w:tcPr>
                  <w:tcW w:w="391" w:type="pct"/>
                  <w:tcBorders>
                    <w:tl2br w:val="nil"/>
                    <w:tr2bl w:val="nil"/>
                  </w:tcBorders>
                  <w:vAlign w:val="center"/>
                </w:tcPr>
                <w:p w14:paraId="7401CB48">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T</w:t>
                  </w:r>
                </w:p>
              </w:tc>
              <w:tc>
                <w:tcPr>
                  <w:tcW w:w="644" w:type="pct"/>
                  <w:vMerge w:val="continue"/>
                  <w:tcBorders>
                    <w:tl2br w:val="nil"/>
                    <w:tr2bl w:val="nil"/>
                  </w:tcBorders>
                  <w:vAlign w:val="center"/>
                </w:tcPr>
                <w:p w14:paraId="03E08B16">
                  <w:pPr>
                    <w:pStyle w:val="50"/>
                    <w:autoSpaceDE w:val="0"/>
                    <w:autoSpaceDN w:val="0"/>
                    <w:rPr>
                      <w:sz w:val="21"/>
                      <w:szCs w:val="21"/>
                    </w:rPr>
                  </w:pPr>
                </w:p>
              </w:tc>
            </w:tr>
            <w:tr w14:paraId="00D46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56869555">
                  <w:pPr>
                    <w:pStyle w:val="18"/>
                    <w:autoSpaceDE w:val="0"/>
                    <w:autoSpaceDN w:val="0"/>
                    <w:ind w:left="0" w:leftChars="0"/>
                    <w:jc w:val="center"/>
                    <w:rPr>
                      <w:color w:val="000000"/>
                      <w:sz w:val="21"/>
                      <w:szCs w:val="21"/>
                    </w:rPr>
                  </w:pPr>
                  <w:r>
                    <w:rPr>
                      <w:rFonts w:hint="eastAsia"/>
                      <w:color w:val="000000"/>
                      <w:sz w:val="21"/>
                      <w:szCs w:val="21"/>
                    </w:rPr>
                    <w:t>10</w:t>
                  </w:r>
                </w:p>
              </w:tc>
              <w:tc>
                <w:tcPr>
                  <w:tcW w:w="1035" w:type="pct"/>
                  <w:tcBorders>
                    <w:tl2br w:val="nil"/>
                    <w:tr2bl w:val="nil"/>
                  </w:tcBorders>
                  <w:vAlign w:val="center"/>
                </w:tcPr>
                <w:p w14:paraId="041BD2D9">
                  <w:pPr>
                    <w:pStyle w:val="18"/>
                    <w:autoSpaceDE w:val="0"/>
                    <w:autoSpaceDN w:val="0"/>
                    <w:ind w:left="0" w:leftChars="0"/>
                    <w:jc w:val="center"/>
                    <w:rPr>
                      <w:color w:val="000000"/>
                      <w:sz w:val="21"/>
                      <w:szCs w:val="21"/>
                    </w:rPr>
                  </w:pPr>
                  <w:r>
                    <w:rPr>
                      <w:rFonts w:hint="eastAsia"/>
                      <w:color w:val="000000"/>
                      <w:sz w:val="21"/>
                      <w:szCs w:val="21"/>
                    </w:rPr>
                    <w:t>废过滤棉</w:t>
                  </w:r>
                </w:p>
              </w:tc>
              <w:tc>
                <w:tcPr>
                  <w:tcW w:w="530" w:type="pct"/>
                  <w:tcBorders>
                    <w:tl2br w:val="nil"/>
                    <w:tr2bl w:val="nil"/>
                  </w:tcBorders>
                  <w:vAlign w:val="center"/>
                </w:tcPr>
                <w:p w14:paraId="3A7470B3">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HW49</w:t>
                  </w:r>
                </w:p>
              </w:tc>
              <w:tc>
                <w:tcPr>
                  <w:tcW w:w="808" w:type="pct"/>
                  <w:tcBorders>
                    <w:tl2br w:val="nil"/>
                    <w:tr2bl w:val="nil"/>
                  </w:tcBorders>
                  <w:vAlign w:val="center"/>
                </w:tcPr>
                <w:p w14:paraId="201460C4">
                  <w:pPr>
                    <w:autoSpaceDE w:val="0"/>
                    <w:autoSpaceDN w:val="0"/>
                    <w:jc w:val="center"/>
                    <w:rPr>
                      <w:color w:val="000000"/>
                      <w:sz w:val="21"/>
                      <w:szCs w:val="21"/>
                    </w:rPr>
                  </w:pPr>
                  <w:r>
                    <w:rPr>
                      <w:rFonts w:hint="eastAsia"/>
                      <w:color w:val="000000"/>
                      <w:sz w:val="21"/>
                      <w:szCs w:val="21"/>
                    </w:rPr>
                    <w:t>900-041-49</w:t>
                  </w:r>
                </w:p>
              </w:tc>
              <w:tc>
                <w:tcPr>
                  <w:tcW w:w="538" w:type="pct"/>
                  <w:tcBorders>
                    <w:tl2br w:val="nil"/>
                    <w:tr2bl w:val="nil"/>
                  </w:tcBorders>
                  <w:vAlign w:val="center"/>
                </w:tcPr>
                <w:p w14:paraId="48D0FB98">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sz w:val="21"/>
                      <w:szCs w:val="21"/>
                    </w:rPr>
                    <w:t>2.0898</w:t>
                  </w:r>
                </w:p>
              </w:tc>
              <w:tc>
                <w:tcPr>
                  <w:tcW w:w="392" w:type="pct"/>
                  <w:vMerge w:val="continue"/>
                  <w:tcBorders>
                    <w:tl2br w:val="nil"/>
                    <w:tr2bl w:val="nil"/>
                  </w:tcBorders>
                  <w:vAlign w:val="center"/>
                </w:tcPr>
                <w:p w14:paraId="1450DF7F">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7D9AC67A">
                  <w:pPr>
                    <w:autoSpaceDE w:val="0"/>
                    <w:autoSpaceDN w:val="0"/>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固态</w:t>
                  </w:r>
                </w:p>
              </w:tc>
              <w:tc>
                <w:tcPr>
                  <w:tcW w:w="391" w:type="pct"/>
                  <w:tcBorders>
                    <w:tl2br w:val="nil"/>
                    <w:tr2bl w:val="nil"/>
                  </w:tcBorders>
                  <w:vAlign w:val="center"/>
                </w:tcPr>
                <w:p w14:paraId="35BD3121">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T/In</w:t>
                  </w:r>
                </w:p>
              </w:tc>
              <w:tc>
                <w:tcPr>
                  <w:tcW w:w="644" w:type="pct"/>
                  <w:vMerge w:val="continue"/>
                  <w:tcBorders>
                    <w:tl2br w:val="nil"/>
                    <w:tr2bl w:val="nil"/>
                  </w:tcBorders>
                  <w:vAlign w:val="center"/>
                </w:tcPr>
                <w:p w14:paraId="36128DBD">
                  <w:pPr>
                    <w:pStyle w:val="50"/>
                    <w:autoSpaceDE w:val="0"/>
                    <w:autoSpaceDN w:val="0"/>
                    <w:rPr>
                      <w:sz w:val="21"/>
                      <w:szCs w:val="21"/>
                    </w:rPr>
                  </w:pPr>
                </w:p>
              </w:tc>
            </w:tr>
            <w:tr w14:paraId="36327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5ED64E7B">
                  <w:pPr>
                    <w:pStyle w:val="18"/>
                    <w:autoSpaceDE w:val="0"/>
                    <w:autoSpaceDN w:val="0"/>
                    <w:ind w:left="0" w:leftChars="0"/>
                    <w:jc w:val="center"/>
                    <w:rPr>
                      <w:color w:val="000000"/>
                      <w:sz w:val="21"/>
                      <w:szCs w:val="21"/>
                    </w:rPr>
                  </w:pPr>
                  <w:r>
                    <w:rPr>
                      <w:rFonts w:hint="eastAsia"/>
                      <w:color w:val="000000"/>
                      <w:sz w:val="21"/>
                      <w:szCs w:val="21"/>
                    </w:rPr>
                    <w:t>11</w:t>
                  </w:r>
                </w:p>
              </w:tc>
              <w:tc>
                <w:tcPr>
                  <w:tcW w:w="1035" w:type="pct"/>
                  <w:tcBorders>
                    <w:tl2br w:val="nil"/>
                    <w:tr2bl w:val="nil"/>
                  </w:tcBorders>
                  <w:vAlign w:val="center"/>
                </w:tcPr>
                <w:p w14:paraId="5E8DAEB5">
                  <w:pPr>
                    <w:pStyle w:val="18"/>
                    <w:autoSpaceDE w:val="0"/>
                    <w:autoSpaceDN w:val="0"/>
                    <w:ind w:left="0" w:leftChars="0"/>
                    <w:jc w:val="center"/>
                    <w:rPr>
                      <w:color w:val="000000"/>
                      <w:sz w:val="21"/>
                      <w:szCs w:val="21"/>
                    </w:rPr>
                  </w:pPr>
                  <w:r>
                    <w:rPr>
                      <w:rFonts w:hint="eastAsia"/>
                      <w:color w:val="000000"/>
                      <w:sz w:val="21"/>
                      <w:szCs w:val="21"/>
                    </w:rPr>
                    <w:t>废润滑油及其包装桶</w:t>
                  </w:r>
                </w:p>
              </w:tc>
              <w:tc>
                <w:tcPr>
                  <w:tcW w:w="530" w:type="pct"/>
                  <w:tcBorders>
                    <w:tl2br w:val="nil"/>
                    <w:tr2bl w:val="nil"/>
                  </w:tcBorders>
                  <w:vAlign w:val="center"/>
                </w:tcPr>
                <w:p w14:paraId="7C74306A">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sz w:val="21"/>
                      <w:szCs w:val="21"/>
                    </w:rPr>
                    <w:t>HW08</w:t>
                  </w:r>
                </w:p>
              </w:tc>
              <w:tc>
                <w:tcPr>
                  <w:tcW w:w="808" w:type="pct"/>
                  <w:tcBorders>
                    <w:tl2br w:val="nil"/>
                    <w:tr2bl w:val="nil"/>
                  </w:tcBorders>
                  <w:vAlign w:val="center"/>
                </w:tcPr>
                <w:p w14:paraId="10724A79">
                  <w:pPr>
                    <w:autoSpaceDE w:val="0"/>
                    <w:autoSpaceDN w:val="0"/>
                    <w:jc w:val="center"/>
                    <w:rPr>
                      <w:color w:val="000000"/>
                      <w:sz w:val="21"/>
                      <w:szCs w:val="21"/>
                    </w:rPr>
                  </w:pPr>
                  <w:r>
                    <w:rPr>
                      <w:rFonts w:hint="eastAsia"/>
                      <w:color w:val="000000"/>
                      <w:sz w:val="21"/>
                      <w:szCs w:val="21"/>
                    </w:rPr>
                    <w:t>900-217-08</w:t>
                  </w:r>
                </w:p>
                <w:p w14:paraId="0B9FB018">
                  <w:pPr>
                    <w:pStyle w:val="22"/>
                    <w:spacing w:after="0"/>
                    <w:ind w:left="0" w:leftChars="0" w:firstLine="0"/>
                    <w:jc w:val="center"/>
                  </w:pPr>
                  <w:r>
                    <w:rPr>
                      <w:rFonts w:hint="eastAsia"/>
                    </w:rPr>
                    <w:t>900-249-08</w:t>
                  </w:r>
                </w:p>
              </w:tc>
              <w:tc>
                <w:tcPr>
                  <w:tcW w:w="538" w:type="pct"/>
                  <w:tcBorders>
                    <w:tl2br w:val="nil"/>
                    <w:tr2bl w:val="nil"/>
                  </w:tcBorders>
                  <w:vAlign w:val="center"/>
                </w:tcPr>
                <w:p w14:paraId="08333BAC">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0.125</w:t>
                  </w:r>
                </w:p>
              </w:tc>
              <w:tc>
                <w:tcPr>
                  <w:tcW w:w="392" w:type="pct"/>
                  <w:vMerge w:val="continue"/>
                  <w:tcBorders>
                    <w:tl2br w:val="nil"/>
                    <w:tr2bl w:val="nil"/>
                  </w:tcBorders>
                  <w:vAlign w:val="center"/>
                </w:tcPr>
                <w:p w14:paraId="3084FCBE">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78E0D4E5">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液态、固态</w:t>
                  </w:r>
                </w:p>
              </w:tc>
              <w:tc>
                <w:tcPr>
                  <w:tcW w:w="391" w:type="pct"/>
                  <w:tcBorders>
                    <w:tl2br w:val="nil"/>
                    <w:tr2bl w:val="nil"/>
                  </w:tcBorders>
                  <w:vAlign w:val="center"/>
                </w:tcPr>
                <w:p w14:paraId="64544728">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T/I</w:t>
                  </w:r>
                </w:p>
              </w:tc>
              <w:tc>
                <w:tcPr>
                  <w:tcW w:w="644" w:type="pct"/>
                  <w:vMerge w:val="restart"/>
                  <w:tcBorders>
                    <w:tl2br w:val="nil"/>
                    <w:tr2bl w:val="nil"/>
                  </w:tcBorders>
                  <w:vAlign w:val="center"/>
                </w:tcPr>
                <w:p w14:paraId="103AAE03">
                  <w:pPr>
                    <w:pStyle w:val="50"/>
                    <w:autoSpaceDE w:val="0"/>
                    <w:autoSpaceDN w:val="0"/>
                    <w:rPr>
                      <w:sz w:val="21"/>
                      <w:szCs w:val="21"/>
                    </w:rPr>
                  </w:pPr>
                  <w:r>
                    <w:rPr>
                      <w:rFonts w:hint="eastAsia"/>
                      <w:color w:val="000000" w:themeColor="text1"/>
                      <w:kern w:val="0"/>
                      <w:sz w:val="21"/>
                      <w:szCs w:val="21"/>
                      <w14:textFill>
                        <w14:solidFill>
                          <w14:schemeClr w14:val="tx1"/>
                        </w14:solidFill>
                      </w14:textFill>
                    </w:rPr>
                    <w:t>分类收集暂存于危废间，定期</w:t>
                  </w:r>
                  <w:r>
                    <w:rPr>
                      <w:color w:val="000000" w:themeColor="text1"/>
                      <w:kern w:val="0"/>
                      <w:sz w:val="21"/>
                      <w:szCs w:val="21"/>
                      <w14:textFill>
                        <w14:solidFill>
                          <w14:schemeClr w14:val="tx1"/>
                        </w14:solidFill>
                      </w14:textFill>
                    </w:rPr>
                    <w:t>委托有资质单位处</w:t>
                  </w:r>
                  <w:r>
                    <w:rPr>
                      <w:rFonts w:hint="eastAsia"/>
                      <w:color w:val="000000" w:themeColor="text1"/>
                      <w:kern w:val="0"/>
                      <w:sz w:val="21"/>
                      <w:szCs w:val="21"/>
                      <w14:textFill>
                        <w14:solidFill>
                          <w14:schemeClr w14:val="tx1"/>
                        </w14:solidFill>
                      </w14:textFill>
                    </w:rPr>
                    <w:t>置</w:t>
                  </w:r>
                </w:p>
              </w:tc>
            </w:tr>
            <w:tr w14:paraId="7CD32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tblHeader/>
                <w:jc w:val="center"/>
              </w:trPr>
              <w:tc>
                <w:tcPr>
                  <w:tcW w:w="253" w:type="pct"/>
                  <w:tcBorders>
                    <w:tl2br w:val="nil"/>
                    <w:tr2bl w:val="nil"/>
                  </w:tcBorders>
                  <w:vAlign w:val="center"/>
                </w:tcPr>
                <w:p w14:paraId="486BB1F0">
                  <w:pPr>
                    <w:pStyle w:val="18"/>
                    <w:autoSpaceDE w:val="0"/>
                    <w:autoSpaceDN w:val="0"/>
                    <w:ind w:left="0" w:leftChars="0"/>
                    <w:jc w:val="center"/>
                    <w:rPr>
                      <w:color w:val="000000"/>
                      <w:sz w:val="21"/>
                      <w:szCs w:val="21"/>
                    </w:rPr>
                  </w:pPr>
                  <w:r>
                    <w:rPr>
                      <w:rFonts w:hint="eastAsia"/>
                      <w:color w:val="000000"/>
                      <w:sz w:val="21"/>
                      <w:szCs w:val="21"/>
                    </w:rPr>
                    <w:t>12</w:t>
                  </w:r>
                </w:p>
              </w:tc>
              <w:tc>
                <w:tcPr>
                  <w:tcW w:w="1035" w:type="pct"/>
                  <w:tcBorders>
                    <w:tl2br w:val="nil"/>
                    <w:tr2bl w:val="nil"/>
                  </w:tcBorders>
                  <w:vAlign w:val="center"/>
                </w:tcPr>
                <w:p w14:paraId="6696213F">
                  <w:pPr>
                    <w:pStyle w:val="18"/>
                    <w:autoSpaceDE w:val="0"/>
                    <w:autoSpaceDN w:val="0"/>
                    <w:ind w:left="0" w:leftChars="0"/>
                    <w:jc w:val="center"/>
                    <w:rPr>
                      <w:color w:val="000000"/>
                      <w:sz w:val="21"/>
                      <w:szCs w:val="21"/>
                    </w:rPr>
                  </w:pPr>
                  <w:r>
                    <w:rPr>
                      <w:rFonts w:hint="eastAsia"/>
                      <w:color w:val="000000"/>
                      <w:sz w:val="21"/>
                      <w:szCs w:val="21"/>
                    </w:rPr>
                    <w:t>含油抹布及手套</w:t>
                  </w:r>
                </w:p>
              </w:tc>
              <w:tc>
                <w:tcPr>
                  <w:tcW w:w="530" w:type="pct"/>
                  <w:tcBorders>
                    <w:tl2br w:val="nil"/>
                    <w:tr2bl w:val="nil"/>
                  </w:tcBorders>
                  <w:vAlign w:val="center"/>
                </w:tcPr>
                <w:p w14:paraId="28865EA8">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HW49</w:t>
                  </w:r>
                </w:p>
              </w:tc>
              <w:tc>
                <w:tcPr>
                  <w:tcW w:w="808" w:type="pct"/>
                  <w:tcBorders>
                    <w:tl2br w:val="nil"/>
                    <w:tr2bl w:val="nil"/>
                  </w:tcBorders>
                  <w:vAlign w:val="center"/>
                </w:tcPr>
                <w:p w14:paraId="45EA14AB">
                  <w:pPr>
                    <w:autoSpaceDE w:val="0"/>
                    <w:autoSpaceDN w:val="0"/>
                    <w:jc w:val="center"/>
                    <w:rPr>
                      <w:color w:val="000000"/>
                      <w:sz w:val="21"/>
                      <w:szCs w:val="21"/>
                    </w:rPr>
                  </w:pPr>
                  <w:r>
                    <w:rPr>
                      <w:rFonts w:hint="eastAsia"/>
                      <w:color w:val="000000"/>
                      <w:sz w:val="21"/>
                      <w:szCs w:val="21"/>
                    </w:rPr>
                    <w:t>900-041-49</w:t>
                  </w:r>
                </w:p>
              </w:tc>
              <w:tc>
                <w:tcPr>
                  <w:tcW w:w="538" w:type="pct"/>
                  <w:tcBorders>
                    <w:tl2br w:val="nil"/>
                    <w:tr2bl w:val="nil"/>
                  </w:tcBorders>
                  <w:vAlign w:val="center"/>
                </w:tcPr>
                <w:p w14:paraId="4027C275">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0.05</w:t>
                  </w:r>
                </w:p>
              </w:tc>
              <w:tc>
                <w:tcPr>
                  <w:tcW w:w="392" w:type="pct"/>
                  <w:vMerge w:val="continue"/>
                  <w:tcBorders>
                    <w:tl2br w:val="nil"/>
                    <w:tr2bl w:val="nil"/>
                  </w:tcBorders>
                  <w:vAlign w:val="center"/>
                </w:tcPr>
                <w:p w14:paraId="505BD047">
                  <w:pPr>
                    <w:autoSpaceDE w:val="0"/>
                    <w:autoSpaceDN w:val="0"/>
                    <w:jc w:val="center"/>
                    <w:rPr>
                      <w:color w:val="000000" w:themeColor="text1"/>
                      <w:kern w:val="0"/>
                      <w:sz w:val="21"/>
                      <w:szCs w:val="21"/>
                      <w:lang w:bidi="ar"/>
                      <w14:textFill>
                        <w14:solidFill>
                          <w14:schemeClr w14:val="tx1"/>
                        </w14:solidFill>
                      </w14:textFill>
                    </w:rPr>
                  </w:pPr>
                </w:p>
              </w:tc>
              <w:tc>
                <w:tcPr>
                  <w:tcW w:w="409" w:type="pct"/>
                  <w:tcBorders>
                    <w:tl2br w:val="nil"/>
                    <w:tr2bl w:val="nil"/>
                  </w:tcBorders>
                  <w:vAlign w:val="center"/>
                </w:tcPr>
                <w:p w14:paraId="6D522276">
                  <w:pPr>
                    <w:autoSpaceDE w:val="0"/>
                    <w:autoSpaceDN w:val="0"/>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固态</w:t>
                  </w:r>
                </w:p>
              </w:tc>
              <w:tc>
                <w:tcPr>
                  <w:tcW w:w="391" w:type="pct"/>
                  <w:tcBorders>
                    <w:tl2br w:val="nil"/>
                    <w:tr2bl w:val="nil"/>
                  </w:tcBorders>
                  <w:vAlign w:val="center"/>
                </w:tcPr>
                <w:p w14:paraId="0300ED93">
                  <w:pPr>
                    <w:autoSpaceDE w:val="0"/>
                    <w:autoSpaceDN w:val="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T/In</w:t>
                  </w:r>
                </w:p>
              </w:tc>
              <w:tc>
                <w:tcPr>
                  <w:tcW w:w="644" w:type="pct"/>
                  <w:vMerge w:val="continue"/>
                  <w:tcBorders>
                    <w:tl2br w:val="nil"/>
                    <w:tr2bl w:val="nil"/>
                  </w:tcBorders>
                  <w:vAlign w:val="center"/>
                </w:tcPr>
                <w:p w14:paraId="55A6D8AC">
                  <w:pPr>
                    <w:pStyle w:val="50"/>
                    <w:autoSpaceDE w:val="0"/>
                    <w:autoSpaceDN w:val="0"/>
                    <w:rPr>
                      <w:sz w:val="21"/>
                      <w:szCs w:val="21"/>
                    </w:rPr>
                  </w:pPr>
                </w:p>
              </w:tc>
            </w:tr>
          </w:tbl>
          <w:p w14:paraId="4BB7958A">
            <w:pPr>
              <w:kinsoku w:val="0"/>
              <w:wordWrap w:val="0"/>
              <w:autoSpaceDE w:val="0"/>
              <w:autoSpaceDN w:val="0"/>
              <w:adjustRightInd w:val="0"/>
              <w:snapToGrid w:val="0"/>
              <w:jc w:val="center"/>
              <w:rPr>
                <w:b/>
                <w:color w:val="000000" w:themeColor="text1"/>
                <w:szCs w:val="20"/>
                <w14:textFill>
                  <w14:solidFill>
                    <w14:schemeClr w14:val="tx1"/>
                  </w14:solidFill>
                </w14:textFill>
              </w:rPr>
            </w:pPr>
            <w:r>
              <w:rPr>
                <w:rFonts w:hint="eastAsia"/>
                <w:b/>
                <w:color w:val="000000" w:themeColor="text1"/>
                <w:szCs w:val="20"/>
                <w14:textFill>
                  <w14:solidFill>
                    <w14:schemeClr w14:val="tx1"/>
                  </w14:solidFill>
                </w14:textFill>
              </w:rPr>
              <w:t>表4-18  危险废物汇总表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679"/>
              <w:gridCol w:w="1270"/>
              <w:gridCol w:w="699"/>
              <w:gridCol w:w="838"/>
              <w:gridCol w:w="698"/>
              <w:gridCol w:w="762"/>
              <w:gridCol w:w="705"/>
              <w:gridCol w:w="425"/>
              <w:gridCol w:w="427"/>
              <w:gridCol w:w="637"/>
            </w:tblGrid>
            <w:tr w14:paraId="27264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5CF0AC44">
                  <w:pPr>
                    <w:pStyle w:val="22"/>
                    <w:autoSpaceDE w:val="0"/>
                    <w:autoSpaceDN w:val="0"/>
                    <w:adjustRightInd w:val="0"/>
                    <w:snapToGrid w:val="0"/>
                    <w:spacing w:after="0"/>
                    <w:ind w:left="0" w:leftChars="0" w:firstLine="0"/>
                    <w:jc w:val="center"/>
                    <w:rPr>
                      <w:szCs w:val="21"/>
                      <w:lang w:bidi="ar"/>
                    </w:rPr>
                  </w:pPr>
                  <w:r>
                    <w:rPr>
                      <w:rFonts w:hint="eastAsia"/>
                      <w:b/>
                      <w:bCs/>
                      <w:szCs w:val="21"/>
                    </w:rPr>
                    <w:t>危险废物名称</w:t>
                  </w:r>
                </w:p>
              </w:tc>
              <w:tc>
                <w:tcPr>
                  <w:tcW w:w="434" w:type="pct"/>
                  <w:vAlign w:val="center"/>
                </w:tcPr>
                <w:p w14:paraId="180DA471">
                  <w:pPr>
                    <w:pStyle w:val="22"/>
                    <w:autoSpaceDE w:val="0"/>
                    <w:autoSpaceDN w:val="0"/>
                    <w:adjustRightInd w:val="0"/>
                    <w:snapToGrid w:val="0"/>
                    <w:spacing w:after="0"/>
                    <w:ind w:left="0" w:leftChars="0" w:firstLine="0"/>
                    <w:jc w:val="center"/>
                    <w:rPr>
                      <w:szCs w:val="21"/>
                      <w:lang w:bidi="ar"/>
                    </w:rPr>
                  </w:pPr>
                  <w:r>
                    <w:rPr>
                      <w:rFonts w:hint="eastAsia"/>
                      <w:b/>
                      <w:bCs/>
                      <w:szCs w:val="21"/>
                    </w:rPr>
                    <w:t>危险废物类别</w:t>
                  </w:r>
                </w:p>
              </w:tc>
              <w:tc>
                <w:tcPr>
                  <w:tcW w:w="812" w:type="pct"/>
                  <w:vAlign w:val="center"/>
                </w:tcPr>
                <w:p w14:paraId="5E6A4091">
                  <w:pPr>
                    <w:pStyle w:val="63"/>
                    <w:autoSpaceDE w:val="0"/>
                    <w:autoSpaceDN w:val="0"/>
                    <w:adjustRightInd w:val="0"/>
                    <w:snapToGrid w:val="0"/>
                    <w:rPr>
                      <w:b/>
                      <w:bCs/>
                      <w:szCs w:val="21"/>
                    </w:rPr>
                  </w:pPr>
                  <w:r>
                    <w:rPr>
                      <w:rFonts w:hint="eastAsia"/>
                      <w:b/>
                      <w:bCs/>
                      <w:szCs w:val="21"/>
                    </w:rPr>
                    <w:t>危险废物</w:t>
                  </w:r>
                </w:p>
                <w:p w14:paraId="2D3BD963">
                  <w:pPr>
                    <w:pStyle w:val="22"/>
                    <w:autoSpaceDE w:val="0"/>
                    <w:autoSpaceDN w:val="0"/>
                    <w:adjustRightInd w:val="0"/>
                    <w:snapToGrid w:val="0"/>
                    <w:spacing w:after="0"/>
                    <w:ind w:left="0" w:leftChars="0" w:firstLine="0"/>
                    <w:jc w:val="center"/>
                    <w:rPr>
                      <w:szCs w:val="21"/>
                      <w:lang w:bidi="ar"/>
                    </w:rPr>
                  </w:pPr>
                  <w:r>
                    <w:rPr>
                      <w:rFonts w:hint="eastAsia"/>
                      <w:b/>
                      <w:bCs/>
                      <w:szCs w:val="21"/>
                    </w:rPr>
                    <w:t>代码</w:t>
                  </w:r>
                </w:p>
              </w:tc>
              <w:tc>
                <w:tcPr>
                  <w:tcW w:w="447" w:type="pct"/>
                  <w:vAlign w:val="center"/>
                </w:tcPr>
                <w:p w14:paraId="6C0F7537">
                  <w:pPr>
                    <w:pStyle w:val="22"/>
                    <w:autoSpaceDE w:val="0"/>
                    <w:autoSpaceDN w:val="0"/>
                    <w:adjustRightInd w:val="0"/>
                    <w:snapToGrid w:val="0"/>
                    <w:spacing w:after="0"/>
                    <w:ind w:left="0" w:leftChars="0" w:firstLine="0"/>
                    <w:jc w:val="center"/>
                    <w:rPr>
                      <w:szCs w:val="21"/>
                      <w:lang w:bidi="ar"/>
                    </w:rPr>
                  </w:pPr>
                  <w:r>
                    <w:rPr>
                      <w:rFonts w:hint="eastAsia"/>
                      <w:b/>
                      <w:bCs/>
                      <w:szCs w:val="21"/>
                    </w:rPr>
                    <w:t>产生量（</w:t>
                  </w:r>
                  <w:r>
                    <w:rPr>
                      <w:b/>
                      <w:bCs/>
                      <w:szCs w:val="21"/>
                    </w:rPr>
                    <w:t>t/a</w:t>
                  </w:r>
                  <w:r>
                    <w:rPr>
                      <w:rFonts w:hint="eastAsia"/>
                      <w:b/>
                      <w:bCs/>
                      <w:szCs w:val="21"/>
                    </w:rPr>
                    <w:t>）</w:t>
                  </w:r>
                </w:p>
              </w:tc>
              <w:tc>
                <w:tcPr>
                  <w:tcW w:w="536" w:type="pct"/>
                  <w:vAlign w:val="center"/>
                </w:tcPr>
                <w:p w14:paraId="2810BF69">
                  <w:pPr>
                    <w:pStyle w:val="22"/>
                    <w:autoSpaceDE w:val="0"/>
                    <w:autoSpaceDN w:val="0"/>
                    <w:adjustRightInd w:val="0"/>
                    <w:snapToGrid w:val="0"/>
                    <w:spacing w:after="0"/>
                    <w:ind w:left="0" w:leftChars="0" w:firstLine="0"/>
                    <w:jc w:val="center"/>
                    <w:rPr>
                      <w:szCs w:val="21"/>
                      <w:lang w:bidi="ar"/>
                    </w:rPr>
                  </w:pPr>
                  <w:r>
                    <w:rPr>
                      <w:rFonts w:hint="eastAsia"/>
                      <w:b/>
                      <w:bCs/>
                      <w:szCs w:val="21"/>
                    </w:rPr>
                    <w:t>产生工序及装置</w:t>
                  </w:r>
                </w:p>
              </w:tc>
              <w:tc>
                <w:tcPr>
                  <w:tcW w:w="446" w:type="pct"/>
                  <w:vAlign w:val="center"/>
                </w:tcPr>
                <w:p w14:paraId="258BDF83">
                  <w:pPr>
                    <w:pStyle w:val="22"/>
                    <w:autoSpaceDE w:val="0"/>
                    <w:autoSpaceDN w:val="0"/>
                    <w:adjustRightInd w:val="0"/>
                    <w:snapToGrid w:val="0"/>
                    <w:spacing w:after="0"/>
                    <w:ind w:left="0" w:leftChars="0" w:firstLine="0"/>
                    <w:jc w:val="center"/>
                    <w:rPr>
                      <w:szCs w:val="21"/>
                      <w:lang w:bidi="ar"/>
                    </w:rPr>
                  </w:pPr>
                  <w:r>
                    <w:rPr>
                      <w:rFonts w:hint="eastAsia"/>
                      <w:b/>
                      <w:bCs/>
                      <w:szCs w:val="21"/>
                    </w:rPr>
                    <w:t>形态</w:t>
                  </w:r>
                </w:p>
              </w:tc>
              <w:tc>
                <w:tcPr>
                  <w:tcW w:w="487" w:type="pct"/>
                  <w:vAlign w:val="center"/>
                </w:tcPr>
                <w:p w14:paraId="020A5932">
                  <w:pPr>
                    <w:pStyle w:val="63"/>
                    <w:autoSpaceDE w:val="0"/>
                    <w:autoSpaceDN w:val="0"/>
                    <w:adjustRightInd w:val="0"/>
                    <w:snapToGrid w:val="0"/>
                    <w:rPr>
                      <w:b/>
                      <w:bCs/>
                      <w:szCs w:val="21"/>
                    </w:rPr>
                  </w:pPr>
                  <w:r>
                    <w:rPr>
                      <w:rFonts w:hint="eastAsia"/>
                      <w:b/>
                      <w:bCs/>
                      <w:szCs w:val="21"/>
                    </w:rPr>
                    <w:t>主要</w:t>
                  </w:r>
                </w:p>
                <w:p w14:paraId="620C73E8">
                  <w:pPr>
                    <w:pStyle w:val="22"/>
                    <w:autoSpaceDE w:val="0"/>
                    <w:autoSpaceDN w:val="0"/>
                    <w:adjustRightInd w:val="0"/>
                    <w:snapToGrid w:val="0"/>
                    <w:spacing w:after="0"/>
                    <w:ind w:left="0" w:leftChars="0" w:firstLine="0"/>
                    <w:jc w:val="center"/>
                    <w:rPr>
                      <w:szCs w:val="21"/>
                      <w:lang w:bidi="ar"/>
                    </w:rPr>
                  </w:pPr>
                  <w:r>
                    <w:rPr>
                      <w:rFonts w:hint="eastAsia"/>
                      <w:b/>
                      <w:bCs/>
                      <w:szCs w:val="21"/>
                    </w:rPr>
                    <w:t>成分</w:t>
                  </w:r>
                </w:p>
              </w:tc>
              <w:tc>
                <w:tcPr>
                  <w:tcW w:w="451" w:type="pct"/>
                  <w:vAlign w:val="center"/>
                </w:tcPr>
                <w:p w14:paraId="12C77396">
                  <w:pPr>
                    <w:pStyle w:val="63"/>
                    <w:autoSpaceDE w:val="0"/>
                    <w:autoSpaceDN w:val="0"/>
                    <w:adjustRightInd w:val="0"/>
                    <w:snapToGrid w:val="0"/>
                    <w:rPr>
                      <w:b/>
                      <w:bCs/>
                      <w:szCs w:val="21"/>
                    </w:rPr>
                  </w:pPr>
                  <w:r>
                    <w:rPr>
                      <w:rFonts w:hint="eastAsia"/>
                      <w:b/>
                      <w:bCs/>
                      <w:szCs w:val="21"/>
                    </w:rPr>
                    <w:t>有害</w:t>
                  </w:r>
                </w:p>
                <w:p w14:paraId="08AA05FB">
                  <w:pPr>
                    <w:pStyle w:val="22"/>
                    <w:autoSpaceDE w:val="0"/>
                    <w:autoSpaceDN w:val="0"/>
                    <w:adjustRightInd w:val="0"/>
                    <w:snapToGrid w:val="0"/>
                    <w:spacing w:after="0"/>
                    <w:ind w:left="0" w:leftChars="0" w:firstLine="0"/>
                    <w:jc w:val="center"/>
                    <w:rPr>
                      <w:szCs w:val="21"/>
                      <w:lang w:bidi="ar"/>
                    </w:rPr>
                  </w:pPr>
                  <w:r>
                    <w:rPr>
                      <w:rFonts w:hint="eastAsia"/>
                      <w:b/>
                      <w:bCs/>
                      <w:szCs w:val="21"/>
                    </w:rPr>
                    <w:t>成分</w:t>
                  </w:r>
                </w:p>
              </w:tc>
              <w:tc>
                <w:tcPr>
                  <w:tcW w:w="272" w:type="pct"/>
                  <w:vAlign w:val="center"/>
                </w:tcPr>
                <w:p w14:paraId="7DB42268">
                  <w:pPr>
                    <w:pStyle w:val="63"/>
                    <w:autoSpaceDE w:val="0"/>
                    <w:autoSpaceDN w:val="0"/>
                    <w:adjustRightInd w:val="0"/>
                    <w:snapToGrid w:val="0"/>
                    <w:rPr>
                      <w:b/>
                      <w:bCs/>
                      <w:szCs w:val="21"/>
                    </w:rPr>
                  </w:pPr>
                  <w:r>
                    <w:rPr>
                      <w:rFonts w:hint="eastAsia"/>
                      <w:b/>
                      <w:bCs/>
                      <w:szCs w:val="21"/>
                    </w:rPr>
                    <w:t>产废</w:t>
                  </w:r>
                </w:p>
                <w:p w14:paraId="0298E0C7">
                  <w:pPr>
                    <w:pStyle w:val="22"/>
                    <w:autoSpaceDE w:val="0"/>
                    <w:autoSpaceDN w:val="0"/>
                    <w:adjustRightInd w:val="0"/>
                    <w:snapToGrid w:val="0"/>
                    <w:spacing w:after="0"/>
                    <w:ind w:left="0" w:leftChars="0" w:firstLine="0"/>
                    <w:jc w:val="center"/>
                    <w:rPr>
                      <w:szCs w:val="21"/>
                      <w:lang w:bidi="ar"/>
                    </w:rPr>
                  </w:pPr>
                  <w:r>
                    <w:rPr>
                      <w:rFonts w:hint="eastAsia"/>
                      <w:b/>
                      <w:bCs/>
                      <w:szCs w:val="21"/>
                    </w:rPr>
                    <w:t>周期</w:t>
                  </w:r>
                </w:p>
              </w:tc>
              <w:tc>
                <w:tcPr>
                  <w:tcW w:w="273" w:type="pct"/>
                  <w:vAlign w:val="center"/>
                </w:tcPr>
                <w:p w14:paraId="3DF3E279">
                  <w:pPr>
                    <w:pStyle w:val="63"/>
                    <w:autoSpaceDE w:val="0"/>
                    <w:autoSpaceDN w:val="0"/>
                    <w:adjustRightInd w:val="0"/>
                    <w:snapToGrid w:val="0"/>
                    <w:rPr>
                      <w:b/>
                      <w:bCs/>
                      <w:szCs w:val="21"/>
                    </w:rPr>
                  </w:pPr>
                  <w:r>
                    <w:rPr>
                      <w:rFonts w:hint="eastAsia"/>
                      <w:b/>
                      <w:bCs/>
                      <w:szCs w:val="21"/>
                    </w:rPr>
                    <w:t>危险</w:t>
                  </w:r>
                </w:p>
                <w:p w14:paraId="50440DEE">
                  <w:pPr>
                    <w:pStyle w:val="22"/>
                    <w:autoSpaceDE w:val="0"/>
                    <w:autoSpaceDN w:val="0"/>
                    <w:adjustRightInd w:val="0"/>
                    <w:snapToGrid w:val="0"/>
                    <w:spacing w:after="0"/>
                    <w:ind w:left="0" w:leftChars="0" w:firstLine="0"/>
                    <w:jc w:val="center"/>
                    <w:rPr>
                      <w:szCs w:val="21"/>
                      <w:lang w:bidi="ar"/>
                    </w:rPr>
                  </w:pPr>
                  <w:r>
                    <w:rPr>
                      <w:rFonts w:hint="eastAsia"/>
                      <w:b/>
                      <w:bCs/>
                      <w:szCs w:val="21"/>
                    </w:rPr>
                    <w:t>特性</w:t>
                  </w:r>
                </w:p>
              </w:tc>
              <w:tc>
                <w:tcPr>
                  <w:tcW w:w="407" w:type="pct"/>
                  <w:vAlign w:val="center"/>
                </w:tcPr>
                <w:p w14:paraId="5DD7495D">
                  <w:pPr>
                    <w:pStyle w:val="22"/>
                    <w:autoSpaceDE w:val="0"/>
                    <w:autoSpaceDN w:val="0"/>
                    <w:adjustRightInd w:val="0"/>
                    <w:snapToGrid w:val="0"/>
                    <w:spacing w:after="0"/>
                    <w:ind w:left="0" w:leftChars="0" w:firstLine="0"/>
                    <w:jc w:val="center"/>
                    <w:rPr>
                      <w:szCs w:val="21"/>
                      <w:lang w:bidi="ar"/>
                    </w:rPr>
                  </w:pPr>
                  <w:r>
                    <w:rPr>
                      <w:rFonts w:hint="eastAsia"/>
                      <w:b/>
                      <w:bCs/>
                      <w:szCs w:val="21"/>
                    </w:rPr>
                    <w:t>污染防治措施</w:t>
                  </w:r>
                </w:p>
              </w:tc>
            </w:tr>
            <w:tr w14:paraId="3C637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03D11FBB">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废水性漆桶</w:t>
                  </w:r>
                </w:p>
              </w:tc>
              <w:tc>
                <w:tcPr>
                  <w:tcW w:w="434" w:type="pct"/>
                  <w:vAlign w:val="center"/>
                </w:tcPr>
                <w:p w14:paraId="08BB06C1">
                  <w:pPr>
                    <w:pStyle w:val="22"/>
                    <w:autoSpaceDE w:val="0"/>
                    <w:autoSpaceDN w:val="0"/>
                    <w:adjustRightInd w:val="0"/>
                    <w:snapToGrid w:val="0"/>
                    <w:spacing w:after="0"/>
                    <w:ind w:left="0" w:leftChars="0" w:firstLine="0"/>
                    <w:jc w:val="center"/>
                    <w:rPr>
                      <w:szCs w:val="21"/>
                      <w:lang w:bidi="ar"/>
                    </w:rPr>
                  </w:pPr>
                  <w:r>
                    <w:rPr>
                      <w:rFonts w:hint="eastAsia"/>
                      <w:color w:val="000000" w:themeColor="text1"/>
                      <w:szCs w:val="21"/>
                      <w:u w:val="single"/>
                      <w14:textFill>
                        <w14:solidFill>
                          <w14:schemeClr w14:val="tx1"/>
                        </w14:solidFill>
                      </w14:textFill>
                    </w:rPr>
                    <w:t>HW49</w:t>
                  </w:r>
                </w:p>
              </w:tc>
              <w:tc>
                <w:tcPr>
                  <w:tcW w:w="812" w:type="pct"/>
                  <w:vAlign w:val="center"/>
                </w:tcPr>
                <w:p w14:paraId="09FEC7F9">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48"/>
                      <w:szCs w:val="21"/>
                      <w:u w:val="single"/>
                      <w14:textFill>
                        <w14:solidFill>
                          <w14:schemeClr w14:val="tx1"/>
                        </w14:solidFill>
                      </w14:textFill>
                    </w:rPr>
                    <w:t>900-041-49</w:t>
                  </w:r>
                </w:p>
              </w:tc>
              <w:tc>
                <w:tcPr>
                  <w:tcW w:w="447" w:type="pct"/>
                  <w:vAlign w:val="center"/>
                </w:tcPr>
                <w:p w14:paraId="0E4A553B">
                  <w:pPr>
                    <w:autoSpaceDE w:val="0"/>
                    <w:autoSpaceDN w:val="0"/>
                    <w:adjustRightInd w:val="0"/>
                    <w:snapToGrid w:val="0"/>
                    <w:jc w:val="center"/>
                    <w:rPr>
                      <w:szCs w:val="21"/>
                      <w:lang w:bidi="ar"/>
                    </w:rPr>
                  </w:pPr>
                  <w:r>
                    <w:rPr>
                      <w:rFonts w:hint="eastAsia"/>
                      <w:color w:val="000000" w:themeColor="text1"/>
                      <w:kern w:val="0"/>
                      <w:sz w:val="21"/>
                      <w:szCs w:val="21"/>
                      <w:lang w:bidi="ar"/>
                      <w14:textFill>
                        <w14:solidFill>
                          <w14:schemeClr w14:val="tx1"/>
                        </w14:solidFill>
                      </w14:textFill>
                    </w:rPr>
                    <w:t>0.2854</w:t>
                  </w:r>
                </w:p>
              </w:tc>
              <w:tc>
                <w:tcPr>
                  <w:tcW w:w="536" w:type="pct"/>
                  <w:vAlign w:val="center"/>
                </w:tcPr>
                <w:p w14:paraId="54B46DA2">
                  <w:pPr>
                    <w:pStyle w:val="22"/>
                    <w:autoSpaceDE w:val="0"/>
                    <w:autoSpaceDN w:val="0"/>
                    <w:adjustRightInd w:val="0"/>
                    <w:snapToGrid w:val="0"/>
                    <w:spacing w:after="0"/>
                    <w:ind w:left="0" w:leftChars="0" w:firstLine="0"/>
                    <w:jc w:val="center"/>
                    <w:rPr>
                      <w:szCs w:val="21"/>
                      <w:lang w:bidi="ar"/>
                    </w:rPr>
                  </w:pPr>
                  <w:r>
                    <w:rPr>
                      <w:rFonts w:hint="eastAsia"/>
                      <w:szCs w:val="21"/>
                      <w:lang w:bidi="ar"/>
                    </w:rPr>
                    <w:t>喷漆</w:t>
                  </w:r>
                </w:p>
              </w:tc>
              <w:tc>
                <w:tcPr>
                  <w:tcW w:w="446" w:type="pct"/>
                  <w:vAlign w:val="center"/>
                </w:tcPr>
                <w:p w14:paraId="28DEB858">
                  <w:pPr>
                    <w:pStyle w:val="22"/>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87" w:type="pct"/>
                  <w:vAlign w:val="center"/>
                </w:tcPr>
                <w:p w14:paraId="0352CF4E">
                  <w:pPr>
                    <w:pStyle w:val="22"/>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451" w:type="pct"/>
                  <w:vAlign w:val="center"/>
                </w:tcPr>
                <w:p w14:paraId="1AE793D1">
                  <w:pPr>
                    <w:pStyle w:val="22"/>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272" w:type="pct"/>
                  <w:vAlign w:val="center"/>
                </w:tcPr>
                <w:p w14:paraId="411E8069">
                  <w:pPr>
                    <w:pStyle w:val="22"/>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4A311190">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T/In</w:t>
                  </w:r>
                </w:p>
              </w:tc>
              <w:tc>
                <w:tcPr>
                  <w:tcW w:w="407" w:type="pct"/>
                  <w:vMerge w:val="restart"/>
                  <w:vAlign w:val="center"/>
                </w:tcPr>
                <w:p w14:paraId="577B9DD9">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14:textFill>
                        <w14:solidFill>
                          <w14:schemeClr w14:val="tx1"/>
                        </w14:solidFill>
                      </w14:textFill>
                    </w:rPr>
                    <w:t>分类收集暂存于危废间，定期</w:t>
                  </w:r>
                  <w:r>
                    <w:rPr>
                      <w:color w:val="000000" w:themeColor="text1"/>
                      <w:kern w:val="0"/>
                      <w:szCs w:val="21"/>
                      <w14:textFill>
                        <w14:solidFill>
                          <w14:schemeClr w14:val="tx1"/>
                        </w14:solidFill>
                      </w14:textFill>
                    </w:rPr>
                    <w:t>委托有资质单位处</w:t>
                  </w:r>
                  <w:r>
                    <w:rPr>
                      <w:rFonts w:hint="eastAsia"/>
                      <w:color w:val="000000" w:themeColor="text1"/>
                      <w:kern w:val="0"/>
                      <w:szCs w:val="21"/>
                      <w14:textFill>
                        <w14:solidFill>
                          <w14:schemeClr w14:val="tx1"/>
                        </w14:solidFill>
                      </w14:textFill>
                    </w:rPr>
                    <w:t>置</w:t>
                  </w:r>
                </w:p>
              </w:tc>
            </w:tr>
            <w:tr w14:paraId="08B50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4E6D0D8F">
                  <w:pPr>
                    <w:pStyle w:val="22"/>
                    <w:autoSpaceDE w:val="0"/>
                    <w:autoSpaceDN w:val="0"/>
                    <w:adjustRightInd w:val="0"/>
                    <w:snapToGrid w:val="0"/>
                    <w:spacing w:after="0"/>
                    <w:ind w:left="0" w:leftChars="0" w:firstLine="0"/>
                    <w:jc w:val="center"/>
                    <w:rPr>
                      <w:szCs w:val="21"/>
                      <w:lang w:bidi="ar"/>
                    </w:rPr>
                  </w:pPr>
                  <w:r>
                    <w:rPr>
                      <w:rFonts w:hint="eastAsia"/>
                      <w:color w:val="000000"/>
                      <w:szCs w:val="21"/>
                    </w:rPr>
                    <w:t>水性漆漆渣</w:t>
                  </w:r>
                </w:p>
              </w:tc>
              <w:tc>
                <w:tcPr>
                  <w:tcW w:w="434" w:type="pct"/>
                  <w:vAlign w:val="center"/>
                </w:tcPr>
                <w:p w14:paraId="48AE02A9">
                  <w:pPr>
                    <w:pStyle w:val="22"/>
                    <w:autoSpaceDE w:val="0"/>
                    <w:autoSpaceDN w:val="0"/>
                    <w:adjustRightInd w:val="0"/>
                    <w:snapToGrid w:val="0"/>
                    <w:spacing w:after="0"/>
                    <w:ind w:left="0" w:leftChars="0" w:firstLine="0"/>
                    <w:jc w:val="center"/>
                    <w:rPr>
                      <w:szCs w:val="21"/>
                      <w:lang w:bidi="ar"/>
                    </w:rPr>
                  </w:pPr>
                  <w:r>
                    <w:rPr>
                      <w:rFonts w:hint="eastAsia"/>
                      <w:color w:val="000000" w:themeColor="text1"/>
                      <w:szCs w:val="21"/>
                      <w:u w:val="single"/>
                      <w14:textFill>
                        <w14:solidFill>
                          <w14:schemeClr w14:val="tx1"/>
                        </w14:solidFill>
                      </w14:textFill>
                    </w:rPr>
                    <w:t>HW12</w:t>
                  </w:r>
                </w:p>
              </w:tc>
              <w:tc>
                <w:tcPr>
                  <w:tcW w:w="812" w:type="pct"/>
                  <w:vAlign w:val="center"/>
                </w:tcPr>
                <w:p w14:paraId="56A8F3D2">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48"/>
                      <w:szCs w:val="21"/>
                      <w:u w:val="single"/>
                      <w14:textFill>
                        <w14:solidFill>
                          <w14:schemeClr w14:val="tx1"/>
                        </w14:solidFill>
                      </w14:textFill>
                    </w:rPr>
                    <w:t>900-252-12</w:t>
                  </w:r>
                </w:p>
              </w:tc>
              <w:tc>
                <w:tcPr>
                  <w:tcW w:w="447" w:type="pct"/>
                  <w:vAlign w:val="center"/>
                </w:tcPr>
                <w:p w14:paraId="2A9EA4BE">
                  <w:pPr>
                    <w:autoSpaceDE w:val="0"/>
                    <w:autoSpaceDN w:val="0"/>
                    <w:adjustRightInd w:val="0"/>
                    <w:snapToGrid w:val="0"/>
                    <w:jc w:val="center"/>
                    <w:rPr>
                      <w:szCs w:val="21"/>
                      <w:lang w:bidi="ar"/>
                    </w:rPr>
                  </w:pPr>
                  <w:r>
                    <w:rPr>
                      <w:rFonts w:hint="eastAsia"/>
                      <w:color w:val="000000" w:themeColor="text1"/>
                      <w:kern w:val="0"/>
                      <w:sz w:val="21"/>
                      <w:szCs w:val="21"/>
                      <w:lang w:bidi="ar"/>
                      <w14:textFill>
                        <w14:solidFill>
                          <w14:schemeClr w14:val="tx1"/>
                        </w14:solidFill>
                      </w14:textFill>
                    </w:rPr>
                    <w:t>0.1998</w:t>
                  </w:r>
                </w:p>
              </w:tc>
              <w:tc>
                <w:tcPr>
                  <w:tcW w:w="536" w:type="pct"/>
                  <w:vAlign w:val="center"/>
                </w:tcPr>
                <w:p w14:paraId="2322E49E">
                  <w:pPr>
                    <w:pStyle w:val="22"/>
                    <w:autoSpaceDE w:val="0"/>
                    <w:autoSpaceDN w:val="0"/>
                    <w:adjustRightInd w:val="0"/>
                    <w:snapToGrid w:val="0"/>
                    <w:spacing w:after="0"/>
                    <w:ind w:left="0" w:leftChars="0" w:firstLine="0"/>
                    <w:jc w:val="center"/>
                    <w:rPr>
                      <w:szCs w:val="21"/>
                      <w:lang w:bidi="ar"/>
                    </w:rPr>
                  </w:pPr>
                  <w:r>
                    <w:rPr>
                      <w:rFonts w:hint="eastAsia"/>
                      <w:szCs w:val="21"/>
                      <w:lang w:bidi="ar"/>
                    </w:rPr>
                    <w:t>喷漆</w:t>
                  </w:r>
                </w:p>
              </w:tc>
              <w:tc>
                <w:tcPr>
                  <w:tcW w:w="446" w:type="pct"/>
                  <w:vAlign w:val="center"/>
                </w:tcPr>
                <w:p w14:paraId="0CA941D7">
                  <w:pPr>
                    <w:pStyle w:val="22"/>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87" w:type="pct"/>
                  <w:vAlign w:val="center"/>
                </w:tcPr>
                <w:p w14:paraId="544F90AC">
                  <w:pPr>
                    <w:pStyle w:val="22"/>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451" w:type="pct"/>
                  <w:vAlign w:val="center"/>
                </w:tcPr>
                <w:p w14:paraId="0B6DFFD6">
                  <w:pPr>
                    <w:pStyle w:val="22"/>
                    <w:autoSpaceDE w:val="0"/>
                    <w:autoSpaceDN w:val="0"/>
                    <w:adjustRightInd w:val="0"/>
                    <w:snapToGrid w:val="0"/>
                    <w:spacing w:after="0"/>
                    <w:ind w:left="0" w:leftChars="0" w:firstLine="0"/>
                    <w:jc w:val="center"/>
                    <w:rPr>
                      <w:szCs w:val="21"/>
                      <w:lang w:bidi="ar"/>
                    </w:rPr>
                  </w:pPr>
                  <w:r>
                    <w:rPr>
                      <w:rFonts w:hint="eastAsia"/>
                      <w:szCs w:val="21"/>
                      <w:lang w:bidi="ar"/>
                    </w:rPr>
                    <w:t>水性漆</w:t>
                  </w:r>
                </w:p>
              </w:tc>
              <w:tc>
                <w:tcPr>
                  <w:tcW w:w="272" w:type="pct"/>
                  <w:vAlign w:val="center"/>
                </w:tcPr>
                <w:p w14:paraId="15FC770E">
                  <w:pPr>
                    <w:pStyle w:val="22"/>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1170246A">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T/I</w:t>
                  </w:r>
                </w:p>
              </w:tc>
              <w:tc>
                <w:tcPr>
                  <w:tcW w:w="407" w:type="pct"/>
                  <w:vMerge w:val="continue"/>
                  <w:vAlign w:val="center"/>
                </w:tcPr>
                <w:p w14:paraId="16319F32">
                  <w:pPr>
                    <w:pStyle w:val="22"/>
                    <w:autoSpaceDE w:val="0"/>
                    <w:autoSpaceDN w:val="0"/>
                    <w:adjustRightInd w:val="0"/>
                    <w:snapToGrid w:val="0"/>
                    <w:spacing w:after="0"/>
                    <w:ind w:left="0" w:leftChars="0" w:firstLine="0"/>
                    <w:jc w:val="center"/>
                    <w:rPr>
                      <w:szCs w:val="21"/>
                      <w:lang w:bidi="ar"/>
                    </w:rPr>
                  </w:pPr>
                </w:p>
              </w:tc>
            </w:tr>
            <w:tr w14:paraId="3E816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24BA7F7B">
                  <w:pPr>
                    <w:pStyle w:val="22"/>
                    <w:autoSpaceDE w:val="0"/>
                    <w:autoSpaceDN w:val="0"/>
                    <w:adjustRightInd w:val="0"/>
                    <w:snapToGrid w:val="0"/>
                    <w:spacing w:after="0"/>
                    <w:ind w:left="0" w:leftChars="0" w:firstLine="0"/>
                    <w:jc w:val="center"/>
                    <w:rPr>
                      <w:szCs w:val="21"/>
                      <w:lang w:bidi="ar"/>
                    </w:rPr>
                  </w:pPr>
                  <w:r>
                    <w:rPr>
                      <w:rFonts w:hint="eastAsia"/>
                      <w:color w:val="000000"/>
                      <w:szCs w:val="21"/>
                    </w:rPr>
                    <w:t>废活性炭</w:t>
                  </w:r>
                </w:p>
              </w:tc>
              <w:tc>
                <w:tcPr>
                  <w:tcW w:w="434" w:type="pct"/>
                  <w:vAlign w:val="center"/>
                </w:tcPr>
                <w:p w14:paraId="21B95053">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HW49</w:t>
                  </w:r>
                </w:p>
              </w:tc>
              <w:tc>
                <w:tcPr>
                  <w:tcW w:w="812" w:type="pct"/>
                  <w:vAlign w:val="center"/>
                </w:tcPr>
                <w:p w14:paraId="5D4B544C">
                  <w:pPr>
                    <w:pStyle w:val="22"/>
                    <w:autoSpaceDE w:val="0"/>
                    <w:autoSpaceDN w:val="0"/>
                    <w:adjustRightInd w:val="0"/>
                    <w:snapToGrid w:val="0"/>
                    <w:spacing w:after="0"/>
                    <w:ind w:left="0" w:leftChars="0" w:firstLine="0"/>
                    <w:jc w:val="center"/>
                    <w:rPr>
                      <w:szCs w:val="21"/>
                      <w:lang w:bidi="ar"/>
                    </w:rPr>
                  </w:pPr>
                  <w:r>
                    <w:rPr>
                      <w:rFonts w:hint="eastAsia"/>
                      <w:color w:val="000000"/>
                      <w:szCs w:val="21"/>
                    </w:rPr>
                    <w:t>900-039-49</w:t>
                  </w:r>
                </w:p>
              </w:tc>
              <w:tc>
                <w:tcPr>
                  <w:tcW w:w="447" w:type="pct"/>
                  <w:vAlign w:val="center"/>
                </w:tcPr>
                <w:p w14:paraId="2DEDC0C7">
                  <w:pPr>
                    <w:autoSpaceDE w:val="0"/>
                    <w:autoSpaceDN w:val="0"/>
                    <w:adjustRightInd w:val="0"/>
                    <w:snapToGrid w:val="0"/>
                    <w:jc w:val="center"/>
                    <w:rPr>
                      <w:szCs w:val="21"/>
                      <w:lang w:bidi="ar"/>
                    </w:rPr>
                  </w:pPr>
                  <w:r>
                    <w:rPr>
                      <w:rFonts w:hint="eastAsia"/>
                      <w:color w:val="000000" w:themeColor="text1"/>
                      <w:kern w:val="0"/>
                      <w:sz w:val="21"/>
                      <w:szCs w:val="21"/>
                      <w:lang w:bidi="ar"/>
                      <w14:textFill>
                        <w14:solidFill>
                          <w14:schemeClr w14:val="tx1"/>
                        </w14:solidFill>
                      </w14:textFill>
                    </w:rPr>
                    <w:t>8.1989</w:t>
                  </w:r>
                </w:p>
              </w:tc>
              <w:tc>
                <w:tcPr>
                  <w:tcW w:w="536" w:type="pct"/>
                  <w:vAlign w:val="center"/>
                </w:tcPr>
                <w:p w14:paraId="15094B9E">
                  <w:pPr>
                    <w:pStyle w:val="22"/>
                    <w:autoSpaceDE w:val="0"/>
                    <w:autoSpaceDN w:val="0"/>
                    <w:adjustRightInd w:val="0"/>
                    <w:snapToGrid w:val="0"/>
                    <w:spacing w:after="0"/>
                    <w:ind w:left="0" w:leftChars="0" w:firstLine="0"/>
                    <w:jc w:val="center"/>
                    <w:rPr>
                      <w:szCs w:val="21"/>
                      <w:lang w:bidi="ar"/>
                    </w:rPr>
                  </w:pPr>
                  <w:r>
                    <w:rPr>
                      <w:rFonts w:hint="eastAsia"/>
                      <w:szCs w:val="21"/>
                      <w:lang w:bidi="ar"/>
                    </w:rPr>
                    <w:t>废气处理</w:t>
                  </w:r>
                </w:p>
              </w:tc>
              <w:tc>
                <w:tcPr>
                  <w:tcW w:w="446" w:type="pct"/>
                  <w:vAlign w:val="center"/>
                </w:tcPr>
                <w:p w14:paraId="20A69E27">
                  <w:pPr>
                    <w:pStyle w:val="22"/>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87" w:type="pct"/>
                  <w:vAlign w:val="center"/>
                </w:tcPr>
                <w:p w14:paraId="330E0906">
                  <w:pPr>
                    <w:pStyle w:val="22"/>
                    <w:autoSpaceDE w:val="0"/>
                    <w:autoSpaceDN w:val="0"/>
                    <w:adjustRightInd w:val="0"/>
                    <w:snapToGrid w:val="0"/>
                    <w:spacing w:after="0"/>
                    <w:ind w:left="0" w:leftChars="0" w:firstLine="0"/>
                    <w:jc w:val="center"/>
                    <w:rPr>
                      <w:szCs w:val="21"/>
                      <w:lang w:bidi="ar"/>
                    </w:rPr>
                  </w:pPr>
                  <w:r>
                    <w:rPr>
                      <w:rFonts w:hint="eastAsia"/>
                      <w:szCs w:val="21"/>
                      <w:lang w:bidi="ar"/>
                    </w:rPr>
                    <w:t>活性炭、挥发性有机物</w:t>
                  </w:r>
                </w:p>
              </w:tc>
              <w:tc>
                <w:tcPr>
                  <w:tcW w:w="451" w:type="pct"/>
                  <w:vAlign w:val="center"/>
                </w:tcPr>
                <w:p w14:paraId="3C7CF044">
                  <w:pPr>
                    <w:pStyle w:val="22"/>
                    <w:autoSpaceDE w:val="0"/>
                    <w:autoSpaceDN w:val="0"/>
                    <w:adjustRightInd w:val="0"/>
                    <w:snapToGrid w:val="0"/>
                    <w:spacing w:after="0"/>
                    <w:ind w:left="0" w:leftChars="0" w:firstLine="0"/>
                    <w:jc w:val="center"/>
                    <w:rPr>
                      <w:szCs w:val="21"/>
                      <w:lang w:bidi="ar"/>
                    </w:rPr>
                  </w:pPr>
                  <w:r>
                    <w:rPr>
                      <w:rFonts w:hint="eastAsia"/>
                      <w:szCs w:val="21"/>
                      <w:lang w:bidi="ar"/>
                    </w:rPr>
                    <w:t>挥发性有机物</w:t>
                  </w:r>
                </w:p>
              </w:tc>
              <w:tc>
                <w:tcPr>
                  <w:tcW w:w="272" w:type="pct"/>
                  <w:vAlign w:val="center"/>
                </w:tcPr>
                <w:p w14:paraId="201A2650">
                  <w:pPr>
                    <w:pStyle w:val="22"/>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263C9B16">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T</w:t>
                  </w:r>
                </w:p>
              </w:tc>
              <w:tc>
                <w:tcPr>
                  <w:tcW w:w="407" w:type="pct"/>
                  <w:vMerge w:val="continue"/>
                  <w:vAlign w:val="center"/>
                </w:tcPr>
                <w:p w14:paraId="7E167487">
                  <w:pPr>
                    <w:pStyle w:val="22"/>
                    <w:autoSpaceDE w:val="0"/>
                    <w:autoSpaceDN w:val="0"/>
                    <w:adjustRightInd w:val="0"/>
                    <w:snapToGrid w:val="0"/>
                    <w:spacing w:after="0"/>
                    <w:ind w:left="0" w:leftChars="0" w:firstLine="0"/>
                    <w:jc w:val="center"/>
                    <w:rPr>
                      <w:szCs w:val="21"/>
                      <w:lang w:bidi="ar"/>
                    </w:rPr>
                  </w:pPr>
                </w:p>
              </w:tc>
            </w:tr>
            <w:tr w14:paraId="5D850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0488E1B4">
                  <w:pPr>
                    <w:pStyle w:val="22"/>
                    <w:autoSpaceDE w:val="0"/>
                    <w:autoSpaceDN w:val="0"/>
                    <w:adjustRightInd w:val="0"/>
                    <w:snapToGrid w:val="0"/>
                    <w:spacing w:after="0"/>
                    <w:ind w:left="0" w:leftChars="0" w:firstLine="0"/>
                    <w:jc w:val="center"/>
                    <w:rPr>
                      <w:szCs w:val="21"/>
                      <w:lang w:bidi="ar"/>
                    </w:rPr>
                  </w:pPr>
                  <w:r>
                    <w:rPr>
                      <w:rFonts w:hint="eastAsia"/>
                      <w:color w:val="000000"/>
                      <w:szCs w:val="21"/>
                    </w:rPr>
                    <w:t>废过滤棉</w:t>
                  </w:r>
                </w:p>
              </w:tc>
              <w:tc>
                <w:tcPr>
                  <w:tcW w:w="434" w:type="pct"/>
                  <w:vAlign w:val="center"/>
                </w:tcPr>
                <w:p w14:paraId="12476AB2">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HW49</w:t>
                  </w:r>
                </w:p>
              </w:tc>
              <w:tc>
                <w:tcPr>
                  <w:tcW w:w="812" w:type="pct"/>
                  <w:vAlign w:val="center"/>
                </w:tcPr>
                <w:p w14:paraId="58D4D9E6">
                  <w:pPr>
                    <w:pStyle w:val="22"/>
                    <w:autoSpaceDE w:val="0"/>
                    <w:autoSpaceDN w:val="0"/>
                    <w:adjustRightInd w:val="0"/>
                    <w:snapToGrid w:val="0"/>
                    <w:spacing w:after="0"/>
                    <w:ind w:left="0" w:leftChars="0" w:firstLine="0"/>
                    <w:jc w:val="center"/>
                    <w:rPr>
                      <w:szCs w:val="21"/>
                      <w:lang w:bidi="ar"/>
                    </w:rPr>
                  </w:pPr>
                  <w:r>
                    <w:rPr>
                      <w:rFonts w:hint="eastAsia"/>
                      <w:color w:val="000000"/>
                      <w:szCs w:val="21"/>
                    </w:rPr>
                    <w:t>900-041-49</w:t>
                  </w:r>
                </w:p>
              </w:tc>
              <w:tc>
                <w:tcPr>
                  <w:tcW w:w="447" w:type="pct"/>
                  <w:vAlign w:val="center"/>
                </w:tcPr>
                <w:p w14:paraId="78B81EF9">
                  <w:pPr>
                    <w:autoSpaceDE w:val="0"/>
                    <w:autoSpaceDN w:val="0"/>
                    <w:adjustRightInd w:val="0"/>
                    <w:snapToGrid w:val="0"/>
                    <w:jc w:val="center"/>
                    <w:rPr>
                      <w:szCs w:val="21"/>
                      <w:lang w:bidi="ar"/>
                    </w:rPr>
                  </w:pPr>
                  <w:r>
                    <w:rPr>
                      <w:rFonts w:hint="eastAsia"/>
                      <w:color w:val="000000"/>
                      <w:sz w:val="21"/>
                      <w:szCs w:val="21"/>
                    </w:rPr>
                    <w:t>2.0898</w:t>
                  </w:r>
                </w:p>
              </w:tc>
              <w:tc>
                <w:tcPr>
                  <w:tcW w:w="536" w:type="pct"/>
                  <w:vAlign w:val="center"/>
                </w:tcPr>
                <w:p w14:paraId="4A892F2B">
                  <w:pPr>
                    <w:pStyle w:val="22"/>
                    <w:autoSpaceDE w:val="0"/>
                    <w:autoSpaceDN w:val="0"/>
                    <w:adjustRightInd w:val="0"/>
                    <w:snapToGrid w:val="0"/>
                    <w:spacing w:after="0"/>
                    <w:ind w:left="0" w:leftChars="0" w:firstLine="0"/>
                    <w:jc w:val="center"/>
                    <w:rPr>
                      <w:szCs w:val="21"/>
                      <w:lang w:bidi="ar"/>
                    </w:rPr>
                  </w:pPr>
                  <w:r>
                    <w:rPr>
                      <w:rFonts w:hint="eastAsia"/>
                      <w:szCs w:val="21"/>
                      <w:lang w:bidi="ar"/>
                    </w:rPr>
                    <w:t>废气处理</w:t>
                  </w:r>
                </w:p>
              </w:tc>
              <w:tc>
                <w:tcPr>
                  <w:tcW w:w="446" w:type="pct"/>
                  <w:vAlign w:val="center"/>
                </w:tcPr>
                <w:p w14:paraId="0BE35014">
                  <w:pPr>
                    <w:pStyle w:val="22"/>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87" w:type="pct"/>
                  <w:vAlign w:val="center"/>
                </w:tcPr>
                <w:p w14:paraId="2A83BF5F">
                  <w:pPr>
                    <w:pStyle w:val="22"/>
                    <w:autoSpaceDE w:val="0"/>
                    <w:autoSpaceDN w:val="0"/>
                    <w:adjustRightInd w:val="0"/>
                    <w:snapToGrid w:val="0"/>
                    <w:spacing w:after="0"/>
                    <w:ind w:left="0" w:leftChars="0" w:firstLine="0"/>
                    <w:jc w:val="center"/>
                    <w:rPr>
                      <w:szCs w:val="21"/>
                      <w:lang w:bidi="ar"/>
                    </w:rPr>
                  </w:pPr>
                  <w:r>
                    <w:rPr>
                      <w:rFonts w:hint="eastAsia"/>
                      <w:szCs w:val="21"/>
                      <w:lang w:bidi="ar"/>
                    </w:rPr>
                    <w:t>水性漆、过滤棉</w:t>
                  </w:r>
                </w:p>
              </w:tc>
              <w:tc>
                <w:tcPr>
                  <w:tcW w:w="451" w:type="pct"/>
                  <w:vAlign w:val="center"/>
                </w:tcPr>
                <w:p w14:paraId="1B516A84">
                  <w:pPr>
                    <w:pStyle w:val="22"/>
                    <w:autoSpaceDE w:val="0"/>
                    <w:autoSpaceDN w:val="0"/>
                    <w:adjustRightInd w:val="0"/>
                    <w:snapToGrid w:val="0"/>
                    <w:spacing w:after="0"/>
                    <w:ind w:left="0" w:leftChars="0" w:firstLine="0"/>
                    <w:jc w:val="center"/>
                    <w:rPr>
                      <w:szCs w:val="21"/>
                      <w:lang w:bidi="ar"/>
                    </w:rPr>
                  </w:pPr>
                  <w:r>
                    <w:rPr>
                      <w:rFonts w:hint="eastAsia"/>
                      <w:szCs w:val="21"/>
                      <w:lang w:bidi="ar"/>
                    </w:rPr>
                    <w:t>挥发性有机物</w:t>
                  </w:r>
                </w:p>
              </w:tc>
              <w:tc>
                <w:tcPr>
                  <w:tcW w:w="272" w:type="pct"/>
                  <w:vAlign w:val="center"/>
                </w:tcPr>
                <w:p w14:paraId="1D701CFA">
                  <w:pPr>
                    <w:pStyle w:val="22"/>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7114602F">
                  <w:pPr>
                    <w:pStyle w:val="22"/>
                    <w:autoSpaceDE w:val="0"/>
                    <w:autoSpaceDN w:val="0"/>
                    <w:adjustRightInd w:val="0"/>
                    <w:snapToGrid w:val="0"/>
                    <w:spacing w:after="0"/>
                    <w:ind w:left="0" w:leftChars="0" w:firstLine="0"/>
                    <w:jc w:val="center"/>
                    <w:rPr>
                      <w:szCs w:val="21"/>
                      <w:lang w:bidi="ar"/>
                    </w:rPr>
                  </w:pPr>
                  <w:r>
                    <w:rPr>
                      <w:rFonts w:hint="eastAsia"/>
                      <w:color w:val="000000" w:themeColor="text1"/>
                      <w:kern w:val="0"/>
                      <w:szCs w:val="21"/>
                      <w:lang w:bidi="ar"/>
                      <w14:textFill>
                        <w14:solidFill>
                          <w14:schemeClr w14:val="tx1"/>
                        </w14:solidFill>
                      </w14:textFill>
                    </w:rPr>
                    <w:t>T/In</w:t>
                  </w:r>
                </w:p>
              </w:tc>
              <w:tc>
                <w:tcPr>
                  <w:tcW w:w="407" w:type="pct"/>
                  <w:vMerge w:val="continue"/>
                  <w:vAlign w:val="center"/>
                </w:tcPr>
                <w:p w14:paraId="35BAE236">
                  <w:pPr>
                    <w:pStyle w:val="22"/>
                    <w:autoSpaceDE w:val="0"/>
                    <w:autoSpaceDN w:val="0"/>
                    <w:adjustRightInd w:val="0"/>
                    <w:snapToGrid w:val="0"/>
                    <w:spacing w:after="0"/>
                    <w:ind w:left="0" w:leftChars="0" w:firstLine="0"/>
                    <w:jc w:val="center"/>
                    <w:rPr>
                      <w:szCs w:val="21"/>
                      <w:lang w:bidi="ar"/>
                    </w:rPr>
                  </w:pPr>
                </w:p>
              </w:tc>
            </w:tr>
            <w:tr w14:paraId="10A7A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106211E4">
                  <w:pPr>
                    <w:pStyle w:val="22"/>
                    <w:autoSpaceDE w:val="0"/>
                    <w:autoSpaceDN w:val="0"/>
                    <w:adjustRightInd w:val="0"/>
                    <w:snapToGrid w:val="0"/>
                    <w:spacing w:after="0"/>
                    <w:ind w:left="0" w:leftChars="0" w:firstLine="0"/>
                    <w:jc w:val="center"/>
                    <w:rPr>
                      <w:color w:val="000000"/>
                      <w:szCs w:val="21"/>
                    </w:rPr>
                  </w:pPr>
                  <w:r>
                    <w:rPr>
                      <w:rFonts w:hint="eastAsia"/>
                      <w:color w:val="000000"/>
                      <w:szCs w:val="21"/>
                    </w:rPr>
                    <w:t>废润滑油及其包装桶</w:t>
                  </w:r>
                </w:p>
              </w:tc>
              <w:tc>
                <w:tcPr>
                  <w:tcW w:w="434" w:type="pct"/>
                  <w:vAlign w:val="center"/>
                </w:tcPr>
                <w:p w14:paraId="1D55192B">
                  <w:pPr>
                    <w:pStyle w:val="22"/>
                    <w:autoSpaceDE w:val="0"/>
                    <w:autoSpaceDN w:val="0"/>
                    <w:adjustRightInd w:val="0"/>
                    <w:snapToGrid w:val="0"/>
                    <w:spacing w:after="0"/>
                    <w:ind w:left="0" w:leftChars="0" w:firstLine="0"/>
                    <w:jc w:val="center"/>
                    <w:rPr>
                      <w:color w:val="000000"/>
                      <w:kern w:val="0"/>
                      <w:szCs w:val="21"/>
                      <w:lang w:bidi="ar"/>
                    </w:rPr>
                  </w:pPr>
                  <w:r>
                    <w:rPr>
                      <w:rFonts w:hint="eastAsia"/>
                      <w:color w:val="000000"/>
                      <w:szCs w:val="21"/>
                    </w:rPr>
                    <w:t>HW08</w:t>
                  </w:r>
                </w:p>
              </w:tc>
              <w:tc>
                <w:tcPr>
                  <w:tcW w:w="812" w:type="pct"/>
                  <w:vAlign w:val="center"/>
                </w:tcPr>
                <w:p w14:paraId="64B34915">
                  <w:pPr>
                    <w:autoSpaceDE w:val="0"/>
                    <w:autoSpaceDN w:val="0"/>
                    <w:adjustRightInd w:val="0"/>
                    <w:snapToGrid w:val="0"/>
                    <w:jc w:val="center"/>
                    <w:rPr>
                      <w:color w:val="000000"/>
                      <w:sz w:val="21"/>
                      <w:szCs w:val="21"/>
                    </w:rPr>
                  </w:pPr>
                  <w:r>
                    <w:rPr>
                      <w:rFonts w:hint="eastAsia"/>
                      <w:color w:val="000000"/>
                      <w:sz w:val="21"/>
                      <w:szCs w:val="21"/>
                    </w:rPr>
                    <w:t>900-217-08</w:t>
                  </w:r>
                </w:p>
                <w:p w14:paraId="4D0788E3">
                  <w:pPr>
                    <w:pStyle w:val="22"/>
                    <w:autoSpaceDE w:val="0"/>
                    <w:autoSpaceDN w:val="0"/>
                    <w:adjustRightInd w:val="0"/>
                    <w:snapToGrid w:val="0"/>
                    <w:spacing w:after="0"/>
                    <w:ind w:left="0" w:leftChars="0" w:firstLine="0"/>
                    <w:jc w:val="center"/>
                    <w:rPr>
                      <w:color w:val="000000"/>
                      <w:kern w:val="0"/>
                      <w:szCs w:val="21"/>
                      <w:lang w:bidi="ar"/>
                    </w:rPr>
                  </w:pPr>
                  <w:r>
                    <w:rPr>
                      <w:rFonts w:hint="eastAsia"/>
                    </w:rPr>
                    <w:t>900-249-08</w:t>
                  </w:r>
                </w:p>
              </w:tc>
              <w:tc>
                <w:tcPr>
                  <w:tcW w:w="447" w:type="pct"/>
                  <w:vAlign w:val="center"/>
                </w:tcPr>
                <w:p w14:paraId="351B59A3">
                  <w:pPr>
                    <w:pStyle w:val="22"/>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0.125</w:t>
                  </w:r>
                </w:p>
              </w:tc>
              <w:tc>
                <w:tcPr>
                  <w:tcW w:w="536" w:type="pct"/>
                  <w:vAlign w:val="center"/>
                </w:tcPr>
                <w:p w14:paraId="754A8EA4">
                  <w:pPr>
                    <w:pStyle w:val="22"/>
                    <w:autoSpaceDE w:val="0"/>
                    <w:autoSpaceDN w:val="0"/>
                    <w:adjustRightInd w:val="0"/>
                    <w:snapToGrid w:val="0"/>
                    <w:spacing w:after="0"/>
                    <w:ind w:left="0" w:leftChars="0" w:firstLine="0"/>
                    <w:jc w:val="center"/>
                    <w:rPr>
                      <w:szCs w:val="21"/>
                      <w:lang w:bidi="ar"/>
                    </w:rPr>
                  </w:pPr>
                  <w:r>
                    <w:rPr>
                      <w:rFonts w:hint="eastAsia"/>
                      <w:szCs w:val="21"/>
                      <w:lang w:bidi="ar"/>
                    </w:rPr>
                    <w:t>设备保养</w:t>
                  </w:r>
                </w:p>
              </w:tc>
              <w:tc>
                <w:tcPr>
                  <w:tcW w:w="446" w:type="pct"/>
                  <w:vAlign w:val="center"/>
                </w:tcPr>
                <w:p w14:paraId="484F0DE8">
                  <w:pPr>
                    <w:pStyle w:val="22"/>
                    <w:autoSpaceDE w:val="0"/>
                    <w:autoSpaceDN w:val="0"/>
                    <w:adjustRightInd w:val="0"/>
                    <w:snapToGrid w:val="0"/>
                    <w:spacing w:after="0"/>
                    <w:ind w:left="0" w:leftChars="0" w:firstLine="0"/>
                    <w:jc w:val="center"/>
                    <w:rPr>
                      <w:szCs w:val="21"/>
                      <w:lang w:bidi="ar"/>
                    </w:rPr>
                  </w:pPr>
                  <w:r>
                    <w:rPr>
                      <w:rFonts w:hint="eastAsia"/>
                      <w:szCs w:val="21"/>
                      <w:lang w:bidi="ar"/>
                    </w:rPr>
                    <w:t>液态、固态</w:t>
                  </w:r>
                </w:p>
              </w:tc>
              <w:tc>
                <w:tcPr>
                  <w:tcW w:w="487" w:type="pct"/>
                  <w:vAlign w:val="center"/>
                </w:tcPr>
                <w:p w14:paraId="1BD55F84">
                  <w:pPr>
                    <w:pStyle w:val="22"/>
                    <w:autoSpaceDE w:val="0"/>
                    <w:autoSpaceDN w:val="0"/>
                    <w:adjustRightInd w:val="0"/>
                    <w:snapToGrid w:val="0"/>
                    <w:spacing w:after="0"/>
                    <w:ind w:left="0" w:leftChars="0" w:firstLine="0"/>
                    <w:jc w:val="center"/>
                    <w:rPr>
                      <w:szCs w:val="21"/>
                      <w:lang w:bidi="ar"/>
                    </w:rPr>
                  </w:pPr>
                  <w:r>
                    <w:rPr>
                      <w:rFonts w:hint="eastAsia"/>
                      <w:szCs w:val="21"/>
                    </w:rPr>
                    <w:t>废矿物油</w:t>
                  </w:r>
                </w:p>
              </w:tc>
              <w:tc>
                <w:tcPr>
                  <w:tcW w:w="451" w:type="pct"/>
                  <w:vAlign w:val="center"/>
                </w:tcPr>
                <w:p w14:paraId="63BE0372">
                  <w:pPr>
                    <w:pStyle w:val="22"/>
                    <w:autoSpaceDE w:val="0"/>
                    <w:autoSpaceDN w:val="0"/>
                    <w:adjustRightInd w:val="0"/>
                    <w:snapToGrid w:val="0"/>
                    <w:spacing w:after="0"/>
                    <w:ind w:left="0" w:leftChars="0" w:firstLine="0"/>
                    <w:jc w:val="center"/>
                    <w:rPr>
                      <w:szCs w:val="21"/>
                      <w:lang w:bidi="ar"/>
                    </w:rPr>
                  </w:pPr>
                  <w:r>
                    <w:rPr>
                      <w:rFonts w:hint="eastAsia"/>
                      <w:szCs w:val="21"/>
                    </w:rPr>
                    <w:t>废矿物油</w:t>
                  </w:r>
                </w:p>
              </w:tc>
              <w:tc>
                <w:tcPr>
                  <w:tcW w:w="272" w:type="pct"/>
                  <w:vAlign w:val="center"/>
                </w:tcPr>
                <w:p w14:paraId="0B972AF9">
                  <w:pPr>
                    <w:pStyle w:val="22"/>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41583DEA">
                  <w:pPr>
                    <w:pStyle w:val="22"/>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T/I</w:t>
                  </w:r>
                </w:p>
              </w:tc>
              <w:tc>
                <w:tcPr>
                  <w:tcW w:w="407" w:type="pct"/>
                  <w:vMerge w:val="continue"/>
                  <w:vAlign w:val="center"/>
                </w:tcPr>
                <w:p w14:paraId="714C2155">
                  <w:pPr>
                    <w:pStyle w:val="22"/>
                    <w:autoSpaceDE w:val="0"/>
                    <w:autoSpaceDN w:val="0"/>
                    <w:adjustRightInd w:val="0"/>
                    <w:snapToGrid w:val="0"/>
                    <w:spacing w:after="0"/>
                    <w:ind w:left="0" w:leftChars="0" w:firstLine="0"/>
                    <w:jc w:val="center"/>
                    <w:rPr>
                      <w:szCs w:val="21"/>
                      <w:lang w:bidi="ar"/>
                    </w:rPr>
                  </w:pPr>
                </w:p>
              </w:tc>
            </w:tr>
            <w:tr w14:paraId="63B11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0AA0CBBA">
                  <w:pPr>
                    <w:pStyle w:val="22"/>
                    <w:autoSpaceDE w:val="0"/>
                    <w:autoSpaceDN w:val="0"/>
                    <w:adjustRightInd w:val="0"/>
                    <w:snapToGrid w:val="0"/>
                    <w:spacing w:after="0"/>
                    <w:ind w:left="0" w:leftChars="0" w:firstLine="0"/>
                    <w:jc w:val="center"/>
                    <w:rPr>
                      <w:color w:val="000000"/>
                      <w:szCs w:val="21"/>
                    </w:rPr>
                  </w:pPr>
                  <w:r>
                    <w:rPr>
                      <w:rFonts w:hint="eastAsia"/>
                      <w:color w:val="000000"/>
                      <w:szCs w:val="21"/>
                    </w:rPr>
                    <w:t>含油抹布及手套</w:t>
                  </w:r>
                </w:p>
              </w:tc>
              <w:tc>
                <w:tcPr>
                  <w:tcW w:w="434" w:type="pct"/>
                  <w:vAlign w:val="center"/>
                </w:tcPr>
                <w:p w14:paraId="55B44B14">
                  <w:pPr>
                    <w:pStyle w:val="22"/>
                    <w:autoSpaceDE w:val="0"/>
                    <w:autoSpaceDN w:val="0"/>
                    <w:adjustRightInd w:val="0"/>
                    <w:snapToGrid w:val="0"/>
                    <w:spacing w:after="0"/>
                    <w:ind w:left="0" w:leftChars="0" w:firstLine="0"/>
                    <w:jc w:val="center"/>
                    <w:rPr>
                      <w:color w:val="000000"/>
                      <w:kern w:val="0"/>
                      <w:szCs w:val="21"/>
                      <w:lang w:bidi="ar"/>
                    </w:rPr>
                  </w:pPr>
                  <w:r>
                    <w:rPr>
                      <w:rFonts w:hint="eastAsia"/>
                      <w:color w:val="000000" w:themeColor="text1"/>
                      <w:kern w:val="0"/>
                      <w:szCs w:val="21"/>
                      <w:lang w:bidi="ar"/>
                      <w14:textFill>
                        <w14:solidFill>
                          <w14:schemeClr w14:val="tx1"/>
                        </w14:solidFill>
                      </w14:textFill>
                    </w:rPr>
                    <w:t>HW49</w:t>
                  </w:r>
                </w:p>
              </w:tc>
              <w:tc>
                <w:tcPr>
                  <w:tcW w:w="812" w:type="pct"/>
                  <w:vAlign w:val="center"/>
                </w:tcPr>
                <w:p w14:paraId="00B11410">
                  <w:pPr>
                    <w:pStyle w:val="22"/>
                    <w:autoSpaceDE w:val="0"/>
                    <w:autoSpaceDN w:val="0"/>
                    <w:adjustRightInd w:val="0"/>
                    <w:snapToGrid w:val="0"/>
                    <w:spacing w:after="0"/>
                    <w:ind w:left="0" w:leftChars="0" w:firstLine="0"/>
                    <w:jc w:val="center"/>
                    <w:rPr>
                      <w:color w:val="000000"/>
                      <w:kern w:val="0"/>
                      <w:szCs w:val="21"/>
                      <w:lang w:bidi="ar"/>
                    </w:rPr>
                  </w:pPr>
                  <w:r>
                    <w:rPr>
                      <w:rFonts w:hint="eastAsia"/>
                      <w:color w:val="000000"/>
                      <w:szCs w:val="21"/>
                    </w:rPr>
                    <w:t>900-041-49</w:t>
                  </w:r>
                </w:p>
              </w:tc>
              <w:tc>
                <w:tcPr>
                  <w:tcW w:w="447" w:type="pct"/>
                  <w:vAlign w:val="center"/>
                </w:tcPr>
                <w:p w14:paraId="245B5C77">
                  <w:pPr>
                    <w:pStyle w:val="22"/>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0.05</w:t>
                  </w:r>
                </w:p>
              </w:tc>
              <w:tc>
                <w:tcPr>
                  <w:tcW w:w="536" w:type="pct"/>
                  <w:vAlign w:val="center"/>
                </w:tcPr>
                <w:p w14:paraId="5FF712FA">
                  <w:pPr>
                    <w:pStyle w:val="22"/>
                    <w:autoSpaceDE w:val="0"/>
                    <w:autoSpaceDN w:val="0"/>
                    <w:adjustRightInd w:val="0"/>
                    <w:snapToGrid w:val="0"/>
                    <w:spacing w:after="0"/>
                    <w:ind w:left="0" w:leftChars="0" w:firstLine="0"/>
                    <w:jc w:val="center"/>
                    <w:rPr>
                      <w:szCs w:val="21"/>
                      <w:lang w:bidi="ar"/>
                    </w:rPr>
                  </w:pPr>
                  <w:r>
                    <w:rPr>
                      <w:rFonts w:hint="eastAsia"/>
                      <w:szCs w:val="21"/>
                      <w:lang w:bidi="ar"/>
                    </w:rPr>
                    <w:t>设备保养</w:t>
                  </w:r>
                </w:p>
              </w:tc>
              <w:tc>
                <w:tcPr>
                  <w:tcW w:w="446" w:type="pct"/>
                  <w:vAlign w:val="center"/>
                </w:tcPr>
                <w:p w14:paraId="249FECAE">
                  <w:pPr>
                    <w:pStyle w:val="22"/>
                    <w:autoSpaceDE w:val="0"/>
                    <w:autoSpaceDN w:val="0"/>
                    <w:adjustRightInd w:val="0"/>
                    <w:snapToGrid w:val="0"/>
                    <w:spacing w:after="0"/>
                    <w:ind w:left="0" w:leftChars="0" w:firstLine="0"/>
                    <w:jc w:val="center"/>
                    <w:rPr>
                      <w:szCs w:val="21"/>
                      <w:lang w:bidi="ar"/>
                    </w:rPr>
                  </w:pPr>
                  <w:r>
                    <w:rPr>
                      <w:rFonts w:hint="eastAsia"/>
                      <w:szCs w:val="21"/>
                      <w:lang w:bidi="ar"/>
                    </w:rPr>
                    <w:t>固态</w:t>
                  </w:r>
                </w:p>
              </w:tc>
              <w:tc>
                <w:tcPr>
                  <w:tcW w:w="487" w:type="pct"/>
                  <w:vAlign w:val="center"/>
                </w:tcPr>
                <w:p w14:paraId="2647A7EE">
                  <w:pPr>
                    <w:pStyle w:val="22"/>
                    <w:autoSpaceDE w:val="0"/>
                    <w:autoSpaceDN w:val="0"/>
                    <w:adjustRightInd w:val="0"/>
                    <w:snapToGrid w:val="0"/>
                    <w:spacing w:after="0"/>
                    <w:ind w:left="0" w:leftChars="0" w:firstLine="0"/>
                    <w:jc w:val="center"/>
                    <w:rPr>
                      <w:szCs w:val="21"/>
                      <w:lang w:bidi="ar"/>
                    </w:rPr>
                  </w:pPr>
                  <w:r>
                    <w:rPr>
                      <w:rFonts w:hint="eastAsia"/>
                      <w:szCs w:val="21"/>
                    </w:rPr>
                    <w:t>废矿物油、抹布、手套</w:t>
                  </w:r>
                </w:p>
              </w:tc>
              <w:tc>
                <w:tcPr>
                  <w:tcW w:w="451" w:type="pct"/>
                  <w:vAlign w:val="center"/>
                </w:tcPr>
                <w:p w14:paraId="26020B56">
                  <w:pPr>
                    <w:pStyle w:val="22"/>
                    <w:autoSpaceDE w:val="0"/>
                    <w:autoSpaceDN w:val="0"/>
                    <w:adjustRightInd w:val="0"/>
                    <w:snapToGrid w:val="0"/>
                    <w:spacing w:after="0"/>
                    <w:ind w:left="0" w:leftChars="0" w:firstLine="0"/>
                    <w:jc w:val="center"/>
                    <w:rPr>
                      <w:szCs w:val="21"/>
                      <w:lang w:bidi="ar"/>
                    </w:rPr>
                  </w:pPr>
                  <w:r>
                    <w:rPr>
                      <w:rFonts w:hint="eastAsia"/>
                      <w:szCs w:val="21"/>
                    </w:rPr>
                    <w:t>废矿物油</w:t>
                  </w:r>
                </w:p>
              </w:tc>
              <w:tc>
                <w:tcPr>
                  <w:tcW w:w="272" w:type="pct"/>
                  <w:vAlign w:val="center"/>
                </w:tcPr>
                <w:p w14:paraId="3779ACB9">
                  <w:pPr>
                    <w:pStyle w:val="22"/>
                    <w:autoSpaceDE w:val="0"/>
                    <w:autoSpaceDN w:val="0"/>
                    <w:adjustRightInd w:val="0"/>
                    <w:snapToGrid w:val="0"/>
                    <w:spacing w:after="0"/>
                    <w:ind w:left="0" w:leftChars="0" w:firstLine="0"/>
                    <w:jc w:val="center"/>
                    <w:rPr>
                      <w:szCs w:val="21"/>
                      <w:lang w:bidi="ar"/>
                    </w:rPr>
                  </w:pPr>
                  <w:r>
                    <w:rPr>
                      <w:rFonts w:hint="eastAsia"/>
                      <w:szCs w:val="21"/>
                      <w:lang w:bidi="ar"/>
                    </w:rPr>
                    <w:t>月</w:t>
                  </w:r>
                </w:p>
              </w:tc>
              <w:tc>
                <w:tcPr>
                  <w:tcW w:w="273" w:type="pct"/>
                  <w:vAlign w:val="center"/>
                </w:tcPr>
                <w:p w14:paraId="51E3FDD0">
                  <w:pPr>
                    <w:pStyle w:val="22"/>
                    <w:autoSpaceDE w:val="0"/>
                    <w:autoSpaceDN w:val="0"/>
                    <w:adjustRightInd w:val="0"/>
                    <w:snapToGrid w:val="0"/>
                    <w:spacing w:after="0"/>
                    <w:ind w:left="0" w:leftChars="0" w:firstLine="0"/>
                    <w:jc w:val="center"/>
                    <w:rPr>
                      <w:szCs w:val="21"/>
                    </w:rPr>
                  </w:pPr>
                  <w:r>
                    <w:rPr>
                      <w:rFonts w:hint="eastAsia"/>
                      <w:color w:val="000000" w:themeColor="text1"/>
                      <w:kern w:val="0"/>
                      <w:szCs w:val="21"/>
                      <w:lang w:bidi="ar"/>
                      <w14:textFill>
                        <w14:solidFill>
                          <w14:schemeClr w14:val="tx1"/>
                        </w14:solidFill>
                      </w14:textFill>
                    </w:rPr>
                    <w:t>T/In</w:t>
                  </w:r>
                </w:p>
              </w:tc>
              <w:tc>
                <w:tcPr>
                  <w:tcW w:w="407" w:type="pct"/>
                  <w:vMerge w:val="continue"/>
                  <w:vAlign w:val="center"/>
                </w:tcPr>
                <w:p w14:paraId="328CEEC7">
                  <w:pPr>
                    <w:pStyle w:val="22"/>
                    <w:autoSpaceDE w:val="0"/>
                    <w:autoSpaceDN w:val="0"/>
                    <w:adjustRightInd w:val="0"/>
                    <w:snapToGrid w:val="0"/>
                    <w:spacing w:after="0"/>
                    <w:ind w:left="0" w:leftChars="0" w:firstLine="0"/>
                    <w:jc w:val="center"/>
                    <w:rPr>
                      <w:szCs w:val="21"/>
                      <w:lang w:bidi="ar"/>
                    </w:rPr>
                  </w:pPr>
                </w:p>
              </w:tc>
            </w:tr>
          </w:tbl>
          <w:p w14:paraId="5090ECA0">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2、固废管理要求</w:t>
            </w:r>
          </w:p>
          <w:p w14:paraId="62D296A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Times New Roman" w:hAnsi="Times New Roman"/>
                <w:kern w:val="2"/>
                <w:szCs w:val="24"/>
              </w:rPr>
              <w:t>本次迁建后对一般固废环境管理要求提出如下：</w:t>
            </w:r>
          </w:p>
          <w:p w14:paraId="43E99CE4">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rPr>
              <w:t>企业应严格按照《</w:t>
            </w:r>
            <w:r>
              <w:rPr>
                <w:rFonts w:hint="eastAsia" w:ascii="Times New Roman" w:hAnsi="Times New Roman"/>
                <w:kern w:val="2"/>
                <w:szCs w:val="24"/>
              </w:rPr>
              <w:t>一</w:t>
            </w:r>
            <w:r>
              <w:rPr>
                <w:rFonts w:ascii="Times New Roman" w:hAnsi="Times New Roman"/>
                <w:kern w:val="2"/>
                <w:szCs w:val="24"/>
              </w:rPr>
              <w:t>般工业固体废物贮存和填埋污染控制标准》</w:t>
            </w:r>
            <w:r>
              <w:rPr>
                <w:rFonts w:hint="eastAsia" w:ascii="Times New Roman" w:hAnsi="Times New Roman"/>
                <w:kern w:val="2"/>
                <w:szCs w:val="24"/>
              </w:rPr>
              <w:t>（</w:t>
            </w:r>
            <w:r>
              <w:rPr>
                <w:rFonts w:ascii="Times New Roman" w:hAnsi="Times New Roman"/>
                <w:kern w:val="2"/>
                <w:szCs w:val="24"/>
              </w:rPr>
              <w:t>GB18599-2020</w:t>
            </w:r>
            <w:r>
              <w:rPr>
                <w:rFonts w:hint="eastAsia" w:ascii="Times New Roman" w:hAnsi="Times New Roman"/>
                <w:kern w:val="2"/>
                <w:szCs w:val="24"/>
              </w:rPr>
              <w:t>)</w:t>
            </w:r>
            <w:r>
              <w:rPr>
                <w:rFonts w:ascii="Times New Roman" w:hAnsi="Times New Roman"/>
                <w:kern w:val="2"/>
                <w:szCs w:val="24"/>
              </w:rPr>
              <w:t>的有关规</w:t>
            </w:r>
            <w:r>
              <w:rPr>
                <w:rFonts w:hint="eastAsia" w:ascii="Times New Roman" w:hAnsi="Times New Roman"/>
                <w:kern w:val="2"/>
                <w:szCs w:val="24"/>
              </w:rPr>
              <w:t>定，</w:t>
            </w:r>
            <w:r>
              <w:rPr>
                <w:rFonts w:ascii="Times New Roman" w:hAnsi="Times New Roman"/>
                <w:kern w:val="2"/>
                <w:szCs w:val="24"/>
              </w:rPr>
              <w:t>建设必要的固体废物分类收集和临时贮存设施，具体要求如下</w:t>
            </w:r>
            <w:r>
              <w:rPr>
                <w:rFonts w:hint="eastAsia" w:ascii="Times New Roman" w:hAnsi="Times New Roman"/>
                <w:kern w:val="2"/>
                <w:szCs w:val="24"/>
              </w:rPr>
              <w:t>：</w:t>
            </w:r>
          </w:p>
          <w:p w14:paraId="7434C113">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Cambria Math" w:hAnsi="Cambria Math" w:cs="Cambria Math"/>
                <w:kern w:val="2"/>
                <w:szCs w:val="24"/>
              </w:rPr>
              <w:t>（1）</w:t>
            </w:r>
            <w:r>
              <w:rPr>
                <w:rFonts w:ascii="Times New Roman" w:hAnsi="Times New Roman"/>
                <w:kern w:val="2"/>
                <w:szCs w:val="24"/>
              </w:rPr>
              <w:t>一般工业固体废物应分类收集、储存，不能混存，禁止危险废物及生活垃圾混入</w:t>
            </w:r>
            <w:r>
              <w:rPr>
                <w:rFonts w:hint="eastAsia" w:ascii="Times New Roman" w:hAnsi="Times New Roman"/>
                <w:kern w:val="2"/>
                <w:szCs w:val="24"/>
              </w:rPr>
              <w:t>。</w:t>
            </w:r>
          </w:p>
          <w:p w14:paraId="26DFE579">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Cambria Math" w:hAnsi="Cambria Math" w:cs="Cambria Math"/>
                <w:kern w:val="2"/>
                <w:szCs w:val="24"/>
              </w:rPr>
              <w:t>（2）</w:t>
            </w:r>
            <w:r>
              <w:rPr>
                <w:rFonts w:ascii="Times New Roman" w:hAnsi="Times New Roman"/>
                <w:kern w:val="2"/>
                <w:szCs w:val="24"/>
              </w:rPr>
              <w:t>一般工业固体废物临时储存地点必须建有天棚，不允许</w:t>
            </w:r>
            <w:r>
              <w:rPr>
                <w:rFonts w:hint="eastAsia" w:ascii="Times New Roman" w:hAnsi="Times New Roman"/>
                <w:kern w:val="2"/>
                <w:szCs w:val="24"/>
              </w:rPr>
              <w:t>露</w:t>
            </w:r>
            <w:r>
              <w:rPr>
                <w:rFonts w:ascii="Times New Roman" w:hAnsi="Times New Roman"/>
                <w:kern w:val="2"/>
                <w:szCs w:val="24"/>
              </w:rPr>
              <w:t>天堆放，以防雨水冲刷，雨</w:t>
            </w:r>
            <w:r>
              <w:rPr>
                <w:rFonts w:hint="eastAsia" w:ascii="Times New Roman" w:hAnsi="Times New Roman"/>
                <w:kern w:val="2"/>
                <w:szCs w:val="24"/>
              </w:rPr>
              <w:t>水通</w:t>
            </w:r>
            <w:r>
              <w:rPr>
                <w:rFonts w:ascii="Times New Roman" w:hAnsi="Times New Roman"/>
                <w:kern w:val="2"/>
                <w:szCs w:val="24"/>
              </w:rPr>
              <w:t>过场地四周导流渠流向雨水排放管</w:t>
            </w:r>
            <w:r>
              <w:rPr>
                <w:rFonts w:hint="eastAsia" w:ascii="Times New Roman" w:hAnsi="Times New Roman"/>
                <w:kern w:val="2"/>
                <w:szCs w:val="24"/>
              </w:rPr>
              <w:t>；</w:t>
            </w:r>
            <w:r>
              <w:rPr>
                <w:rFonts w:ascii="Times New Roman" w:hAnsi="Times New Roman"/>
                <w:kern w:val="2"/>
                <w:szCs w:val="24"/>
              </w:rPr>
              <w:t>临时堆放场地为水泥铺设地面，以防</w:t>
            </w:r>
            <w:r>
              <w:rPr>
                <w:rFonts w:hint="eastAsia" w:ascii="Times New Roman" w:hAnsi="Times New Roman"/>
                <w:kern w:val="2"/>
                <w:szCs w:val="24"/>
              </w:rPr>
              <w:t>渗</w:t>
            </w:r>
            <w:r>
              <w:rPr>
                <w:rFonts w:ascii="Times New Roman" w:hAnsi="Times New Roman"/>
                <w:kern w:val="2"/>
                <w:szCs w:val="24"/>
              </w:rPr>
              <w:t>漏</w:t>
            </w:r>
            <w:r>
              <w:rPr>
                <w:rFonts w:hint="eastAsia" w:ascii="Times New Roman" w:hAnsi="Times New Roman"/>
                <w:kern w:val="2"/>
                <w:szCs w:val="24"/>
              </w:rPr>
              <w:t>。</w:t>
            </w:r>
          </w:p>
          <w:p w14:paraId="76731843">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Cambria Math" w:hAnsi="Cambria Math" w:cs="Cambria Math"/>
                <w:kern w:val="2"/>
                <w:szCs w:val="24"/>
              </w:rPr>
              <w:t>（3）</w:t>
            </w:r>
            <w:r>
              <w:rPr>
                <w:rFonts w:ascii="Times New Roman" w:hAnsi="Times New Roman"/>
                <w:kern w:val="2"/>
                <w:szCs w:val="24"/>
              </w:rPr>
              <w:t>储存</w:t>
            </w:r>
            <w:r>
              <w:rPr>
                <w:rFonts w:hint="eastAsia" w:ascii="Times New Roman" w:hAnsi="Times New Roman"/>
                <w:kern w:val="2"/>
                <w:szCs w:val="24"/>
              </w:rPr>
              <w:t>场所</w:t>
            </w:r>
            <w:r>
              <w:rPr>
                <w:rFonts w:ascii="Times New Roman" w:hAnsi="Times New Roman"/>
                <w:kern w:val="2"/>
                <w:szCs w:val="24"/>
              </w:rPr>
              <w:t>应加强监督管理，</w:t>
            </w:r>
            <w:r>
              <w:rPr>
                <w:rFonts w:hint="eastAsia" w:ascii="Times New Roman" w:hAnsi="Times New Roman"/>
                <w:kern w:val="2"/>
                <w:szCs w:val="24"/>
              </w:rPr>
              <w:t>一般固废暂存间</w:t>
            </w:r>
            <w:r>
              <w:rPr>
                <w:rFonts w:ascii="Times New Roman" w:hAnsi="Times New Roman"/>
                <w:kern w:val="2"/>
                <w:szCs w:val="24"/>
              </w:rPr>
              <w:t>按</w:t>
            </w:r>
            <w:r>
              <w:rPr>
                <w:rFonts w:hint="eastAsia" w:ascii="Times New Roman" w:hAnsi="Times New Roman"/>
                <w:kern w:val="2"/>
                <w:szCs w:val="24"/>
              </w:rPr>
              <w:t>《环境保护图形标识-固体废物贮存（处置）厂》（</w:t>
            </w:r>
            <w:r>
              <w:rPr>
                <w:rFonts w:ascii="Times New Roman" w:hAnsi="Times New Roman"/>
                <w:kern w:val="2"/>
                <w:szCs w:val="24"/>
              </w:rPr>
              <w:t>GB15562.2</w:t>
            </w:r>
            <w:r>
              <w:rPr>
                <w:rFonts w:hint="eastAsia" w:ascii="Times New Roman" w:hAnsi="Times New Roman"/>
                <w:kern w:val="2"/>
                <w:szCs w:val="24"/>
              </w:rPr>
              <w:t>-1995）要求</w:t>
            </w:r>
            <w:r>
              <w:rPr>
                <w:rFonts w:ascii="Times New Roman" w:hAnsi="Times New Roman"/>
                <w:kern w:val="2"/>
                <w:szCs w:val="24"/>
              </w:rPr>
              <w:t>设置环境保护图形标志</w:t>
            </w:r>
            <w:r>
              <w:rPr>
                <w:rFonts w:hint="eastAsia" w:ascii="Times New Roman" w:hAnsi="Times New Roman"/>
                <w:kern w:val="2"/>
                <w:szCs w:val="24"/>
              </w:rPr>
              <w:t>。</w:t>
            </w:r>
          </w:p>
          <w:p w14:paraId="3876C338">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Cambria Math" w:hAnsi="Cambria Math" w:cs="Cambria Math"/>
                <w:kern w:val="2"/>
                <w:szCs w:val="24"/>
              </w:rPr>
              <w:t>（4）</w:t>
            </w:r>
            <w:r>
              <w:rPr>
                <w:rFonts w:hint="eastAsia" w:ascii="Times New Roman" w:hAnsi="Times New Roman"/>
                <w:kern w:val="2"/>
                <w:szCs w:val="24"/>
              </w:rPr>
              <w:t>建</w:t>
            </w:r>
            <w:r>
              <w:rPr>
                <w:rFonts w:ascii="Times New Roman" w:hAnsi="Times New Roman"/>
                <w:kern w:val="2"/>
                <w:szCs w:val="24"/>
              </w:rPr>
              <w:t>立档</w:t>
            </w:r>
            <w:r>
              <w:rPr>
                <w:rFonts w:hint="eastAsia" w:ascii="Times New Roman" w:hAnsi="Times New Roman"/>
                <w:kern w:val="2"/>
                <w:szCs w:val="24"/>
              </w:rPr>
              <w:t>案</w:t>
            </w:r>
            <w:r>
              <w:rPr>
                <w:rFonts w:ascii="Times New Roman" w:hAnsi="Times New Roman"/>
                <w:kern w:val="2"/>
                <w:szCs w:val="24"/>
              </w:rPr>
              <w:t>制度，将临时储存的一般工业固体废物的种类、数量和外运的一般工业固体废物的种类、数量详细记录在案，长期保存，供随时查阅</w:t>
            </w:r>
            <w:r>
              <w:rPr>
                <w:rFonts w:hint="eastAsia" w:ascii="Times New Roman" w:hAnsi="Times New Roman"/>
                <w:kern w:val="2"/>
                <w:szCs w:val="24"/>
              </w:rPr>
              <w:t>。</w:t>
            </w:r>
          </w:p>
          <w:p w14:paraId="3F2BFF0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kern w:val="2"/>
                <w:szCs w:val="24"/>
              </w:rPr>
            </w:pPr>
            <w:r>
              <w:rPr>
                <w:rFonts w:hint="eastAsia" w:ascii="Times New Roman" w:hAnsi="Times New Roman"/>
                <w:kern w:val="2"/>
                <w:szCs w:val="24"/>
              </w:rPr>
              <w:t>本次迁建后对危险废物环境管理要求提出如下：</w:t>
            </w:r>
          </w:p>
          <w:p w14:paraId="15E2A408">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ascii="Times New Roman" w:hAnsi="Times New Roman"/>
                <w:kern w:val="2"/>
                <w:szCs w:val="24"/>
              </w:rPr>
              <w:t>本评价</w:t>
            </w:r>
            <w:r>
              <w:rPr>
                <w:rFonts w:hint="eastAsia" w:ascii="Times New Roman" w:hAnsi="Times New Roman"/>
                <w:kern w:val="2"/>
                <w:szCs w:val="24"/>
              </w:rPr>
              <w:t>要</w:t>
            </w:r>
            <w:r>
              <w:rPr>
                <w:rFonts w:ascii="Times New Roman" w:hAnsi="Times New Roman"/>
                <w:kern w:val="2"/>
                <w:szCs w:val="24"/>
              </w:rPr>
              <w:t>求企业按照国家有关规定制定危险</w:t>
            </w:r>
            <w:r>
              <w:rPr>
                <w:rFonts w:ascii="Times New Roman" w:hAnsi="Times New Roman"/>
                <w:color w:val="000000"/>
                <w:kern w:val="2"/>
                <w:szCs w:val="24"/>
              </w:rPr>
              <w:t>废物管理计划，向当地生态环境部门申报危险废物种类、产生量、流向、暂存及处置等有关资料。</w:t>
            </w:r>
          </w:p>
          <w:p w14:paraId="32BB7224">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w:t>
            </w:r>
            <w:r>
              <w:rPr>
                <w:rFonts w:ascii="Times New Roman" w:hAnsi="Times New Roman"/>
                <w:color w:val="000000"/>
                <w:kern w:val="2"/>
                <w:szCs w:val="24"/>
              </w:rPr>
              <w:t>贮存场所</w:t>
            </w:r>
            <w:r>
              <w:rPr>
                <w:rFonts w:hint="eastAsia" w:cs="宋体"/>
                <w:color w:val="000000"/>
                <w:kern w:val="2"/>
                <w:szCs w:val="24"/>
              </w:rPr>
              <w:t>(</w:t>
            </w:r>
            <w:r>
              <w:rPr>
                <w:rFonts w:ascii="Times New Roman" w:hAnsi="Times New Roman"/>
                <w:color w:val="000000"/>
                <w:kern w:val="2"/>
                <w:szCs w:val="24"/>
              </w:rPr>
              <w:t>设施</w:t>
            </w:r>
            <w:r>
              <w:rPr>
                <w:rFonts w:hint="eastAsia" w:cs="宋体"/>
                <w:color w:val="000000"/>
                <w:kern w:val="2"/>
                <w:szCs w:val="24"/>
              </w:rPr>
              <w:t>)</w:t>
            </w:r>
            <w:r>
              <w:rPr>
                <w:rFonts w:ascii="Times New Roman" w:hAnsi="Times New Roman"/>
                <w:color w:val="000000"/>
                <w:kern w:val="2"/>
                <w:szCs w:val="24"/>
              </w:rPr>
              <w:t>要求及环境影响分析</w:t>
            </w:r>
            <w:r>
              <w:rPr>
                <w:rFonts w:hint="eastAsia" w:ascii="Times New Roman" w:hAnsi="Times New Roman"/>
                <w:color w:val="000000"/>
                <w:kern w:val="2"/>
                <w:szCs w:val="24"/>
              </w:rPr>
              <w:t>。</w:t>
            </w:r>
            <w:r>
              <w:rPr>
                <w:rFonts w:ascii="Times New Roman" w:hAnsi="Times New Roman"/>
                <w:color w:val="000000"/>
                <w:kern w:val="2"/>
                <w:szCs w:val="24"/>
              </w:rPr>
              <w:t>企业应按照《危险</w:t>
            </w:r>
            <w:r>
              <w:rPr>
                <w:rFonts w:hint="eastAsia" w:ascii="Times New Roman" w:hAnsi="Times New Roman"/>
                <w:color w:val="000000"/>
                <w:kern w:val="2"/>
                <w:szCs w:val="24"/>
              </w:rPr>
              <w:t>废</w:t>
            </w:r>
            <w:r>
              <w:rPr>
                <w:rFonts w:ascii="Times New Roman" w:hAnsi="Times New Roman"/>
                <w:color w:val="000000"/>
                <w:kern w:val="2"/>
                <w:szCs w:val="24"/>
              </w:rPr>
              <w:t>物贮存污染控制标准》</w:t>
            </w:r>
            <w:r>
              <w:rPr>
                <w:rFonts w:hint="eastAsia" w:cs="宋体"/>
                <w:color w:val="000000"/>
                <w:kern w:val="2"/>
                <w:szCs w:val="24"/>
              </w:rPr>
              <w:t>(</w:t>
            </w:r>
            <w:r>
              <w:rPr>
                <w:rFonts w:ascii="Times New Roman" w:hAnsi="Times New Roman"/>
                <w:color w:val="000000"/>
                <w:kern w:val="2"/>
                <w:szCs w:val="24"/>
              </w:rPr>
              <w:t>GB18597-2023</w:t>
            </w:r>
            <w:r>
              <w:rPr>
                <w:rFonts w:hint="eastAsia" w:cs="宋体"/>
                <w:color w:val="000000"/>
                <w:kern w:val="2"/>
                <w:szCs w:val="24"/>
              </w:rPr>
              <w:t>)</w:t>
            </w:r>
            <w:r>
              <w:rPr>
                <w:rFonts w:ascii="Times New Roman" w:hAnsi="Times New Roman"/>
                <w:color w:val="000000"/>
                <w:kern w:val="2"/>
                <w:szCs w:val="24"/>
              </w:rPr>
              <w:t>设置危废暂存间，危废暂存间做好防腐、防渗、防雨</w:t>
            </w:r>
            <w:r>
              <w:rPr>
                <w:rFonts w:hint="eastAsia" w:ascii="Times New Roman" w:hAnsi="Times New Roman"/>
                <w:color w:val="000000"/>
                <w:kern w:val="2"/>
                <w:szCs w:val="24"/>
              </w:rPr>
              <w:t>等</w:t>
            </w:r>
            <w:r>
              <w:rPr>
                <w:rFonts w:hint="eastAsia" w:cs="宋体"/>
                <w:color w:val="000000"/>
                <w:kern w:val="2"/>
                <w:szCs w:val="24"/>
              </w:rPr>
              <w:t>“七</w:t>
            </w:r>
            <w:r>
              <w:rPr>
                <w:rFonts w:ascii="Times New Roman" w:hAnsi="Times New Roman"/>
                <w:color w:val="000000"/>
                <w:kern w:val="2"/>
                <w:szCs w:val="24"/>
              </w:rPr>
              <w:t>防</w:t>
            </w:r>
            <w:r>
              <w:rPr>
                <w:rFonts w:hint="eastAsia" w:cs="宋体"/>
                <w:color w:val="000000"/>
                <w:kern w:val="2"/>
                <w:szCs w:val="24"/>
              </w:rPr>
              <w:t>”</w:t>
            </w:r>
            <w:r>
              <w:rPr>
                <w:rFonts w:ascii="Times New Roman" w:hAnsi="Times New Roman"/>
                <w:color w:val="000000"/>
                <w:kern w:val="2"/>
                <w:szCs w:val="24"/>
              </w:rPr>
              <w:t>措施，防止二次污染</w:t>
            </w:r>
            <w:r>
              <w:rPr>
                <w:rFonts w:hint="eastAsia" w:ascii="Times New Roman" w:hAnsi="Times New Roman"/>
                <w:color w:val="000000"/>
                <w:kern w:val="2"/>
                <w:szCs w:val="24"/>
              </w:rPr>
              <w:t>；</w:t>
            </w:r>
            <w:r>
              <w:rPr>
                <w:rFonts w:ascii="Times New Roman" w:hAnsi="Times New Roman"/>
                <w:color w:val="000000"/>
                <w:kern w:val="2"/>
                <w:szCs w:val="24"/>
              </w:rPr>
              <w:t>地面采用坚固、防渗、耐腐蚀的材料建造</w:t>
            </w:r>
            <w:r>
              <w:rPr>
                <w:rFonts w:hint="eastAsia" w:ascii="Times New Roman" w:hAnsi="Times New Roman"/>
                <w:color w:val="000000"/>
                <w:kern w:val="2"/>
                <w:szCs w:val="24"/>
              </w:rPr>
              <w:t>；</w:t>
            </w:r>
            <w:r>
              <w:rPr>
                <w:rFonts w:ascii="Times New Roman" w:hAnsi="Times New Roman"/>
                <w:color w:val="000000"/>
                <w:kern w:val="2"/>
                <w:szCs w:val="24"/>
              </w:rPr>
              <w:t>危险废物按照类别分置于防渗漏的专用包装物或者密闭的容</w:t>
            </w:r>
            <w:r>
              <w:rPr>
                <w:rFonts w:hint="eastAsia" w:ascii="Times New Roman" w:hAnsi="Times New Roman"/>
                <w:color w:val="000000"/>
                <w:kern w:val="2"/>
                <w:szCs w:val="24"/>
              </w:rPr>
              <w:t>器</w:t>
            </w:r>
            <w:r>
              <w:rPr>
                <w:rFonts w:ascii="Times New Roman" w:hAnsi="Times New Roman"/>
                <w:color w:val="000000"/>
                <w:kern w:val="2"/>
                <w:szCs w:val="24"/>
              </w:rPr>
              <w:t>内，专用包装物、容器设有明显的警示标识和警示说明。</w:t>
            </w:r>
          </w:p>
          <w:p w14:paraId="5C16A17F">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（2）</w:t>
            </w:r>
            <w:r>
              <w:rPr>
                <w:rFonts w:ascii="Times New Roman" w:hAnsi="Times New Roman"/>
                <w:color w:val="000000"/>
                <w:kern w:val="2"/>
                <w:szCs w:val="24"/>
              </w:rPr>
              <w:t>运输过程要求及环境影响分析。企业在厂内由生产车间将各类危废运送至危废暂存间时应防止</w:t>
            </w:r>
            <w:r>
              <w:rPr>
                <w:rFonts w:hint="eastAsia" w:ascii="Times New Roman" w:hAnsi="Times New Roman"/>
                <w:color w:val="000000"/>
                <w:kern w:val="2"/>
                <w:szCs w:val="24"/>
              </w:rPr>
              <w:t>洒</w:t>
            </w:r>
            <w:r>
              <w:rPr>
                <w:rFonts w:ascii="Times New Roman" w:hAnsi="Times New Roman"/>
                <w:color w:val="000000"/>
                <w:kern w:val="2"/>
                <w:szCs w:val="24"/>
              </w:rPr>
              <w:t>落，意外</w:t>
            </w:r>
            <w:r>
              <w:rPr>
                <w:rFonts w:hint="eastAsia" w:ascii="Times New Roman" w:hAnsi="Times New Roman"/>
                <w:color w:val="000000"/>
                <w:kern w:val="2"/>
                <w:szCs w:val="24"/>
              </w:rPr>
              <w:t>洒</w:t>
            </w:r>
            <w:r>
              <w:rPr>
                <w:rFonts w:ascii="Times New Roman" w:hAnsi="Times New Roman"/>
                <w:color w:val="000000"/>
                <w:kern w:val="2"/>
                <w:szCs w:val="24"/>
              </w:rPr>
              <w:t>落应做好收集工作。</w:t>
            </w:r>
          </w:p>
          <w:p w14:paraId="6B3E7DD8">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ascii="Times New Roman" w:hAnsi="Times New Roman"/>
                <w:color w:val="000000"/>
                <w:kern w:val="2"/>
                <w:szCs w:val="24"/>
              </w:rPr>
              <w:t>企业必须对在生产运行过程中产生的危险废物进行申报登记，制定定期外运制度，并对危险废物的流向和最终处</w:t>
            </w:r>
            <w:r>
              <w:rPr>
                <w:rFonts w:hint="eastAsia" w:ascii="Times New Roman" w:hAnsi="Times New Roman"/>
                <w:color w:val="000000"/>
                <w:kern w:val="2"/>
                <w:szCs w:val="24"/>
              </w:rPr>
              <w:t>置</w:t>
            </w:r>
            <w:r>
              <w:rPr>
                <w:rFonts w:ascii="Times New Roman" w:hAnsi="Times New Roman"/>
                <w:color w:val="000000"/>
                <w:kern w:val="2"/>
                <w:szCs w:val="24"/>
              </w:rPr>
              <w:t>进行跟踪，确保危险废物得到有效处</w:t>
            </w:r>
            <w:r>
              <w:rPr>
                <w:rFonts w:hint="eastAsia" w:ascii="Times New Roman" w:hAnsi="Times New Roman"/>
                <w:color w:val="000000"/>
                <w:kern w:val="2"/>
                <w:szCs w:val="24"/>
              </w:rPr>
              <w:t>置，</w:t>
            </w:r>
            <w:r>
              <w:rPr>
                <w:rFonts w:ascii="Times New Roman" w:hAnsi="Times New Roman"/>
                <w:color w:val="000000"/>
                <w:kern w:val="2"/>
                <w:szCs w:val="24"/>
              </w:rPr>
              <w:t>禁止在转移过程中将危险废物排放至环境中，防止运输过程中危险废物的污染损</w:t>
            </w:r>
            <w:r>
              <w:rPr>
                <w:rFonts w:hint="eastAsia" w:ascii="Times New Roman" w:hAnsi="Times New Roman"/>
                <w:color w:val="000000"/>
                <w:kern w:val="2"/>
                <w:szCs w:val="24"/>
              </w:rPr>
              <w:t>害</w:t>
            </w:r>
            <w:r>
              <w:rPr>
                <w:rFonts w:ascii="Times New Roman" w:hAnsi="Times New Roman"/>
                <w:color w:val="000000"/>
                <w:kern w:val="2"/>
                <w:szCs w:val="24"/>
              </w:rPr>
              <w:t>是防止危险废物污染损害的主要环节之一。运输危险废物，必须同时符合两个要求，一是必须采取防止污染环境的措施，符合环境保护的要求，做到无害化的运输</w:t>
            </w:r>
            <w:r>
              <w:rPr>
                <w:rFonts w:hint="eastAsia" w:ascii="Times New Roman" w:hAnsi="Times New Roman"/>
                <w:color w:val="000000"/>
                <w:kern w:val="2"/>
                <w:szCs w:val="24"/>
              </w:rPr>
              <w:t>；</w:t>
            </w:r>
            <w:r>
              <w:rPr>
                <w:rFonts w:ascii="Times New Roman" w:hAnsi="Times New Roman"/>
                <w:color w:val="000000"/>
                <w:kern w:val="2"/>
                <w:szCs w:val="24"/>
              </w:rPr>
              <w:t>二是必须将所运输的危险废物作为危险货物对待，</w:t>
            </w:r>
            <w:r>
              <w:rPr>
                <w:rFonts w:hint="eastAsia" w:ascii="Times New Roman" w:hAnsi="Times New Roman"/>
                <w:color w:val="000000"/>
                <w:kern w:val="2"/>
                <w:szCs w:val="24"/>
              </w:rPr>
              <w:t>遵</w:t>
            </w:r>
            <w:r>
              <w:rPr>
                <w:rFonts w:ascii="Times New Roman" w:hAnsi="Times New Roman"/>
                <w:color w:val="000000"/>
                <w:kern w:val="2"/>
                <w:szCs w:val="24"/>
              </w:rPr>
              <w:t>守国家有关危险货物运输管理的规定，符合危险货物运输的安全防护要求，做到安全运输，则危废运</w:t>
            </w:r>
            <w:r>
              <w:rPr>
                <w:rFonts w:hint="eastAsia" w:ascii="Times New Roman" w:hAnsi="Times New Roman"/>
                <w:color w:val="000000"/>
                <w:kern w:val="2"/>
                <w:szCs w:val="24"/>
              </w:rPr>
              <w:t>输</w:t>
            </w:r>
            <w:r>
              <w:rPr>
                <w:rFonts w:ascii="Times New Roman" w:hAnsi="Times New Roman"/>
                <w:color w:val="000000"/>
                <w:kern w:val="2"/>
                <w:szCs w:val="24"/>
              </w:rPr>
              <w:t>过</w:t>
            </w:r>
            <w:r>
              <w:rPr>
                <w:rFonts w:hint="eastAsia" w:ascii="Times New Roman" w:hAnsi="Times New Roman"/>
                <w:color w:val="000000"/>
                <w:kern w:val="2"/>
                <w:szCs w:val="24"/>
              </w:rPr>
              <w:t>程不</w:t>
            </w:r>
            <w:r>
              <w:rPr>
                <w:rFonts w:ascii="Times New Roman" w:hAnsi="Times New Roman"/>
                <w:color w:val="000000"/>
                <w:kern w:val="2"/>
                <w:szCs w:val="24"/>
              </w:rPr>
              <w:t>会对周边环境产生影</w:t>
            </w:r>
            <w:r>
              <w:rPr>
                <w:rFonts w:hint="eastAsia" w:ascii="Times New Roman" w:hAnsi="Times New Roman"/>
                <w:color w:val="000000"/>
                <w:kern w:val="2"/>
                <w:szCs w:val="24"/>
              </w:rPr>
              <w:t>响。</w:t>
            </w:r>
          </w:p>
          <w:p w14:paraId="576EB935">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综上所述，本项目运营期产生的各类固体废物在采取环评提出的措施后，均能得到妥善处置，对环境影响较小。</w:t>
            </w:r>
          </w:p>
          <w:p w14:paraId="4DC41C44">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五、地下水、土壤环境影响分析</w:t>
            </w:r>
          </w:p>
          <w:p w14:paraId="777D39C3">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（1）污染源及污染途径识别</w:t>
            </w:r>
          </w:p>
          <w:p w14:paraId="1A1DDE9C">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本项目运营期间可能对地下水及土壤产生的影响途径主要为水性漆等液态原辅料以及废润滑油等泄漏产生地面漫流、垂直下渗，将有害有毒物质带入地下，对浅层地下水及土壤造成影响。</w:t>
            </w:r>
          </w:p>
          <w:p w14:paraId="06F1C863">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（2）污染防治措施</w:t>
            </w:r>
          </w:p>
          <w:p w14:paraId="04A13CE9">
            <w:pPr>
              <w:pStyle w:val="20"/>
              <w:widowControl w:val="0"/>
              <w:kinsoku w:val="0"/>
              <w:autoSpaceDE w:val="0"/>
              <w:autoSpaceDN w:val="0"/>
              <w:adjustRightInd w:val="0"/>
              <w:snapToGrid w:val="0"/>
              <w:spacing w:before="0" w:beforeAutospacing="0" w:after="0" w:afterAutospacing="0"/>
              <w:jc w:val="center"/>
              <w:rPr>
                <w:rFonts w:ascii="Times New Roman" w:hAnsi="Times New Roman"/>
                <w:b/>
                <w:bCs/>
                <w:color w:val="000000"/>
                <w:kern w:val="2"/>
                <w:szCs w:val="24"/>
              </w:rPr>
            </w:pPr>
            <w:r>
              <w:rPr>
                <w:rFonts w:hint="eastAsia" w:ascii="Times New Roman" w:hAnsi="Times New Roman"/>
                <w:b/>
                <w:bCs/>
                <w:color w:val="000000"/>
                <w:kern w:val="2"/>
                <w:szCs w:val="24"/>
              </w:rPr>
              <w:t>表4-19  防渗分区一览表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4"/>
              <w:gridCol w:w="2052"/>
              <w:gridCol w:w="1523"/>
              <w:gridCol w:w="1523"/>
              <w:gridCol w:w="1524"/>
            </w:tblGrid>
            <w:tr w14:paraId="511EE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38AA59F0">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kern w:val="2"/>
                      <w:sz w:val="21"/>
                      <w:szCs w:val="21"/>
                    </w:rPr>
                  </w:pPr>
                  <w:r>
                    <w:rPr>
                      <w:rFonts w:hint="eastAsia" w:ascii="Times New Roman" w:hAnsi="Times New Roman"/>
                      <w:b/>
                      <w:bCs/>
                      <w:kern w:val="2"/>
                      <w:sz w:val="21"/>
                      <w:szCs w:val="21"/>
                    </w:rPr>
                    <w:t>序号</w:t>
                  </w:r>
                </w:p>
              </w:tc>
              <w:tc>
                <w:tcPr>
                  <w:tcW w:w="2052" w:type="dxa"/>
                  <w:vAlign w:val="center"/>
                </w:tcPr>
                <w:p w14:paraId="7A4914D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kern w:val="2"/>
                      <w:sz w:val="21"/>
                      <w:szCs w:val="21"/>
                    </w:rPr>
                  </w:pPr>
                  <w:r>
                    <w:rPr>
                      <w:rFonts w:hint="eastAsia" w:ascii="Times New Roman" w:hAnsi="Times New Roman"/>
                      <w:b/>
                      <w:bCs/>
                      <w:kern w:val="2"/>
                      <w:sz w:val="21"/>
                      <w:szCs w:val="21"/>
                    </w:rPr>
                    <w:t>装置、单元名称</w:t>
                  </w:r>
                </w:p>
              </w:tc>
              <w:tc>
                <w:tcPr>
                  <w:tcW w:w="1523" w:type="dxa"/>
                  <w:vAlign w:val="center"/>
                </w:tcPr>
                <w:p w14:paraId="60B269D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kern w:val="2"/>
                      <w:sz w:val="21"/>
                      <w:szCs w:val="21"/>
                    </w:rPr>
                  </w:pPr>
                  <w:r>
                    <w:rPr>
                      <w:rFonts w:hint="eastAsia" w:ascii="Times New Roman" w:hAnsi="Times New Roman"/>
                      <w:b/>
                      <w:bCs/>
                      <w:kern w:val="2"/>
                      <w:sz w:val="21"/>
                      <w:szCs w:val="21"/>
                    </w:rPr>
                    <w:t>污染防治区域及部位</w:t>
                  </w:r>
                </w:p>
              </w:tc>
              <w:tc>
                <w:tcPr>
                  <w:tcW w:w="1523" w:type="dxa"/>
                  <w:vAlign w:val="center"/>
                </w:tcPr>
                <w:p w14:paraId="3792DA7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kern w:val="2"/>
                      <w:sz w:val="21"/>
                      <w:szCs w:val="21"/>
                    </w:rPr>
                  </w:pPr>
                  <w:r>
                    <w:rPr>
                      <w:rFonts w:hint="eastAsia" w:ascii="Times New Roman" w:hAnsi="Times New Roman"/>
                      <w:b/>
                      <w:bCs/>
                      <w:kern w:val="2"/>
                      <w:sz w:val="21"/>
                      <w:szCs w:val="21"/>
                    </w:rPr>
                    <w:t>污染防治区类别</w:t>
                  </w:r>
                </w:p>
              </w:tc>
              <w:tc>
                <w:tcPr>
                  <w:tcW w:w="1524" w:type="dxa"/>
                  <w:vAlign w:val="center"/>
                </w:tcPr>
                <w:p w14:paraId="17D4932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bCs/>
                      <w:kern w:val="2"/>
                      <w:sz w:val="21"/>
                      <w:szCs w:val="21"/>
                    </w:rPr>
                  </w:pPr>
                  <w:r>
                    <w:rPr>
                      <w:rFonts w:hint="eastAsia" w:ascii="Times New Roman" w:hAnsi="Times New Roman"/>
                      <w:b/>
                      <w:bCs/>
                      <w:kern w:val="2"/>
                      <w:sz w:val="21"/>
                      <w:szCs w:val="21"/>
                    </w:rPr>
                    <w:t>防渗技术要求</w:t>
                  </w:r>
                </w:p>
              </w:tc>
            </w:tr>
            <w:tr w14:paraId="1052D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2A95C41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1</w:t>
                  </w:r>
                </w:p>
              </w:tc>
              <w:tc>
                <w:tcPr>
                  <w:tcW w:w="2052" w:type="dxa"/>
                  <w:vAlign w:val="center"/>
                </w:tcPr>
                <w:p w14:paraId="4E9162ED">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喷漆房、危废间、液态原料区</w:t>
                  </w:r>
                </w:p>
              </w:tc>
              <w:tc>
                <w:tcPr>
                  <w:tcW w:w="1523" w:type="dxa"/>
                  <w:vAlign w:val="center"/>
                </w:tcPr>
                <w:p w14:paraId="3A8D087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地面</w:t>
                  </w:r>
                </w:p>
              </w:tc>
              <w:tc>
                <w:tcPr>
                  <w:tcW w:w="1523" w:type="dxa"/>
                  <w:vAlign w:val="center"/>
                </w:tcPr>
                <w:p w14:paraId="4F8BC747">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重点防渗区</w:t>
                  </w:r>
                </w:p>
              </w:tc>
              <w:tc>
                <w:tcPr>
                  <w:tcW w:w="1524" w:type="dxa"/>
                  <w:vAlign w:val="center"/>
                </w:tcPr>
                <w:p w14:paraId="4068D226">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等效黏土防渗层Mb≥6.0m，K≤1×10</w:t>
                  </w:r>
                  <w:r>
                    <w:rPr>
                      <w:rFonts w:hint="eastAsia" w:ascii="Times New Roman" w:hAnsi="Times New Roman"/>
                      <w:kern w:val="2"/>
                      <w:sz w:val="21"/>
                      <w:szCs w:val="21"/>
                      <w:vertAlign w:val="superscript"/>
                    </w:rPr>
                    <w:t>-7</w:t>
                  </w:r>
                  <w:r>
                    <w:rPr>
                      <w:rFonts w:hint="eastAsia" w:ascii="Times New Roman" w:hAnsi="Times New Roman"/>
                      <w:kern w:val="2"/>
                      <w:sz w:val="21"/>
                      <w:szCs w:val="21"/>
                    </w:rPr>
                    <w:t>cm/s</w:t>
                  </w:r>
                </w:p>
              </w:tc>
            </w:tr>
            <w:tr w14:paraId="78396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5406362F">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2</w:t>
                  </w:r>
                </w:p>
              </w:tc>
              <w:tc>
                <w:tcPr>
                  <w:tcW w:w="2052" w:type="dxa"/>
                  <w:vAlign w:val="center"/>
                </w:tcPr>
                <w:p w14:paraId="0D598085">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成品区、原料区、一般固废暂存间</w:t>
                  </w:r>
                </w:p>
              </w:tc>
              <w:tc>
                <w:tcPr>
                  <w:tcW w:w="1523" w:type="dxa"/>
                  <w:vAlign w:val="center"/>
                </w:tcPr>
                <w:p w14:paraId="3DA420D2">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地面</w:t>
                  </w:r>
                </w:p>
              </w:tc>
              <w:tc>
                <w:tcPr>
                  <w:tcW w:w="1523" w:type="dxa"/>
                  <w:vAlign w:val="center"/>
                </w:tcPr>
                <w:p w14:paraId="5C8BDC19">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一般防渗区</w:t>
                  </w:r>
                </w:p>
              </w:tc>
              <w:tc>
                <w:tcPr>
                  <w:tcW w:w="1524" w:type="dxa"/>
                  <w:vAlign w:val="center"/>
                </w:tcPr>
                <w:p w14:paraId="7C8793AE">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等效黏土防渗层Mb≥1.5m，K≤1×10</w:t>
                  </w:r>
                  <w:r>
                    <w:rPr>
                      <w:rFonts w:hint="eastAsia" w:ascii="Times New Roman" w:hAnsi="Times New Roman"/>
                      <w:kern w:val="2"/>
                      <w:sz w:val="21"/>
                      <w:szCs w:val="21"/>
                      <w:vertAlign w:val="superscript"/>
                    </w:rPr>
                    <w:t>-7</w:t>
                  </w:r>
                  <w:r>
                    <w:rPr>
                      <w:rFonts w:hint="eastAsia" w:ascii="Times New Roman" w:hAnsi="Times New Roman"/>
                      <w:kern w:val="2"/>
                      <w:sz w:val="21"/>
                      <w:szCs w:val="21"/>
                    </w:rPr>
                    <w:t>cm/s</w:t>
                  </w:r>
                </w:p>
              </w:tc>
            </w:tr>
            <w:tr w14:paraId="372A1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4" w:type="dxa"/>
                  <w:vAlign w:val="center"/>
                </w:tcPr>
                <w:p w14:paraId="4DA1A2B5">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3</w:t>
                  </w:r>
                </w:p>
              </w:tc>
              <w:tc>
                <w:tcPr>
                  <w:tcW w:w="2052" w:type="dxa"/>
                  <w:vAlign w:val="center"/>
                </w:tcPr>
                <w:p w14:paraId="4CEBCC1A">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办公楼</w:t>
                  </w:r>
                </w:p>
              </w:tc>
              <w:tc>
                <w:tcPr>
                  <w:tcW w:w="1523" w:type="dxa"/>
                  <w:vAlign w:val="center"/>
                </w:tcPr>
                <w:p w14:paraId="0D01CCD4">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地面</w:t>
                  </w:r>
                </w:p>
              </w:tc>
              <w:tc>
                <w:tcPr>
                  <w:tcW w:w="1523" w:type="dxa"/>
                  <w:vAlign w:val="center"/>
                </w:tcPr>
                <w:p w14:paraId="191B8A27">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简单防渗区</w:t>
                  </w:r>
                </w:p>
              </w:tc>
              <w:tc>
                <w:tcPr>
                  <w:tcW w:w="1524" w:type="dxa"/>
                  <w:vAlign w:val="center"/>
                </w:tcPr>
                <w:p w14:paraId="508FC94B">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kern w:val="2"/>
                      <w:sz w:val="21"/>
                      <w:szCs w:val="21"/>
                    </w:rPr>
                  </w:pPr>
                  <w:r>
                    <w:rPr>
                      <w:rFonts w:hint="eastAsia" w:ascii="Times New Roman" w:hAnsi="Times New Roman"/>
                      <w:kern w:val="2"/>
                      <w:sz w:val="21"/>
                      <w:szCs w:val="21"/>
                    </w:rPr>
                    <w:t>/</w:t>
                  </w:r>
                </w:p>
              </w:tc>
            </w:tr>
          </w:tbl>
          <w:p w14:paraId="64705614">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六、环境风险</w:t>
            </w:r>
          </w:p>
          <w:p w14:paraId="44A322A5">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1、风险初判</w:t>
            </w:r>
          </w:p>
          <w:p w14:paraId="4174E491">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根据《建设项目环境风险评价技术导则》（HJ169-2018），计算本项目风险物质数量与临界量比值Q，如下表所列：</w:t>
            </w:r>
          </w:p>
          <w:p w14:paraId="3C71533C">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kern w:val="2"/>
                <w:szCs w:val="24"/>
              </w:rPr>
              <w:t>表4-22</w:t>
            </w:r>
            <w:r>
              <w:rPr>
                <w:rFonts w:hint="eastAsia" w:ascii="Times New Roman" w:hAnsi="Times New Roman"/>
                <w:color w:val="000000"/>
                <w:kern w:val="2"/>
                <w:szCs w:val="24"/>
              </w:rPr>
              <w:t xml:space="preserve">  </w:t>
            </w:r>
            <w:r>
              <w:rPr>
                <w:rFonts w:ascii="Times New Roman" w:hAnsi="Times New Roman"/>
                <w:b/>
                <w:color w:val="000000" w:themeColor="text1"/>
                <w14:textFill>
                  <w14:solidFill>
                    <w14:schemeClr w14:val="tx1"/>
                  </w14:solidFill>
                </w14:textFill>
              </w:rPr>
              <w:t>项目危险物质与临界量比值Q计算结果</w:t>
            </w:r>
          </w:p>
          <w:tbl>
            <w:tblPr>
              <w:tblStyle w:val="23"/>
              <w:tblW w:w="4998"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68"/>
              <w:gridCol w:w="2037"/>
              <w:gridCol w:w="1778"/>
              <w:gridCol w:w="1848"/>
              <w:gridCol w:w="1487"/>
            </w:tblGrid>
            <w:tr w14:paraId="296051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10" w:hRule="atLeast"/>
                <w:tblHeader/>
                <w:jc w:val="center"/>
              </w:trPr>
              <w:tc>
                <w:tcPr>
                  <w:tcW w:w="427" w:type="pct"/>
                  <w:tcBorders>
                    <w:tl2br w:val="nil"/>
                    <w:tr2bl w:val="nil"/>
                  </w:tcBorders>
                  <w:vAlign w:val="center"/>
                </w:tcPr>
                <w:p w14:paraId="6293065A">
                  <w:pPr>
                    <w:widowControl/>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303" w:type="pct"/>
                  <w:tcBorders>
                    <w:tl2br w:val="nil"/>
                    <w:tr2bl w:val="nil"/>
                  </w:tcBorders>
                  <w:vAlign w:val="center"/>
                </w:tcPr>
                <w:p w14:paraId="3D679791">
                  <w:pPr>
                    <w:widowControl/>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危险物质名称</w:t>
                  </w:r>
                </w:p>
              </w:tc>
              <w:tc>
                <w:tcPr>
                  <w:tcW w:w="1137" w:type="pct"/>
                  <w:tcBorders>
                    <w:tl2br w:val="nil"/>
                    <w:tr2bl w:val="nil"/>
                  </w:tcBorders>
                  <w:vAlign w:val="center"/>
                </w:tcPr>
                <w:p w14:paraId="4A2E6C98">
                  <w:pPr>
                    <w:widowControl/>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最大量 q（t）</w:t>
                  </w:r>
                </w:p>
              </w:tc>
              <w:tc>
                <w:tcPr>
                  <w:tcW w:w="1182" w:type="pct"/>
                  <w:tcBorders>
                    <w:tl2br w:val="nil"/>
                    <w:tr2bl w:val="nil"/>
                  </w:tcBorders>
                  <w:vAlign w:val="center"/>
                </w:tcPr>
                <w:p w14:paraId="7208D1AA">
                  <w:pPr>
                    <w:widowControl/>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 Q（t）</w:t>
                  </w:r>
                </w:p>
              </w:tc>
              <w:tc>
                <w:tcPr>
                  <w:tcW w:w="951" w:type="pct"/>
                  <w:tcBorders>
                    <w:tl2br w:val="nil"/>
                    <w:tr2bl w:val="nil"/>
                  </w:tcBorders>
                  <w:vAlign w:val="center"/>
                </w:tcPr>
                <w:p w14:paraId="57606DC7">
                  <w:pPr>
                    <w:widowControl/>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q/Q</w:t>
                  </w:r>
                </w:p>
              </w:tc>
            </w:tr>
            <w:tr w14:paraId="4DA6D2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10" w:hRule="atLeast"/>
                <w:jc w:val="center"/>
              </w:trPr>
              <w:tc>
                <w:tcPr>
                  <w:tcW w:w="427" w:type="pct"/>
                  <w:tcBorders>
                    <w:tl2br w:val="nil"/>
                    <w:tr2bl w:val="nil"/>
                  </w:tcBorders>
                  <w:vAlign w:val="center"/>
                </w:tcPr>
                <w:p w14:paraId="6F2065D0">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303" w:type="pct"/>
                  <w:tcBorders>
                    <w:tl2br w:val="nil"/>
                    <w:tr2bl w:val="nil"/>
                  </w:tcBorders>
                  <w:vAlign w:val="center"/>
                </w:tcPr>
                <w:p w14:paraId="48EEC4A3">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137" w:type="pct"/>
                  <w:tcBorders>
                    <w:tl2br w:val="nil"/>
                    <w:tr2bl w:val="nil"/>
                  </w:tcBorders>
                  <w:vAlign w:val="center"/>
                </w:tcPr>
                <w:p w14:paraId="0AFA8699">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0.638</w:t>
                  </w:r>
                </w:p>
              </w:tc>
              <w:tc>
                <w:tcPr>
                  <w:tcW w:w="1182" w:type="pct"/>
                  <w:tcBorders>
                    <w:tl2br w:val="nil"/>
                    <w:tr2bl w:val="nil"/>
                  </w:tcBorders>
                  <w:vAlign w:val="center"/>
                </w:tcPr>
                <w:p w14:paraId="480A45D7">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951" w:type="pct"/>
                  <w:tcBorders>
                    <w:tl2br w:val="nil"/>
                    <w:tr2bl w:val="nil"/>
                  </w:tcBorders>
                  <w:vAlign w:val="center"/>
                </w:tcPr>
                <w:p w14:paraId="4D263407">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0.0127</w:t>
                  </w:r>
                </w:p>
              </w:tc>
            </w:tr>
            <w:tr w14:paraId="07CFBB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10" w:hRule="atLeast"/>
                <w:jc w:val="center"/>
              </w:trPr>
              <w:tc>
                <w:tcPr>
                  <w:tcW w:w="427" w:type="pct"/>
                  <w:tcBorders>
                    <w:tl2br w:val="nil"/>
                    <w:tr2bl w:val="nil"/>
                  </w:tcBorders>
                  <w:vAlign w:val="center"/>
                </w:tcPr>
                <w:p w14:paraId="13D6F5F5">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03" w:type="pct"/>
                  <w:tcBorders>
                    <w:tl2br w:val="nil"/>
                    <w:tr2bl w:val="nil"/>
                  </w:tcBorders>
                  <w:vAlign w:val="center"/>
                </w:tcPr>
                <w:p w14:paraId="38A6688F">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润滑油</w:t>
                  </w:r>
                </w:p>
              </w:tc>
              <w:tc>
                <w:tcPr>
                  <w:tcW w:w="1137" w:type="pct"/>
                  <w:tcBorders>
                    <w:tl2br w:val="nil"/>
                    <w:tr2bl w:val="nil"/>
                  </w:tcBorders>
                  <w:vAlign w:val="center"/>
                </w:tcPr>
                <w:p w14:paraId="63060466">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1182" w:type="pct"/>
                  <w:tcBorders>
                    <w:tl2br w:val="nil"/>
                    <w:tr2bl w:val="nil"/>
                  </w:tcBorders>
                  <w:vAlign w:val="center"/>
                </w:tcPr>
                <w:p w14:paraId="78E39DB6">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2500</w:t>
                  </w:r>
                </w:p>
              </w:tc>
              <w:tc>
                <w:tcPr>
                  <w:tcW w:w="951" w:type="pct"/>
                  <w:tcBorders>
                    <w:tl2br w:val="nil"/>
                    <w:tr2bl w:val="nil"/>
                  </w:tcBorders>
                  <w:vAlign w:val="center"/>
                </w:tcPr>
                <w:p w14:paraId="4F263518">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0.00008</w:t>
                  </w:r>
                </w:p>
              </w:tc>
            </w:tr>
            <w:tr w14:paraId="2DC225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10" w:hRule="atLeast"/>
                <w:jc w:val="center"/>
              </w:trPr>
              <w:tc>
                <w:tcPr>
                  <w:tcW w:w="427" w:type="pct"/>
                  <w:tcBorders>
                    <w:tl2br w:val="nil"/>
                    <w:tr2bl w:val="nil"/>
                  </w:tcBorders>
                  <w:vAlign w:val="center"/>
                </w:tcPr>
                <w:p w14:paraId="47647865">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303" w:type="pct"/>
                  <w:tcBorders>
                    <w:tl2br w:val="nil"/>
                    <w:tr2bl w:val="nil"/>
                  </w:tcBorders>
                  <w:vAlign w:val="center"/>
                </w:tcPr>
                <w:p w14:paraId="746B9B1F">
                  <w:pPr>
                    <w:adjustRightInd w:val="0"/>
                    <w:snapToGrid w:val="0"/>
                    <w:spacing w:before="62" w:beforeLines="20" w:after="62" w:afterLines="20"/>
                    <w:jc w:val="center"/>
                    <w:rPr>
                      <w:color w:val="000000" w:themeColor="text1"/>
                      <w:sz w:val="21"/>
                      <w:szCs w:val="21"/>
                      <w14:textFill>
                        <w14:solidFill>
                          <w14:schemeClr w14:val="tx1"/>
                        </w14:solidFill>
                      </w14:textFill>
                    </w:rPr>
                  </w:pPr>
                  <w:r>
                    <w:rPr>
                      <w:sz w:val="21"/>
                      <w:szCs w:val="21"/>
                    </w:rPr>
                    <w:t>丙烷</w:t>
                  </w:r>
                </w:p>
              </w:tc>
              <w:tc>
                <w:tcPr>
                  <w:tcW w:w="1137" w:type="pct"/>
                  <w:tcBorders>
                    <w:tl2br w:val="nil"/>
                    <w:tr2bl w:val="nil"/>
                  </w:tcBorders>
                  <w:vAlign w:val="center"/>
                </w:tcPr>
                <w:p w14:paraId="5F2AEBB2">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1182" w:type="pct"/>
                  <w:tcBorders>
                    <w:tl2br w:val="nil"/>
                    <w:tr2bl w:val="nil"/>
                  </w:tcBorders>
                  <w:vAlign w:val="center"/>
                </w:tcPr>
                <w:p w14:paraId="0CA0FA30">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951" w:type="pct"/>
                  <w:tcBorders>
                    <w:tl2br w:val="nil"/>
                    <w:tr2bl w:val="nil"/>
                  </w:tcBorders>
                  <w:vAlign w:val="center"/>
                </w:tcPr>
                <w:p w14:paraId="16AAB3D8">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w:t>
                  </w:r>
                </w:p>
              </w:tc>
            </w:tr>
            <w:tr w14:paraId="03C94B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10" w:hRule="atLeast"/>
                <w:jc w:val="center"/>
              </w:trPr>
              <w:tc>
                <w:tcPr>
                  <w:tcW w:w="4049" w:type="pct"/>
                  <w:gridSpan w:val="4"/>
                  <w:tcBorders>
                    <w:tl2br w:val="nil"/>
                    <w:tr2bl w:val="nil"/>
                  </w:tcBorders>
                  <w:vAlign w:val="center"/>
                </w:tcPr>
                <w:p w14:paraId="0C37F716">
                  <w:pPr>
                    <w:adjustRightInd w:val="0"/>
                    <w:snapToGrid w:val="0"/>
                    <w:spacing w:before="62" w:beforeLines="20" w:after="62" w:afterLines="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951" w:type="pct"/>
                  <w:tcBorders>
                    <w:tl2br w:val="nil"/>
                    <w:tr2bl w:val="nil"/>
                  </w:tcBorders>
                  <w:vAlign w:val="center"/>
                </w:tcPr>
                <w:p w14:paraId="5A0EC5DB">
                  <w:pPr>
                    <w:adjustRightInd w:val="0"/>
                    <w:snapToGrid w:val="0"/>
                    <w:spacing w:before="62" w:beforeLines="20" w:after="62" w:afterLines="2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4278</w:t>
                  </w:r>
                </w:p>
              </w:tc>
            </w:tr>
          </w:tbl>
          <w:p w14:paraId="5C666C79">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由上表可知，本项目危险物质数量与临界量比值Q=</w:t>
            </w:r>
            <w:r>
              <w:rPr>
                <w:rFonts w:ascii="Times New Roman" w:hAnsi="Times New Roman"/>
                <w:color w:val="000000"/>
                <w:kern w:val="2"/>
                <w:szCs w:val="24"/>
              </w:rPr>
              <w:t>0.0</w:t>
            </w:r>
            <w:r>
              <w:rPr>
                <w:rFonts w:hint="eastAsia" w:ascii="Times New Roman" w:hAnsi="Times New Roman"/>
                <w:color w:val="000000"/>
                <w:kern w:val="2"/>
                <w:szCs w:val="24"/>
              </w:rPr>
              <w:t>4278</w:t>
            </w:r>
            <w:r>
              <w:rPr>
                <w:rFonts w:ascii="Times New Roman" w:hAnsi="Times New Roman"/>
                <w:color w:val="000000"/>
                <w:kern w:val="2"/>
                <w:szCs w:val="24"/>
              </w:rPr>
              <w:t>&lt;</w:t>
            </w:r>
            <w:r>
              <w:rPr>
                <w:rFonts w:hint="eastAsia" w:ascii="Times New Roman" w:hAnsi="Times New Roman"/>
                <w:color w:val="000000"/>
                <w:kern w:val="2"/>
                <w:szCs w:val="24"/>
              </w:rPr>
              <w:t>1，根据《建设项目环境影响报告表编制技术指南（污染影响类）（试行）》可知，不需要设置专项评价，只需进行简单分析。</w:t>
            </w:r>
          </w:p>
          <w:p w14:paraId="605C3EC3">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2、环境风险影响途径及防范措施</w:t>
            </w:r>
          </w:p>
          <w:p w14:paraId="4DE0B2C1">
            <w:pPr>
              <w:pStyle w:val="20"/>
              <w:widowControl w:val="0"/>
              <w:kinsoku w:val="0"/>
              <w:wordWrap w:val="0"/>
              <w:autoSpaceDE w:val="0"/>
              <w:autoSpaceDN w:val="0"/>
              <w:adjustRightInd w:val="0"/>
              <w:snapToGrid w:val="0"/>
              <w:spacing w:before="0" w:beforeAutospacing="0" w:after="0" w:afterAutospacing="0"/>
              <w:jc w:val="center"/>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kern w:val="2"/>
                <w:szCs w:val="24"/>
              </w:rPr>
              <w:t>表4-21</w:t>
            </w:r>
            <w:r>
              <w:rPr>
                <w:rFonts w:hint="eastAsia" w:ascii="Times New Roman" w:hAnsi="Times New Roman"/>
                <w:color w:val="000000"/>
                <w:kern w:val="2"/>
                <w:szCs w:val="24"/>
              </w:rPr>
              <w:t xml:space="preserve">  </w:t>
            </w:r>
            <w:r>
              <w:rPr>
                <w:rFonts w:hint="eastAsia"/>
                <w:b/>
                <w:color w:val="000000" w:themeColor="text1"/>
                <w14:textFill>
                  <w14:solidFill>
                    <w14:schemeClr w14:val="tx1"/>
                  </w14:solidFill>
                </w14:textFill>
              </w:rPr>
              <w:t>环境风险分析一览表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981"/>
              <w:gridCol w:w="1560"/>
              <w:gridCol w:w="4011"/>
            </w:tblGrid>
            <w:tr w14:paraId="45B00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Align w:val="center"/>
                </w:tcPr>
                <w:p w14:paraId="40366FE1">
                  <w:pPr>
                    <w:pStyle w:val="63"/>
                    <w:wordWrap w:val="0"/>
                    <w:autoSpaceDE w:val="0"/>
                    <w:autoSpaceDN w:val="0"/>
                    <w:adjustRightInd w:val="0"/>
                    <w:snapToGrid w:val="0"/>
                    <w:rPr>
                      <w:b/>
                      <w:bCs/>
                    </w:rPr>
                  </w:pPr>
                  <w:r>
                    <w:rPr>
                      <w:rFonts w:hint="eastAsia"/>
                      <w:b/>
                      <w:bCs/>
                    </w:rPr>
                    <w:t>风险源</w:t>
                  </w:r>
                </w:p>
              </w:tc>
              <w:tc>
                <w:tcPr>
                  <w:tcW w:w="627" w:type="pct"/>
                  <w:vAlign w:val="center"/>
                </w:tcPr>
                <w:p w14:paraId="036ED572">
                  <w:pPr>
                    <w:pStyle w:val="63"/>
                    <w:wordWrap w:val="0"/>
                    <w:autoSpaceDE w:val="0"/>
                    <w:autoSpaceDN w:val="0"/>
                    <w:adjustRightInd w:val="0"/>
                    <w:snapToGrid w:val="0"/>
                    <w:rPr>
                      <w:b/>
                      <w:bCs/>
                    </w:rPr>
                  </w:pPr>
                  <w:r>
                    <w:rPr>
                      <w:rFonts w:hint="eastAsia"/>
                      <w:b/>
                      <w:bCs/>
                    </w:rPr>
                    <w:t>环境风险物质</w:t>
                  </w:r>
                </w:p>
              </w:tc>
              <w:tc>
                <w:tcPr>
                  <w:tcW w:w="997" w:type="pct"/>
                  <w:vAlign w:val="center"/>
                </w:tcPr>
                <w:p w14:paraId="4DFF2D90">
                  <w:pPr>
                    <w:pStyle w:val="63"/>
                    <w:wordWrap w:val="0"/>
                    <w:autoSpaceDE w:val="0"/>
                    <w:autoSpaceDN w:val="0"/>
                    <w:adjustRightInd w:val="0"/>
                    <w:snapToGrid w:val="0"/>
                    <w:rPr>
                      <w:b/>
                      <w:bCs/>
                    </w:rPr>
                  </w:pPr>
                  <w:r>
                    <w:rPr>
                      <w:rFonts w:hint="eastAsia"/>
                      <w:b/>
                      <w:bCs/>
                    </w:rPr>
                    <w:t>可能影响途径</w:t>
                  </w:r>
                </w:p>
              </w:tc>
              <w:tc>
                <w:tcPr>
                  <w:tcW w:w="2564" w:type="pct"/>
                  <w:vAlign w:val="center"/>
                </w:tcPr>
                <w:p w14:paraId="5183BB2A">
                  <w:pPr>
                    <w:pStyle w:val="63"/>
                    <w:wordWrap w:val="0"/>
                    <w:autoSpaceDE w:val="0"/>
                    <w:autoSpaceDN w:val="0"/>
                    <w:adjustRightInd w:val="0"/>
                    <w:snapToGrid w:val="0"/>
                    <w:rPr>
                      <w:b/>
                      <w:bCs/>
                    </w:rPr>
                  </w:pPr>
                  <w:r>
                    <w:rPr>
                      <w:rFonts w:hint="eastAsia"/>
                      <w:b/>
                      <w:bCs/>
                    </w:rPr>
                    <w:t>环境风险防范措施</w:t>
                  </w:r>
                </w:p>
              </w:tc>
            </w:tr>
            <w:tr w14:paraId="51CC1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Align w:val="center"/>
                </w:tcPr>
                <w:p w14:paraId="0D6A86FE">
                  <w:pPr>
                    <w:pStyle w:val="63"/>
                    <w:wordWrap w:val="0"/>
                    <w:autoSpaceDE w:val="0"/>
                    <w:autoSpaceDN w:val="0"/>
                    <w:adjustRightInd w:val="0"/>
                    <w:snapToGrid w:val="0"/>
                  </w:pPr>
                  <w:r>
                    <w:rPr>
                      <w:rFonts w:hint="eastAsia"/>
                    </w:rPr>
                    <w:t>喷漆房</w:t>
                  </w:r>
                </w:p>
              </w:tc>
              <w:tc>
                <w:tcPr>
                  <w:tcW w:w="627" w:type="pct"/>
                  <w:vAlign w:val="center"/>
                </w:tcPr>
                <w:p w14:paraId="4AC976EB">
                  <w:pPr>
                    <w:pStyle w:val="63"/>
                    <w:wordWrap w:val="0"/>
                    <w:autoSpaceDE w:val="0"/>
                    <w:autoSpaceDN w:val="0"/>
                    <w:adjustRightInd w:val="0"/>
                    <w:snapToGrid w:val="0"/>
                  </w:pPr>
                  <w:r>
                    <w:rPr>
                      <w:rFonts w:hint="eastAsia"/>
                    </w:rPr>
                    <w:t>水性漆</w:t>
                  </w:r>
                </w:p>
              </w:tc>
              <w:tc>
                <w:tcPr>
                  <w:tcW w:w="997" w:type="pct"/>
                  <w:vAlign w:val="center"/>
                </w:tcPr>
                <w:p w14:paraId="2DE3FB80">
                  <w:pPr>
                    <w:pStyle w:val="63"/>
                    <w:wordWrap w:val="0"/>
                    <w:autoSpaceDE w:val="0"/>
                    <w:autoSpaceDN w:val="0"/>
                    <w:adjustRightInd w:val="0"/>
                    <w:snapToGrid w:val="0"/>
                  </w:pPr>
                  <w:r>
                    <w:rPr>
                      <w:rFonts w:hint="eastAsia"/>
                    </w:rPr>
                    <w:t>泄漏污染，如下渗则可能污染地下水和土壤；漫流可能进入雨水管网</w:t>
                  </w:r>
                </w:p>
              </w:tc>
              <w:tc>
                <w:tcPr>
                  <w:tcW w:w="2564" w:type="pct"/>
                  <w:vAlign w:val="center"/>
                </w:tcPr>
                <w:p w14:paraId="1E342715">
                  <w:pPr>
                    <w:pStyle w:val="63"/>
                    <w:wordWrap w:val="0"/>
                    <w:autoSpaceDE w:val="0"/>
                    <w:autoSpaceDN w:val="0"/>
                    <w:adjustRightInd w:val="0"/>
                    <w:snapToGrid w:val="0"/>
                  </w:pPr>
                  <w:r>
                    <w:rPr>
                      <w:szCs w:val="21"/>
                    </w:rPr>
                    <w:t>地面需进行重点防渗</w:t>
                  </w:r>
                </w:p>
              </w:tc>
            </w:tr>
            <w:tr w14:paraId="0F040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Align w:val="center"/>
                </w:tcPr>
                <w:p w14:paraId="2DB566FC">
                  <w:pPr>
                    <w:pStyle w:val="63"/>
                    <w:wordWrap w:val="0"/>
                    <w:autoSpaceDE w:val="0"/>
                    <w:autoSpaceDN w:val="0"/>
                    <w:adjustRightInd w:val="0"/>
                    <w:snapToGrid w:val="0"/>
                    <w:rPr>
                      <w:u w:val="single"/>
                    </w:rPr>
                  </w:pPr>
                  <w:r>
                    <w:rPr>
                      <w:rFonts w:hint="eastAsia"/>
                      <w:u w:val="single"/>
                    </w:rPr>
                    <w:t>废气事故排放</w:t>
                  </w:r>
                </w:p>
              </w:tc>
              <w:tc>
                <w:tcPr>
                  <w:tcW w:w="627" w:type="pct"/>
                  <w:vAlign w:val="center"/>
                </w:tcPr>
                <w:p w14:paraId="233CA11F">
                  <w:pPr>
                    <w:pStyle w:val="63"/>
                    <w:wordWrap w:val="0"/>
                    <w:autoSpaceDE w:val="0"/>
                    <w:autoSpaceDN w:val="0"/>
                    <w:adjustRightInd w:val="0"/>
                    <w:snapToGrid w:val="0"/>
                    <w:rPr>
                      <w:u w:val="single"/>
                    </w:rPr>
                  </w:pPr>
                  <w:r>
                    <w:rPr>
                      <w:rFonts w:hint="eastAsia"/>
                      <w:u w:val="single"/>
                    </w:rPr>
                    <w:t>有机废气</w:t>
                  </w:r>
                </w:p>
              </w:tc>
              <w:tc>
                <w:tcPr>
                  <w:tcW w:w="997" w:type="pct"/>
                  <w:vAlign w:val="center"/>
                </w:tcPr>
                <w:p w14:paraId="67FDF85A">
                  <w:pPr>
                    <w:pStyle w:val="63"/>
                    <w:wordWrap w:val="0"/>
                    <w:autoSpaceDE w:val="0"/>
                    <w:autoSpaceDN w:val="0"/>
                    <w:adjustRightInd w:val="0"/>
                    <w:snapToGrid w:val="0"/>
                  </w:pPr>
                  <w:r>
                    <w:rPr>
                      <w:u w:val="single"/>
                    </w:rPr>
                    <w:t>排入</w:t>
                  </w:r>
                  <w:r>
                    <w:rPr>
                      <w:rFonts w:hint="eastAsia"/>
                      <w:u w:val="single"/>
                    </w:rPr>
                    <w:t>外环境</w:t>
                  </w:r>
                  <w:r>
                    <w:rPr>
                      <w:u w:val="single"/>
                    </w:rPr>
                    <w:t>、影响环境空气目标</w:t>
                  </w:r>
                </w:p>
              </w:tc>
              <w:tc>
                <w:tcPr>
                  <w:tcW w:w="2564" w:type="pct"/>
                  <w:vAlign w:val="center"/>
                </w:tcPr>
                <w:p w14:paraId="38A28FB0">
                  <w:pPr>
                    <w:pStyle w:val="20"/>
                    <w:widowControl w:val="0"/>
                    <w:kinsoku w:val="0"/>
                    <w:autoSpaceDE w:val="0"/>
                    <w:autoSpaceDN w:val="0"/>
                    <w:adjustRightInd w:val="0"/>
                    <w:snapToGrid w:val="0"/>
                    <w:spacing w:before="0" w:beforeAutospacing="0" w:after="0" w:afterAutospacing="0"/>
                    <w:jc w:val="center"/>
                    <w:rPr>
                      <w:rFonts w:ascii="Times New Roman" w:hAnsi="Times New Roman"/>
                      <w:color w:val="000000"/>
                      <w:kern w:val="2"/>
                      <w:sz w:val="21"/>
                      <w:szCs w:val="21"/>
                      <w:u w:val="single"/>
                    </w:rPr>
                  </w:pPr>
                  <w:r>
                    <w:rPr>
                      <w:rFonts w:hint="eastAsia" w:cs="宋体"/>
                      <w:color w:val="000000"/>
                      <w:kern w:val="2"/>
                      <w:sz w:val="21"/>
                      <w:szCs w:val="21"/>
                      <w:u w:val="single"/>
                    </w:rPr>
                    <w:t>①</w:t>
                  </w:r>
                  <w:r>
                    <w:rPr>
                      <w:rFonts w:ascii="Times New Roman" w:hAnsi="Times New Roman"/>
                      <w:color w:val="000000"/>
                      <w:kern w:val="2"/>
                      <w:sz w:val="21"/>
                      <w:szCs w:val="21"/>
                      <w:u w:val="single"/>
                    </w:rPr>
                    <w:t>应加强对废气的运行管理，消除运行隐患，加强设备的检修，及时对故障进行处理，确保设施处于良好的运行状态</w:t>
                  </w:r>
                  <w:r>
                    <w:rPr>
                      <w:rFonts w:hint="eastAsia" w:ascii="Times New Roman" w:hAnsi="Times New Roman"/>
                      <w:color w:val="000000"/>
                      <w:kern w:val="2"/>
                      <w:sz w:val="21"/>
                      <w:szCs w:val="21"/>
                      <w:u w:val="single"/>
                    </w:rPr>
                    <w:t>。</w:t>
                  </w:r>
                </w:p>
                <w:p w14:paraId="4F6F298E">
                  <w:pPr>
                    <w:pStyle w:val="20"/>
                    <w:widowControl w:val="0"/>
                    <w:kinsoku w:val="0"/>
                    <w:autoSpaceDE w:val="0"/>
                    <w:autoSpaceDN w:val="0"/>
                    <w:adjustRightInd w:val="0"/>
                    <w:snapToGrid w:val="0"/>
                    <w:spacing w:before="0" w:beforeAutospacing="0" w:after="0" w:afterAutospacing="0"/>
                    <w:jc w:val="center"/>
                    <w:rPr>
                      <w:rFonts w:ascii="Times New Roman" w:hAnsi="Times New Roman"/>
                      <w:color w:val="000000"/>
                      <w:kern w:val="2"/>
                      <w:sz w:val="21"/>
                      <w:szCs w:val="21"/>
                      <w:u w:val="single"/>
                    </w:rPr>
                  </w:pPr>
                  <w:r>
                    <w:rPr>
                      <w:rFonts w:hint="eastAsia" w:cs="宋体"/>
                      <w:color w:val="000000"/>
                      <w:kern w:val="2"/>
                      <w:sz w:val="21"/>
                      <w:szCs w:val="21"/>
                      <w:u w:val="single"/>
                    </w:rPr>
                    <w:t>②</w:t>
                  </w:r>
                  <w:r>
                    <w:rPr>
                      <w:rFonts w:ascii="Times New Roman" w:hAnsi="Times New Roman"/>
                      <w:color w:val="000000"/>
                      <w:kern w:val="2"/>
                      <w:sz w:val="21"/>
                      <w:szCs w:val="21"/>
                      <w:u w:val="single"/>
                    </w:rPr>
                    <w:t>为保证除尘效率，提高设备的运行率，应重视除尘器的日常管理，保证</w:t>
                  </w:r>
                  <w:r>
                    <w:rPr>
                      <w:rFonts w:hint="eastAsia" w:ascii="Times New Roman" w:hAnsi="Times New Roman"/>
                      <w:color w:val="000000"/>
                      <w:kern w:val="2"/>
                      <w:sz w:val="21"/>
                      <w:szCs w:val="21"/>
                      <w:u w:val="single"/>
                    </w:rPr>
                    <w:t>设备</w:t>
                  </w:r>
                  <w:r>
                    <w:rPr>
                      <w:rFonts w:ascii="Times New Roman" w:hAnsi="Times New Roman"/>
                      <w:color w:val="000000"/>
                      <w:kern w:val="2"/>
                      <w:sz w:val="21"/>
                      <w:szCs w:val="21"/>
                      <w:u w:val="single"/>
                    </w:rPr>
                    <w:t>的除尘效率，避免其发生事故的可能。袋式除尘器发生破裂等故障导致颗粒物</w:t>
                  </w:r>
                  <w:r>
                    <w:rPr>
                      <w:rFonts w:hint="eastAsia" w:ascii="Times New Roman" w:hAnsi="Times New Roman"/>
                      <w:color w:val="000000"/>
                      <w:kern w:val="2"/>
                      <w:sz w:val="21"/>
                      <w:szCs w:val="21"/>
                      <w:u w:val="single"/>
                    </w:rPr>
                    <w:t>排放量</w:t>
                  </w:r>
                  <w:r>
                    <w:rPr>
                      <w:rFonts w:ascii="Times New Roman" w:hAnsi="Times New Roman"/>
                      <w:color w:val="000000"/>
                      <w:kern w:val="2"/>
                      <w:sz w:val="21"/>
                      <w:szCs w:val="21"/>
                      <w:u w:val="single"/>
                    </w:rPr>
                    <w:t>增加时，必须停产检修，减少对环境的影响</w:t>
                  </w:r>
                  <w:r>
                    <w:rPr>
                      <w:rFonts w:hint="eastAsia" w:ascii="Times New Roman" w:hAnsi="Times New Roman"/>
                      <w:color w:val="000000"/>
                      <w:kern w:val="2"/>
                      <w:sz w:val="21"/>
                      <w:szCs w:val="21"/>
                      <w:u w:val="single"/>
                    </w:rPr>
                    <w:t>。</w:t>
                  </w:r>
                </w:p>
                <w:p w14:paraId="152D8996">
                  <w:pPr>
                    <w:pStyle w:val="20"/>
                    <w:widowControl w:val="0"/>
                    <w:kinsoku w:val="0"/>
                    <w:autoSpaceDE w:val="0"/>
                    <w:autoSpaceDN w:val="0"/>
                    <w:adjustRightInd w:val="0"/>
                    <w:snapToGrid w:val="0"/>
                    <w:spacing w:before="0" w:beforeAutospacing="0" w:after="0" w:afterAutospacing="0"/>
                    <w:jc w:val="center"/>
                    <w:rPr>
                      <w:rFonts w:ascii="Times New Roman" w:hAnsi="Times New Roman"/>
                      <w:color w:val="000000"/>
                      <w:kern w:val="2"/>
                      <w:sz w:val="21"/>
                      <w:szCs w:val="21"/>
                    </w:rPr>
                  </w:pPr>
                  <w:r>
                    <w:rPr>
                      <w:rFonts w:hint="eastAsia" w:asciiTheme="majorEastAsia" w:hAnsiTheme="majorEastAsia" w:eastAsiaTheme="majorEastAsia" w:cstheme="majorEastAsia"/>
                      <w:color w:val="000000"/>
                      <w:kern w:val="2"/>
                      <w:sz w:val="21"/>
                      <w:szCs w:val="21"/>
                      <w:u w:val="single"/>
                    </w:rPr>
                    <w:t>③</w:t>
                  </w:r>
                  <w:r>
                    <w:rPr>
                      <w:rFonts w:ascii="Times New Roman" w:hAnsi="Times New Roman"/>
                      <w:color w:val="000000"/>
                      <w:kern w:val="2"/>
                      <w:sz w:val="21"/>
                      <w:szCs w:val="21"/>
                      <w:u w:val="single"/>
                    </w:rPr>
                    <w:t>对有机废气处理设备和排气管道应经常检验其气密性，查看其是否堵</w:t>
                  </w:r>
                  <w:r>
                    <w:rPr>
                      <w:rFonts w:hint="eastAsia" w:ascii="Times New Roman" w:hAnsi="Times New Roman"/>
                      <w:color w:val="000000"/>
                      <w:kern w:val="2"/>
                      <w:sz w:val="21"/>
                      <w:szCs w:val="21"/>
                      <w:u w:val="single"/>
                    </w:rPr>
                    <w:t>塞</w:t>
                  </w:r>
                  <w:r>
                    <w:rPr>
                      <w:rFonts w:ascii="Times New Roman" w:hAnsi="Times New Roman"/>
                      <w:color w:val="000000"/>
                      <w:kern w:val="2"/>
                      <w:sz w:val="21"/>
                      <w:szCs w:val="21"/>
                      <w:u w:val="single"/>
                    </w:rPr>
                    <w:t>或破损，必要时进行更换</w:t>
                  </w:r>
                  <w:r>
                    <w:rPr>
                      <w:rFonts w:hint="eastAsia" w:ascii="Times New Roman" w:hAnsi="Times New Roman"/>
                      <w:color w:val="000000"/>
                      <w:kern w:val="2"/>
                      <w:sz w:val="21"/>
                      <w:szCs w:val="21"/>
                      <w:u w:val="single"/>
                    </w:rPr>
                    <w:t>；</w:t>
                  </w:r>
                  <w:r>
                    <w:rPr>
                      <w:rFonts w:ascii="Times New Roman" w:hAnsi="Times New Roman"/>
                      <w:color w:val="000000"/>
                      <w:kern w:val="2"/>
                      <w:sz w:val="21"/>
                      <w:szCs w:val="21"/>
                      <w:u w:val="single"/>
                    </w:rPr>
                    <w:t>加强对设备的维修管理，使其在良好情况下运行严格按规范操作尽可能避免事故排放。</w:t>
                  </w:r>
                </w:p>
              </w:tc>
            </w:tr>
            <w:tr w14:paraId="4B7F3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Align w:val="center"/>
                </w:tcPr>
                <w:p w14:paraId="1CE878E9">
                  <w:pPr>
                    <w:pStyle w:val="63"/>
                    <w:wordWrap w:val="0"/>
                    <w:autoSpaceDE w:val="0"/>
                    <w:autoSpaceDN w:val="0"/>
                    <w:adjustRightInd w:val="0"/>
                    <w:snapToGrid w:val="0"/>
                  </w:pPr>
                  <w:r>
                    <w:rPr>
                      <w:rFonts w:hint="eastAsia"/>
                    </w:rPr>
                    <w:t>危险废物暂存间</w:t>
                  </w:r>
                </w:p>
              </w:tc>
              <w:tc>
                <w:tcPr>
                  <w:tcW w:w="627" w:type="pct"/>
                  <w:vAlign w:val="center"/>
                </w:tcPr>
                <w:p w14:paraId="1D734C4D">
                  <w:pPr>
                    <w:pStyle w:val="63"/>
                    <w:wordWrap w:val="0"/>
                    <w:autoSpaceDE w:val="0"/>
                    <w:autoSpaceDN w:val="0"/>
                    <w:adjustRightInd w:val="0"/>
                    <w:snapToGrid w:val="0"/>
                  </w:pPr>
                  <w:r>
                    <w:rPr>
                      <w:rFonts w:hint="eastAsia"/>
                    </w:rPr>
                    <w:t>废润滑油等</w:t>
                  </w:r>
                </w:p>
              </w:tc>
              <w:tc>
                <w:tcPr>
                  <w:tcW w:w="997" w:type="pct"/>
                  <w:vAlign w:val="center"/>
                </w:tcPr>
                <w:p w14:paraId="6B42EEA7">
                  <w:pPr>
                    <w:pStyle w:val="63"/>
                    <w:wordWrap w:val="0"/>
                    <w:autoSpaceDE w:val="0"/>
                    <w:autoSpaceDN w:val="0"/>
                    <w:adjustRightInd w:val="0"/>
                    <w:snapToGrid w:val="0"/>
                  </w:pPr>
                  <w:r>
                    <w:rPr>
                      <w:rFonts w:hint="eastAsia"/>
                    </w:rPr>
                    <w:t>泄漏污染，如下渗则可能污染地下水和土壤；漫流可能进入雨水管网</w:t>
                  </w:r>
                </w:p>
              </w:tc>
              <w:tc>
                <w:tcPr>
                  <w:tcW w:w="2564" w:type="pct"/>
                  <w:vAlign w:val="center"/>
                </w:tcPr>
                <w:p w14:paraId="01CA5DDB">
                  <w:pPr>
                    <w:pStyle w:val="63"/>
                    <w:wordWrap w:val="0"/>
                    <w:autoSpaceDE w:val="0"/>
                    <w:autoSpaceDN w:val="0"/>
                    <w:adjustRightInd w:val="0"/>
                    <w:snapToGrid w:val="0"/>
                  </w:pPr>
                  <w:r>
                    <w:rPr>
                      <w:rFonts w:hint="eastAsia"/>
                    </w:rPr>
                    <w:t>危险废物暂存间设置围堰、托盘、导流沟、收集槽等措施，地面进行防腐防渗，并按相关要求设置明显的警示标牌和警示说明</w:t>
                  </w:r>
                </w:p>
              </w:tc>
            </w:tr>
            <w:tr w14:paraId="7FD1E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Align w:val="center"/>
                </w:tcPr>
                <w:p w14:paraId="6B85DC1A">
                  <w:pPr>
                    <w:pStyle w:val="63"/>
                    <w:wordWrap w:val="0"/>
                    <w:autoSpaceDE w:val="0"/>
                    <w:autoSpaceDN w:val="0"/>
                    <w:adjustRightInd w:val="0"/>
                    <w:snapToGrid w:val="0"/>
                  </w:pPr>
                  <w:r>
                    <w:rPr>
                      <w:rFonts w:hint="eastAsia"/>
                    </w:rPr>
                    <w:t>液态原料区</w:t>
                  </w:r>
                </w:p>
              </w:tc>
              <w:tc>
                <w:tcPr>
                  <w:tcW w:w="627" w:type="pct"/>
                  <w:vAlign w:val="center"/>
                </w:tcPr>
                <w:p w14:paraId="0959B0E8">
                  <w:pPr>
                    <w:pStyle w:val="63"/>
                    <w:wordWrap w:val="0"/>
                    <w:autoSpaceDE w:val="0"/>
                    <w:autoSpaceDN w:val="0"/>
                    <w:adjustRightInd w:val="0"/>
                    <w:snapToGrid w:val="0"/>
                  </w:pPr>
                  <w:r>
                    <w:rPr>
                      <w:rFonts w:hint="eastAsia"/>
                    </w:rPr>
                    <w:t>水性漆</w:t>
                  </w:r>
                </w:p>
              </w:tc>
              <w:tc>
                <w:tcPr>
                  <w:tcW w:w="997" w:type="pct"/>
                  <w:vAlign w:val="center"/>
                </w:tcPr>
                <w:p w14:paraId="50E477A4">
                  <w:pPr>
                    <w:pStyle w:val="63"/>
                    <w:wordWrap w:val="0"/>
                    <w:autoSpaceDE w:val="0"/>
                    <w:autoSpaceDN w:val="0"/>
                    <w:adjustRightInd w:val="0"/>
                    <w:snapToGrid w:val="0"/>
                  </w:pPr>
                  <w:r>
                    <w:rPr>
                      <w:rFonts w:hint="eastAsia"/>
                    </w:rPr>
                    <w:t>泄漏污染，如下渗则可能污染地下水和土壤；漫流可能进入雨水管网</w:t>
                  </w:r>
                </w:p>
              </w:tc>
              <w:tc>
                <w:tcPr>
                  <w:tcW w:w="2564" w:type="pct"/>
                  <w:vAlign w:val="center"/>
                </w:tcPr>
                <w:p w14:paraId="67CEB3BB">
                  <w:pPr>
                    <w:pStyle w:val="63"/>
                    <w:wordWrap w:val="0"/>
                    <w:autoSpaceDE w:val="0"/>
                    <w:autoSpaceDN w:val="0"/>
                    <w:adjustRightInd w:val="0"/>
                    <w:snapToGrid w:val="0"/>
                  </w:pPr>
                  <w:r>
                    <w:rPr>
                      <w:szCs w:val="21"/>
                    </w:rPr>
                    <w:t>配置泄漏吸附物资，</w:t>
                  </w:r>
                  <w:r>
                    <w:rPr>
                      <w:rFonts w:hint="eastAsia"/>
                      <w:szCs w:val="21"/>
                    </w:rPr>
                    <w:t>对地面</w:t>
                  </w:r>
                  <w:r>
                    <w:rPr>
                      <w:szCs w:val="21"/>
                    </w:rPr>
                    <w:t>进行重点防渗</w:t>
                  </w:r>
                  <w:r>
                    <w:rPr>
                      <w:rFonts w:hint="eastAsia"/>
                      <w:szCs w:val="21"/>
                    </w:rPr>
                    <w:t>，设置托盘、导流沟、收集槽等措施</w:t>
                  </w:r>
                </w:p>
              </w:tc>
            </w:tr>
            <w:tr w14:paraId="14ACC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Align w:val="center"/>
                </w:tcPr>
                <w:p w14:paraId="33CB3D60">
                  <w:pPr>
                    <w:pStyle w:val="63"/>
                    <w:wordWrap w:val="0"/>
                    <w:autoSpaceDE w:val="0"/>
                    <w:autoSpaceDN w:val="0"/>
                    <w:adjustRightInd w:val="0"/>
                    <w:snapToGrid w:val="0"/>
                  </w:pPr>
                  <w:r>
                    <w:rPr>
                      <w:rFonts w:hint="eastAsia"/>
                    </w:rPr>
                    <w:t>气态原料区</w:t>
                  </w:r>
                </w:p>
              </w:tc>
              <w:tc>
                <w:tcPr>
                  <w:tcW w:w="627" w:type="pct"/>
                  <w:vAlign w:val="center"/>
                </w:tcPr>
                <w:p w14:paraId="16FE6C4F">
                  <w:pPr>
                    <w:pStyle w:val="63"/>
                    <w:wordWrap w:val="0"/>
                    <w:autoSpaceDE w:val="0"/>
                    <w:autoSpaceDN w:val="0"/>
                    <w:adjustRightInd w:val="0"/>
                    <w:snapToGrid w:val="0"/>
                  </w:pPr>
                  <w:r>
                    <w:rPr>
                      <w:rFonts w:hint="eastAsia"/>
                    </w:rPr>
                    <w:t>氧气、丙烷等</w:t>
                  </w:r>
                </w:p>
              </w:tc>
              <w:tc>
                <w:tcPr>
                  <w:tcW w:w="997" w:type="pct"/>
                  <w:vAlign w:val="center"/>
                </w:tcPr>
                <w:p w14:paraId="398DE3C6">
                  <w:pPr>
                    <w:pStyle w:val="63"/>
                    <w:wordWrap w:val="0"/>
                    <w:autoSpaceDE w:val="0"/>
                    <w:autoSpaceDN w:val="0"/>
                    <w:adjustRightInd w:val="0"/>
                    <w:snapToGrid w:val="0"/>
                  </w:pPr>
                  <w:r>
                    <w:rPr>
                      <w:rFonts w:hint="eastAsia"/>
                    </w:rPr>
                    <w:t>遇明火发生火灾</w:t>
                  </w:r>
                </w:p>
              </w:tc>
              <w:tc>
                <w:tcPr>
                  <w:tcW w:w="2564" w:type="pct"/>
                  <w:vAlign w:val="center"/>
                </w:tcPr>
                <w:p w14:paraId="1367EAF0">
                  <w:pPr>
                    <w:pStyle w:val="63"/>
                    <w:wordWrap w:val="0"/>
                    <w:autoSpaceDE w:val="0"/>
                    <w:autoSpaceDN w:val="0"/>
                    <w:adjustRightInd w:val="0"/>
                    <w:snapToGrid w:val="0"/>
                    <w:rPr>
                      <w:szCs w:val="21"/>
                    </w:rPr>
                  </w:pPr>
                  <w:r>
                    <w:rPr>
                      <w:rFonts w:hint="eastAsia"/>
                      <w:szCs w:val="21"/>
                    </w:rPr>
                    <w:t>确保储罐的密封性，定期进行气密测试；严禁油脂、易燃物等靠近；氧气与可燃气体保持足够的安全距离</w:t>
                  </w:r>
                  <w:r>
                    <w:rPr>
                      <w:szCs w:val="21"/>
                    </w:rPr>
                    <w:t xml:space="preserve"> </w:t>
                  </w:r>
                  <w:r>
                    <w:rPr>
                      <w:rFonts w:hint="eastAsia"/>
                      <w:szCs w:val="21"/>
                    </w:rPr>
                    <w:t>；</w:t>
                  </w:r>
                  <w:r>
                    <w:rPr>
                      <w:color w:val="000000" w:themeColor="text1"/>
                      <w:szCs w:val="21"/>
                      <w14:textFill>
                        <w14:solidFill>
                          <w14:schemeClr w14:val="tx1"/>
                        </w14:solidFill>
                      </w14:textFill>
                    </w:rPr>
                    <w:t>设置消防器材</w:t>
                  </w:r>
                </w:p>
              </w:tc>
            </w:tr>
          </w:tbl>
          <w:p w14:paraId="429C0292">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3、风险结论</w:t>
            </w:r>
          </w:p>
          <w:p w14:paraId="761B8330">
            <w:pPr>
              <w:pStyle w:val="20"/>
              <w:widowControl w:val="0"/>
              <w:kinsoku w:val="0"/>
              <w:wordWrap w:val="0"/>
              <w:autoSpaceDE w:val="0"/>
              <w:autoSpaceDN w:val="0"/>
              <w:adjustRightInd w:val="0"/>
              <w:snapToGrid w:val="0"/>
              <w:spacing w:before="0" w:beforeAutospacing="0" w:after="0" w:afterAutospacing="0" w:line="360" w:lineRule="auto"/>
              <w:ind w:firstLine="480" w:firstLineChars="200"/>
              <w:jc w:val="both"/>
              <w:rPr>
                <w:rFonts w:ascii="Times New Roman" w:hAnsi="Times New Roman"/>
                <w:b/>
                <w:bCs/>
                <w:color w:val="000000"/>
                <w:kern w:val="2"/>
                <w:szCs w:val="24"/>
              </w:rPr>
            </w:pPr>
            <w:r>
              <w:rPr>
                <w:rFonts w:hint="eastAsia" w:ascii="Times New Roman" w:hAnsi="Times New Roman"/>
                <w:color w:val="000000"/>
                <w:kern w:val="2"/>
                <w:szCs w:val="24"/>
              </w:rPr>
              <w:t>企业认真落实各种风险防范措施，通过相应的技术手段降低风险发生概率，并在风险事故发生后，及时采取风险防范措施和应急预案，可最大程度上减少对环境的危害，本项目对环境的风险影响可接受。</w:t>
            </w:r>
          </w:p>
          <w:p w14:paraId="1884B4B6">
            <w:pPr>
              <w:pStyle w:val="20"/>
              <w:widowControl w:val="0"/>
              <w:kinsoku w:val="0"/>
              <w:wordWrap w:val="0"/>
              <w:autoSpaceDE w:val="0"/>
              <w:autoSpaceDN w:val="0"/>
              <w:adjustRightInd w:val="0"/>
              <w:snapToGrid w:val="0"/>
              <w:spacing w:before="0" w:beforeAutospacing="0" w:after="0" w:afterAutospacing="0" w:line="360" w:lineRule="auto"/>
              <w:jc w:val="both"/>
              <w:rPr>
                <w:rFonts w:ascii="Times New Roman" w:hAnsi="Times New Roman"/>
                <w:b/>
                <w:bCs/>
                <w:color w:val="000000"/>
                <w:kern w:val="2"/>
                <w:szCs w:val="24"/>
              </w:rPr>
            </w:pPr>
            <w:r>
              <w:rPr>
                <w:rFonts w:hint="eastAsia" w:ascii="Times New Roman" w:hAnsi="Times New Roman"/>
                <w:b/>
                <w:bCs/>
                <w:color w:val="000000"/>
                <w:kern w:val="2"/>
                <w:szCs w:val="24"/>
              </w:rPr>
              <w:t>七、排污口规范化设置</w:t>
            </w:r>
          </w:p>
          <w:p w14:paraId="36156FBA">
            <w:pPr>
              <w:kinsoku w:val="0"/>
              <w:wordWrap w:val="0"/>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（1）排放口规范化建设要求</w:t>
            </w:r>
          </w:p>
          <w:p w14:paraId="6F6C0297">
            <w:pPr>
              <w:kinsoku w:val="0"/>
              <w:wordWrap w:val="0"/>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固定噪声源、固体废物贮存、废水排放口、废气排放口必须按照国家的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14:paraId="1DAC5AC3">
            <w:pPr>
              <w:kinsoku w:val="0"/>
              <w:wordWrap w:val="0"/>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排污口管理。</w:t>
            </w:r>
          </w:p>
          <w:p w14:paraId="7822A0B6">
            <w:pPr>
              <w:kinsoku w:val="0"/>
              <w:wordWrap w:val="0"/>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637C56F5">
            <w:pPr>
              <w:kinsoku w:val="0"/>
              <w:wordWrap w:val="0"/>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2）环境保护图形标志</w:t>
            </w:r>
          </w:p>
          <w:p w14:paraId="3420E420">
            <w:pPr>
              <w:kinsoku w:val="0"/>
              <w:wordWrap w:val="0"/>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在场区的废水排放口、固体废物贮存处置场应设置环境保护图形标志，图形符号分为提示图形和警告图形符号两种，分别按GB155621-1995、GB155622-1995执行。要求各排污口（源）提示标志形状采用正方形边框，背景颜色采用绿色，图形颜色采用白色。标志牌应设在与之功能相应的醒目处，并保持清晰、完整。环境保护图形标志的形状及颜色见表4-22，环境保护图形符号见表4-23。</w:t>
            </w:r>
          </w:p>
          <w:p w14:paraId="6CDC6169">
            <w:pPr>
              <w:kinsoku w:val="0"/>
              <w:wordWrap w:val="0"/>
              <w:autoSpaceDE w:val="0"/>
              <w:autoSpaceDN w:val="0"/>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表4-22  环境保护图形标志的形状及颜色表</w:t>
            </w:r>
          </w:p>
          <w:tbl>
            <w:tblPr>
              <w:tblStyle w:val="23"/>
              <w:tblW w:w="5007"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58"/>
              <w:gridCol w:w="1958"/>
              <w:gridCol w:w="1958"/>
              <w:gridCol w:w="1958"/>
            </w:tblGrid>
            <w:tr w14:paraId="0FA037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47" w:type="pct"/>
                  <w:tcBorders>
                    <w:tl2br w:val="nil"/>
                    <w:tr2bl w:val="nil"/>
                  </w:tcBorders>
                  <w:vAlign w:val="center"/>
                </w:tcPr>
                <w:p w14:paraId="5D91E56A">
                  <w:pPr>
                    <w:kinsoku w:val="0"/>
                    <w:wordWrap w:val="0"/>
                    <w:autoSpaceDE w:val="0"/>
                    <w:autoSpaceDN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标志名称</w:t>
                  </w:r>
                </w:p>
              </w:tc>
              <w:tc>
                <w:tcPr>
                  <w:tcW w:w="1247" w:type="pct"/>
                  <w:tcBorders>
                    <w:tl2br w:val="nil"/>
                    <w:tr2bl w:val="nil"/>
                  </w:tcBorders>
                  <w:vAlign w:val="center"/>
                </w:tcPr>
                <w:p w14:paraId="411AFF7B">
                  <w:pPr>
                    <w:kinsoku w:val="0"/>
                    <w:wordWrap w:val="0"/>
                    <w:autoSpaceDE w:val="0"/>
                    <w:autoSpaceDN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形状</w:t>
                  </w:r>
                </w:p>
              </w:tc>
              <w:tc>
                <w:tcPr>
                  <w:tcW w:w="1247" w:type="pct"/>
                  <w:tcBorders>
                    <w:tl2br w:val="nil"/>
                    <w:tr2bl w:val="nil"/>
                  </w:tcBorders>
                  <w:vAlign w:val="center"/>
                </w:tcPr>
                <w:p w14:paraId="43C7E1B5">
                  <w:pPr>
                    <w:kinsoku w:val="0"/>
                    <w:wordWrap w:val="0"/>
                    <w:autoSpaceDE w:val="0"/>
                    <w:autoSpaceDN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背景颜色</w:t>
                  </w:r>
                </w:p>
              </w:tc>
              <w:tc>
                <w:tcPr>
                  <w:tcW w:w="1247" w:type="pct"/>
                  <w:tcBorders>
                    <w:tl2br w:val="nil"/>
                    <w:tr2bl w:val="nil"/>
                  </w:tcBorders>
                  <w:vAlign w:val="center"/>
                </w:tcPr>
                <w:p w14:paraId="662AB64B">
                  <w:pPr>
                    <w:kinsoku w:val="0"/>
                    <w:wordWrap w:val="0"/>
                    <w:autoSpaceDE w:val="0"/>
                    <w:autoSpaceDN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图形颜色</w:t>
                  </w:r>
                </w:p>
              </w:tc>
            </w:tr>
            <w:tr w14:paraId="6AFF5C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47" w:type="pct"/>
                  <w:tcBorders>
                    <w:tl2br w:val="nil"/>
                    <w:tr2bl w:val="nil"/>
                  </w:tcBorders>
                  <w:vAlign w:val="center"/>
                </w:tcPr>
                <w:p w14:paraId="107A7AA8">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警告标志</w:t>
                  </w:r>
                </w:p>
              </w:tc>
              <w:tc>
                <w:tcPr>
                  <w:tcW w:w="1247" w:type="pct"/>
                  <w:tcBorders>
                    <w:tl2br w:val="nil"/>
                    <w:tr2bl w:val="nil"/>
                  </w:tcBorders>
                  <w:vAlign w:val="center"/>
                </w:tcPr>
                <w:p w14:paraId="45C04BC2">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三角形边框</w:t>
                  </w:r>
                </w:p>
              </w:tc>
              <w:tc>
                <w:tcPr>
                  <w:tcW w:w="1247" w:type="pct"/>
                  <w:tcBorders>
                    <w:tl2br w:val="nil"/>
                    <w:tr2bl w:val="nil"/>
                  </w:tcBorders>
                  <w:vAlign w:val="center"/>
                </w:tcPr>
                <w:p w14:paraId="7D272B50">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黄色</w:t>
                  </w:r>
                </w:p>
              </w:tc>
              <w:tc>
                <w:tcPr>
                  <w:tcW w:w="1247" w:type="pct"/>
                  <w:tcBorders>
                    <w:tl2br w:val="nil"/>
                    <w:tr2bl w:val="nil"/>
                  </w:tcBorders>
                  <w:vAlign w:val="center"/>
                </w:tcPr>
                <w:p w14:paraId="62B59419">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黑色</w:t>
                  </w:r>
                </w:p>
              </w:tc>
            </w:tr>
            <w:tr w14:paraId="6D69E0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47" w:type="pct"/>
                  <w:tcBorders>
                    <w:tl2br w:val="nil"/>
                    <w:tr2bl w:val="nil"/>
                  </w:tcBorders>
                  <w:vAlign w:val="center"/>
                </w:tcPr>
                <w:p w14:paraId="61911BEC">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提示标志</w:t>
                  </w:r>
                </w:p>
              </w:tc>
              <w:tc>
                <w:tcPr>
                  <w:tcW w:w="1247" w:type="pct"/>
                  <w:tcBorders>
                    <w:tl2br w:val="nil"/>
                    <w:tr2bl w:val="nil"/>
                  </w:tcBorders>
                  <w:vAlign w:val="center"/>
                </w:tcPr>
                <w:p w14:paraId="16E916C3">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正方形边框</w:t>
                  </w:r>
                </w:p>
              </w:tc>
              <w:tc>
                <w:tcPr>
                  <w:tcW w:w="1247" w:type="pct"/>
                  <w:tcBorders>
                    <w:tl2br w:val="nil"/>
                    <w:tr2bl w:val="nil"/>
                  </w:tcBorders>
                  <w:vAlign w:val="center"/>
                </w:tcPr>
                <w:p w14:paraId="071AEB25">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绿色</w:t>
                  </w:r>
                </w:p>
              </w:tc>
              <w:tc>
                <w:tcPr>
                  <w:tcW w:w="1247" w:type="pct"/>
                  <w:tcBorders>
                    <w:tl2br w:val="nil"/>
                    <w:tr2bl w:val="nil"/>
                  </w:tcBorders>
                  <w:vAlign w:val="center"/>
                </w:tcPr>
                <w:p w14:paraId="2EBB95AD">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白色</w:t>
                  </w:r>
                </w:p>
              </w:tc>
            </w:tr>
          </w:tbl>
          <w:p w14:paraId="11CD896A">
            <w:pPr>
              <w:spacing w:line="240" w:lineRule="atLeas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表4-23  各排污口（源）标志牌设置示意图</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83"/>
              <w:gridCol w:w="970"/>
              <w:gridCol w:w="1126"/>
              <w:gridCol w:w="890"/>
              <w:gridCol w:w="1076"/>
              <w:gridCol w:w="1012"/>
              <w:gridCol w:w="1264"/>
            </w:tblGrid>
            <w:tr w14:paraId="520A4F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948" w:type="pct"/>
                  <w:tcBorders>
                    <w:tl2br w:val="nil"/>
                    <w:tr2bl w:val="nil"/>
                  </w:tcBorders>
                  <w:vAlign w:val="center"/>
                </w:tcPr>
                <w:p w14:paraId="151D72F7">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排放口名称</w:t>
                  </w:r>
                </w:p>
              </w:tc>
              <w:tc>
                <w:tcPr>
                  <w:tcW w:w="620" w:type="pct"/>
                  <w:tcBorders>
                    <w:tl2br w:val="nil"/>
                    <w:tr2bl w:val="nil"/>
                  </w:tcBorders>
                  <w:vAlign w:val="center"/>
                </w:tcPr>
                <w:p w14:paraId="25D01DD6">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编号</w:t>
                  </w:r>
                </w:p>
              </w:tc>
              <w:tc>
                <w:tcPr>
                  <w:tcW w:w="720" w:type="pct"/>
                  <w:tcBorders>
                    <w:tl2br w:val="nil"/>
                    <w:tr2bl w:val="nil"/>
                  </w:tcBorders>
                  <w:vAlign w:val="center"/>
                </w:tcPr>
                <w:p w14:paraId="3C1565BF">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图形标志</w:t>
                  </w:r>
                </w:p>
              </w:tc>
              <w:tc>
                <w:tcPr>
                  <w:tcW w:w="569" w:type="pct"/>
                  <w:tcBorders>
                    <w:tl2br w:val="nil"/>
                    <w:tr2bl w:val="nil"/>
                  </w:tcBorders>
                  <w:vAlign w:val="center"/>
                </w:tcPr>
                <w:p w14:paraId="1BED2369">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形状</w:t>
                  </w:r>
                </w:p>
              </w:tc>
              <w:tc>
                <w:tcPr>
                  <w:tcW w:w="688" w:type="pct"/>
                  <w:tcBorders>
                    <w:tl2br w:val="nil"/>
                    <w:tr2bl w:val="nil"/>
                  </w:tcBorders>
                  <w:vAlign w:val="center"/>
                </w:tcPr>
                <w:p w14:paraId="73743082">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背景颜色</w:t>
                  </w:r>
                </w:p>
              </w:tc>
              <w:tc>
                <w:tcPr>
                  <w:tcW w:w="647" w:type="pct"/>
                  <w:tcBorders>
                    <w:tl2br w:val="nil"/>
                    <w:tr2bl w:val="nil"/>
                  </w:tcBorders>
                  <w:vAlign w:val="center"/>
                </w:tcPr>
                <w:p w14:paraId="4B75E25D">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图形颜色</w:t>
                  </w:r>
                </w:p>
              </w:tc>
              <w:tc>
                <w:tcPr>
                  <w:tcW w:w="808" w:type="pct"/>
                  <w:tcBorders>
                    <w:tl2br w:val="nil"/>
                    <w:tr2bl w:val="nil"/>
                  </w:tcBorders>
                  <w:vAlign w:val="center"/>
                </w:tcPr>
                <w:p w14:paraId="0479DC6F">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图形符号</w:t>
                  </w:r>
                </w:p>
              </w:tc>
            </w:tr>
            <w:tr w14:paraId="6A3CCC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948" w:type="pct"/>
                  <w:tcBorders>
                    <w:tl2br w:val="nil"/>
                    <w:tr2bl w:val="nil"/>
                  </w:tcBorders>
                  <w:vAlign w:val="center"/>
                </w:tcPr>
                <w:p w14:paraId="708DAFF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废气排放口</w:t>
                  </w:r>
                </w:p>
              </w:tc>
              <w:tc>
                <w:tcPr>
                  <w:tcW w:w="620" w:type="pct"/>
                  <w:tcBorders>
                    <w:tl2br w:val="nil"/>
                    <w:tr2bl w:val="nil"/>
                  </w:tcBorders>
                  <w:vAlign w:val="center"/>
                </w:tcPr>
                <w:p w14:paraId="06A59A4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720" w:type="pct"/>
                  <w:tcBorders>
                    <w:tl2br w:val="nil"/>
                    <w:tr2bl w:val="nil"/>
                  </w:tcBorders>
                  <w:vAlign w:val="center"/>
                </w:tcPr>
                <w:p w14:paraId="1A1BC0E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提示标志</w:t>
                  </w:r>
                </w:p>
              </w:tc>
              <w:tc>
                <w:tcPr>
                  <w:tcW w:w="569" w:type="pct"/>
                  <w:tcBorders>
                    <w:tl2br w:val="nil"/>
                    <w:tr2bl w:val="nil"/>
                  </w:tcBorders>
                  <w:vAlign w:val="center"/>
                </w:tcPr>
                <w:p w14:paraId="35C4191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正方向边框</w:t>
                  </w:r>
                </w:p>
              </w:tc>
              <w:tc>
                <w:tcPr>
                  <w:tcW w:w="688" w:type="pct"/>
                  <w:tcBorders>
                    <w:tl2br w:val="nil"/>
                    <w:tr2bl w:val="nil"/>
                  </w:tcBorders>
                  <w:vAlign w:val="center"/>
                </w:tcPr>
                <w:p w14:paraId="3F04340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绿色</w:t>
                  </w:r>
                </w:p>
              </w:tc>
              <w:tc>
                <w:tcPr>
                  <w:tcW w:w="647" w:type="pct"/>
                  <w:tcBorders>
                    <w:tl2br w:val="nil"/>
                    <w:tr2bl w:val="nil"/>
                  </w:tcBorders>
                  <w:vAlign w:val="center"/>
                </w:tcPr>
                <w:p w14:paraId="1F4D60E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白色</w:t>
                  </w:r>
                </w:p>
              </w:tc>
              <w:tc>
                <w:tcPr>
                  <w:tcW w:w="808" w:type="pct"/>
                  <w:tcBorders>
                    <w:tl2br w:val="nil"/>
                    <w:tr2bl w:val="nil"/>
                  </w:tcBorders>
                  <w:vAlign w:val="center"/>
                </w:tcPr>
                <w:p w14:paraId="768BBF7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INCLUDEPICTURE "https://img0.baidu.com/it/u=4239320310,17880318&amp;fm=253&amp;app=138&amp;size=w931&amp;n=0&amp;f=JPEG&amp;fmt=auto?sec=1715706000&amp;t=f1a386e46ba3189cafc9ad74c744dec7" \* MERGEFORMATINET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drawing>
                      <wp:inline distT="0" distB="0" distL="114300" distR="114300">
                        <wp:extent cx="704850" cy="677545"/>
                        <wp:effectExtent l="0" t="0" r="0" b="8255"/>
                        <wp:docPr id="6" name="图片 5" descr="u=4239320310,17880318&amp;fm=253&amp;app=138&amp;size=w931&amp;n=0&amp;f=JPEG&amp;fmt=auto?sec=1715706000&amp;t=f1a386e46ba3189cafc9ad74c744d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u=4239320310,17880318&amp;fm=253&amp;app=138&amp;size=w931&amp;n=0&amp;f=JPEG&amp;fmt=auto?sec=1715706000&amp;t=f1a386e46ba3189cafc9ad74c744dec7"/>
                                <pic:cNvPicPr>
                                  <a:picLocks noChangeAspect="1"/>
                                </pic:cNvPicPr>
                              </pic:nvPicPr>
                              <pic:blipFill>
                                <a:blip r:embed="rId27"/>
                                <a:stretch>
                                  <a:fillRect/>
                                </a:stretch>
                              </pic:blipFill>
                              <pic:spPr>
                                <a:xfrm>
                                  <a:off x="0" y="0"/>
                                  <a:ext cx="704850" cy="677545"/>
                                </a:xfrm>
                                <a:prstGeom prst="rect">
                                  <a:avLst/>
                                </a:prstGeom>
                                <a:noFill/>
                                <a:ln>
                                  <a:noFill/>
                                </a:ln>
                              </pic:spPr>
                            </pic:pic>
                          </a:graphicData>
                        </a:graphic>
                      </wp:inline>
                    </w:drawing>
                  </w:r>
                  <w:r>
                    <w:rPr>
                      <w:color w:val="000000" w:themeColor="text1"/>
                      <w:sz w:val="21"/>
                      <w:szCs w:val="21"/>
                      <w14:textFill>
                        <w14:solidFill>
                          <w14:schemeClr w14:val="tx1"/>
                        </w14:solidFill>
                      </w14:textFill>
                    </w:rPr>
                    <w:fldChar w:fldCharType="end"/>
                  </w:r>
                </w:p>
              </w:tc>
            </w:tr>
            <w:tr w14:paraId="07822A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948" w:type="pct"/>
                  <w:tcBorders>
                    <w:tl2br w:val="nil"/>
                    <w:tr2bl w:val="nil"/>
                  </w:tcBorders>
                  <w:vAlign w:val="center"/>
                </w:tcPr>
                <w:p w14:paraId="3971270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一般固废堆场</w:t>
                  </w:r>
                </w:p>
              </w:tc>
              <w:tc>
                <w:tcPr>
                  <w:tcW w:w="620" w:type="pct"/>
                  <w:tcBorders>
                    <w:tl2br w:val="nil"/>
                    <w:tr2bl w:val="nil"/>
                  </w:tcBorders>
                  <w:vAlign w:val="center"/>
                </w:tcPr>
                <w:p w14:paraId="44F2DAC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GF-01</w:t>
                  </w:r>
                </w:p>
              </w:tc>
              <w:tc>
                <w:tcPr>
                  <w:tcW w:w="720" w:type="pct"/>
                  <w:tcBorders>
                    <w:tl2br w:val="nil"/>
                    <w:tr2bl w:val="nil"/>
                  </w:tcBorders>
                  <w:vAlign w:val="center"/>
                </w:tcPr>
                <w:p w14:paraId="33BF2C8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提示标志</w:t>
                  </w:r>
                </w:p>
              </w:tc>
              <w:tc>
                <w:tcPr>
                  <w:tcW w:w="569" w:type="pct"/>
                  <w:tcBorders>
                    <w:tl2br w:val="nil"/>
                    <w:tr2bl w:val="nil"/>
                  </w:tcBorders>
                  <w:vAlign w:val="center"/>
                </w:tcPr>
                <w:p w14:paraId="481D028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正方形边框</w:t>
                  </w:r>
                </w:p>
              </w:tc>
              <w:tc>
                <w:tcPr>
                  <w:tcW w:w="688" w:type="pct"/>
                  <w:tcBorders>
                    <w:tl2br w:val="nil"/>
                    <w:tr2bl w:val="nil"/>
                  </w:tcBorders>
                  <w:vAlign w:val="center"/>
                </w:tcPr>
                <w:p w14:paraId="1BF6BEB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绿色</w:t>
                  </w:r>
                </w:p>
              </w:tc>
              <w:tc>
                <w:tcPr>
                  <w:tcW w:w="647" w:type="pct"/>
                  <w:tcBorders>
                    <w:tl2br w:val="nil"/>
                    <w:tr2bl w:val="nil"/>
                  </w:tcBorders>
                  <w:vAlign w:val="center"/>
                </w:tcPr>
                <w:p w14:paraId="63FEA1B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白色</w:t>
                  </w:r>
                </w:p>
              </w:tc>
              <w:tc>
                <w:tcPr>
                  <w:tcW w:w="808" w:type="pct"/>
                  <w:tcBorders>
                    <w:tl2br w:val="nil"/>
                    <w:tr2bl w:val="nil"/>
                  </w:tcBorders>
                  <w:vAlign w:val="center"/>
                </w:tcPr>
                <w:p w14:paraId="3A8E7DF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685800" cy="709930"/>
                        <wp:effectExtent l="0" t="0" r="0" b="13970"/>
                        <wp:docPr id="20" name="图片 7"/>
                        <wp:cNvGraphicFramePr/>
                        <a:graphic xmlns:a="http://schemas.openxmlformats.org/drawingml/2006/main">
                          <a:graphicData uri="http://schemas.openxmlformats.org/drawingml/2006/picture">
                            <pic:pic xmlns:pic="http://schemas.openxmlformats.org/drawingml/2006/picture">
                              <pic:nvPicPr>
                                <pic:cNvPr id="20" name="图片 7"/>
                                <pic:cNvPicPr/>
                              </pic:nvPicPr>
                              <pic:blipFill>
                                <a:blip r:embed="rId28"/>
                                <a:stretch>
                                  <a:fillRect/>
                                </a:stretch>
                              </pic:blipFill>
                              <pic:spPr>
                                <a:xfrm>
                                  <a:off x="0" y="0"/>
                                  <a:ext cx="685800" cy="709930"/>
                                </a:xfrm>
                                <a:prstGeom prst="rect">
                                  <a:avLst/>
                                </a:prstGeom>
                                <a:noFill/>
                                <a:ln>
                                  <a:noFill/>
                                </a:ln>
                              </pic:spPr>
                            </pic:pic>
                          </a:graphicData>
                        </a:graphic>
                      </wp:inline>
                    </w:drawing>
                  </w:r>
                </w:p>
              </w:tc>
            </w:tr>
            <w:tr w14:paraId="78CA83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44" w:hRule="atLeast"/>
              </w:trPr>
              <w:tc>
                <w:tcPr>
                  <w:tcW w:w="948" w:type="pct"/>
                  <w:tcBorders>
                    <w:tl2br w:val="nil"/>
                    <w:tr2bl w:val="nil"/>
                  </w:tcBorders>
                  <w:vAlign w:val="center"/>
                </w:tcPr>
                <w:p w14:paraId="279A6B8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危废暂存间</w:t>
                  </w:r>
                </w:p>
              </w:tc>
              <w:tc>
                <w:tcPr>
                  <w:tcW w:w="620" w:type="pct"/>
                  <w:tcBorders>
                    <w:tl2br w:val="nil"/>
                    <w:tr2bl w:val="nil"/>
                  </w:tcBorders>
                  <w:vAlign w:val="center"/>
                </w:tcPr>
                <w:p w14:paraId="6A1B007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GF-02</w:t>
                  </w:r>
                </w:p>
              </w:tc>
              <w:tc>
                <w:tcPr>
                  <w:tcW w:w="720" w:type="pct"/>
                  <w:tcBorders>
                    <w:tl2br w:val="nil"/>
                    <w:tr2bl w:val="nil"/>
                  </w:tcBorders>
                  <w:vAlign w:val="center"/>
                </w:tcPr>
                <w:p w14:paraId="28ECBAF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警告标志</w:t>
                  </w:r>
                </w:p>
              </w:tc>
              <w:tc>
                <w:tcPr>
                  <w:tcW w:w="569" w:type="pct"/>
                  <w:tcBorders>
                    <w:tl2br w:val="nil"/>
                    <w:tr2bl w:val="nil"/>
                  </w:tcBorders>
                  <w:vAlign w:val="center"/>
                </w:tcPr>
                <w:p w14:paraId="1CCCFC8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长方形边框</w:t>
                  </w:r>
                </w:p>
              </w:tc>
              <w:tc>
                <w:tcPr>
                  <w:tcW w:w="688" w:type="pct"/>
                  <w:tcBorders>
                    <w:tl2br w:val="nil"/>
                    <w:tr2bl w:val="nil"/>
                  </w:tcBorders>
                  <w:vAlign w:val="center"/>
                </w:tcPr>
                <w:p w14:paraId="7F01AC3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黄色</w:t>
                  </w:r>
                </w:p>
              </w:tc>
              <w:tc>
                <w:tcPr>
                  <w:tcW w:w="647" w:type="pct"/>
                  <w:tcBorders>
                    <w:tl2br w:val="nil"/>
                    <w:tr2bl w:val="nil"/>
                  </w:tcBorders>
                  <w:vAlign w:val="center"/>
                </w:tcPr>
                <w:p w14:paraId="7E39025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黑色</w:t>
                  </w:r>
                </w:p>
              </w:tc>
              <w:tc>
                <w:tcPr>
                  <w:tcW w:w="808" w:type="pct"/>
                  <w:tcBorders>
                    <w:tl2br w:val="nil"/>
                    <w:tr2bl w:val="nil"/>
                  </w:tcBorders>
                  <w:vAlign w:val="center"/>
                </w:tcPr>
                <w:p w14:paraId="6C1B925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730250" cy="518160"/>
                        <wp:effectExtent l="0" t="0" r="12700" b="15240"/>
                        <wp:docPr id="21" name="图片 8"/>
                        <wp:cNvGraphicFramePr/>
                        <a:graphic xmlns:a="http://schemas.openxmlformats.org/drawingml/2006/main">
                          <a:graphicData uri="http://schemas.openxmlformats.org/drawingml/2006/picture">
                            <pic:pic xmlns:pic="http://schemas.openxmlformats.org/drawingml/2006/picture">
                              <pic:nvPicPr>
                                <pic:cNvPr id="21" name="图片 8"/>
                                <pic:cNvPicPr/>
                              </pic:nvPicPr>
                              <pic:blipFill>
                                <a:blip r:embed="rId29"/>
                                <a:stretch>
                                  <a:fillRect/>
                                </a:stretch>
                              </pic:blipFill>
                              <pic:spPr>
                                <a:xfrm>
                                  <a:off x="0" y="0"/>
                                  <a:ext cx="730250" cy="518160"/>
                                </a:xfrm>
                                <a:prstGeom prst="rect">
                                  <a:avLst/>
                                </a:prstGeom>
                                <a:noFill/>
                                <a:ln>
                                  <a:noFill/>
                                </a:ln>
                              </pic:spPr>
                            </pic:pic>
                          </a:graphicData>
                        </a:graphic>
                      </wp:inline>
                    </w:drawing>
                  </w:r>
                </w:p>
              </w:tc>
            </w:tr>
          </w:tbl>
          <w:p w14:paraId="0C1BFD83">
            <w:pPr>
              <w:pStyle w:val="53"/>
              <w:widowControl w:val="0"/>
              <w:kinsoku w:val="0"/>
              <w:wordWrap w:val="0"/>
              <w:autoSpaceDE w:val="0"/>
              <w:autoSpaceDN w:val="0"/>
              <w:ind w:firstLine="0" w:firstLineChars="0"/>
              <w:jc w:val="both"/>
              <w:rPr>
                <w:color w:val="000000" w:themeColor="text1"/>
                <w14:textFill>
                  <w14:solidFill>
                    <w14:schemeClr w14:val="tx1"/>
                  </w14:solidFill>
                </w14:textFill>
              </w:rPr>
            </w:pPr>
            <w:r>
              <w:rPr>
                <w:rFonts w:hint="eastAsia"/>
                <w:b/>
                <w:bCs/>
                <w:color w:val="000000" w:themeColor="text1"/>
                <w14:textFill>
                  <w14:solidFill>
                    <w14:schemeClr w14:val="tx1"/>
                  </w14:solidFill>
                </w14:textFill>
              </w:rPr>
              <w:t>八</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环保投资估算</w:t>
            </w:r>
          </w:p>
          <w:p w14:paraId="28D94AA8">
            <w:pPr>
              <w:kinsoku w:val="0"/>
              <w:wordWrap w:val="0"/>
              <w:autoSpaceDE w:val="0"/>
              <w:autoSpaceDN w:val="0"/>
              <w:adjustRightInd w:val="0"/>
              <w:snapToGrid w:val="0"/>
              <w:spacing w:line="360" w:lineRule="auto"/>
              <w:ind w:firstLine="480" w:firstLineChars="200"/>
              <w:rPr>
                <w:b/>
                <w:color w:val="000000" w:themeColor="text1"/>
                <w14:textFill>
                  <w14:solidFill>
                    <w14:schemeClr w14:val="tx1"/>
                  </w14:solidFill>
                </w14:textFill>
              </w:rPr>
            </w:pPr>
            <w:r>
              <w:rPr>
                <w:color w:val="000000" w:themeColor="text1"/>
                <w14:textFill>
                  <w14:solidFill>
                    <w14:schemeClr w14:val="tx1"/>
                  </w14:solidFill>
                </w14:textFill>
              </w:rPr>
              <w:t>本项目总投资</w:t>
            </w:r>
            <w:r>
              <w:rPr>
                <w:rFonts w:hint="eastAsia"/>
                <w:color w:val="000000" w:themeColor="text1"/>
                <w14:textFill>
                  <w14:solidFill>
                    <w14:schemeClr w14:val="tx1"/>
                  </w14:solidFill>
                </w14:textFill>
              </w:rPr>
              <w:t>1000</w:t>
            </w:r>
            <w:r>
              <w:rPr>
                <w:color w:val="000000" w:themeColor="text1"/>
                <w14:textFill>
                  <w14:solidFill>
                    <w14:schemeClr w14:val="tx1"/>
                  </w14:solidFill>
                </w14:textFill>
              </w:rPr>
              <w:t>万元，其中环保投资</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万元，占总投资的</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%，具体环保投资内容见</w:t>
            </w:r>
            <w:r>
              <w:rPr>
                <w:rFonts w:hint="eastAsia"/>
                <w:color w:val="000000" w:themeColor="text1"/>
                <w14:textFill>
                  <w14:solidFill>
                    <w14:schemeClr w14:val="tx1"/>
                  </w14:solidFill>
                </w14:textFill>
              </w:rPr>
              <w:t>下</w:t>
            </w:r>
            <w:r>
              <w:rPr>
                <w:color w:val="000000" w:themeColor="text1"/>
                <w14:textFill>
                  <w14:solidFill>
                    <w14:schemeClr w14:val="tx1"/>
                  </w14:solidFill>
                </w14:textFill>
              </w:rPr>
              <w:t>表。</w:t>
            </w:r>
          </w:p>
          <w:p w14:paraId="3311CE1F">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24</w:t>
            </w:r>
            <w:r>
              <w:rPr>
                <w:b/>
                <w:bCs/>
                <w:color w:val="000000" w:themeColor="text1"/>
                <w:szCs w:val="21"/>
                <w14:textFill>
                  <w14:solidFill>
                    <w14:schemeClr w14:val="tx1"/>
                  </w14:solidFill>
                </w14:textFill>
              </w:rPr>
              <w:t xml:space="preserve"> 工程环保投资估算</w:t>
            </w:r>
          </w:p>
          <w:tbl>
            <w:tblPr>
              <w:tblStyle w:val="2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1009"/>
              <w:gridCol w:w="1218"/>
              <w:gridCol w:w="3060"/>
              <w:gridCol w:w="1091"/>
              <w:gridCol w:w="869"/>
            </w:tblGrid>
            <w:tr w14:paraId="3BEDE1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010" w:type="pct"/>
                  <w:gridSpan w:val="2"/>
                  <w:vAlign w:val="center"/>
                </w:tcPr>
                <w:p w14:paraId="4D1D52DA">
                  <w:pPr>
                    <w:pStyle w:val="54"/>
                    <w:kinsoku w:val="0"/>
                    <w:wordWrap w:val="0"/>
                    <w:autoSpaceDE w:val="0"/>
                    <w:autoSpaceDN w:val="0"/>
                    <w:adjustRightInd w:val="0"/>
                    <w:snapToGrid w:val="0"/>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项目</w:t>
                  </w:r>
                </w:p>
              </w:tc>
              <w:tc>
                <w:tcPr>
                  <w:tcW w:w="2736" w:type="pct"/>
                  <w:gridSpan w:val="2"/>
                  <w:vAlign w:val="center"/>
                </w:tcPr>
                <w:p w14:paraId="79005BFE">
                  <w:pPr>
                    <w:pStyle w:val="54"/>
                    <w:kinsoku w:val="0"/>
                    <w:wordWrap w:val="0"/>
                    <w:autoSpaceDE w:val="0"/>
                    <w:autoSpaceDN w:val="0"/>
                    <w:adjustRightInd w:val="0"/>
                    <w:snapToGrid w:val="0"/>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环保措施</w:t>
                  </w:r>
                </w:p>
              </w:tc>
              <w:tc>
                <w:tcPr>
                  <w:tcW w:w="698" w:type="pct"/>
                  <w:vAlign w:val="center"/>
                </w:tcPr>
                <w:p w14:paraId="1DD62792">
                  <w:pPr>
                    <w:pStyle w:val="54"/>
                    <w:kinsoku w:val="0"/>
                    <w:wordWrap w:val="0"/>
                    <w:autoSpaceDE w:val="0"/>
                    <w:autoSpaceDN w:val="0"/>
                    <w:adjustRightInd w:val="0"/>
                    <w:snapToGrid w:val="0"/>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投资额</w:t>
                  </w:r>
                  <w:r>
                    <w:rPr>
                      <w:rFonts w:hint="eastAsia"/>
                      <w:b/>
                      <w:bCs w:val="0"/>
                      <w:color w:val="000000" w:themeColor="text1"/>
                      <w:sz w:val="21"/>
                      <w:szCs w:val="21"/>
                      <w14:textFill>
                        <w14:solidFill>
                          <w14:schemeClr w14:val="tx1"/>
                        </w14:solidFill>
                      </w14:textFill>
                    </w:rPr>
                    <w:t>（万元）</w:t>
                  </w:r>
                </w:p>
              </w:tc>
              <w:tc>
                <w:tcPr>
                  <w:tcW w:w="556" w:type="pct"/>
                  <w:vAlign w:val="center"/>
                </w:tcPr>
                <w:p w14:paraId="3BB8CF1A">
                  <w:pPr>
                    <w:pStyle w:val="54"/>
                    <w:kinsoku w:val="0"/>
                    <w:wordWrap w:val="0"/>
                    <w:autoSpaceDE w:val="0"/>
                    <w:autoSpaceDN w:val="0"/>
                    <w:adjustRightInd w:val="0"/>
                    <w:snapToGrid w:val="0"/>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备注</w:t>
                  </w:r>
                </w:p>
              </w:tc>
            </w:tr>
            <w:tr w14:paraId="3B314C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restart"/>
                  <w:vAlign w:val="center"/>
                </w:tcPr>
                <w:p w14:paraId="2FF968C6">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营运期</w:t>
                  </w:r>
                </w:p>
              </w:tc>
              <w:tc>
                <w:tcPr>
                  <w:tcW w:w="645" w:type="pct"/>
                  <w:vAlign w:val="center"/>
                </w:tcPr>
                <w:p w14:paraId="0E35435B">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779" w:type="pct"/>
                  <w:vAlign w:val="center"/>
                </w:tcPr>
                <w:p w14:paraId="2C65C237">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生活污水</w:t>
                  </w:r>
                </w:p>
              </w:tc>
              <w:tc>
                <w:tcPr>
                  <w:tcW w:w="1957" w:type="pct"/>
                  <w:vAlign w:val="center"/>
                </w:tcPr>
                <w:p w14:paraId="56D88EBF">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化粪池</w:t>
                  </w:r>
                </w:p>
              </w:tc>
              <w:tc>
                <w:tcPr>
                  <w:tcW w:w="698" w:type="pct"/>
                  <w:vAlign w:val="center"/>
                </w:tcPr>
                <w:p w14:paraId="4CE91C43">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56" w:type="pct"/>
                  <w:vAlign w:val="center"/>
                </w:tcPr>
                <w:p w14:paraId="25EE1F3E">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依托厂房已建化粪池</w:t>
                  </w:r>
                </w:p>
              </w:tc>
            </w:tr>
            <w:tr w14:paraId="7DC95E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778382BD">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restart"/>
                  <w:vAlign w:val="center"/>
                </w:tcPr>
                <w:p w14:paraId="0B3B9303">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779" w:type="pct"/>
                  <w:vAlign w:val="center"/>
                </w:tcPr>
                <w:p w14:paraId="0783985C">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有组织废气</w:t>
                  </w:r>
                </w:p>
              </w:tc>
              <w:tc>
                <w:tcPr>
                  <w:tcW w:w="1957" w:type="pct"/>
                  <w:vAlign w:val="center"/>
                </w:tcPr>
                <w:p w14:paraId="5E78B2B9">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三级活性炭吸附、干式过滤棉、15m排气筒、风机</w:t>
                  </w:r>
                </w:p>
              </w:tc>
              <w:tc>
                <w:tcPr>
                  <w:tcW w:w="698" w:type="pct"/>
                  <w:vAlign w:val="center"/>
                </w:tcPr>
                <w:p w14:paraId="576D50FA">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556" w:type="pct"/>
                  <w:vAlign w:val="center"/>
                </w:tcPr>
                <w:p w14:paraId="17C864A2">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22673F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313022C6">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continue"/>
                  <w:vAlign w:val="center"/>
                </w:tcPr>
                <w:p w14:paraId="1EB2C1CD">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779" w:type="pct"/>
                  <w:vAlign w:val="center"/>
                </w:tcPr>
                <w:p w14:paraId="4AC18DF8">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无组织废气</w:t>
                  </w:r>
                </w:p>
              </w:tc>
              <w:tc>
                <w:tcPr>
                  <w:tcW w:w="1957" w:type="pct"/>
                  <w:vAlign w:val="center"/>
                </w:tcPr>
                <w:p w14:paraId="7E703B48">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移动式袋式除尘器</w:t>
                  </w:r>
                </w:p>
              </w:tc>
              <w:tc>
                <w:tcPr>
                  <w:tcW w:w="698" w:type="pct"/>
                  <w:vAlign w:val="center"/>
                </w:tcPr>
                <w:p w14:paraId="329F3158">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556" w:type="pct"/>
                  <w:vAlign w:val="center"/>
                </w:tcPr>
                <w:p w14:paraId="2034BDEF">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6B017F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6E07B4B3">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restart"/>
                  <w:vAlign w:val="center"/>
                </w:tcPr>
                <w:p w14:paraId="38AC2253">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779" w:type="pct"/>
                  <w:vAlign w:val="center"/>
                </w:tcPr>
                <w:p w14:paraId="3EADA830">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1957" w:type="pct"/>
                  <w:vAlign w:val="center"/>
                </w:tcPr>
                <w:p w14:paraId="271A11B4">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垃圾篓、垃圾桶，由环卫部门定时清运处理</w:t>
                  </w:r>
                </w:p>
              </w:tc>
              <w:tc>
                <w:tcPr>
                  <w:tcW w:w="698" w:type="pct"/>
                  <w:vMerge w:val="restart"/>
                  <w:vAlign w:val="center"/>
                </w:tcPr>
                <w:p w14:paraId="2E25FF2F">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556" w:type="pct"/>
                  <w:vMerge w:val="restart"/>
                  <w:vAlign w:val="center"/>
                </w:tcPr>
                <w:p w14:paraId="02BB6AEC">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3D9BC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338DF1EB">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continue"/>
                  <w:vAlign w:val="center"/>
                </w:tcPr>
                <w:p w14:paraId="67868BC7">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779" w:type="pct"/>
                  <w:vAlign w:val="center"/>
                </w:tcPr>
                <w:p w14:paraId="2FAD2F1B">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1957" w:type="pct"/>
                  <w:vAlign w:val="center"/>
                </w:tcPr>
                <w:p w14:paraId="21F4E22C">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一般固废暂存</w:t>
                  </w:r>
                  <w:r>
                    <w:rPr>
                      <w:color w:val="000000" w:themeColor="text1"/>
                      <w:sz w:val="21"/>
                      <w:szCs w:val="21"/>
                      <w:lang w:bidi="ar"/>
                      <w14:textFill>
                        <w14:solidFill>
                          <w14:schemeClr w14:val="tx1"/>
                        </w14:solidFill>
                      </w14:textFill>
                    </w:rPr>
                    <w:t>间及收集设施</w:t>
                  </w:r>
                  <w:r>
                    <w:rPr>
                      <w:color w:val="000000" w:themeColor="text1"/>
                      <w:sz w:val="21"/>
                      <w:szCs w:val="21"/>
                      <w14:textFill>
                        <w14:solidFill>
                          <w14:schemeClr w14:val="tx1"/>
                        </w14:solidFill>
                      </w14:textFill>
                    </w:rPr>
                    <w:t>（防渗漏、防雨淋、防扬尘）</w:t>
                  </w:r>
                </w:p>
              </w:tc>
              <w:tc>
                <w:tcPr>
                  <w:tcW w:w="698" w:type="pct"/>
                  <w:vMerge w:val="continue"/>
                  <w:vAlign w:val="center"/>
                </w:tcPr>
                <w:p w14:paraId="4A9570C6">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556" w:type="pct"/>
                  <w:vMerge w:val="continue"/>
                  <w:vAlign w:val="center"/>
                </w:tcPr>
                <w:p w14:paraId="62143E02">
                  <w:pPr>
                    <w:kinsoku w:val="0"/>
                    <w:wordWrap w:val="0"/>
                    <w:autoSpaceDE w:val="0"/>
                    <w:autoSpaceDN w:val="0"/>
                    <w:adjustRightInd w:val="0"/>
                    <w:snapToGrid w:val="0"/>
                    <w:jc w:val="center"/>
                    <w:rPr>
                      <w:color w:val="000000" w:themeColor="text1"/>
                      <w:sz w:val="21"/>
                      <w:szCs w:val="21"/>
                      <w14:textFill>
                        <w14:solidFill>
                          <w14:schemeClr w14:val="tx1"/>
                        </w14:solidFill>
                      </w14:textFill>
                    </w:rPr>
                  </w:pPr>
                </w:p>
              </w:tc>
            </w:tr>
            <w:tr w14:paraId="6CF78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1CA1B586">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continue"/>
                  <w:vAlign w:val="center"/>
                </w:tcPr>
                <w:p w14:paraId="02BDA6C2">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779" w:type="pct"/>
                  <w:vAlign w:val="center"/>
                </w:tcPr>
                <w:p w14:paraId="40B3021F">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957" w:type="pct"/>
                  <w:vAlign w:val="center"/>
                </w:tcPr>
                <w:p w14:paraId="2E652819">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sz w:val="21"/>
                      <w:szCs w:val="21"/>
                    </w:rPr>
                    <w:t>设置围堰、托盘、导流沟、收集槽等措施，地面进行防腐防渗，并按相关要求设置明显的警示标牌和警示说明，定期委托有资质单位处置</w:t>
                  </w:r>
                </w:p>
              </w:tc>
              <w:tc>
                <w:tcPr>
                  <w:tcW w:w="698" w:type="pct"/>
                  <w:vAlign w:val="center"/>
                </w:tcPr>
                <w:p w14:paraId="79C00079">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556" w:type="pct"/>
                  <w:vAlign w:val="center"/>
                </w:tcPr>
                <w:p w14:paraId="55DF2767">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6AF2FA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6F197848">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1424" w:type="pct"/>
                  <w:gridSpan w:val="2"/>
                  <w:vMerge w:val="restart"/>
                  <w:vAlign w:val="center"/>
                </w:tcPr>
                <w:p w14:paraId="3F28467C">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957" w:type="pct"/>
                  <w:vAlign w:val="center"/>
                </w:tcPr>
                <w:p w14:paraId="0724E548">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选用低噪声设备； </w:t>
                  </w:r>
                </w:p>
              </w:tc>
              <w:tc>
                <w:tcPr>
                  <w:tcW w:w="698" w:type="pct"/>
                  <w:vAlign w:val="center"/>
                </w:tcPr>
                <w:p w14:paraId="2D7CB3A7">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556" w:type="pct"/>
                  <w:vAlign w:val="center"/>
                </w:tcPr>
                <w:p w14:paraId="2404E5DC">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利旧</w:t>
                  </w:r>
                </w:p>
              </w:tc>
            </w:tr>
            <w:tr w14:paraId="549D17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65" w:type="pct"/>
                  <w:vMerge w:val="continue"/>
                  <w:vAlign w:val="center"/>
                </w:tcPr>
                <w:p w14:paraId="068A325A">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1424" w:type="pct"/>
                  <w:gridSpan w:val="2"/>
                  <w:vMerge w:val="continue"/>
                  <w:vAlign w:val="center"/>
                </w:tcPr>
                <w:p w14:paraId="7EBA6CC0">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1957" w:type="pct"/>
                  <w:vAlign w:val="center"/>
                </w:tcPr>
                <w:p w14:paraId="50EAFB95">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隔声、减震；采取减震及降噪等设施</w:t>
                  </w:r>
                </w:p>
              </w:tc>
              <w:tc>
                <w:tcPr>
                  <w:tcW w:w="698" w:type="pct"/>
                  <w:vAlign w:val="center"/>
                </w:tcPr>
                <w:p w14:paraId="61C26A74">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556" w:type="pct"/>
                  <w:vAlign w:val="center"/>
                </w:tcPr>
                <w:p w14:paraId="7A7AD07C">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2BA852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65" w:type="pct"/>
                  <w:vMerge w:val="continue"/>
                  <w:vAlign w:val="center"/>
                </w:tcPr>
                <w:p w14:paraId="29AB3105">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restart"/>
                  <w:vAlign w:val="center"/>
                </w:tcPr>
                <w:p w14:paraId="27844B75">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风险防控</w:t>
                  </w:r>
                </w:p>
              </w:tc>
              <w:tc>
                <w:tcPr>
                  <w:tcW w:w="2736" w:type="pct"/>
                  <w:gridSpan w:val="2"/>
                  <w:vAlign w:val="center"/>
                </w:tcPr>
                <w:p w14:paraId="194F9BA7">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厂区设置消防器材，严格防火管理；</w:t>
                  </w:r>
                  <w:bookmarkStart w:id="80" w:name="OLE_LINK8"/>
                  <w:r>
                    <w:rPr>
                      <w:color w:val="000000" w:themeColor="text1"/>
                      <w:sz w:val="21"/>
                      <w:szCs w:val="21"/>
                      <w14:textFill>
                        <w14:solidFill>
                          <w14:schemeClr w14:val="tx1"/>
                        </w14:solidFill>
                      </w14:textFill>
                    </w:rPr>
                    <w:t xml:space="preserve">配置泄漏吸附物资 </w:t>
                  </w:r>
                  <w:bookmarkEnd w:id="80"/>
                </w:p>
              </w:tc>
              <w:tc>
                <w:tcPr>
                  <w:tcW w:w="698" w:type="pct"/>
                  <w:vAlign w:val="center"/>
                </w:tcPr>
                <w:p w14:paraId="1E130879">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556" w:type="pct"/>
                  <w:vAlign w:val="center"/>
                </w:tcPr>
                <w:p w14:paraId="5B38C347">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利旧</w:t>
                  </w:r>
                </w:p>
              </w:tc>
            </w:tr>
            <w:tr w14:paraId="3BEC4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65" w:type="pct"/>
                  <w:vMerge w:val="continue"/>
                  <w:vAlign w:val="center"/>
                </w:tcPr>
                <w:p w14:paraId="73817F7F">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645" w:type="pct"/>
                  <w:vMerge w:val="continue"/>
                  <w:vAlign w:val="center"/>
                </w:tcPr>
                <w:p w14:paraId="4A051695">
                  <w:pPr>
                    <w:pStyle w:val="54"/>
                    <w:kinsoku w:val="0"/>
                    <w:wordWrap w:val="0"/>
                    <w:autoSpaceDE w:val="0"/>
                    <w:autoSpaceDN w:val="0"/>
                    <w:adjustRightInd w:val="0"/>
                    <w:snapToGrid w:val="0"/>
                    <w:rPr>
                      <w:color w:val="000000" w:themeColor="text1"/>
                      <w:sz w:val="21"/>
                      <w:szCs w:val="21"/>
                      <w14:textFill>
                        <w14:solidFill>
                          <w14:schemeClr w14:val="tx1"/>
                        </w14:solidFill>
                      </w14:textFill>
                    </w:rPr>
                  </w:pPr>
                </w:p>
              </w:tc>
              <w:tc>
                <w:tcPr>
                  <w:tcW w:w="2736" w:type="pct"/>
                  <w:gridSpan w:val="2"/>
                  <w:vAlign w:val="center"/>
                </w:tcPr>
                <w:p w14:paraId="40403E40">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配置泄漏吸附物资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进行重点防渗</w:t>
                  </w:r>
                  <w:r>
                    <w:rPr>
                      <w:rFonts w:hint="eastAsia"/>
                      <w:color w:val="000000" w:themeColor="text1"/>
                      <w:sz w:val="21"/>
                      <w:szCs w:val="21"/>
                      <w14:textFill>
                        <w14:solidFill>
                          <w14:schemeClr w14:val="tx1"/>
                        </w14:solidFill>
                      </w14:textFill>
                    </w:rPr>
                    <w:t>，</w:t>
                  </w:r>
                  <w:r>
                    <w:rPr>
                      <w:rFonts w:hint="eastAsia"/>
                      <w:kern w:val="2"/>
                      <w:sz w:val="21"/>
                      <w:szCs w:val="21"/>
                    </w:rPr>
                    <w:t>危废暂存间地面应做好防渗、防腐措施</w:t>
                  </w:r>
                </w:p>
              </w:tc>
              <w:tc>
                <w:tcPr>
                  <w:tcW w:w="698" w:type="pct"/>
                  <w:vAlign w:val="center"/>
                </w:tcPr>
                <w:p w14:paraId="7BA0FB35">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556" w:type="pct"/>
                  <w:vAlign w:val="center"/>
                </w:tcPr>
                <w:p w14:paraId="69D217EA">
                  <w:pPr>
                    <w:kinsoku w:val="0"/>
                    <w:wordWrap w:val="0"/>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3259D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746" w:type="pct"/>
                  <w:gridSpan w:val="4"/>
                  <w:vAlign w:val="center"/>
                </w:tcPr>
                <w:p w14:paraId="72B92212">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698" w:type="pct"/>
                  <w:vAlign w:val="center"/>
                </w:tcPr>
                <w:p w14:paraId="435CF8A9">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c>
                <w:tcPr>
                  <w:tcW w:w="556" w:type="pct"/>
                  <w:vAlign w:val="center"/>
                </w:tcPr>
                <w:p w14:paraId="60BC496E">
                  <w:pPr>
                    <w:pStyle w:val="54"/>
                    <w:kinsoku w:val="0"/>
                    <w:wordWrap w:val="0"/>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3BEF5EDC">
            <w:pPr>
              <w:kinsoku w:val="0"/>
              <w:wordWrap w:val="0"/>
              <w:autoSpaceDE w:val="0"/>
              <w:autoSpaceDN w:val="0"/>
              <w:adjustRightInd w:val="0"/>
              <w:snapToGrid w:val="0"/>
              <w:spacing w:line="36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十、排污许可证申领</w:t>
            </w:r>
          </w:p>
          <w:p w14:paraId="69170120">
            <w:pPr>
              <w:kinsoku w:val="0"/>
              <w:wordWrap w:val="0"/>
              <w:adjustRightInd w:val="0"/>
              <w:snapToGrid w:val="0"/>
              <w:spacing w:line="360" w:lineRule="auto"/>
              <w:ind w:firstLine="480" w:firstLineChars="200"/>
              <w:rPr>
                <w:b/>
                <w:bCs/>
              </w:rPr>
            </w:pPr>
            <w:r>
              <w:rPr>
                <w:color w:val="000000" w:themeColor="text1"/>
                <w:kern w:val="0"/>
                <w14:textFill>
                  <w14:solidFill>
                    <w14:schemeClr w14:val="tx1"/>
                  </w14:solidFill>
                </w14:textFill>
              </w:rPr>
              <w:t>根据《固定污染源排污许可分类管理名录》（2019年版），本项目</w:t>
            </w:r>
            <w:r>
              <w:rPr>
                <w:rFonts w:hint="eastAsia"/>
                <w:color w:val="000000" w:themeColor="text1"/>
                <w:kern w:val="0"/>
                <w14:textFill>
                  <w14:solidFill>
                    <w14:schemeClr w14:val="tx1"/>
                  </w14:solidFill>
                </w14:textFill>
              </w:rPr>
              <w:t>属于登记管理</w:t>
            </w:r>
            <w:r>
              <w:rPr>
                <w:color w:val="000000" w:themeColor="text1"/>
                <w:kern w:val="0"/>
                <w14:textFill>
                  <w14:solidFill>
                    <w14:schemeClr w14:val="tx1"/>
                  </w14:solidFill>
                </w14:textFill>
              </w:rPr>
              <w:t>，待取得并落实环评批复后，</w:t>
            </w:r>
            <w:r>
              <w:rPr>
                <w:rFonts w:hint="eastAsia"/>
                <w:color w:val="000000" w:themeColor="text1"/>
                <w:kern w:val="0"/>
                <w14:textFill>
                  <w14:solidFill>
                    <w14:schemeClr w14:val="tx1"/>
                  </w14:solidFill>
                </w14:textFill>
              </w:rPr>
              <w:t>建设单位应当在获得环评审批文件后，对污染源进行管理，实现持证排污。</w:t>
            </w:r>
          </w:p>
        </w:tc>
      </w:tr>
    </w:tbl>
    <w:p w14:paraId="4FA6C050">
      <w:pPr>
        <w:sectPr>
          <w:pgSz w:w="11906" w:h="16838"/>
          <w:pgMar w:top="1440" w:right="1800" w:bottom="1440" w:left="1800" w:header="851" w:footer="992" w:gutter="0"/>
          <w:cols w:space="425" w:num="1"/>
          <w:docGrid w:type="lines" w:linePitch="312" w:charSpace="0"/>
        </w:sectPr>
      </w:pPr>
    </w:p>
    <w:p w14:paraId="4B2C93C1">
      <w:pPr>
        <w:pStyle w:val="20"/>
        <w:spacing w:before="0" w:beforeAutospacing="0" w:after="0" w:afterAutospacing="0"/>
        <w:jc w:val="center"/>
        <w:outlineLvl w:val="0"/>
        <w:rPr>
          <w:rFonts w:hint="eastAsia" w:cs="宋体"/>
          <w:b/>
          <w:bCs/>
          <w:color w:val="000000" w:themeColor="text1"/>
          <w:sz w:val="30"/>
          <w:szCs w:val="30"/>
          <w14:textFill>
            <w14:solidFill>
              <w14:schemeClr w14:val="tx1"/>
            </w14:solidFill>
          </w14:textFill>
        </w:rPr>
      </w:pPr>
      <w:bookmarkStart w:id="81" w:name="_Toc5700"/>
      <w:bookmarkStart w:id="82" w:name="_Toc14668"/>
      <w:bookmarkStart w:id="83" w:name="_Toc189746482"/>
      <w:bookmarkStart w:id="84" w:name="_Toc6876"/>
      <w:bookmarkStart w:id="85" w:name="_Toc24790"/>
      <w:bookmarkStart w:id="86" w:name="_Toc5707"/>
      <w:bookmarkStart w:id="87" w:name="_Toc23386"/>
      <w:r>
        <w:rPr>
          <w:rFonts w:cs="宋体"/>
          <w:b/>
          <w:bCs/>
          <w:color w:val="000000" w:themeColor="text1"/>
          <w:sz w:val="30"/>
          <w:szCs w:val="30"/>
          <w14:textFill>
            <w14:solidFill>
              <w14:schemeClr w14:val="tx1"/>
            </w14:solidFill>
          </w14:textFill>
        </w:rPr>
        <w:t>五、</w:t>
      </w:r>
      <w:bookmarkStart w:id="88" w:name="_Hlk54167917"/>
      <w:r>
        <w:rPr>
          <w:rFonts w:cs="宋体"/>
          <w:b/>
          <w:bCs/>
          <w:color w:val="000000" w:themeColor="text1"/>
          <w:sz w:val="30"/>
          <w:szCs w:val="30"/>
          <w14:textFill>
            <w14:solidFill>
              <w14:schemeClr w14:val="tx1"/>
            </w14:solidFill>
          </w14:textFill>
        </w:rPr>
        <w:t>环境保护措施监督检查清单</w:t>
      </w:r>
      <w:bookmarkEnd w:id="81"/>
      <w:bookmarkEnd w:id="82"/>
      <w:bookmarkEnd w:id="83"/>
      <w:bookmarkEnd w:id="84"/>
      <w:bookmarkEnd w:id="85"/>
      <w:bookmarkEnd w:id="86"/>
      <w:bookmarkEnd w:id="87"/>
      <w:bookmarkEnd w:id="88"/>
    </w:p>
    <w:tbl>
      <w:tblPr>
        <w:tblStyle w:val="23"/>
        <w:tblW w:w="985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86"/>
        <w:gridCol w:w="1507"/>
        <w:gridCol w:w="2154"/>
        <w:gridCol w:w="1736"/>
        <w:gridCol w:w="3271"/>
      </w:tblGrid>
      <w:tr w14:paraId="691778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tcPr>
          <w:p w14:paraId="082D3306">
            <w:pPr>
              <w:adjustRightInd w:val="0"/>
              <w:snapToGrid w:val="0"/>
              <w:jc w:val="right"/>
              <w:rPr>
                <w:b/>
                <w:bCs/>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-63500</wp:posOffset>
                      </wp:positionH>
                      <wp:positionV relativeFrom="paragraph">
                        <wp:posOffset>-8255</wp:posOffset>
                      </wp:positionV>
                      <wp:extent cx="753745" cy="349250"/>
                      <wp:effectExtent l="1905" t="4445" r="6350" b="8255"/>
                      <wp:wrapNone/>
                      <wp:docPr id="8" name="直接连接符 8"/>
                      <wp:cNvGraphicFramePr/>
                      <a:graphic xmlns:a="http://schemas.openxmlformats.org/drawingml/2006/main">
                        <a:graphicData uri="http://schemas.microsoft.com/office/word/2010/wordprocessingShape">
                          <wps:wsp>
                            <wps:cNvCnPr/>
                            <wps:spPr>
                              <a:xfrm>
                                <a:off x="656590" y="1333500"/>
                                <a:ext cx="753745" cy="34925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pt;margin-top:-0.65pt;height:27.5pt;width:59.35pt;z-index:251659264;mso-width-relative:page;mso-height-relative:page;" filled="f" stroked="t" coordsize="21600,21600" o:gfxdata="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CB2RtkAAAAJAQAADwAAAAAAAAABACAAAAAiAAAAZHJzL2Rvd25yZXYueG1sUEsB&#10;AhQAFAAAAAgAh07iQJZNq4T0AQAAwAMAAA4AAAAAAAAAAQAgAAAAKAEAAGRycy9lMm9Eb2MueG1s&#10;UEsFBgAAAAAGAAYAWQEAAI4FAAAAAA==&#10;">
                      <v:fill on="f" focussize="0,0"/>
                      <v:stroke color="#000000 [3213]" miterlimit="8" joinstyle="miter"/>
                      <v:imagedata o:title=""/>
                      <o:lock v:ext="edit" aspectratio="f"/>
                    </v:line>
                  </w:pict>
                </mc:Fallback>
              </mc:AlternateContent>
            </w:r>
            <w:r>
              <w:rPr>
                <w:b/>
                <w:bCs/>
                <w:color w:val="000000" w:themeColor="text1"/>
                <w:szCs w:val="21"/>
                <w14:textFill>
                  <w14:solidFill>
                    <w14:schemeClr w14:val="tx1"/>
                  </w14:solidFill>
                </w14:textFill>
              </w:rPr>
              <w:t>内容</w:t>
            </w:r>
          </w:p>
          <w:p w14:paraId="490B33D6">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507" w:type="dxa"/>
            <w:tcBorders>
              <w:tl2br w:val="nil"/>
              <w:tr2bl w:val="nil"/>
            </w:tcBorders>
            <w:vAlign w:val="center"/>
          </w:tcPr>
          <w:p w14:paraId="4DD07D9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编号、名称</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/污染源</w:t>
            </w:r>
          </w:p>
        </w:tc>
        <w:tc>
          <w:tcPr>
            <w:tcW w:w="2154" w:type="dxa"/>
            <w:tcBorders>
              <w:tl2br w:val="nil"/>
              <w:tr2bl w:val="nil"/>
            </w:tcBorders>
            <w:vAlign w:val="center"/>
          </w:tcPr>
          <w:p w14:paraId="526F1CC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1736" w:type="dxa"/>
            <w:tcBorders>
              <w:tl2br w:val="nil"/>
              <w:tr2bl w:val="nil"/>
            </w:tcBorders>
            <w:vAlign w:val="center"/>
          </w:tcPr>
          <w:p w14:paraId="0BB052C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3271" w:type="dxa"/>
            <w:tcBorders>
              <w:tl2br w:val="nil"/>
              <w:tr2bl w:val="nil"/>
            </w:tcBorders>
            <w:vAlign w:val="center"/>
          </w:tcPr>
          <w:p w14:paraId="0664EE52">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0CC79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jc w:val="center"/>
        </w:trPr>
        <w:tc>
          <w:tcPr>
            <w:tcW w:w="1186" w:type="dxa"/>
            <w:vMerge w:val="restart"/>
            <w:tcBorders>
              <w:tl2br w:val="nil"/>
              <w:tr2bl w:val="nil"/>
            </w:tcBorders>
            <w:vAlign w:val="center"/>
          </w:tcPr>
          <w:p w14:paraId="4479E03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1507" w:type="dxa"/>
            <w:tcBorders>
              <w:tl2br w:val="nil"/>
              <w:tr2bl w:val="nil"/>
            </w:tcBorders>
            <w:vAlign w:val="center"/>
          </w:tcPr>
          <w:p w14:paraId="129A9F8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有组织废气（DA001排气筒）</w:t>
            </w:r>
          </w:p>
        </w:tc>
        <w:tc>
          <w:tcPr>
            <w:tcW w:w="2154" w:type="dxa"/>
            <w:tcBorders>
              <w:tl2br w:val="nil"/>
              <w:tr2bl w:val="nil"/>
            </w:tcBorders>
            <w:vAlign w:val="center"/>
          </w:tcPr>
          <w:p w14:paraId="50E5DA53">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颗粒物、VOCs</w:t>
            </w:r>
          </w:p>
        </w:tc>
        <w:tc>
          <w:tcPr>
            <w:tcW w:w="1736" w:type="dxa"/>
            <w:tcBorders>
              <w:tl2br w:val="nil"/>
              <w:tr2bl w:val="nil"/>
            </w:tcBorders>
            <w:vAlign w:val="center"/>
          </w:tcPr>
          <w:p w14:paraId="1CF5806A">
            <w:pPr>
              <w:jc w:val="center"/>
              <w:rPr>
                <w:kern w:val="21"/>
              </w:rPr>
            </w:pPr>
            <w:r>
              <w:rPr>
                <w:rFonts w:hint="eastAsia"/>
                <w:kern w:val="21"/>
              </w:rPr>
              <w:t>密闭车间负压收集+干式过滤棉+三级活性炭吸附+15m排气筒</w:t>
            </w:r>
          </w:p>
        </w:tc>
        <w:tc>
          <w:tcPr>
            <w:tcW w:w="3271" w:type="dxa"/>
            <w:tcBorders>
              <w:tl2br w:val="nil"/>
              <w:tr2bl w:val="nil"/>
            </w:tcBorders>
            <w:vAlign w:val="center"/>
          </w:tcPr>
          <w:p w14:paraId="114C2951">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《大气污染物综合排放标准》（GB16297-1996）表2中二级排放标准</w:t>
            </w:r>
          </w:p>
          <w:p w14:paraId="31D9D4DB">
            <w:pPr>
              <w:adjustRightInd w:val="0"/>
              <w:snapToGrid w:val="0"/>
              <w:jc w:val="center"/>
              <w:rPr>
                <w:color w:val="000000" w:themeColor="text1"/>
                <w14:textFill>
                  <w14:solidFill>
                    <w14:schemeClr w14:val="tx1"/>
                  </w14:solidFill>
                </w14:textFill>
              </w:rPr>
            </w:pPr>
            <w:r>
              <w:rPr>
                <w:rFonts w:hint="eastAsia"/>
              </w:rPr>
              <w:t>《表面涂装（汽车制造及维修）挥发性有机物、镍排放标准》（DB43</w:t>
            </w:r>
            <w:r>
              <w:t>/</w:t>
            </w:r>
            <w:r>
              <w:rPr>
                <w:rFonts w:hint="eastAsia"/>
              </w:rPr>
              <w:t>1356-2017）</w:t>
            </w:r>
            <w:r>
              <w:t>表</w:t>
            </w:r>
            <w:r>
              <w:rPr>
                <w:rFonts w:hint="eastAsia"/>
              </w:rPr>
              <w:t>1</w:t>
            </w:r>
            <w:r>
              <w:t>中</w:t>
            </w:r>
            <w:r>
              <w:rPr>
                <w:rFonts w:hint="eastAsia"/>
              </w:rPr>
              <w:t>其他车型</w:t>
            </w:r>
          </w:p>
        </w:tc>
      </w:tr>
      <w:tr w14:paraId="37ACCF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7" w:hRule="atLeast"/>
          <w:jc w:val="center"/>
        </w:trPr>
        <w:tc>
          <w:tcPr>
            <w:tcW w:w="1186" w:type="dxa"/>
            <w:vMerge w:val="continue"/>
            <w:tcBorders>
              <w:tl2br w:val="nil"/>
              <w:tr2bl w:val="nil"/>
            </w:tcBorders>
            <w:vAlign w:val="center"/>
          </w:tcPr>
          <w:p w14:paraId="5F735DD6">
            <w:pPr>
              <w:adjustRightInd w:val="0"/>
              <w:snapToGrid w:val="0"/>
              <w:jc w:val="center"/>
              <w:rPr>
                <w:color w:val="000000" w:themeColor="text1"/>
                <w:szCs w:val="21"/>
                <w14:textFill>
                  <w14:solidFill>
                    <w14:schemeClr w14:val="tx1"/>
                  </w14:solidFill>
                </w14:textFill>
              </w:rPr>
            </w:pPr>
          </w:p>
        </w:tc>
        <w:tc>
          <w:tcPr>
            <w:tcW w:w="1507" w:type="dxa"/>
            <w:tcBorders>
              <w:tl2br w:val="nil"/>
              <w:tr2bl w:val="nil"/>
            </w:tcBorders>
            <w:vAlign w:val="center"/>
          </w:tcPr>
          <w:p w14:paraId="67E3B2A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无组织废气</w:t>
            </w:r>
          </w:p>
        </w:tc>
        <w:tc>
          <w:tcPr>
            <w:tcW w:w="2154" w:type="dxa"/>
            <w:tcBorders>
              <w:tl2br w:val="nil"/>
              <w:tr2bl w:val="nil"/>
            </w:tcBorders>
            <w:vAlign w:val="center"/>
          </w:tcPr>
          <w:p w14:paraId="2548CD2A">
            <w:pPr>
              <w:adjustRightInd w:val="0"/>
              <w:snapToGrid w:val="0"/>
              <w:jc w:val="center"/>
              <w:rPr>
                <w:color w:val="000000" w:themeColor="text1"/>
                <w:kern w:val="0"/>
                <w14:textFill>
                  <w14:solidFill>
                    <w14:schemeClr w14:val="tx1"/>
                  </w14:solidFill>
                </w14:textFill>
              </w:rPr>
            </w:pPr>
            <w:r>
              <w:rPr>
                <w:rFonts w:hint="eastAsia"/>
                <w:color w:val="000000" w:themeColor="text1"/>
                <w:kern w:val="0"/>
                <w:lang w:bidi="ar"/>
                <w14:textFill>
                  <w14:solidFill>
                    <w14:schemeClr w14:val="tx1"/>
                  </w14:solidFill>
                </w14:textFill>
              </w:rPr>
              <w:t>VOCs、颗粒物</w:t>
            </w:r>
          </w:p>
        </w:tc>
        <w:tc>
          <w:tcPr>
            <w:tcW w:w="1736" w:type="dxa"/>
            <w:tcBorders>
              <w:tl2br w:val="nil"/>
              <w:tr2bl w:val="nil"/>
            </w:tcBorders>
            <w:vAlign w:val="center"/>
          </w:tcPr>
          <w:p w14:paraId="74F395B4">
            <w:pPr>
              <w:jc w:val="center"/>
              <w:rPr>
                <w:color w:val="000000" w:themeColor="text1"/>
                <w:kern w:val="0"/>
                <w14:textFill>
                  <w14:solidFill>
                    <w14:schemeClr w14:val="tx1"/>
                  </w14:solidFill>
                </w14:textFill>
              </w:rPr>
            </w:pPr>
            <w:r>
              <w:rPr>
                <w:rFonts w:hint="eastAsia"/>
                <w:kern w:val="21"/>
              </w:rPr>
              <w:t>移动式袋式除尘器、设置封闭负压喷漆房</w:t>
            </w:r>
          </w:p>
        </w:tc>
        <w:tc>
          <w:tcPr>
            <w:tcW w:w="3271" w:type="dxa"/>
            <w:tcBorders>
              <w:tl2br w:val="nil"/>
              <w:tr2bl w:val="nil"/>
            </w:tcBorders>
            <w:vAlign w:val="center"/>
          </w:tcPr>
          <w:p w14:paraId="3FC3053D">
            <w:pPr>
              <w:adjustRightInd w:val="0"/>
              <w:snapToGrid w:val="0"/>
              <w:jc w:val="center"/>
              <w:rPr>
                <w:color w:val="000000" w:themeColor="text1"/>
                <w14:textFill>
                  <w14:solidFill>
                    <w14:schemeClr w14:val="tx1"/>
                  </w14:solidFill>
                </w14:textFill>
              </w:rPr>
            </w:pPr>
            <w:r>
              <w:rPr>
                <w:rFonts w:hint="eastAsia"/>
                <w:color w:val="000000"/>
              </w:rPr>
              <w:t>《合成树脂工业污染物排放标准》（GB31572-2015）</w:t>
            </w:r>
            <w:r>
              <w:rPr>
                <w:rFonts w:hint="eastAsia"/>
                <w:color w:val="000000" w:themeColor="text1"/>
                <w14:textFill>
                  <w14:solidFill>
                    <w14:schemeClr w14:val="tx1"/>
                  </w14:solidFill>
                </w14:textFill>
              </w:rPr>
              <w:t>中表9企业边界大气污染物浓度限值</w:t>
            </w:r>
          </w:p>
        </w:tc>
      </w:tr>
      <w:tr w14:paraId="572891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7" w:hRule="atLeast"/>
          <w:jc w:val="center"/>
        </w:trPr>
        <w:tc>
          <w:tcPr>
            <w:tcW w:w="1186" w:type="dxa"/>
            <w:vMerge w:val="continue"/>
            <w:tcBorders>
              <w:tl2br w:val="nil"/>
              <w:tr2bl w:val="nil"/>
            </w:tcBorders>
            <w:vAlign w:val="center"/>
          </w:tcPr>
          <w:p w14:paraId="7BB0831E">
            <w:pPr>
              <w:adjustRightInd w:val="0"/>
              <w:snapToGrid w:val="0"/>
              <w:jc w:val="center"/>
              <w:rPr>
                <w:color w:val="000000" w:themeColor="text1"/>
                <w:szCs w:val="21"/>
                <w14:textFill>
                  <w14:solidFill>
                    <w14:schemeClr w14:val="tx1"/>
                  </w14:solidFill>
                </w14:textFill>
              </w:rPr>
            </w:pPr>
          </w:p>
        </w:tc>
        <w:tc>
          <w:tcPr>
            <w:tcW w:w="1507" w:type="dxa"/>
            <w:tcBorders>
              <w:tl2br w:val="nil"/>
              <w:tr2bl w:val="nil"/>
            </w:tcBorders>
            <w:vAlign w:val="center"/>
          </w:tcPr>
          <w:p w14:paraId="3DA30A9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厂区内</w:t>
            </w:r>
          </w:p>
        </w:tc>
        <w:tc>
          <w:tcPr>
            <w:tcW w:w="2154" w:type="dxa"/>
            <w:tcBorders>
              <w:tl2br w:val="nil"/>
              <w:tr2bl w:val="nil"/>
            </w:tcBorders>
            <w:vAlign w:val="center"/>
          </w:tcPr>
          <w:p w14:paraId="32D9091C">
            <w:pPr>
              <w:adjustRightInd w:val="0"/>
              <w:snapToGrid w:val="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VOCs</w:t>
            </w:r>
          </w:p>
        </w:tc>
        <w:tc>
          <w:tcPr>
            <w:tcW w:w="1736" w:type="dxa"/>
            <w:tcBorders>
              <w:tl2br w:val="nil"/>
              <w:tr2bl w:val="nil"/>
            </w:tcBorders>
            <w:vAlign w:val="center"/>
          </w:tcPr>
          <w:p w14:paraId="4B3F45FF">
            <w:pPr>
              <w:jc w:val="center"/>
              <w:rPr>
                <w:kern w:val="21"/>
              </w:rPr>
            </w:pPr>
            <w:r>
              <w:rPr>
                <w:rFonts w:hint="eastAsia"/>
                <w:kern w:val="21"/>
              </w:rPr>
              <w:t>设置封闭负压喷漆房</w:t>
            </w:r>
          </w:p>
        </w:tc>
        <w:tc>
          <w:tcPr>
            <w:tcW w:w="3271" w:type="dxa"/>
            <w:tcBorders>
              <w:tl2br w:val="nil"/>
              <w:tr2bl w:val="nil"/>
            </w:tcBorders>
            <w:vAlign w:val="center"/>
          </w:tcPr>
          <w:p w14:paraId="556D24C6">
            <w:pPr>
              <w:adjustRightInd w:val="0"/>
              <w:snapToGrid w:val="0"/>
              <w:jc w:val="center"/>
              <w:rPr>
                <w:color w:val="000000"/>
              </w:rPr>
            </w:pPr>
            <w:r>
              <w:rPr>
                <w:rFonts w:hint="eastAsia"/>
              </w:rPr>
              <w:t>《挥发性有机物无组织排放控制标准》（GB37822-2019）附录A中无组织排放限值</w:t>
            </w:r>
          </w:p>
        </w:tc>
      </w:tr>
      <w:tr w14:paraId="554D41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1186" w:type="dxa"/>
            <w:vMerge w:val="restart"/>
            <w:tcBorders>
              <w:tl2br w:val="nil"/>
              <w:tr2bl w:val="nil"/>
            </w:tcBorders>
            <w:vAlign w:val="center"/>
          </w:tcPr>
          <w:p w14:paraId="4A5B1AD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p w14:paraId="2421FBE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1507" w:type="dxa"/>
            <w:tcBorders>
              <w:tl2br w:val="nil"/>
              <w:tr2bl w:val="nil"/>
            </w:tcBorders>
            <w:vAlign w:val="center"/>
          </w:tcPr>
          <w:p w14:paraId="46C9BD8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2154" w:type="dxa"/>
            <w:tcBorders>
              <w:tl2br w:val="nil"/>
              <w:tr2bl w:val="nil"/>
            </w:tcBorders>
            <w:vAlign w:val="center"/>
          </w:tcPr>
          <w:p w14:paraId="44790AD5">
            <w:pPr>
              <w:adjustRightInd w:val="0"/>
              <w:snapToGrid w:val="0"/>
              <w:jc w:val="center"/>
              <w:rPr>
                <w:color w:val="000000" w:themeColor="text1"/>
                <w:kern w:val="0"/>
                <w:szCs w:val="21"/>
                <w14:textFill>
                  <w14:solidFill>
                    <w14:schemeClr w14:val="tx1"/>
                  </w14:solidFill>
                </w14:textFill>
              </w:rPr>
            </w:pPr>
            <w:r>
              <w:rPr>
                <w:color w:val="000000" w:themeColor="text1"/>
                <w:kern w:val="48"/>
                <w:szCs w:val="21"/>
                <w14:textFill>
                  <w14:solidFill>
                    <w14:schemeClr w14:val="tx1"/>
                  </w14:solidFill>
                </w14:textFill>
              </w:rPr>
              <w:t>COD</w:t>
            </w:r>
            <w:r>
              <w:rPr>
                <w:rFonts w:hint="eastAsia"/>
                <w:color w:val="000000" w:themeColor="text1"/>
                <w:kern w:val="48"/>
                <w:szCs w:val="21"/>
                <w14:textFill>
                  <w14:solidFill>
                    <w14:schemeClr w14:val="tx1"/>
                  </w14:solidFill>
                </w14:textFill>
              </w:rPr>
              <w:t>cr</w:t>
            </w:r>
            <w:r>
              <w:rPr>
                <w:color w:val="000000" w:themeColor="text1"/>
                <w:kern w:val="48"/>
                <w:szCs w:val="21"/>
                <w14:textFill>
                  <w14:solidFill>
                    <w14:schemeClr w14:val="tx1"/>
                  </w14:solidFill>
                </w14:textFill>
              </w:rPr>
              <w:t>、BOD</w:t>
            </w:r>
            <w:r>
              <w:rPr>
                <w:color w:val="000000" w:themeColor="text1"/>
                <w:kern w:val="48"/>
                <w:szCs w:val="21"/>
                <w:vertAlign w:val="subscript"/>
                <w14:textFill>
                  <w14:solidFill>
                    <w14:schemeClr w14:val="tx1"/>
                  </w14:solidFill>
                </w14:textFill>
              </w:rPr>
              <w:t>5</w:t>
            </w:r>
            <w:r>
              <w:rPr>
                <w:color w:val="000000" w:themeColor="text1"/>
                <w:kern w:val="48"/>
                <w:szCs w:val="21"/>
                <w14:textFill>
                  <w14:solidFill>
                    <w14:schemeClr w14:val="tx1"/>
                  </w14:solidFill>
                </w14:textFill>
              </w:rPr>
              <w:t>、NH</w:t>
            </w:r>
            <w:r>
              <w:rPr>
                <w:color w:val="000000" w:themeColor="text1"/>
                <w:kern w:val="48"/>
                <w:szCs w:val="21"/>
                <w:vertAlign w:val="subscript"/>
                <w14:textFill>
                  <w14:solidFill>
                    <w14:schemeClr w14:val="tx1"/>
                  </w14:solidFill>
                </w14:textFill>
              </w:rPr>
              <w:t>3</w:t>
            </w:r>
            <w:r>
              <w:rPr>
                <w:color w:val="000000" w:themeColor="text1"/>
                <w:kern w:val="48"/>
                <w:szCs w:val="21"/>
                <w14:textFill>
                  <w14:solidFill>
                    <w14:schemeClr w14:val="tx1"/>
                  </w14:solidFill>
                </w14:textFill>
              </w:rPr>
              <w:t>-N、SS</w:t>
            </w:r>
          </w:p>
        </w:tc>
        <w:tc>
          <w:tcPr>
            <w:tcW w:w="1736" w:type="dxa"/>
            <w:tcBorders>
              <w:tl2br w:val="nil"/>
              <w:tr2bl w:val="nil"/>
            </w:tcBorders>
            <w:vAlign w:val="center"/>
          </w:tcPr>
          <w:p w14:paraId="72A173F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w:t>
            </w:r>
          </w:p>
        </w:tc>
        <w:tc>
          <w:tcPr>
            <w:tcW w:w="3271" w:type="dxa"/>
            <w:tcBorders>
              <w:tl2br w:val="nil"/>
              <w:tr2bl w:val="nil"/>
            </w:tcBorders>
            <w:vAlign w:val="center"/>
          </w:tcPr>
          <w:p w14:paraId="36EA4B08">
            <w:pPr>
              <w:adjustRightInd w:val="0"/>
              <w:snapToGrid w:val="0"/>
              <w:jc w:val="center"/>
              <w:rPr>
                <w:color w:val="000000" w:themeColor="text1"/>
                <w:szCs w:val="21"/>
                <w14:textFill>
                  <w14:solidFill>
                    <w14:schemeClr w14:val="tx1"/>
                  </w14:solidFill>
                </w14:textFill>
              </w:rPr>
            </w:pPr>
            <w:r>
              <w:rPr>
                <w:rFonts w:hint="eastAsia"/>
                <w:color w:val="000000"/>
              </w:rPr>
              <w:t>《污水综合排放标准》（GB8978-1996）表4中三级标准</w:t>
            </w:r>
          </w:p>
        </w:tc>
      </w:tr>
      <w:tr w14:paraId="029A2B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1186" w:type="dxa"/>
            <w:vMerge w:val="continue"/>
            <w:tcBorders>
              <w:tl2br w:val="nil"/>
              <w:tr2bl w:val="nil"/>
            </w:tcBorders>
            <w:vAlign w:val="center"/>
          </w:tcPr>
          <w:p w14:paraId="6C84D225">
            <w:pPr>
              <w:adjustRightInd w:val="0"/>
              <w:snapToGrid w:val="0"/>
              <w:jc w:val="center"/>
              <w:rPr>
                <w:color w:val="000000" w:themeColor="text1"/>
                <w:szCs w:val="21"/>
                <w14:textFill>
                  <w14:solidFill>
                    <w14:schemeClr w14:val="tx1"/>
                  </w14:solidFill>
                </w14:textFill>
              </w:rPr>
            </w:pPr>
          </w:p>
        </w:tc>
        <w:tc>
          <w:tcPr>
            <w:tcW w:w="1507" w:type="dxa"/>
            <w:tcBorders>
              <w:tl2br w:val="nil"/>
              <w:tr2bl w:val="nil"/>
            </w:tcBorders>
            <w:vAlign w:val="center"/>
          </w:tcPr>
          <w:p w14:paraId="3E7EC6A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喷漆清洗废水</w:t>
            </w:r>
          </w:p>
        </w:tc>
        <w:tc>
          <w:tcPr>
            <w:tcW w:w="2154" w:type="dxa"/>
            <w:tcBorders>
              <w:tl2br w:val="nil"/>
              <w:tr2bl w:val="nil"/>
            </w:tcBorders>
            <w:vAlign w:val="center"/>
          </w:tcPr>
          <w:p w14:paraId="2098068E">
            <w:pPr>
              <w:adjustRightInd w:val="0"/>
              <w:snapToGrid w:val="0"/>
              <w:jc w:val="center"/>
              <w:rPr>
                <w:color w:val="000000" w:themeColor="text1"/>
                <w:kern w:val="48"/>
                <w:szCs w:val="21"/>
                <w14:textFill>
                  <w14:solidFill>
                    <w14:schemeClr w14:val="tx1"/>
                  </w14:solidFill>
                </w14:textFill>
              </w:rPr>
            </w:pPr>
            <w:r>
              <w:rPr>
                <w:color w:val="000000" w:themeColor="text1"/>
                <w:kern w:val="48"/>
                <w:szCs w:val="21"/>
                <w14:textFill>
                  <w14:solidFill>
                    <w14:schemeClr w14:val="tx1"/>
                  </w14:solidFill>
                </w14:textFill>
              </w:rPr>
              <w:t>SS</w:t>
            </w:r>
          </w:p>
        </w:tc>
        <w:tc>
          <w:tcPr>
            <w:tcW w:w="1736" w:type="dxa"/>
            <w:tcBorders>
              <w:tl2br w:val="nil"/>
              <w:tr2bl w:val="nil"/>
            </w:tcBorders>
            <w:vAlign w:val="center"/>
          </w:tcPr>
          <w:p w14:paraId="0340422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回用于水性漆配置用水不外排</w:t>
            </w:r>
          </w:p>
        </w:tc>
        <w:tc>
          <w:tcPr>
            <w:tcW w:w="3271" w:type="dxa"/>
            <w:tcBorders>
              <w:tl2br w:val="nil"/>
              <w:tr2bl w:val="nil"/>
            </w:tcBorders>
            <w:vAlign w:val="center"/>
          </w:tcPr>
          <w:p w14:paraId="53371129">
            <w:pPr>
              <w:adjustRightInd w:val="0"/>
              <w:snapToGrid w:val="0"/>
              <w:jc w:val="center"/>
              <w:rPr>
                <w:color w:val="000000"/>
              </w:rPr>
            </w:pPr>
            <w:r>
              <w:rPr>
                <w:rFonts w:hint="eastAsia"/>
                <w:color w:val="000000"/>
              </w:rPr>
              <w:t>/</w:t>
            </w:r>
          </w:p>
        </w:tc>
      </w:tr>
      <w:tr w14:paraId="0CCF68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vAlign w:val="center"/>
          </w:tcPr>
          <w:p w14:paraId="0FCD42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507" w:type="dxa"/>
            <w:tcBorders>
              <w:tl2br w:val="nil"/>
              <w:tr2bl w:val="nil"/>
            </w:tcBorders>
            <w:vAlign w:val="center"/>
          </w:tcPr>
          <w:p w14:paraId="5070202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生产设备</w:t>
            </w:r>
          </w:p>
        </w:tc>
        <w:tc>
          <w:tcPr>
            <w:tcW w:w="2154" w:type="dxa"/>
            <w:tcBorders>
              <w:tl2br w:val="nil"/>
              <w:tr2bl w:val="nil"/>
            </w:tcBorders>
            <w:vAlign w:val="center"/>
          </w:tcPr>
          <w:p w14:paraId="788E11F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1736" w:type="dxa"/>
            <w:tcBorders>
              <w:tl2br w:val="nil"/>
              <w:tr2bl w:val="nil"/>
            </w:tcBorders>
            <w:vAlign w:val="center"/>
          </w:tcPr>
          <w:p w14:paraId="7D5336F8">
            <w:pPr>
              <w:widowControl/>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采取消声、减震、隔声等措施</w:t>
            </w:r>
          </w:p>
        </w:tc>
        <w:tc>
          <w:tcPr>
            <w:tcW w:w="3271" w:type="dxa"/>
            <w:tcBorders>
              <w:tl2br w:val="nil"/>
              <w:tr2bl w:val="nil"/>
            </w:tcBorders>
            <w:vAlign w:val="center"/>
          </w:tcPr>
          <w:p w14:paraId="7C70C200">
            <w:pPr>
              <w:widowControl/>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《工业企业厂界环境噪声排放标准》（GB12348-2008）中</w:t>
            </w:r>
            <w:r>
              <w:rPr>
                <w:rFonts w:hint="eastAsia"/>
                <w:color w:val="000000" w:themeColor="text1"/>
                <w:szCs w:val="21"/>
                <w14:textFill>
                  <w14:solidFill>
                    <w14:schemeClr w14:val="tx1"/>
                  </w14:solidFill>
                </w14:textFill>
              </w:rPr>
              <w:t>3类标准限值</w:t>
            </w:r>
          </w:p>
        </w:tc>
      </w:tr>
      <w:tr w14:paraId="2D4A77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vAlign w:val="center"/>
          </w:tcPr>
          <w:p w14:paraId="0BDE0D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8668" w:type="dxa"/>
            <w:gridSpan w:val="4"/>
            <w:tcBorders>
              <w:tl2br w:val="nil"/>
              <w:tr2bl w:val="nil"/>
            </w:tcBorders>
            <w:vAlign w:val="center"/>
          </w:tcPr>
          <w:p w14:paraId="60BF7DD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47AEC8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restart"/>
            <w:tcBorders>
              <w:tl2br w:val="nil"/>
              <w:tr2bl w:val="nil"/>
            </w:tcBorders>
            <w:vAlign w:val="center"/>
          </w:tcPr>
          <w:p w14:paraId="1CE466C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507" w:type="dxa"/>
            <w:tcBorders>
              <w:tl2br w:val="nil"/>
              <w:tr2bl w:val="nil"/>
            </w:tcBorders>
            <w:vAlign w:val="center"/>
          </w:tcPr>
          <w:p w14:paraId="014864F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2154" w:type="dxa"/>
            <w:tcBorders>
              <w:tl2br w:val="nil"/>
              <w:tr2bl w:val="nil"/>
            </w:tcBorders>
            <w:vAlign w:val="center"/>
          </w:tcPr>
          <w:p w14:paraId="5156552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5007" w:type="dxa"/>
            <w:gridSpan w:val="2"/>
            <w:tcBorders>
              <w:tl2br w:val="nil"/>
              <w:tr2bl w:val="nil"/>
            </w:tcBorders>
            <w:vAlign w:val="center"/>
          </w:tcPr>
          <w:p w14:paraId="780DE24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收集后交由环卫部门</w:t>
            </w:r>
            <w:r>
              <w:rPr>
                <w:rFonts w:hint="eastAsia"/>
                <w:color w:val="000000" w:themeColor="text1"/>
                <w:kern w:val="0"/>
                <w:szCs w:val="21"/>
                <w14:textFill>
                  <w14:solidFill>
                    <w14:schemeClr w14:val="tx1"/>
                  </w14:solidFill>
                </w14:textFill>
              </w:rPr>
              <w:t>清运</w:t>
            </w:r>
          </w:p>
        </w:tc>
      </w:tr>
      <w:tr w14:paraId="45065D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2" w:hRule="atLeast"/>
          <w:jc w:val="center"/>
        </w:trPr>
        <w:tc>
          <w:tcPr>
            <w:tcW w:w="1186" w:type="dxa"/>
            <w:vMerge w:val="continue"/>
            <w:tcBorders>
              <w:tl2br w:val="nil"/>
              <w:tr2bl w:val="nil"/>
            </w:tcBorders>
            <w:vAlign w:val="center"/>
          </w:tcPr>
          <w:p w14:paraId="173CE00E">
            <w:pPr>
              <w:adjustRightInd w:val="0"/>
              <w:snapToGrid w:val="0"/>
              <w:jc w:val="center"/>
              <w:rPr>
                <w:color w:val="000000" w:themeColor="text1"/>
                <w:szCs w:val="21"/>
                <w14:textFill>
                  <w14:solidFill>
                    <w14:schemeClr w14:val="tx1"/>
                  </w14:solidFill>
                </w14:textFill>
              </w:rPr>
            </w:pPr>
          </w:p>
        </w:tc>
        <w:tc>
          <w:tcPr>
            <w:tcW w:w="1507" w:type="dxa"/>
            <w:vMerge w:val="restart"/>
            <w:tcBorders>
              <w:tl2br w:val="nil"/>
              <w:tr2bl w:val="nil"/>
            </w:tcBorders>
            <w:vAlign w:val="center"/>
          </w:tcPr>
          <w:p w14:paraId="156C4A5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一般固体废物</w:t>
            </w:r>
          </w:p>
        </w:tc>
        <w:tc>
          <w:tcPr>
            <w:tcW w:w="2154" w:type="dxa"/>
            <w:tcBorders>
              <w:tl2br w:val="nil"/>
              <w:tr2bl w:val="nil"/>
            </w:tcBorders>
            <w:vAlign w:val="center"/>
          </w:tcPr>
          <w:p w14:paraId="766B8EA4">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废钢材边角料</w:t>
            </w:r>
          </w:p>
        </w:tc>
        <w:tc>
          <w:tcPr>
            <w:tcW w:w="1736" w:type="dxa"/>
            <w:vMerge w:val="restart"/>
            <w:tcBorders>
              <w:tl2br w:val="nil"/>
              <w:tr2bl w:val="nil"/>
            </w:tcBorders>
            <w:vAlign w:val="center"/>
          </w:tcPr>
          <w:p w14:paraId="174C1088">
            <w:pPr>
              <w:adjustRightInd w:val="0"/>
              <w:snapToGrid w:val="0"/>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分类收集于一般固体废物暂存间，定期外售综合利用</w:t>
            </w:r>
          </w:p>
        </w:tc>
        <w:tc>
          <w:tcPr>
            <w:tcW w:w="3271" w:type="dxa"/>
            <w:vMerge w:val="restart"/>
            <w:tcBorders>
              <w:tl2br w:val="nil"/>
              <w:tr2bl w:val="nil"/>
            </w:tcBorders>
            <w:vAlign w:val="center"/>
          </w:tcPr>
          <w:p w14:paraId="5C22FB0F">
            <w:pPr>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《一般工业固体废物贮存和填埋污染控制标准》（GB18599-2020）中相关标准</w:t>
            </w:r>
          </w:p>
        </w:tc>
      </w:tr>
      <w:tr w14:paraId="08D50D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203D8BF5">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742F0008">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4A211E6E">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焊渣</w:t>
            </w:r>
          </w:p>
        </w:tc>
        <w:tc>
          <w:tcPr>
            <w:tcW w:w="1736" w:type="dxa"/>
            <w:vMerge w:val="continue"/>
            <w:tcBorders>
              <w:tl2br w:val="nil"/>
              <w:tr2bl w:val="nil"/>
            </w:tcBorders>
            <w:vAlign w:val="center"/>
          </w:tcPr>
          <w:p w14:paraId="73992E9C">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569E0FE8">
            <w:pPr>
              <w:adjustRightInd w:val="0"/>
              <w:snapToGrid w:val="0"/>
              <w:jc w:val="center"/>
              <w:rPr>
                <w:color w:val="000000" w:themeColor="text1"/>
                <w:kern w:val="0"/>
                <w:szCs w:val="21"/>
                <w14:textFill>
                  <w14:solidFill>
                    <w14:schemeClr w14:val="tx1"/>
                  </w14:solidFill>
                </w14:textFill>
              </w:rPr>
            </w:pPr>
          </w:p>
        </w:tc>
      </w:tr>
      <w:tr w14:paraId="42BB2C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510" w:hRule="atLeast"/>
          <w:jc w:val="center"/>
        </w:trPr>
        <w:tc>
          <w:tcPr>
            <w:tcW w:w="1186" w:type="dxa"/>
            <w:vMerge w:val="continue"/>
            <w:tcBorders>
              <w:tl2br w:val="nil"/>
              <w:tr2bl w:val="nil"/>
            </w:tcBorders>
            <w:vAlign w:val="center"/>
          </w:tcPr>
          <w:p w14:paraId="70692AA8">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0D965EE7">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5CC37EBC">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废布袋</w:t>
            </w:r>
          </w:p>
        </w:tc>
        <w:tc>
          <w:tcPr>
            <w:tcW w:w="1736" w:type="dxa"/>
            <w:vMerge w:val="continue"/>
            <w:tcBorders>
              <w:tl2br w:val="nil"/>
              <w:tr2bl w:val="nil"/>
            </w:tcBorders>
            <w:vAlign w:val="center"/>
          </w:tcPr>
          <w:p w14:paraId="52E1E2B0">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3EC26576">
            <w:pPr>
              <w:adjustRightInd w:val="0"/>
              <w:snapToGrid w:val="0"/>
              <w:jc w:val="center"/>
              <w:rPr>
                <w:color w:val="000000" w:themeColor="text1"/>
                <w:kern w:val="0"/>
                <w:szCs w:val="21"/>
                <w14:textFill>
                  <w14:solidFill>
                    <w14:schemeClr w14:val="tx1"/>
                  </w14:solidFill>
                </w14:textFill>
              </w:rPr>
            </w:pPr>
          </w:p>
        </w:tc>
      </w:tr>
      <w:tr w14:paraId="6CAEDF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21A4DD52">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4CCB4657">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2D56503F">
            <w:pPr>
              <w:pStyle w:val="18"/>
              <w:ind w:left="0" w:leftChars="0"/>
              <w:jc w:val="center"/>
              <w:rPr>
                <w:color w:val="000000" w:themeColor="text1"/>
                <w:kern w:val="0"/>
                <w:szCs w:val="24"/>
                <w:lang w:bidi="ar"/>
                <w14:textFill>
                  <w14:solidFill>
                    <w14:schemeClr w14:val="tx1"/>
                  </w14:solidFill>
                </w14:textFill>
              </w:rPr>
            </w:pPr>
            <w:r>
              <w:rPr>
                <w:rFonts w:hint="eastAsia"/>
                <w:color w:val="000000" w:themeColor="text1"/>
                <w:szCs w:val="24"/>
                <w14:textFill>
                  <w14:solidFill>
                    <w14:schemeClr w14:val="tx1"/>
                  </w14:solidFill>
                </w14:textFill>
              </w:rPr>
              <w:t>袋式除尘器收集粉尘</w:t>
            </w:r>
          </w:p>
        </w:tc>
        <w:tc>
          <w:tcPr>
            <w:tcW w:w="1736" w:type="dxa"/>
            <w:vMerge w:val="continue"/>
            <w:tcBorders>
              <w:tl2br w:val="nil"/>
              <w:tr2bl w:val="nil"/>
            </w:tcBorders>
            <w:vAlign w:val="center"/>
          </w:tcPr>
          <w:p w14:paraId="63515627">
            <w:pPr>
              <w:adjustRightInd w:val="0"/>
              <w:snapToGrid w:val="0"/>
              <w:jc w:val="center"/>
              <w:rPr>
                <w:snapToGrid w:val="0"/>
                <w:color w:val="000000" w:themeColor="text1"/>
                <w:szCs w:val="21"/>
                <w14:textFill>
                  <w14:solidFill>
                    <w14:schemeClr w14:val="tx1"/>
                  </w14:solidFill>
                </w14:textFill>
              </w:rPr>
            </w:pPr>
          </w:p>
        </w:tc>
        <w:tc>
          <w:tcPr>
            <w:tcW w:w="3271" w:type="dxa"/>
            <w:vMerge w:val="continue"/>
            <w:tcBorders>
              <w:tl2br w:val="nil"/>
              <w:tr2bl w:val="nil"/>
            </w:tcBorders>
            <w:vAlign w:val="center"/>
          </w:tcPr>
          <w:p w14:paraId="42630B22">
            <w:pPr>
              <w:adjustRightInd w:val="0"/>
              <w:snapToGrid w:val="0"/>
              <w:jc w:val="center"/>
              <w:rPr>
                <w:color w:val="000000" w:themeColor="text1"/>
                <w:kern w:val="0"/>
                <w:szCs w:val="21"/>
                <w14:textFill>
                  <w14:solidFill>
                    <w14:schemeClr w14:val="tx1"/>
                  </w14:solidFill>
                </w14:textFill>
              </w:rPr>
            </w:pPr>
          </w:p>
        </w:tc>
      </w:tr>
      <w:tr w14:paraId="53A315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0BC434DE">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012CE51F">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325E79C7">
            <w:pPr>
              <w:pStyle w:val="18"/>
              <w:ind w:left="0" w:leftChars="0"/>
              <w:jc w:val="center"/>
              <w:rPr>
                <w:color w:val="000000" w:themeColor="text1"/>
                <w:kern w:val="0"/>
                <w:szCs w:val="24"/>
                <w:lang w:bidi="ar"/>
                <w14:textFill>
                  <w14:solidFill>
                    <w14:schemeClr w14:val="tx1"/>
                  </w14:solidFill>
                </w14:textFill>
              </w:rPr>
            </w:pPr>
            <w:r>
              <w:rPr>
                <w:rFonts w:hint="eastAsia"/>
                <w:color w:val="000000" w:themeColor="text1"/>
                <w:szCs w:val="24"/>
                <w14:textFill>
                  <w14:solidFill>
                    <w14:schemeClr w14:val="tx1"/>
                  </w14:solidFill>
                </w14:textFill>
              </w:rPr>
              <w:t>废钢丸</w:t>
            </w:r>
          </w:p>
        </w:tc>
        <w:tc>
          <w:tcPr>
            <w:tcW w:w="1736" w:type="dxa"/>
            <w:vMerge w:val="continue"/>
            <w:tcBorders>
              <w:tl2br w:val="nil"/>
              <w:tr2bl w:val="nil"/>
            </w:tcBorders>
            <w:vAlign w:val="center"/>
          </w:tcPr>
          <w:p w14:paraId="6D72A4E1">
            <w:pPr>
              <w:adjustRightInd w:val="0"/>
              <w:snapToGrid w:val="0"/>
              <w:jc w:val="center"/>
              <w:rPr>
                <w:snapToGrid w:val="0"/>
                <w:color w:val="000000" w:themeColor="text1"/>
                <w:szCs w:val="21"/>
                <w14:textFill>
                  <w14:solidFill>
                    <w14:schemeClr w14:val="tx1"/>
                  </w14:solidFill>
                </w14:textFill>
              </w:rPr>
            </w:pPr>
          </w:p>
        </w:tc>
        <w:tc>
          <w:tcPr>
            <w:tcW w:w="3271" w:type="dxa"/>
            <w:vMerge w:val="continue"/>
            <w:tcBorders>
              <w:tl2br w:val="nil"/>
              <w:tr2bl w:val="nil"/>
            </w:tcBorders>
            <w:vAlign w:val="center"/>
          </w:tcPr>
          <w:p w14:paraId="622C2C0F">
            <w:pPr>
              <w:adjustRightInd w:val="0"/>
              <w:snapToGrid w:val="0"/>
              <w:jc w:val="center"/>
              <w:rPr>
                <w:color w:val="000000" w:themeColor="text1"/>
                <w:kern w:val="0"/>
                <w:szCs w:val="21"/>
                <w14:textFill>
                  <w14:solidFill>
                    <w14:schemeClr w14:val="tx1"/>
                  </w14:solidFill>
                </w14:textFill>
              </w:rPr>
            </w:pPr>
          </w:p>
        </w:tc>
      </w:tr>
      <w:tr w14:paraId="5F7E3C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3274898E">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3BCDE5FA">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64FC760B">
            <w:pPr>
              <w:pStyle w:val="18"/>
              <w:ind w:left="0" w:leftChars="0"/>
              <w:jc w:val="center"/>
              <w:rPr>
                <w:color w:val="000000" w:themeColor="text1"/>
                <w:kern w:val="0"/>
                <w:szCs w:val="24"/>
                <w:lang w:bidi="ar"/>
                <w14:textFill>
                  <w14:solidFill>
                    <w14:schemeClr w14:val="tx1"/>
                  </w14:solidFill>
                </w14:textFill>
              </w:rPr>
            </w:pPr>
            <w:r>
              <w:rPr>
                <w:rFonts w:hint="eastAsia"/>
                <w:color w:val="000000" w:themeColor="text1"/>
                <w:szCs w:val="24"/>
                <w14:textFill>
                  <w14:solidFill>
                    <w14:schemeClr w14:val="tx1"/>
                  </w14:solidFill>
                </w14:textFill>
              </w:rPr>
              <w:t>生活垃圾</w:t>
            </w:r>
          </w:p>
        </w:tc>
        <w:tc>
          <w:tcPr>
            <w:tcW w:w="1736" w:type="dxa"/>
            <w:vMerge w:val="continue"/>
            <w:tcBorders>
              <w:tl2br w:val="nil"/>
              <w:tr2bl w:val="nil"/>
            </w:tcBorders>
            <w:vAlign w:val="center"/>
          </w:tcPr>
          <w:p w14:paraId="4449761D">
            <w:pPr>
              <w:adjustRightInd w:val="0"/>
              <w:snapToGrid w:val="0"/>
              <w:jc w:val="center"/>
              <w:rPr>
                <w:snapToGrid w:val="0"/>
                <w:color w:val="000000" w:themeColor="text1"/>
                <w:szCs w:val="21"/>
                <w14:textFill>
                  <w14:solidFill>
                    <w14:schemeClr w14:val="tx1"/>
                  </w14:solidFill>
                </w14:textFill>
              </w:rPr>
            </w:pPr>
          </w:p>
        </w:tc>
        <w:tc>
          <w:tcPr>
            <w:tcW w:w="3271" w:type="dxa"/>
            <w:vMerge w:val="continue"/>
            <w:tcBorders>
              <w:tl2br w:val="nil"/>
              <w:tr2bl w:val="nil"/>
            </w:tcBorders>
            <w:vAlign w:val="center"/>
          </w:tcPr>
          <w:p w14:paraId="51450283">
            <w:pPr>
              <w:adjustRightInd w:val="0"/>
              <w:snapToGrid w:val="0"/>
              <w:jc w:val="center"/>
              <w:rPr>
                <w:color w:val="000000" w:themeColor="text1"/>
                <w:kern w:val="0"/>
                <w:szCs w:val="21"/>
                <w14:textFill>
                  <w14:solidFill>
                    <w14:schemeClr w14:val="tx1"/>
                  </w14:solidFill>
                </w14:textFill>
              </w:rPr>
            </w:pPr>
          </w:p>
        </w:tc>
      </w:tr>
      <w:tr w14:paraId="02E102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08E2C27B">
            <w:pPr>
              <w:adjustRightInd w:val="0"/>
              <w:snapToGrid w:val="0"/>
              <w:jc w:val="center"/>
              <w:rPr>
                <w:color w:val="000000" w:themeColor="text1"/>
                <w:kern w:val="0"/>
                <w:szCs w:val="21"/>
                <w14:textFill>
                  <w14:solidFill>
                    <w14:schemeClr w14:val="tx1"/>
                  </w14:solidFill>
                </w14:textFill>
              </w:rPr>
            </w:pPr>
          </w:p>
        </w:tc>
        <w:tc>
          <w:tcPr>
            <w:tcW w:w="1507" w:type="dxa"/>
            <w:vMerge w:val="restart"/>
            <w:tcBorders>
              <w:tl2br w:val="nil"/>
              <w:tr2bl w:val="nil"/>
            </w:tcBorders>
            <w:vAlign w:val="center"/>
          </w:tcPr>
          <w:p w14:paraId="7E4B97F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危险废物</w:t>
            </w:r>
          </w:p>
        </w:tc>
        <w:tc>
          <w:tcPr>
            <w:tcW w:w="2154" w:type="dxa"/>
            <w:tcBorders>
              <w:tl2br w:val="nil"/>
              <w:tr2bl w:val="nil"/>
            </w:tcBorders>
            <w:vAlign w:val="center"/>
          </w:tcPr>
          <w:p w14:paraId="3511A9CF">
            <w:pPr>
              <w:pStyle w:val="18"/>
              <w:ind w:left="0" w:leftChars="0"/>
              <w:jc w:val="center"/>
              <w:rPr>
                <w:color w:val="000000" w:themeColor="text1"/>
                <w:kern w:val="0"/>
                <w:szCs w:val="24"/>
                <w14:textFill>
                  <w14:solidFill>
                    <w14:schemeClr w14:val="tx1"/>
                  </w14:solidFill>
                </w14:textFill>
              </w:rPr>
            </w:pPr>
            <w:r>
              <w:rPr>
                <w:rFonts w:hint="eastAsia"/>
                <w:color w:val="000000" w:themeColor="text1"/>
                <w:kern w:val="0"/>
                <w:szCs w:val="24"/>
                <w:lang w:bidi="ar"/>
                <w14:textFill>
                  <w14:solidFill>
                    <w14:schemeClr w14:val="tx1"/>
                  </w14:solidFill>
                </w14:textFill>
              </w:rPr>
              <w:t>废水性漆桶</w:t>
            </w:r>
          </w:p>
        </w:tc>
        <w:tc>
          <w:tcPr>
            <w:tcW w:w="1736" w:type="dxa"/>
            <w:vMerge w:val="restart"/>
            <w:tcBorders>
              <w:tl2br w:val="nil"/>
              <w:tr2bl w:val="nil"/>
            </w:tcBorders>
            <w:vAlign w:val="center"/>
          </w:tcPr>
          <w:p w14:paraId="01AC445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分类收集暂存于危废间，定期</w:t>
            </w:r>
            <w:r>
              <w:rPr>
                <w:color w:val="000000" w:themeColor="text1"/>
                <w:kern w:val="0"/>
                <w:szCs w:val="21"/>
                <w14:textFill>
                  <w14:solidFill>
                    <w14:schemeClr w14:val="tx1"/>
                  </w14:solidFill>
                </w14:textFill>
              </w:rPr>
              <w:t>委托有危废处理资质单位处</w:t>
            </w:r>
            <w:r>
              <w:rPr>
                <w:rFonts w:hint="eastAsia"/>
                <w:color w:val="000000" w:themeColor="text1"/>
                <w:kern w:val="0"/>
                <w:szCs w:val="21"/>
                <w14:textFill>
                  <w14:solidFill>
                    <w14:schemeClr w14:val="tx1"/>
                  </w14:solidFill>
                </w14:textFill>
              </w:rPr>
              <w:t>置</w:t>
            </w:r>
          </w:p>
        </w:tc>
        <w:tc>
          <w:tcPr>
            <w:tcW w:w="3271" w:type="dxa"/>
            <w:vMerge w:val="restart"/>
            <w:tcBorders>
              <w:tl2br w:val="nil"/>
              <w:tr2bl w:val="nil"/>
            </w:tcBorders>
            <w:vAlign w:val="center"/>
          </w:tcPr>
          <w:p w14:paraId="48C684CA">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《危险废物贮存污染控制标准》（GB18597-2023）</w:t>
            </w:r>
          </w:p>
        </w:tc>
      </w:tr>
      <w:tr w14:paraId="611A0E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0D21B79D">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618DB6A3">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14A46952">
            <w:pPr>
              <w:pStyle w:val="18"/>
              <w:ind w:left="0" w:leftChars="0"/>
              <w:jc w:val="center"/>
              <w:rPr>
                <w:color w:val="000000" w:themeColor="text1"/>
                <w:szCs w:val="24"/>
                <w14:textFill>
                  <w14:solidFill>
                    <w14:schemeClr w14:val="tx1"/>
                  </w14:solidFill>
                </w14:textFill>
              </w:rPr>
            </w:pPr>
            <w:r>
              <w:rPr>
                <w:rFonts w:hint="eastAsia"/>
                <w:color w:val="000000"/>
                <w:szCs w:val="24"/>
              </w:rPr>
              <w:t>水性漆漆渣</w:t>
            </w:r>
          </w:p>
        </w:tc>
        <w:tc>
          <w:tcPr>
            <w:tcW w:w="1736" w:type="dxa"/>
            <w:vMerge w:val="continue"/>
            <w:tcBorders>
              <w:tl2br w:val="nil"/>
              <w:tr2bl w:val="nil"/>
            </w:tcBorders>
            <w:vAlign w:val="center"/>
          </w:tcPr>
          <w:p w14:paraId="02691861">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14D8ED73">
            <w:pPr>
              <w:adjustRightInd w:val="0"/>
              <w:snapToGrid w:val="0"/>
              <w:jc w:val="center"/>
              <w:rPr>
                <w:color w:val="000000" w:themeColor="text1"/>
                <w:szCs w:val="21"/>
                <w14:textFill>
                  <w14:solidFill>
                    <w14:schemeClr w14:val="tx1"/>
                  </w14:solidFill>
                </w14:textFill>
              </w:rPr>
            </w:pPr>
          </w:p>
        </w:tc>
      </w:tr>
      <w:tr w14:paraId="0F7270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3FB2C32B">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47F60FCE">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45C91ABE">
            <w:pPr>
              <w:pStyle w:val="18"/>
              <w:ind w:left="0" w:leftChars="0"/>
              <w:jc w:val="center"/>
              <w:rPr>
                <w:color w:val="000000" w:themeColor="text1"/>
                <w:szCs w:val="24"/>
                <w14:textFill>
                  <w14:solidFill>
                    <w14:schemeClr w14:val="tx1"/>
                  </w14:solidFill>
                </w14:textFill>
              </w:rPr>
            </w:pPr>
            <w:r>
              <w:rPr>
                <w:rFonts w:hint="eastAsia"/>
                <w:color w:val="000000"/>
                <w:szCs w:val="24"/>
              </w:rPr>
              <w:t>废活性炭</w:t>
            </w:r>
          </w:p>
        </w:tc>
        <w:tc>
          <w:tcPr>
            <w:tcW w:w="1736" w:type="dxa"/>
            <w:vMerge w:val="continue"/>
            <w:tcBorders>
              <w:tl2br w:val="nil"/>
              <w:tr2bl w:val="nil"/>
            </w:tcBorders>
            <w:vAlign w:val="center"/>
          </w:tcPr>
          <w:p w14:paraId="4F13BABF">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42F0156B">
            <w:pPr>
              <w:adjustRightInd w:val="0"/>
              <w:snapToGrid w:val="0"/>
              <w:jc w:val="center"/>
              <w:rPr>
                <w:color w:val="000000" w:themeColor="text1"/>
                <w:szCs w:val="21"/>
                <w14:textFill>
                  <w14:solidFill>
                    <w14:schemeClr w14:val="tx1"/>
                  </w14:solidFill>
                </w14:textFill>
              </w:rPr>
            </w:pPr>
          </w:p>
        </w:tc>
      </w:tr>
      <w:tr w14:paraId="326BDC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3445708B">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66FB5F4F">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5484393B">
            <w:pPr>
              <w:pStyle w:val="18"/>
              <w:ind w:left="0" w:leftChars="0"/>
              <w:jc w:val="center"/>
              <w:rPr>
                <w:color w:val="000000"/>
                <w:szCs w:val="24"/>
              </w:rPr>
            </w:pPr>
            <w:r>
              <w:rPr>
                <w:rFonts w:hint="eastAsia"/>
                <w:color w:val="000000"/>
                <w:szCs w:val="24"/>
              </w:rPr>
              <w:t>废过滤棉</w:t>
            </w:r>
          </w:p>
        </w:tc>
        <w:tc>
          <w:tcPr>
            <w:tcW w:w="1736" w:type="dxa"/>
            <w:vMerge w:val="continue"/>
            <w:tcBorders>
              <w:tl2br w:val="nil"/>
              <w:tr2bl w:val="nil"/>
            </w:tcBorders>
            <w:vAlign w:val="center"/>
          </w:tcPr>
          <w:p w14:paraId="6F947CF9">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2E8B55EB">
            <w:pPr>
              <w:adjustRightInd w:val="0"/>
              <w:snapToGrid w:val="0"/>
              <w:jc w:val="center"/>
              <w:rPr>
                <w:color w:val="000000" w:themeColor="text1"/>
                <w:szCs w:val="21"/>
                <w14:textFill>
                  <w14:solidFill>
                    <w14:schemeClr w14:val="tx1"/>
                  </w14:solidFill>
                </w14:textFill>
              </w:rPr>
            </w:pPr>
          </w:p>
        </w:tc>
      </w:tr>
      <w:tr w14:paraId="264A87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38A75D33">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07AF311E">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66FBF93A">
            <w:pPr>
              <w:pStyle w:val="18"/>
              <w:ind w:left="0" w:leftChars="0"/>
              <w:jc w:val="center"/>
              <w:rPr>
                <w:color w:val="000000"/>
                <w:szCs w:val="24"/>
              </w:rPr>
            </w:pPr>
            <w:r>
              <w:rPr>
                <w:rFonts w:hint="eastAsia"/>
                <w:color w:val="000000"/>
                <w:szCs w:val="24"/>
              </w:rPr>
              <w:t>废润滑油及其包装桶</w:t>
            </w:r>
          </w:p>
        </w:tc>
        <w:tc>
          <w:tcPr>
            <w:tcW w:w="1736" w:type="dxa"/>
            <w:vMerge w:val="continue"/>
            <w:tcBorders>
              <w:tl2br w:val="nil"/>
              <w:tr2bl w:val="nil"/>
            </w:tcBorders>
            <w:vAlign w:val="center"/>
          </w:tcPr>
          <w:p w14:paraId="6B952226">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534C0437">
            <w:pPr>
              <w:adjustRightInd w:val="0"/>
              <w:snapToGrid w:val="0"/>
              <w:jc w:val="center"/>
              <w:rPr>
                <w:color w:val="000000" w:themeColor="text1"/>
                <w:szCs w:val="21"/>
                <w14:textFill>
                  <w14:solidFill>
                    <w14:schemeClr w14:val="tx1"/>
                  </w14:solidFill>
                </w14:textFill>
              </w:rPr>
            </w:pPr>
          </w:p>
        </w:tc>
      </w:tr>
      <w:tr w14:paraId="769847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vMerge w:val="continue"/>
            <w:tcBorders>
              <w:tl2br w:val="nil"/>
              <w:tr2bl w:val="nil"/>
            </w:tcBorders>
            <w:vAlign w:val="center"/>
          </w:tcPr>
          <w:p w14:paraId="144D4FB0">
            <w:pPr>
              <w:adjustRightInd w:val="0"/>
              <w:snapToGrid w:val="0"/>
              <w:jc w:val="center"/>
              <w:rPr>
                <w:color w:val="000000" w:themeColor="text1"/>
                <w:kern w:val="0"/>
                <w:szCs w:val="21"/>
                <w14:textFill>
                  <w14:solidFill>
                    <w14:schemeClr w14:val="tx1"/>
                  </w14:solidFill>
                </w14:textFill>
              </w:rPr>
            </w:pPr>
          </w:p>
        </w:tc>
        <w:tc>
          <w:tcPr>
            <w:tcW w:w="1507" w:type="dxa"/>
            <w:vMerge w:val="continue"/>
            <w:tcBorders>
              <w:tl2br w:val="nil"/>
              <w:tr2bl w:val="nil"/>
            </w:tcBorders>
            <w:vAlign w:val="center"/>
          </w:tcPr>
          <w:p w14:paraId="74F6DC70">
            <w:pPr>
              <w:adjustRightInd w:val="0"/>
              <w:snapToGrid w:val="0"/>
              <w:jc w:val="center"/>
              <w:rPr>
                <w:color w:val="000000" w:themeColor="text1"/>
                <w:kern w:val="0"/>
                <w:szCs w:val="21"/>
                <w14:textFill>
                  <w14:solidFill>
                    <w14:schemeClr w14:val="tx1"/>
                  </w14:solidFill>
                </w14:textFill>
              </w:rPr>
            </w:pPr>
          </w:p>
        </w:tc>
        <w:tc>
          <w:tcPr>
            <w:tcW w:w="2154" w:type="dxa"/>
            <w:tcBorders>
              <w:tl2br w:val="nil"/>
              <w:tr2bl w:val="nil"/>
            </w:tcBorders>
            <w:vAlign w:val="center"/>
          </w:tcPr>
          <w:p w14:paraId="3D73BC29">
            <w:pPr>
              <w:pStyle w:val="18"/>
              <w:ind w:left="0" w:leftChars="0"/>
              <w:jc w:val="center"/>
              <w:rPr>
                <w:color w:val="000000"/>
                <w:szCs w:val="24"/>
              </w:rPr>
            </w:pPr>
            <w:r>
              <w:rPr>
                <w:rFonts w:hint="eastAsia"/>
                <w:color w:val="000000"/>
                <w:szCs w:val="24"/>
              </w:rPr>
              <w:t>含油抹布及手套</w:t>
            </w:r>
          </w:p>
        </w:tc>
        <w:tc>
          <w:tcPr>
            <w:tcW w:w="1736" w:type="dxa"/>
            <w:vMerge w:val="continue"/>
            <w:tcBorders>
              <w:tl2br w:val="nil"/>
              <w:tr2bl w:val="nil"/>
            </w:tcBorders>
            <w:vAlign w:val="center"/>
          </w:tcPr>
          <w:p w14:paraId="1C0633F5">
            <w:pPr>
              <w:adjustRightInd w:val="0"/>
              <w:snapToGrid w:val="0"/>
              <w:jc w:val="center"/>
              <w:rPr>
                <w:color w:val="000000" w:themeColor="text1"/>
                <w:kern w:val="0"/>
                <w:szCs w:val="21"/>
                <w14:textFill>
                  <w14:solidFill>
                    <w14:schemeClr w14:val="tx1"/>
                  </w14:solidFill>
                </w14:textFill>
              </w:rPr>
            </w:pPr>
          </w:p>
        </w:tc>
        <w:tc>
          <w:tcPr>
            <w:tcW w:w="3271" w:type="dxa"/>
            <w:vMerge w:val="continue"/>
            <w:tcBorders>
              <w:tl2br w:val="nil"/>
              <w:tr2bl w:val="nil"/>
            </w:tcBorders>
            <w:vAlign w:val="center"/>
          </w:tcPr>
          <w:p w14:paraId="35040749">
            <w:pPr>
              <w:adjustRightInd w:val="0"/>
              <w:snapToGrid w:val="0"/>
              <w:jc w:val="center"/>
              <w:rPr>
                <w:color w:val="000000" w:themeColor="text1"/>
                <w:szCs w:val="21"/>
                <w14:textFill>
                  <w14:solidFill>
                    <w14:schemeClr w14:val="tx1"/>
                  </w14:solidFill>
                </w14:textFill>
              </w:rPr>
            </w:pPr>
          </w:p>
        </w:tc>
      </w:tr>
      <w:tr w14:paraId="7C69C1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vAlign w:val="center"/>
          </w:tcPr>
          <w:p w14:paraId="4B0453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8668" w:type="dxa"/>
            <w:gridSpan w:val="4"/>
            <w:tcBorders>
              <w:tl2br w:val="nil"/>
              <w:tr2bl w:val="nil"/>
            </w:tcBorders>
            <w:vAlign w:val="center"/>
          </w:tcPr>
          <w:p w14:paraId="00093603">
            <w:pPr>
              <w:adjustRightInd w:val="0"/>
              <w:snapToGrid w:val="0"/>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危废暂存间、液态原料区等地面进行重点防渗。</w:t>
            </w:r>
          </w:p>
        </w:tc>
      </w:tr>
      <w:tr w14:paraId="30278A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vAlign w:val="center"/>
          </w:tcPr>
          <w:p w14:paraId="0030E5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8668" w:type="dxa"/>
            <w:gridSpan w:val="4"/>
            <w:tcBorders>
              <w:tl2br w:val="nil"/>
              <w:tr2bl w:val="nil"/>
            </w:tcBorders>
            <w:vAlign w:val="center"/>
          </w:tcPr>
          <w:p w14:paraId="6EE707E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2E37B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vAlign w:val="center"/>
          </w:tcPr>
          <w:p w14:paraId="77F76253">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环境风险防范措施</w:t>
            </w:r>
          </w:p>
        </w:tc>
        <w:tc>
          <w:tcPr>
            <w:tcW w:w="8668" w:type="dxa"/>
            <w:gridSpan w:val="4"/>
            <w:tcBorders>
              <w:tl2br w:val="nil"/>
              <w:tr2bl w:val="nil"/>
            </w:tcBorders>
          </w:tcPr>
          <w:p w14:paraId="6883F05A">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（1）废气事故排放风险防范措施</w:t>
            </w:r>
          </w:p>
          <w:p w14:paraId="28A8A39C">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cs="宋体"/>
                <w:color w:val="000000"/>
                <w:kern w:val="2"/>
                <w:szCs w:val="24"/>
              </w:rPr>
              <w:t>①</w:t>
            </w:r>
            <w:r>
              <w:rPr>
                <w:rFonts w:ascii="Times New Roman" w:hAnsi="Times New Roman"/>
                <w:color w:val="000000"/>
                <w:kern w:val="2"/>
                <w:szCs w:val="24"/>
              </w:rPr>
              <w:t>应加强对废气的运行管理，消除运行隐患，加强设备的检修，及时对故障进行处理，确保设施处于良好的运行状态</w:t>
            </w:r>
            <w:r>
              <w:rPr>
                <w:rFonts w:hint="eastAsia" w:ascii="Times New Roman" w:hAnsi="Times New Roman"/>
                <w:color w:val="000000"/>
                <w:kern w:val="2"/>
                <w:szCs w:val="24"/>
              </w:rPr>
              <w:t>。</w:t>
            </w:r>
          </w:p>
          <w:p w14:paraId="68995543">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cs="宋体"/>
                <w:color w:val="000000"/>
                <w:kern w:val="2"/>
                <w:szCs w:val="24"/>
              </w:rPr>
              <w:t>②</w:t>
            </w:r>
            <w:r>
              <w:rPr>
                <w:rFonts w:ascii="Times New Roman" w:hAnsi="Times New Roman"/>
                <w:color w:val="000000"/>
                <w:kern w:val="2"/>
                <w:szCs w:val="24"/>
              </w:rPr>
              <w:t>为保证除尘效率，提高设备的运行率，应重视除尘器的日常管理，保证</w:t>
            </w:r>
            <w:r>
              <w:rPr>
                <w:rFonts w:hint="eastAsia" w:ascii="Times New Roman" w:hAnsi="Times New Roman"/>
                <w:color w:val="000000"/>
                <w:kern w:val="2"/>
                <w:szCs w:val="24"/>
              </w:rPr>
              <w:t>设备</w:t>
            </w:r>
            <w:r>
              <w:rPr>
                <w:rFonts w:ascii="Times New Roman" w:hAnsi="Times New Roman"/>
                <w:color w:val="000000"/>
                <w:kern w:val="2"/>
                <w:szCs w:val="24"/>
              </w:rPr>
              <w:t>的除尘效率，避免其发生事故的可能。袋式除尘器发生破裂等故障导致颗粒物</w:t>
            </w:r>
            <w:r>
              <w:rPr>
                <w:rFonts w:hint="eastAsia" w:ascii="Times New Roman" w:hAnsi="Times New Roman"/>
                <w:color w:val="000000"/>
                <w:kern w:val="2"/>
                <w:szCs w:val="24"/>
              </w:rPr>
              <w:t>排放量</w:t>
            </w:r>
            <w:r>
              <w:rPr>
                <w:rFonts w:ascii="Times New Roman" w:hAnsi="Times New Roman"/>
                <w:color w:val="000000"/>
                <w:kern w:val="2"/>
                <w:szCs w:val="24"/>
              </w:rPr>
              <w:t>增加时，必须停产检修，减少对环境的影响</w:t>
            </w:r>
            <w:r>
              <w:rPr>
                <w:rFonts w:hint="eastAsia" w:ascii="Times New Roman" w:hAnsi="Times New Roman"/>
                <w:color w:val="000000"/>
                <w:kern w:val="2"/>
                <w:szCs w:val="24"/>
              </w:rPr>
              <w:t>。</w:t>
            </w:r>
          </w:p>
          <w:p w14:paraId="5D68D104">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asciiTheme="majorEastAsia" w:hAnsiTheme="majorEastAsia" w:eastAsiaTheme="majorEastAsia" w:cstheme="majorEastAsia"/>
                <w:color w:val="000000"/>
                <w:kern w:val="2"/>
                <w:szCs w:val="24"/>
              </w:rPr>
              <w:t>③</w:t>
            </w:r>
            <w:r>
              <w:rPr>
                <w:rFonts w:ascii="Times New Roman" w:hAnsi="Times New Roman"/>
                <w:color w:val="000000"/>
                <w:kern w:val="2"/>
                <w:szCs w:val="24"/>
              </w:rPr>
              <w:t>对有机废气处理设备和排气管道应经常检验其气密性，查看其是否堵</w:t>
            </w:r>
            <w:r>
              <w:rPr>
                <w:rFonts w:hint="eastAsia" w:ascii="Times New Roman" w:hAnsi="Times New Roman"/>
                <w:color w:val="000000"/>
                <w:kern w:val="2"/>
                <w:szCs w:val="24"/>
              </w:rPr>
              <w:t>塞</w:t>
            </w:r>
            <w:r>
              <w:rPr>
                <w:rFonts w:ascii="Times New Roman" w:hAnsi="Times New Roman"/>
                <w:color w:val="000000"/>
                <w:kern w:val="2"/>
                <w:szCs w:val="24"/>
              </w:rPr>
              <w:t>或破损，必要时进行更换</w:t>
            </w:r>
            <w:r>
              <w:rPr>
                <w:rFonts w:hint="eastAsia" w:ascii="Times New Roman" w:hAnsi="Times New Roman"/>
                <w:color w:val="000000"/>
                <w:kern w:val="2"/>
                <w:szCs w:val="24"/>
              </w:rPr>
              <w:t>；</w:t>
            </w:r>
            <w:r>
              <w:rPr>
                <w:rFonts w:ascii="Times New Roman" w:hAnsi="Times New Roman"/>
                <w:color w:val="000000"/>
                <w:kern w:val="2"/>
                <w:szCs w:val="24"/>
              </w:rPr>
              <w:t>加强对设备的维修管理，使其在良好情况下运行严格按规范操作尽可能避免事故排放。</w:t>
            </w:r>
          </w:p>
          <w:p w14:paraId="192772F4">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（2）贮运系统风险防范措施</w:t>
            </w:r>
          </w:p>
          <w:p w14:paraId="1971AEB8">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针对辅料库中水性钢结构漆、润滑油的泄漏和危险废物暂存间暂存的危险废物的泄漏。建设时，建筑物地面应采取防渗、防腐等措施，设置室内导流沟和收集槽，配置一定量的吸附物质，设置禁火标志及防静电措施等。</w:t>
            </w:r>
          </w:p>
          <w:p w14:paraId="39488589">
            <w:pPr>
              <w:pStyle w:val="20"/>
              <w:widowControl w:val="0"/>
              <w:kinsoku w:val="0"/>
              <w:wordWrap w:val="0"/>
              <w:autoSpaceDE w:val="0"/>
              <w:autoSpaceDN w:val="0"/>
              <w:adjustRightInd w:val="0"/>
              <w:snapToGrid w:val="0"/>
              <w:spacing w:before="0" w:beforeAutospacing="0" w:after="0" w:afterAutospacing="0"/>
              <w:ind w:firstLine="480" w:firstLineChars="200"/>
              <w:jc w:val="both"/>
              <w:rPr>
                <w:rFonts w:ascii="Times New Roman" w:hAnsi="Times New Roman"/>
                <w:color w:val="000000"/>
                <w:kern w:val="2"/>
                <w:szCs w:val="24"/>
              </w:rPr>
            </w:pPr>
            <w:r>
              <w:rPr>
                <w:rFonts w:hint="eastAsia" w:ascii="Times New Roman" w:hAnsi="Times New Roman"/>
                <w:color w:val="000000"/>
                <w:kern w:val="2"/>
                <w:szCs w:val="24"/>
              </w:rPr>
              <w:t>针对丙烷等易燃气体，厂内严禁烟火，厂区显眼位置粘贴相关标识标牌；将丙烷等易燃气体储存于阴凉、通风的库房中，保持盛装容器密封；瓶装丙烷在搬运时需轻拿轻放，以防包装容器损坏；厂内需配备一定数量的消防器材及泄漏应急处理设备；相关操作人员需经过专门培训，操作过程中需严格遵守操作规程。</w:t>
            </w:r>
          </w:p>
        </w:tc>
      </w:tr>
      <w:tr w14:paraId="227680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186" w:type="dxa"/>
            <w:tcBorders>
              <w:tl2br w:val="nil"/>
              <w:tr2bl w:val="nil"/>
            </w:tcBorders>
            <w:vAlign w:val="center"/>
          </w:tcPr>
          <w:p w14:paraId="2A8993CF">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其他环境管理要求</w:t>
            </w:r>
          </w:p>
        </w:tc>
        <w:tc>
          <w:tcPr>
            <w:tcW w:w="8668" w:type="dxa"/>
            <w:gridSpan w:val="4"/>
            <w:tcBorders>
              <w:tl2br w:val="nil"/>
              <w:tr2bl w:val="nil"/>
            </w:tcBorders>
            <w:vAlign w:val="center"/>
          </w:tcPr>
          <w:p w14:paraId="112F48A9">
            <w:pPr>
              <w:pStyle w:val="63"/>
              <w:ind w:firstLine="480"/>
              <w:jc w:val="left"/>
              <w:rPr>
                <w:rFonts w:cs="Times New Roman"/>
                <w:sz w:val="24"/>
                <w:szCs w:val="24"/>
              </w:rPr>
            </w:pPr>
            <w:r>
              <w:rPr>
                <w:rFonts w:cs="Times New Roman"/>
                <w:sz w:val="24"/>
                <w:szCs w:val="24"/>
              </w:rPr>
              <w:t>1、竣工环境保护验收</w:t>
            </w:r>
          </w:p>
          <w:p w14:paraId="5E03316B">
            <w:pPr>
              <w:pStyle w:val="63"/>
              <w:ind w:firstLine="480" w:firstLineChars="200"/>
              <w:jc w:val="left"/>
              <w:rPr>
                <w:rFonts w:cs="Times New Roman"/>
                <w:sz w:val="24"/>
                <w:szCs w:val="24"/>
              </w:rPr>
            </w:pPr>
            <w:r>
              <w:rPr>
                <w:rFonts w:cs="Times New Roman"/>
                <w:sz w:val="24"/>
                <w:szCs w:val="24"/>
              </w:rPr>
              <w:t>根据《中华人民共和国环境影响评价法》、《建设项目环境保护管理条例》（2017年10月1日起施行）和环保部2017年11月20日发布《建设项目竣工环境保护验收暂行办法》的公告“国环规环评〔2017〕4号”，建设单位作为项目竣工环保验收的责任主体，应当按照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4CE44DE8">
            <w:pPr>
              <w:pStyle w:val="63"/>
              <w:ind w:firstLine="480" w:firstLineChars="200"/>
              <w:jc w:val="left"/>
              <w:rPr>
                <w:rFonts w:cs="Times New Roman"/>
                <w:sz w:val="24"/>
                <w:szCs w:val="24"/>
              </w:rPr>
            </w:pPr>
            <w:r>
              <w:rPr>
                <w:rFonts w:hint="eastAsia" w:cs="Times New Roman"/>
                <w:sz w:val="24"/>
                <w:szCs w:val="24"/>
              </w:rPr>
              <w:t>2、排污口规范化建设</w:t>
            </w:r>
          </w:p>
          <w:p w14:paraId="6D8D9385">
            <w:pPr>
              <w:pStyle w:val="63"/>
              <w:ind w:firstLine="480" w:firstLineChars="200"/>
              <w:jc w:val="left"/>
              <w:rPr>
                <w:rFonts w:cs="Times New Roman"/>
                <w:sz w:val="24"/>
                <w:szCs w:val="24"/>
              </w:rPr>
            </w:pPr>
            <w:r>
              <w:rPr>
                <w:rFonts w:hint="eastAsia" w:cs="Times New Roman"/>
                <w:sz w:val="24"/>
                <w:szCs w:val="24"/>
              </w:rPr>
              <w:t>企业污染物排放口（源）及固体废物贮存、堆放场必须按照国家标准《环境保护图形标志》（GB15562.1-1995）的规定设置与之相适应的环境保护图形标志牌，环境保护图形标志牌设置位置应距污染物排放口（源）、固体废物贮存（堆放）场或采样点较近且醒目处，并能长久保留。建设单位必须对排污口进行规范化建设，设立排放口标志，标志牌应注明污染物名称以警示周围群众。</w:t>
            </w:r>
          </w:p>
          <w:p w14:paraId="6B615824">
            <w:pPr>
              <w:pStyle w:val="63"/>
              <w:ind w:firstLine="480" w:firstLineChars="200"/>
              <w:jc w:val="left"/>
              <w:rPr>
                <w:rFonts w:cs="Times New Roman"/>
                <w:sz w:val="24"/>
                <w:szCs w:val="24"/>
              </w:rPr>
            </w:pPr>
            <w:r>
              <w:rPr>
                <w:rFonts w:hint="eastAsia" w:cs="Times New Roman"/>
                <w:sz w:val="24"/>
                <w:szCs w:val="24"/>
              </w:rPr>
              <w:t>废气排放口必须设置便于采样、监测的采样口和采样监测平台，采样口和平台必须符合《污染源监测技术规范》的要求。</w:t>
            </w:r>
          </w:p>
          <w:p w14:paraId="107F3C9D">
            <w:pPr>
              <w:pStyle w:val="63"/>
              <w:ind w:firstLine="480" w:firstLineChars="200"/>
              <w:jc w:val="left"/>
              <w:rPr>
                <w:rFonts w:cs="Times New Roman"/>
                <w:sz w:val="24"/>
                <w:szCs w:val="24"/>
              </w:rPr>
            </w:pPr>
            <w:r>
              <w:rPr>
                <w:rFonts w:hint="eastAsia" w:cs="Times New Roman"/>
                <w:sz w:val="24"/>
                <w:szCs w:val="24"/>
              </w:rPr>
              <w:t>建设单位应将相关排污情况，如:排污口的性质、编号、排污口的位置以及主要排放的污染物种类、数量、浓度、排放规律及污染治理设施的运行情况等进行建档管理，并报送环保主管部门备案。如实填写《中华人民共和国规范化排污口标记登记证》，由环保部门签发。</w:t>
            </w:r>
          </w:p>
          <w:p w14:paraId="7C451D49">
            <w:pPr>
              <w:pStyle w:val="63"/>
              <w:ind w:firstLine="480" w:firstLineChars="200"/>
              <w:jc w:val="left"/>
              <w:rPr>
                <w:rFonts w:cs="Times New Roman"/>
                <w:sz w:val="24"/>
                <w:szCs w:val="24"/>
              </w:rPr>
            </w:pPr>
            <w:r>
              <w:rPr>
                <w:rFonts w:hint="eastAsia" w:cs="Times New Roman"/>
                <w:sz w:val="24"/>
                <w:szCs w:val="24"/>
              </w:rPr>
              <w:t>按照国家标准《环境保护图形标志》（GB15562.1-1995）（GB15562.2-1995）的规定，设置与之相适应的环境保护图形标志牌。环境保护图形标志牌设置位置应距污染物排放口（源）或采样点较近且醒目处，并能长久保留，设置高度一般为：环境保护图形标志牌上缘距离地面2米。</w:t>
            </w:r>
          </w:p>
          <w:p w14:paraId="028179F3">
            <w:pPr>
              <w:ind w:firstLine="422"/>
              <w:jc w:val="center"/>
              <w:rPr>
                <w:b/>
                <w:bCs/>
                <w:szCs w:val="32"/>
              </w:rPr>
            </w:pPr>
            <w:r>
              <w:rPr>
                <w:rFonts w:hint="eastAsia"/>
                <w:b/>
                <w:bCs/>
                <w:szCs w:val="32"/>
              </w:rPr>
              <w:t>表5-1  提示性标志牌和警告性标志牌说明表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737"/>
              <w:gridCol w:w="1903"/>
              <w:gridCol w:w="1665"/>
              <w:gridCol w:w="2202"/>
            </w:tblGrid>
            <w:tr w14:paraId="3D0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54" w:type="pct"/>
                  <w:vAlign w:val="center"/>
                </w:tcPr>
                <w:p w14:paraId="3C301FA4">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排放口</w:t>
                  </w:r>
                </w:p>
              </w:tc>
              <w:tc>
                <w:tcPr>
                  <w:tcW w:w="1029" w:type="pct"/>
                  <w:vAlign w:val="center"/>
                </w:tcPr>
                <w:p w14:paraId="1D3AB18C">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废气排放口</w:t>
                  </w:r>
                </w:p>
              </w:tc>
              <w:tc>
                <w:tcPr>
                  <w:tcW w:w="1127" w:type="pct"/>
                  <w:vAlign w:val="center"/>
                </w:tcPr>
                <w:p w14:paraId="6FB9FF9A">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噪声源</w:t>
                  </w:r>
                </w:p>
              </w:tc>
              <w:tc>
                <w:tcPr>
                  <w:tcW w:w="986" w:type="pct"/>
                  <w:vAlign w:val="center"/>
                </w:tcPr>
                <w:p w14:paraId="4D8FBC8B">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固体废物堆场</w:t>
                  </w:r>
                </w:p>
              </w:tc>
              <w:tc>
                <w:tcPr>
                  <w:tcW w:w="1304" w:type="pct"/>
                  <w:vAlign w:val="center"/>
                </w:tcPr>
                <w:p w14:paraId="1E40F53E">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危险废物暂存间</w:t>
                  </w:r>
                </w:p>
              </w:tc>
            </w:tr>
            <w:tr w14:paraId="635B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554" w:type="pct"/>
                  <w:vAlign w:val="center"/>
                </w:tcPr>
                <w:p w14:paraId="392077D5">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提示图形符号</w:t>
                  </w:r>
                </w:p>
              </w:tc>
              <w:tc>
                <w:tcPr>
                  <w:tcW w:w="1029" w:type="pct"/>
                  <w:vAlign w:val="center"/>
                </w:tcPr>
                <w:p w14:paraId="2DA2017E">
                  <w:pPr>
                    <w:jc w:val="center"/>
                    <w:rPr>
                      <w:rFonts w:hint="eastAsia" w:ascii="宋体" w:hAnsi="宋体" w:cs="宋体"/>
                      <w:color w:val="000000" w:themeColor="text1"/>
                      <w:szCs w:val="21"/>
                      <w14:textFill>
                        <w14:solidFill>
                          <w14:schemeClr w14:val="tx1"/>
                        </w14:solidFill>
                      </w14:textFill>
                    </w:rPr>
                  </w:pPr>
                  <w:r>
                    <w:drawing>
                      <wp:inline distT="0" distB="0" distL="114300" distR="114300">
                        <wp:extent cx="796925" cy="768350"/>
                        <wp:effectExtent l="0" t="0" r="317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0"/>
                                <a:stretch>
                                  <a:fillRect/>
                                </a:stretch>
                              </pic:blipFill>
                              <pic:spPr>
                                <a:xfrm>
                                  <a:off x="0" y="0"/>
                                  <a:ext cx="796925" cy="768350"/>
                                </a:xfrm>
                                <a:prstGeom prst="rect">
                                  <a:avLst/>
                                </a:prstGeom>
                                <a:noFill/>
                                <a:ln>
                                  <a:noFill/>
                                </a:ln>
                              </pic:spPr>
                            </pic:pic>
                          </a:graphicData>
                        </a:graphic>
                      </wp:inline>
                    </w:drawing>
                  </w:r>
                </w:p>
              </w:tc>
              <w:tc>
                <w:tcPr>
                  <w:tcW w:w="1127" w:type="pct"/>
                  <w:vAlign w:val="center"/>
                </w:tcPr>
                <w:p w14:paraId="3B2013D1">
                  <w:pPr>
                    <w:jc w:val="center"/>
                    <w:rPr>
                      <w:rFonts w:hint="eastAsia" w:ascii="宋体" w:hAnsi="宋体" w:cs="宋体"/>
                      <w:color w:val="000000" w:themeColor="text1"/>
                      <w:szCs w:val="21"/>
                      <w14:textFill>
                        <w14:solidFill>
                          <w14:schemeClr w14:val="tx1"/>
                        </w14:solidFill>
                      </w14:textFill>
                    </w:rPr>
                  </w:pPr>
                  <w:r>
                    <w:drawing>
                      <wp:inline distT="0" distB="0" distL="114300" distR="114300">
                        <wp:extent cx="886460" cy="828040"/>
                        <wp:effectExtent l="0" t="0" r="889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886460" cy="828040"/>
                                </a:xfrm>
                                <a:prstGeom prst="rect">
                                  <a:avLst/>
                                </a:prstGeom>
                                <a:noFill/>
                                <a:ln>
                                  <a:noFill/>
                                </a:ln>
                              </pic:spPr>
                            </pic:pic>
                          </a:graphicData>
                        </a:graphic>
                      </wp:inline>
                    </w:drawing>
                  </w:r>
                </w:p>
              </w:tc>
              <w:tc>
                <w:tcPr>
                  <w:tcW w:w="986" w:type="pct"/>
                  <w:vAlign w:val="center"/>
                </w:tcPr>
                <w:p w14:paraId="58A518FC">
                  <w:pPr>
                    <w:jc w:val="center"/>
                    <w:rPr>
                      <w:rFonts w:hint="eastAsia" w:ascii="宋体" w:hAnsi="宋体" w:cs="宋体"/>
                      <w:color w:val="000000" w:themeColor="text1"/>
                      <w:szCs w:val="21"/>
                      <w14:textFill>
                        <w14:solidFill>
                          <w14:schemeClr w14:val="tx1"/>
                        </w14:solidFill>
                      </w14:textFill>
                    </w:rPr>
                  </w:pPr>
                  <w:r>
                    <w:drawing>
                      <wp:inline distT="0" distB="0" distL="114300" distR="114300">
                        <wp:extent cx="758825" cy="683895"/>
                        <wp:effectExtent l="0" t="0" r="317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a:stretch>
                                  <a:fillRect/>
                                </a:stretch>
                              </pic:blipFill>
                              <pic:spPr>
                                <a:xfrm>
                                  <a:off x="0" y="0"/>
                                  <a:ext cx="758825" cy="683895"/>
                                </a:xfrm>
                                <a:prstGeom prst="rect">
                                  <a:avLst/>
                                </a:prstGeom>
                                <a:noFill/>
                                <a:ln>
                                  <a:noFill/>
                                </a:ln>
                              </pic:spPr>
                            </pic:pic>
                          </a:graphicData>
                        </a:graphic>
                      </wp:inline>
                    </w:drawing>
                  </w:r>
                </w:p>
              </w:tc>
              <w:tc>
                <w:tcPr>
                  <w:tcW w:w="1304" w:type="pct"/>
                  <w:vAlign w:val="center"/>
                </w:tcPr>
                <w:p w14:paraId="50BC5024">
                  <w:pPr>
                    <w:jc w:val="center"/>
                    <w:rPr>
                      <w:rFonts w:hint="eastAsia" w:ascii="宋体" w:hAnsi="宋体" w:cs="宋体"/>
                      <w:color w:val="000000" w:themeColor="text1"/>
                      <w:szCs w:val="21"/>
                      <w14:textFill>
                        <w14:solidFill>
                          <w14:schemeClr w14:val="tx1"/>
                        </w14:solidFill>
                      </w14:textFill>
                    </w:rPr>
                  </w:pPr>
                  <w:r>
                    <w:drawing>
                      <wp:inline distT="0" distB="0" distL="114300" distR="114300">
                        <wp:extent cx="1075690" cy="621665"/>
                        <wp:effectExtent l="0" t="0" r="10160" b="6985"/>
                        <wp:docPr id="1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
                                <pic:cNvPicPr>
                                  <a:picLocks noChangeAspect="1"/>
                                </pic:cNvPicPr>
                              </pic:nvPicPr>
                              <pic:blipFill>
                                <a:blip r:embed="rId33"/>
                                <a:stretch>
                                  <a:fillRect/>
                                </a:stretch>
                              </pic:blipFill>
                              <pic:spPr>
                                <a:xfrm>
                                  <a:off x="0" y="0"/>
                                  <a:ext cx="1075690" cy="621665"/>
                                </a:xfrm>
                                <a:prstGeom prst="rect">
                                  <a:avLst/>
                                </a:prstGeom>
                                <a:noFill/>
                                <a:ln>
                                  <a:noFill/>
                                </a:ln>
                              </pic:spPr>
                            </pic:pic>
                          </a:graphicData>
                        </a:graphic>
                      </wp:inline>
                    </w:drawing>
                  </w:r>
                </w:p>
              </w:tc>
            </w:tr>
            <w:tr w14:paraId="1DF3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54" w:type="pct"/>
                  <w:vAlign w:val="center"/>
                </w:tcPr>
                <w:p w14:paraId="4159BA4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警告图形标志</w:t>
                  </w:r>
                </w:p>
              </w:tc>
              <w:tc>
                <w:tcPr>
                  <w:tcW w:w="1029" w:type="pct"/>
                  <w:vAlign w:val="center"/>
                </w:tcPr>
                <w:p w14:paraId="2A4B5057">
                  <w:pPr>
                    <w:jc w:val="center"/>
                    <w:rPr>
                      <w:rFonts w:hint="eastAsia" w:ascii="宋体" w:hAnsi="宋体" w:cs="宋体"/>
                      <w:color w:val="000000" w:themeColor="text1"/>
                      <w:szCs w:val="21"/>
                      <w14:textFill>
                        <w14:solidFill>
                          <w14:schemeClr w14:val="tx1"/>
                        </w14:solidFill>
                      </w14:textFill>
                    </w:rPr>
                  </w:pPr>
                  <w:r>
                    <w:drawing>
                      <wp:inline distT="0" distB="0" distL="114300" distR="114300">
                        <wp:extent cx="735965" cy="664845"/>
                        <wp:effectExtent l="0" t="0" r="6985" b="1905"/>
                        <wp:docPr id="14815396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39650" name="图片 7"/>
                                <pic:cNvPicPr>
                                  <a:picLocks noChangeAspect="1"/>
                                </pic:cNvPicPr>
                              </pic:nvPicPr>
                              <pic:blipFill>
                                <a:blip r:embed="rId34"/>
                                <a:stretch>
                                  <a:fillRect/>
                                </a:stretch>
                              </pic:blipFill>
                              <pic:spPr>
                                <a:xfrm>
                                  <a:off x="0" y="0"/>
                                  <a:ext cx="735965" cy="664845"/>
                                </a:xfrm>
                                <a:prstGeom prst="rect">
                                  <a:avLst/>
                                </a:prstGeom>
                                <a:noFill/>
                                <a:ln>
                                  <a:noFill/>
                                </a:ln>
                              </pic:spPr>
                            </pic:pic>
                          </a:graphicData>
                        </a:graphic>
                      </wp:inline>
                    </w:drawing>
                  </w:r>
                </w:p>
              </w:tc>
              <w:tc>
                <w:tcPr>
                  <w:tcW w:w="1127" w:type="pct"/>
                  <w:vAlign w:val="center"/>
                </w:tcPr>
                <w:p w14:paraId="2655F5B2">
                  <w:pPr>
                    <w:jc w:val="center"/>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114300" distR="114300">
                        <wp:extent cx="707390" cy="629920"/>
                        <wp:effectExtent l="0" t="0" r="16510" b="17780"/>
                        <wp:docPr id="12012723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72364" name="图片 13"/>
                                <pic:cNvPicPr>
                                  <a:picLocks noChangeAspect="1"/>
                                </pic:cNvPicPr>
                              </pic:nvPicPr>
                              <pic:blipFill>
                                <a:blip r:embed="rId35"/>
                                <a:stretch>
                                  <a:fillRect/>
                                </a:stretch>
                              </pic:blipFill>
                              <pic:spPr>
                                <a:xfrm>
                                  <a:off x="0" y="0"/>
                                  <a:ext cx="707390" cy="629920"/>
                                </a:xfrm>
                                <a:prstGeom prst="rect">
                                  <a:avLst/>
                                </a:prstGeom>
                                <a:noFill/>
                                <a:ln>
                                  <a:noFill/>
                                </a:ln>
                              </pic:spPr>
                            </pic:pic>
                          </a:graphicData>
                        </a:graphic>
                      </wp:inline>
                    </w:drawing>
                  </w:r>
                </w:p>
              </w:tc>
              <w:tc>
                <w:tcPr>
                  <w:tcW w:w="986" w:type="pct"/>
                  <w:vAlign w:val="center"/>
                </w:tcPr>
                <w:p w14:paraId="4ABF6A35">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114300" distR="114300">
                        <wp:extent cx="753745" cy="715010"/>
                        <wp:effectExtent l="0" t="0" r="8255" b="8890"/>
                        <wp:docPr id="563942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287" name="图片 12"/>
                                <pic:cNvPicPr>
                                  <a:picLocks noChangeAspect="1"/>
                                </pic:cNvPicPr>
                              </pic:nvPicPr>
                              <pic:blipFill>
                                <a:blip r:embed="rId36"/>
                                <a:stretch>
                                  <a:fillRect/>
                                </a:stretch>
                              </pic:blipFill>
                              <pic:spPr>
                                <a:xfrm>
                                  <a:off x="0" y="0"/>
                                  <a:ext cx="753745" cy="715010"/>
                                </a:xfrm>
                                <a:prstGeom prst="rect">
                                  <a:avLst/>
                                </a:prstGeom>
                                <a:noFill/>
                                <a:ln>
                                  <a:noFill/>
                                </a:ln>
                              </pic:spPr>
                            </pic:pic>
                          </a:graphicData>
                        </a:graphic>
                      </wp:inline>
                    </w:drawing>
                  </w:r>
                </w:p>
              </w:tc>
              <w:tc>
                <w:tcPr>
                  <w:tcW w:w="1304" w:type="pct"/>
                  <w:vAlign w:val="center"/>
                </w:tcPr>
                <w:p w14:paraId="2C5A441A">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drawing>
                      <wp:inline distT="0" distB="0" distL="114300" distR="114300">
                        <wp:extent cx="811530" cy="721995"/>
                        <wp:effectExtent l="0" t="0" r="7620" b="1905"/>
                        <wp:docPr id="7357929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92967" name="图片 9"/>
                                <pic:cNvPicPr>
                                  <a:picLocks noChangeAspect="1"/>
                                </pic:cNvPicPr>
                              </pic:nvPicPr>
                              <pic:blipFill>
                                <a:blip r:embed="rId37"/>
                                <a:stretch>
                                  <a:fillRect/>
                                </a:stretch>
                              </pic:blipFill>
                              <pic:spPr>
                                <a:xfrm>
                                  <a:off x="0" y="0"/>
                                  <a:ext cx="811530" cy="721995"/>
                                </a:xfrm>
                                <a:prstGeom prst="rect">
                                  <a:avLst/>
                                </a:prstGeom>
                                <a:noFill/>
                                <a:ln>
                                  <a:noFill/>
                                </a:ln>
                              </pic:spPr>
                            </pic:pic>
                          </a:graphicData>
                        </a:graphic>
                      </wp:inline>
                    </w:drawing>
                  </w:r>
                </w:p>
              </w:tc>
            </w:tr>
          </w:tbl>
          <w:p w14:paraId="1F8C29D7">
            <w:pPr>
              <w:pStyle w:val="71"/>
              <w:rPr>
                <w:rFonts w:ascii="Times New Roman" w:hAnsi="Times New Roman" w:eastAsia="宋体"/>
                <w:bCs/>
                <w:szCs w:val="32"/>
              </w:rPr>
            </w:pPr>
            <w:r>
              <w:rPr>
                <w:rFonts w:hint="eastAsia" w:ascii="Times New Roman" w:hAnsi="Times New Roman" w:eastAsia="宋体"/>
                <w:bCs/>
                <w:szCs w:val="32"/>
              </w:rPr>
              <w:t>表5-2  标志形状及颜色</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6"/>
              <w:gridCol w:w="2089"/>
              <w:gridCol w:w="2089"/>
              <w:gridCol w:w="2178"/>
            </w:tblGrid>
            <w:tr w14:paraId="0FCF9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1236" w:type="pct"/>
                  <w:vAlign w:val="center"/>
                </w:tcPr>
                <w:p w14:paraId="5F2DE4BC">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标志类型</w:t>
                  </w:r>
                </w:p>
              </w:tc>
              <w:tc>
                <w:tcPr>
                  <w:tcW w:w="1237" w:type="pct"/>
                  <w:vAlign w:val="center"/>
                </w:tcPr>
                <w:p w14:paraId="7EACF30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形状</w:t>
                  </w:r>
                </w:p>
              </w:tc>
              <w:tc>
                <w:tcPr>
                  <w:tcW w:w="1237" w:type="pct"/>
                  <w:vAlign w:val="center"/>
                </w:tcPr>
                <w:p w14:paraId="4BF39773">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背景颜色</w:t>
                  </w:r>
                </w:p>
              </w:tc>
              <w:tc>
                <w:tcPr>
                  <w:tcW w:w="1290" w:type="pct"/>
                  <w:vAlign w:val="center"/>
                </w:tcPr>
                <w:p w14:paraId="5B05FD34">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图形颜色</w:t>
                  </w:r>
                </w:p>
              </w:tc>
            </w:tr>
            <w:tr w14:paraId="129C0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1236" w:type="pct"/>
                  <w:vAlign w:val="center"/>
                </w:tcPr>
                <w:p w14:paraId="2A3A9C90">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警告</w:t>
                  </w:r>
                </w:p>
              </w:tc>
              <w:tc>
                <w:tcPr>
                  <w:tcW w:w="1237" w:type="pct"/>
                  <w:vAlign w:val="center"/>
                </w:tcPr>
                <w:p w14:paraId="259500C1">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三角形边框</w:t>
                  </w:r>
                </w:p>
              </w:tc>
              <w:tc>
                <w:tcPr>
                  <w:tcW w:w="1237" w:type="pct"/>
                  <w:vAlign w:val="center"/>
                </w:tcPr>
                <w:p w14:paraId="604AA7AE">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黄色</w:t>
                  </w:r>
                </w:p>
              </w:tc>
              <w:tc>
                <w:tcPr>
                  <w:tcW w:w="1290" w:type="pct"/>
                  <w:vAlign w:val="center"/>
                </w:tcPr>
                <w:p w14:paraId="2B0FA790">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黑色</w:t>
                  </w:r>
                </w:p>
              </w:tc>
            </w:tr>
            <w:tr w14:paraId="6C719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1236" w:type="pct"/>
                  <w:vAlign w:val="center"/>
                </w:tcPr>
                <w:p w14:paraId="05F72774">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提示标志</w:t>
                  </w:r>
                </w:p>
              </w:tc>
              <w:tc>
                <w:tcPr>
                  <w:tcW w:w="1237" w:type="pct"/>
                  <w:vAlign w:val="center"/>
                </w:tcPr>
                <w:p w14:paraId="75B135D3">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正方形边框</w:t>
                  </w:r>
                </w:p>
              </w:tc>
              <w:tc>
                <w:tcPr>
                  <w:tcW w:w="1237" w:type="pct"/>
                  <w:vAlign w:val="center"/>
                </w:tcPr>
                <w:p w14:paraId="2A6AD1B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绿化</w:t>
                  </w:r>
                </w:p>
              </w:tc>
              <w:tc>
                <w:tcPr>
                  <w:tcW w:w="1290" w:type="pct"/>
                  <w:vAlign w:val="center"/>
                </w:tcPr>
                <w:p w14:paraId="5EFB5ED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白色</w:t>
                  </w:r>
                </w:p>
              </w:tc>
            </w:tr>
          </w:tbl>
          <w:p w14:paraId="3F75BA3D">
            <w:pPr>
              <w:ind w:firstLine="480" w:firstLineChars="200"/>
            </w:pPr>
          </w:p>
        </w:tc>
      </w:tr>
    </w:tbl>
    <w:p w14:paraId="37209CF6">
      <w:pPr>
        <w:sectPr>
          <w:pgSz w:w="11906" w:h="16838"/>
          <w:pgMar w:top="1440" w:right="1800" w:bottom="1440" w:left="1800" w:header="851" w:footer="992" w:gutter="0"/>
          <w:cols w:space="425" w:num="1"/>
          <w:docGrid w:type="lines" w:linePitch="312" w:charSpace="0"/>
        </w:sectPr>
      </w:pPr>
    </w:p>
    <w:p w14:paraId="793255F1">
      <w:pPr>
        <w:pStyle w:val="20"/>
        <w:spacing w:before="0" w:beforeAutospacing="0" w:after="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89" w:name="_Toc25409"/>
      <w:bookmarkStart w:id="90" w:name="_Toc5373"/>
      <w:bookmarkStart w:id="91" w:name="_Toc19027"/>
      <w:bookmarkStart w:id="92" w:name="_Toc22212"/>
      <w:bookmarkStart w:id="93" w:name="_Toc189746483"/>
      <w:bookmarkStart w:id="94" w:name="_Toc30942"/>
      <w:bookmarkStart w:id="95" w:name="_Toc30283"/>
      <w:r>
        <w:rPr>
          <w:rFonts w:cs="宋体"/>
          <w:b/>
          <w:bCs/>
          <w:color w:val="000000" w:themeColor="text1"/>
          <w:kern w:val="44"/>
          <w:sz w:val="30"/>
          <w:szCs w:val="30"/>
          <w:lang w:bidi="ar"/>
          <w14:textFill>
            <w14:solidFill>
              <w14:schemeClr w14:val="tx1"/>
            </w14:solidFill>
          </w14:textFill>
        </w:rPr>
        <w:t>六、</w:t>
      </w:r>
      <w:r>
        <w:rPr>
          <w:rFonts w:cs="宋体"/>
          <w:b/>
          <w:bCs/>
          <w:color w:val="000000" w:themeColor="text1"/>
          <w:sz w:val="30"/>
          <w:szCs w:val="30"/>
          <w14:textFill>
            <w14:solidFill>
              <w14:schemeClr w14:val="tx1"/>
            </w14:solidFill>
          </w14:textFill>
        </w:rPr>
        <w:t>结论</w:t>
      </w:r>
      <w:bookmarkEnd w:id="89"/>
      <w:bookmarkEnd w:id="90"/>
      <w:bookmarkEnd w:id="91"/>
      <w:bookmarkEnd w:id="92"/>
      <w:bookmarkEnd w:id="93"/>
      <w:bookmarkEnd w:id="94"/>
      <w:bookmarkEnd w:id="9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07E5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B17F0D2">
            <w:pPr>
              <w:widowControl/>
              <w:spacing w:line="360" w:lineRule="auto"/>
              <w:ind w:firstLine="480" w:firstLineChars="200"/>
              <w:rPr>
                <w:color w:val="000000" w:themeColor="text1"/>
                <w14:textFill>
                  <w14:solidFill>
                    <w14:schemeClr w14:val="tx1"/>
                  </w14:solidFill>
                </w14:textFill>
              </w:rPr>
            </w:pPr>
            <w:r>
              <w:rPr>
                <w:color w:val="000000" w:themeColor="text1"/>
                <w:kern w:val="0"/>
                <w:lang w:bidi="ar"/>
                <w14:textFill>
                  <w14:solidFill>
                    <w14:schemeClr w14:val="tx1"/>
                  </w14:solidFill>
                </w14:textFill>
              </w:rPr>
              <w:t>本项目位于</w:t>
            </w:r>
            <w:r>
              <w:rPr>
                <w:kern w:val="21"/>
              </w:rPr>
              <w:t>湖南省益阳市赫山区龙岭产业开发区新材料产业园朝阳路粤浙城科技示范基地</w:t>
            </w:r>
            <w:r>
              <w:rPr>
                <w:rFonts w:hint="eastAsia"/>
                <w:kern w:val="21"/>
              </w:rPr>
              <w:t>8栋</w:t>
            </w:r>
            <w:r>
              <w:rPr>
                <w:color w:val="000000" w:themeColor="text1"/>
                <w:kern w:val="0"/>
                <w:lang w:bidi="ar"/>
                <w14:textFill>
                  <w14:solidFill>
                    <w14:schemeClr w14:val="tx1"/>
                  </w14:solidFill>
                </w14:textFill>
              </w:rPr>
              <w:t>，项目</w:t>
            </w:r>
            <w:r>
              <w:rPr>
                <w:rFonts w:hint="eastAsia"/>
                <w:color w:val="000000" w:themeColor="text1"/>
                <w:kern w:val="0"/>
                <w:lang w:bidi="ar"/>
                <w14:textFill>
                  <w14:solidFill>
                    <w14:schemeClr w14:val="tx1"/>
                  </w14:solidFill>
                </w14:textFill>
              </w:rPr>
              <w:t>符合国家产业政策要求，</w:t>
            </w:r>
            <w:r>
              <w:rPr>
                <w:color w:val="000000" w:themeColor="text1"/>
                <w:kern w:val="0"/>
                <w:lang w:bidi="ar"/>
                <w14:textFill>
                  <w14:solidFill>
                    <w14:schemeClr w14:val="tx1"/>
                  </w14:solidFill>
                </w14:textFill>
              </w:rPr>
              <w:t>土地利用及选址符合</w:t>
            </w:r>
            <w:r>
              <w:rPr>
                <w:rFonts w:hint="eastAsia"/>
                <w:color w:val="000000" w:themeColor="text1"/>
                <w:kern w:val="0"/>
                <w:lang w:bidi="ar"/>
                <w14:textFill>
                  <w14:solidFill>
                    <w14:schemeClr w14:val="tx1"/>
                  </w14:solidFill>
                </w14:textFill>
              </w:rPr>
              <w:t>园区规划</w:t>
            </w:r>
            <w:r>
              <w:rPr>
                <w:color w:val="000000" w:themeColor="text1"/>
                <w:kern w:val="0"/>
                <w:lang w:bidi="ar"/>
                <w14:textFill>
                  <w14:solidFill>
                    <w14:schemeClr w14:val="tx1"/>
                  </w14:solidFill>
                </w14:textFill>
              </w:rPr>
              <w:t>要求，项目总体布局合理，项目</w:t>
            </w:r>
            <w:r>
              <w:rPr>
                <w:rFonts w:hint="eastAsia"/>
                <w:color w:val="000000" w:themeColor="text1"/>
                <w:kern w:val="0"/>
                <w:lang w:bidi="ar"/>
                <w14:textFill>
                  <w14:solidFill>
                    <w14:schemeClr w14:val="tx1"/>
                  </w14:solidFill>
                </w14:textFill>
              </w:rPr>
              <w:t>运营</w:t>
            </w:r>
            <w:r>
              <w:rPr>
                <w:color w:val="000000" w:themeColor="text1"/>
                <w:kern w:val="0"/>
                <w:lang w:bidi="ar"/>
                <w14:textFill>
                  <w14:solidFill>
                    <w14:schemeClr w14:val="tx1"/>
                  </w14:solidFill>
                </w14:textFill>
              </w:rPr>
              <w:t>过程中严格遵守国家和地方的有关环保法律、法规，并落实报告表中提出的各项污染防治措施和</w:t>
            </w:r>
            <w:r>
              <w:rPr>
                <w:rFonts w:hint="eastAsia"/>
                <w:color w:val="000000" w:themeColor="text1"/>
                <w:kern w:val="0"/>
                <w:lang w:bidi="ar"/>
                <w14:textFill>
                  <w14:solidFill>
                    <w14:schemeClr w14:val="tx1"/>
                  </w14:solidFill>
                </w14:textFill>
              </w:rPr>
              <w:t>风险防范措施后</w:t>
            </w:r>
            <w:r>
              <w:rPr>
                <w:color w:val="000000" w:themeColor="text1"/>
                <w:kern w:val="0"/>
                <w:lang w:bidi="ar"/>
                <w14:textFill>
                  <w14:solidFill>
                    <w14:schemeClr w14:val="tx1"/>
                  </w14:solidFill>
                </w14:textFill>
              </w:rPr>
              <w:t>，各项污染物均能实现达标排放，</w:t>
            </w:r>
            <w:r>
              <w:rPr>
                <w:rFonts w:hint="eastAsia"/>
                <w:color w:val="000000" w:themeColor="text1"/>
                <w:kern w:val="0"/>
                <w:lang w:bidi="ar"/>
                <w14:textFill>
                  <w14:solidFill>
                    <w14:schemeClr w14:val="tx1"/>
                  </w14:solidFill>
                </w14:textFill>
              </w:rPr>
              <w:t>环境风险可控，</w:t>
            </w:r>
            <w:r>
              <w:rPr>
                <w:color w:val="000000" w:themeColor="text1"/>
                <w:kern w:val="0"/>
                <w:lang w:bidi="ar"/>
                <w14:textFill>
                  <w14:solidFill>
                    <w14:schemeClr w14:val="tx1"/>
                  </w14:solidFill>
                </w14:textFill>
              </w:rPr>
              <w:t>对环境的影响较小。从环境保护的角度出发，本项目的建设是可行的。</w:t>
            </w:r>
          </w:p>
        </w:tc>
      </w:tr>
    </w:tbl>
    <w:p w14:paraId="0A98FF9F">
      <w:pPr>
        <w:sectPr>
          <w:pgSz w:w="11906" w:h="16838"/>
          <w:pgMar w:top="1440" w:right="1800" w:bottom="1440" w:left="1800" w:header="851" w:footer="992" w:gutter="0"/>
          <w:cols w:space="425" w:num="1"/>
          <w:docGrid w:type="lines" w:linePitch="312" w:charSpace="0"/>
        </w:sectPr>
      </w:pPr>
    </w:p>
    <w:p w14:paraId="2A93218C">
      <w:pPr>
        <w:outlineLvl w:val="0"/>
        <w:rPr>
          <w:rFonts w:hint="eastAsia" w:ascii="黑体" w:hAnsi="黑体" w:eastAsia="黑体" w:cs="黑体"/>
          <w:color w:val="000000" w:themeColor="text1"/>
          <w:sz w:val="32"/>
          <w:szCs w:val="32"/>
          <w14:textFill>
            <w14:solidFill>
              <w14:schemeClr w14:val="tx1"/>
            </w14:solidFill>
          </w14:textFill>
        </w:rPr>
      </w:pPr>
      <w:bookmarkStart w:id="96" w:name="_Toc8723"/>
      <w:bookmarkStart w:id="97" w:name="_Toc6522"/>
      <w:bookmarkStart w:id="98" w:name="_Toc12497"/>
      <w:bookmarkStart w:id="99" w:name="_Toc189746484"/>
      <w:bookmarkStart w:id="100" w:name="_Toc20228"/>
      <w:r>
        <w:rPr>
          <w:rFonts w:hint="eastAsia" w:ascii="黑体" w:hAnsi="黑体" w:eastAsia="黑体" w:cs="黑体"/>
          <w:color w:val="000000" w:themeColor="text1"/>
          <w:sz w:val="32"/>
          <w:szCs w:val="32"/>
          <w14:textFill>
            <w14:solidFill>
              <w14:schemeClr w14:val="tx1"/>
            </w14:solidFill>
          </w14:textFill>
        </w:rPr>
        <w:t>附表</w:t>
      </w:r>
      <w:bookmarkEnd w:id="96"/>
      <w:bookmarkEnd w:id="97"/>
      <w:bookmarkEnd w:id="98"/>
      <w:bookmarkEnd w:id="99"/>
      <w:bookmarkEnd w:id="100"/>
    </w:p>
    <w:p w14:paraId="697AD255">
      <w:pPr>
        <w:pStyle w:val="20"/>
        <w:adjustRightInd w:val="0"/>
        <w:snapToGrid w:val="0"/>
        <w:spacing w:before="0" w:beforeAutospacing="0" w:after="0" w:afterAutospacing="0"/>
        <w:jc w:val="center"/>
        <w:rPr>
          <w:rFonts w:hint="eastAsia" w:cs="宋体"/>
          <w:b/>
          <w:bCs/>
          <w:snapToGrid w:val="0"/>
          <w:color w:val="000000" w:themeColor="text1"/>
          <w:sz w:val="28"/>
          <w:szCs w:val="28"/>
          <w14:textFill>
            <w14:solidFill>
              <w14:schemeClr w14:val="tx1"/>
            </w14:solidFill>
          </w14:textFill>
        </w:rPr>
      </w:pPr>
      <w:bookmarkStart w:id="101" w:name="_Toc12098"/>
      <w:bookmarkStart w:id="102" w:name="_Toc743"/>
      <w:bookmarkStart w:id="103" w:name="_Toc26690"/>
      <w:bookmarkStart w:id="104" w:name="_Toc24349"/>
      <w:r>
        <w:rPr>
          <w:rFonts w:hint="eastAsia" w:cs="宋体"/>
          <w:b/>
          <w:bCs/>
          <w:snapToGrid w:val="0"/>
          <w:color w:val="000000" w:themeColor="text1"/>
          <w:sz w:val="28"/>
          <w:szCs w:val="28"/>
          <w14:textFill>
            <w14:solidFill>
              <w14:schemeClr w14:val="tx1"/>
            </w14:solidFill>
          </w14:textFill>
        </w:rPr>
        <w:t>建设项目污染物排放量汇总表</w:t>
      </w:r>
      <w:bookmarkEnd w:id="101"/>
      <w:bookmarkEnd w:id="102"/>
      <w:bookmarkEnd w:id="103"/>
      <w:bookmarkEnd w:id="104"/>
    </w:p>
    <w:tbl>
      <w:tblPr>
        <w:tblStyle w:val="23"/>
        <w:tblW w:w="144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415"/>
        <w:gridCol w:w="1337"/>
        <w:gridCol w:w="1134"/>
        <w:gridCol w:w="1701"/>
        <w:gridCol w:w="1559"/>
        <w:gridCol w:w="1761"/>
        <w:gridCol w:w="1959"/>
        <w:gridCol w:w="1520"/>
      </w:tblGrid>
      <w:tr w14:paraId="44EBA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tcBorders>
              <w:tl2br w:val="nil"/>
              <w:tr2bl w:val="nil"/>
            </w:tcBorders>
            <w:tcMar>
              <w:left w:w="28" w:type="dxa"/>
              <w:right w:w="28" w:type="dxa"/>
            </w:tcMar>
            <w:vAlign w:val="center"/>
          </w:tcPr>
          <w:p w14:paraId="27E4009A">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项目</w:t>
            </w:r>
          </w:p>
          <w:p w14:paraId="70F7DD86">
            <w:pPr>
              <w:rPr>
                <w:color w:val="000000" w:themeColor="text1"/>
                <w14:textFill>
                  <w14:solidFill>
                    <w14:schemeClr w14:val="tx1"/>
                  </w14:solidFill>
                </w14:textFill>
              </w:rPr>
            </w:pPr>
            <w:r>
              <w:rPr>
                <w:color w:val="000000" w:themeColor="text1"/>
                <w14:textFill>
                  <w14:solidFill>
                    <w14:schemeClr w14:val="tx1"/>
                  </w14:solidFill>
                </w14:textFill>
              </w:rPr>
              <w:t>分类</w:t>
            </w:r>
          </w:p>
        </w:tc>
        <w:tc>
          <w:tcPr>
            <w:tcW w:w="2415" w:type="dxa"/>
            <w:tcBorders>
              <w:tl2br w:val="nil"/>
              <w:tr2bl w:val="nil"/>
            </w:tcBorders>
            <w:tcMar>
              <w:left w:w="28" w:type="dxa"/>
              <w:right w:w="28" w:type="dxa"/>
            </w:tcMar>
            <w:vAlign w:val="center"/>
          </w:tcPr>
          <w:p w14:paraId="6FFA45C1">
            <w:pPr>
              <w:jc w:val="center"/>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337" w:type="dxa"/>
            <w:tcBorders>
              <w:tl2br w:val="nil"/>
              <w:tr2bl w:val="nil"/>
            </w:tcBorders>
            <w:tcMar>
              <w:left w:w="28" w:type="dxa"/>
              <w:right w:w="28" w:type="dxa"/>
            </w:tcMar>
            <w:vAlign w:val="center"/>
          </w:tcPr>
          <w:p w14:paraId="6F52E27D">
            <w:pPr>
              <w:jc w:val="center"/>
              <w:rPr>
                <w:color w:val="000000" w:themeColor="text1"/>
                <w14:textFill>
                  <w14:solidFill>
                    <w14:schemeClr w14:val="tx1"/>
                  </w14:solidFill>
                </w14:textFill>
              </w:rPr>
            </w:pPr>
            <w:r>
              <w:rPr>
                <w:color w:val="000000" w:themeColor="text1"/>
                <w14:textFill>
                  <w14:solidFill>
                    <w14:schemeClr w14:val="tx1"/>
                  </w14:solidFill>
                </w14:textFill>
              </w:rPr>
              <w:t>现有工程</w:t>
            </w:r>
          </w:p>
          <w:p w14:paraId="59C7CC78">
            <w:pPr>
              <w:jc w:val="center"/>
              <w:rPr>
                <w:color w:val="000000" w:themeColor="text1"/>
                <w14:textFill>
                  <w14:solidFill>
                    <w14:schemeClr w14:val="tx1"/>
                  </w14:solidFill>
                </w14:textFill>
              </w:rPr>
            </w:pPr>
            <w:r>
              <w:rPr>
                <w:color w:val="000000" w:themeColor="text1"/>
                <w14:textFill>
                  <w14:solidFill>
                    <w14:schemeClr w14:val="tx1"/>
                  </w14:solidFill>
                </w14:textFill>
              </w:rPr>
              <w:t>排放量（固体废物产生量）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14:textFill>
                  <w14:solidFill>
                    <w14:schemeClr w14:val="tx1"/>
                  </w14:solidFill>
                </w14:textFill>
              </w:rPr>
              <w:fldChar w:fldCharType="end"/>
            </w:r>
          </w:p>
        </w:tc>
        <w:tc>
          <w:tcPr>
            <w:tcW w:w="1134" w:type="dxa"/>
            <w:tcBorders>
              <w:tl2br w:val="nil"/>
              <w:tr2bl w:val="nil"/>
            </w:tcBorders>
            <w:tcMar>
              <w:left w:w="28" w:type="dxa"/>
              <w:right w:w="28" w:type="dxa"/>
            </w:tcMar>
            <w:vAlign w:val="center"/>
          </w:tcPr>
          <w:p w14:paraId="60FC098F">
            <w:pPr>
              <w:jc w:val="center"/>
              <w:rPr>
                <w:color w:val="000000" w:themeColor="text1"/>
                <w14:textFill>
                  <w14:solidFill>
                    <w14:schemeClr w14:val="tx1"/>
                  </w14:solidFill>
                </w14:textFill>
              </w:rPr>
            </w:pPr>
            <w:r>
              <w:rPr>
                <w:color w:val="000000" w:themeColor="text1"/>
                <w14:textFill>
                  <w14:solidFill>
                    <w14:schemeClr w14:val="tx1"/>
                  </w14:solidFill>
                </w14:textFill>
              </w:rPr>
              <w:t>现有工程</w:t>
            </w:r>
          </w:p>
          <w:p w14:paraId="4007975A">
            <w:pPr>
              <w:jc w:val="center"/>
              <w:rPr>
                <w:color w:val="000000" w:themeColor="text1"/>
                <w14:textFill>
                  <w14:solidFill>
                    <w14:schemeClr w14:val="tx1"/>
                  </w14:solidFill>
                </w14:textFill>
              </w:rPr>
            </w:pPr>
            <w:r>
              <w:rPr>
                <w:color w:val="000000" w:themeColor="text1"/>
                <w14:textFill>
                  <w14:solidFill>
                    <w14:schemeClr w14:val="tx1"/>
                  </w14:solidFill>
                </w14:textFill>
              </w:rPr>
              <w:t>许可排放量</w:t>
            </w:r>
          </w:p>
          <w:p w14:paraId="7E4640D1">
            <w:pPr>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②</w:t>
            </w:r>
            <w:r>
              <w:rPr>
                <w:color w:val="000000" w:themeColor="text1"/>
                <w14:textFill>
                  <w14:solidFill>
                    <w14:schemeClr w14:val="tx1"/>
                  </w14:solidFill>
                </w14:textFill>
              </w:rPr>
              <w:fldChar w:fldCharType="end"/>
            </w:r>
          </w:p>
        </w:tc>
        <w:tc>
          <w:tcPr>
            <w:tcW w:w="1701" w:type="dxa"/>
            <w:tcBorders>
              <w:tl2br w:val="nil"/>
              <w:tr2bl w:val="nil"/>
            </w:tcBorders>
            <w:tcMar>
              <w:left w:w="28" w:type="dxa"/>
              <w:right w:w="28" w:type="dxa"/>
            </w:tcMar>
            <w:vAlign w:val="center"/>
          </w:tcPr>
          <w:p w14:paraId="68318C0F">
            <w:pPr>
              <w:jc w:val="center"/>
              <w:rPr>
                <w:color w:val="000000" w:themeColor="text1"/>
                <w14:textFill>
                  <w14:solidFill>
                    <w14:schemeClr w14:val="tx1"/>
                  </w14:solidFill>
                </w14:textFill>
              </w:rPr>
            </w:pPr>
            <w:r>
              <w:rPr>
                <w:color w:val="000000" w:themeColor="text1"/>
                <w14:textFill>
                  <w14:solidFill>
                    <w14:schemeClr w14:val="tx1"/>
                  </w14:solidFill>
                </w14:textFill>
              </w:rPr>
              <w:t>在建工程</w:t>
            </w:r>
          </w:p>
          <w:p w14:paraId="4FD6F849">
            <w:pPr>
              <w:jc w:val="center"/>
              <w:rPr>
                <w:color w:val="000000" w:themeColor="text1"/>
                <w14:textFill>
                  <w14:solidFill>
                    <w14:schemeClr w14:val="tx1"/>
                  </w14:solidFill>
                </w14:textFill>
              </w:rPr>
            </w:pPr>
            <w:r>
              <w:rPr>
                <w:color w:val="000000" w:themeColor="text1"/>
                <w14:textFill>
                  <w14:solidFill>
                    <w14:schemeClr w14:val="tx1"/>
                  </w14:solidFill>
                </w14:textFill>
              </w:rPr>
              <w:t>排放量（固体废物产生量）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14:textFill>
                  <w14:solidFill>
                    <w14:schemeClr w14:val="tx1"/>
                  </w14:solidFill>
                </w14:textFill>
              </w:rPr>
              <w:fldChar w:fldCharType="end"/>
            </w:r>
          </w:p>
        </w:tc>
        <w:tc>
          <w:tcPr>
            <w:tcW w:w="1559" w:type="dxa"/>
            <w:tcBorders>
              <w:tl2br w:val="nil"/>
              <w:tr2bl w:val="nil"/>
            </w:tcBorders>
            <w:tcMar>
              <w:left w:w="28" w:type="dxa"/>
              <w:right w:w="28" w:type="dxa"/>
            </w:tcMar>
            <w:vAlign w:val="center"/>
          </w:tcPr>
          <w:p w14:paraId="04FFE463">
            <w:pPr>
              <w:jc w:val="center"/>
              <w:rPr>
                <w:color w:val="000000" w:themeColor="text1"/>
                <w14:textFill>
                  <w14:solidFill>
                    <w14:schemeClr w14:val="tx1"/>
                  </w14:solidFill>
                </w14:textFill>
              </w:rPr>
            </w:pPr>
            <w:r>
              <w:rPr>
                <w:color w:val="000000" w:themeColor="text1"/>
                <w14:textFill>
                  <w14:solidFill>
                    <w14:schemeClr w14:val="tx1"/>
                  </w14:solidFill>
                </w14:textFill>
              </w:rPr>
              <w:t>本项目</w:t>
            </w:r>
          </w:p>
          <w:p w14:paraId="67E9519A">
            <w:pPr>
              <w:jc w:val="center"/>
              <w:rPr>
                <w:color w:val="000000" w:themeColor="text1"/>
                <w14:textFill>
                  <w14:solidFill>
                    <w14:schemeClr w14:val="tx1"/>
                  </w14:solidFill>
                </w14:textFill>
              </w:rPr>
            </w:pPr>
            <w:r>
              <w:rPr>
                <w:color w:val="000000" w:themeColor="text1"/>
                <w14:textFill>
                  <w14:solidFill>
                    <w14:schemeClr w14:val="tx1"/>
                  </w14:solidFill>
                </w14:textFill>
              </w:rPr>
              <w:t>排放量（固体废物产生量）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④</w:t>
            </w:r>
            <w:r>
              <w:rPr>
                <w:color w:val="000000" w:themeColor="text1"/>
                <w14:textFill>
                  <w14:solidFill>
                    <w14:schemeClr w14:val="tx1"/>
                  </w14:solidFill>
                </w14:textFill>
              </w:rPr>
              <w:fldChar w:fldCharType="end"/>
            </w:r>
          </w:p>
        </w:tc>
        <w:tc>
          <w:tcPr>
            <w:tcW w:w="1761" w:type="dxa"/>
            <w:tcBorders>
              <w:tl2br w:val="nil"/>
              <w:tr2bl w:val="nil"/>
            </w:tcBorders>
            <w:tcMar>
              <w:left w:w="28" w:type="dxa"/>
              <w:right w:w="28" w:type="dxa"/>
            </w:tcMar>
            <w:vAlign w:val="center"/>
          </w:tcPr>
          <w:p w14:paraId="7CEC5E27">
            <w:pPr>
              <w:jc w:val="center"/>
              <w:rPr>
                <w:color w:val="000000" w:themeColor="text1"/>
                <w14:textFill>
                  <w14:solidFill>
                    <w14:schemeClr w14:val="tx1"/>
                  </w14:solidFill>
                </w14:textFill>
              </w:rPr>
            </w:pPr>
            <w:r>
              <w:rPr>
                <w:color w:val="000000" w:themeColor="text1"/>
                <w14:textFill>
                  <w14:solidFill>
                    <w14:schemeClr w14:val="tx1"/>
                  </w14:solidFill>
                </w14:textFill>
              </w:rPr>
              <w:t>以新带老削减量</w:t>
            </w:r>
          </w:p>
          <w:p w14:paraId="12E4FCE0">
            <w:pPr>
              <w:jc w:val="center"/>
              <w:rPr>
                <w:color w:val="000000" w:themeColor="text1"/>
                <w14:textFill>
                  <w14:solidFill>
                    <w14:schemeClr w14:val="tx1"/>
                  </w14:solidFill>
                </w14:textFill>
              </w:rPr>
            </w:pPr>
            <w:r>
              <w:rPr>
                <w:color w:val="000000" w:themeColor="text1"/>
                <w14:textFill>
                  <w14:solidFill>
                    <w14:schemeClr w14:val="tx1"/>
                  </w14:solidFill>
                </w14:textFill>
              </w:rPr>
              <w:t>（新建项目不填）</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⑤</w:t>
            </w:r>
            <w:r>
              <w:rPr>
                <w:color w:val="000000" w:themeColor="text1"/>
                <w14:textFill>
                  <w14:solidFill>
                    <w14:schemeClr w14:val="tx1"/>
                  </w14:solidFill>
                </w14:textFill>
              </w:rPr>
              <w:fldChar w:fldCharType="end"/>
            </w:r>
          </w:p>
        </w:tc>
        <w:tc>
          <w:tcPr>
            <w:tcW w:w="1959" w:type="dxa"/>
            <w:tcBorders>
              <w:tl2br w:val="nil"/>
              <w:tr2bl w:val="nil"/>
            </w:tcBorders>
            <w:tcMar>
              <w:left w:w="28" w:type="dxa"/>
              <w:right w:w="28" w:type="dxa"/>
            </w:tcMar>
            <w:vAlign w:val="center"/>
          </w:tcPr>
          <w:p w14:paraId="75C5D6D8">
            <w:pPr>
              <w:jc w:val="center"/>
              <w:rPr>
                <w:color w:val="000000" w:themeColor="text1"/>
                <w14:textFill>
                  <w14:solidFill>
                    <w14:schemeClr w14:val="tx1"/>
                  </w14:solidFill>
                </w14:textFill>
              </w:rPr>
            </w:pPr>
            <w:r>
              <w:rPr>
                <w:color w:val="000000" w:themeColor="text1"/>
                <w14:textFill>
                  <w14:solidFill>
                    <w14:schemeClr w14:val="tx1"/>
                  </w14:solidFill>
                </w14:textFill>
              </w:rPr>
              <w:t>本项目建成后</w:t>
            </w:r>
          </w:p>
          <w:p w14:paraId="41D00285">
            <w:pPr>
              <w:jc w:val="center"/>
              <w:rPr>
                <w:color w:val="000000" w:themeColor="text1"/>
                <w14:textFill>
                  <w14:solidFill>
                    <w14:schemeClr w14:val="tx1"/>
                  </w14:solidFill>
                </w14:textFill>
              </w:rPr>
            </w:pPr>
            <w:r>
              <w:rPr>
                <w:color w:val="000000" w:themeColor="text1"/>
                <w14:textFill>
                  <w14:solidFill>
                    <w14:schemeClr w14:val="tx1"/>
                  </w14:solidFill>
                </w14:textFill>
              </w:rPr>
              <w:t>全厂排放量（固体废物产生量）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⑥</w:t>
            </w:r>
            <w:r>
              <w:rPr>
                <w:color w:val="000000" w:themeColor="text1"/>
                <w14:textFill>
                  <w14:solidFill>
                    <w14:schemeClr w14:val="tx1"/>
                  </w14:solidFill>
                </w14:textFill>
              </w:rPr>
              <w:fldChar w:fldCharType="end"/>
            </w:r>
          </w:p>
        </w:tc>
        <w:tc>
          <w:tcPr>
            <w:tcW w:w="1520" w:type="dxa"/>
            <w:tcBorders>
              <w:tl2br w:val="nil"/>
              <w:tr2bl w:val="nil"/>
            </w:tcBorders>
            <w:tcMar>
              <w:left w:w="28" w:type="dxa"/>
              <w:right w:w="28" w:type="dxa"/>
            </w:tcMar>
            <w:vAlign w:val="center"/>
          </w:tcPr>
          <w:p w14:paraId="63FD9170">
            <w:pPr>
              <w:jc w:val="center"/>
              <w:rPr>
                <w:color w:val="000000" w:themeColor="text1"/>
                <w14:textFill>
                  <w14:solidFill>
                    <w14:schemeClr w14:val="tx1"/>
                  </w14:solidFill>
                </w14:textFill>
              </w:rPr>
            </w:pPr>
            <w:r>
              <w:rPr>
                <w:color w:val="000000" w:themeColor="text1"/>
                <w14:textFill>
                  <w14:solidFill>
                    <w14:schemeClr w14:val="tx1"/>
                  </w14:solidFill>
                </w14:textFill>
              </w:rPr>
              <w:t>变化量</w:t>
            </w:r>
          </w:p>
          <w:p w14:paraId="11C16FD3">
            <w:pPr>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⑦</w:t>
            </w:r>
            <w:r>
              <w:rPr>
                <w:color w:val="000000" w:themeColor="text1"/>
                <w14:textFill>
                  <w14:solidFill>
                    <w14:schemeClr w14:val="tx1"/>
                  </w14:solidFill>
                </w14:textFill>
              </w:rPr>
              <w:fldChar w:fldCharType="end"/>
            </w:r>
          </w:p>
        </w:tc>
      </w:tr>
      <w:tr w14:paraId="1246A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096" w:type="dxa"/>
            <w:vMerge w:val="restart"/>
            <w:tcBorders>
              <w:tl2br w:val="nil"/>
              <w:tr2bl w:val="nil"/>
            </w:tcBorders>
            <w:vAlign w:val="center"/>
          </w:tcPr>
          <w:p w14:paraId="1F97EFBF">
            <w:pPr>
              <w:jc w:val="center"/>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2415" w:type="dxa"/>
            <w:tcBorders>
              <w:tl2br w:val="nil"/>
              <w:tr2bl w:val="nil"/>
            </w:tcBorders>
            <w:vAlign w:val="center"/>
          </w:tcPr>
          <w:p w14:paraId="22D548A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337" w:type="dxa"/>
            <w:tcBorders>
              <w:tl2br w:val="nil"/>
              <w:tr2bl w:val="nil"/>
            </w:tcBorders>
            <w:vAlign w:val="center"/>
          </w:tcPr>
          <w:p w14:paraId="6B5024F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11.415t/a</w:t>
            </w:r>
          </w:p>
        </w:tc>
        <w:tc>
          <w:tcPr>
            <w:tcW w:w="1134" w:type="dxa"/>
            <w:tcBorders>
              <w:tl2br w:val="nil"/>
              <w:tr2bl w:val="nil"/>
            </w:tcBorders>
            <w:vAlign w:val="center"/>
          </w:tcPr>
          <w:p w14:paraId="7CA65DA8">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1563FF1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383D5E49">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4.4225</w:t>
            </w:r>
            <w:r>
              <w:rPr>
                <w:color w:val="000000" w:themeColor="text1"/>
                <w:kern w:val="48"/>
                <w14:textFill>
                  <w14:solidFill>
                    <w14:schemeClr w14:val="tx1"/>
                  </w14:solidFill>
                </w14:textFill>
              </w:rPr>
              <w:t>t/a</w:t>
            </w:r>
          </w:p>
        </w:tc>
        <w:tc>
          <w:tcPr>
            <w:tcW w:w="1761" w:type="dxa"/>
            <w:tcBorders>
              <w:tl2br w:val="nil"/>
              <w:tr2bl w:val="nil"/>
            </w:tcBorders>
            <w:vAlign w:val="center"/>
          </w:tcPr>
          <w:p w14:paraId="2556DC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11.415t/a</w:t>
            </w:r>
          </w:p>
        </w:tc>
        <w:tc>
          <w:tcPr>
            <w:tcW w:w="1959" w:type="dxa"/>
            <w:tcBorders>
              <w:tl2br w:val="nil"/>
              <w:tr2bl w:val="nil"/>
            </w:tcBorders>
            <w:vAlign w:val="center"/>
          </w:tcPr>
          <w:p w14:paraId="10674C98">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4.4225</w:t>
            </w:r>
            <w:r>
              <w:rPr>
                <w:color w:val="000000" w:themeColor="text1"/>
                <w:kern w:val="48"/>
                <w14:textFill>
                  <w14:solidFill>
                    <w14:schemeClr w14:val="tx1"/>
                  </w14:solidFill>
                </w14:textFill>
              </w:rPr>
              <w:t>t/a</w:t>
            </w:r>
          </w:p>
        </w:tc>
        <w:tc>
          <w:tcPr>
            <w:tcW w:w="1520" w:type="dxa"/>
            <w:tcBorders>
              <w:tl2br w:val="nil"/>
              <w:tr2bl w:val="nil"/>
            </w:tcBorders>
            <w:vAlign w:val="center"/>
          </w:tcPr>
          <w:p w14:paraId="65F20F6D">
            <w:pPr>
              <w:jc w:val="center"/>
              <w:rPr>
                <w:color w:val="000000" w:themeColor="text1"/>
                <w14:textFill>
                  <w14:solidFill>
                    <w14:schemeClr w14:val="tx1"/>
                  </w14:solidFill>
                </w14:textFill>
              </w:rPr>
            </w:pP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6.9925</w:t>
            </w:r>
            <w:r>
              <w:rPr>
                <w:color w:val="000000" w:themeColor="text1"/>
                <w:kern w:val="48"/>
                <w14:textFill>
                  <w14:solidFill>
                    <w14:schemeClr w14:val="tx1"/>
                  </w14:solidFill>
                </w14:textFill>
              </w:rPr>
              <w:t>t/a</w:t>
            </w:r>
          </w:p>
        </w:tc>
      </w:tr>
      <w:tr w14:paraId="158C2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096" w:type="dxa"/>
            <w:vMerge w:val="continue"/>
            <w:tcBorders>
              <w:tl2br w:val="nil"/>
              <w:tr2bl w:val="nil"/>
            </w:tcBorders>
            <w:vAlign w:val="center"/>
          </w:tcPr>
          <w:p w14:paraId="3BC9A93D">
            <w:pPr>
              <w:jc w:val="center"/>
            </w:pPr>
          </w:p>
        </w:tc>
        <w:tc>
          <w:tcPr>
            <w:tcW w:w="2415" w:type="dxa"/>
            <w:tcBorders>
              <w:tl2br w:val="nil"/>
              <w:tr2bl w:val="nil"/>
            </w:tcBorders>
            <w:vAlign w:val="center"/>
          </w:tcPr>
          <w:p w14:paraId="426E596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NMHC</w:t>
            </w:r>
          </w:p>
        </w:tc>
        <w:tc>
          <w:tcPr>
            <w:tcW w:w="1337" w:type="dxa"/>
            <w:tcBorders>
              <w:tl2br w:val="nil"/>
              <w:tr2bl w:val="nil"/>
            </w:tcBorders>
            <w:vAlign w:val="center"/>
          </w:tcPr>
          <w:p w14:paraId="1E68D9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3.57t/a</w:t>
            </w:r>
          </w:p>
        </w:tc>
        <w:tc>
          <w:tcPr>
            <w:tcW w:w="1134" w:type="dxa"/>
            <w:tcBorders>
              <w:tl2br w:val="nil"/>
              <w:tr2bl w:val="nil"/>
            </w:tcBorders>
            <w:vAlign w:val="center"/>
          </w:tcPr>
          <w:p w14:paraId="376255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01" w:type="dxa"/>
            <w:tcBorders>
              <w:tl2br w:val="nil"/>
              <w:tr2bl w:val="nil"/>
            </w:tcBorders>
            <w:vAlign w:val="center"/>
          </w:tcPr>
          <w:p w14:paraId="528510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59" w:type="dxa"/>
            <w:tcBorders>
              <w:tl2br w:val="nil"/>
              <w:tr2bl w:val="nil"/>
            </w:tcBorders>
            <w:vAlign w:val="center"/>
          </w:tcPr>
          <w:p w14:paraId="55DC7277">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0.4281</w:t>
            </w:r>
            <w:r>
              <w:rPr>
                <w:color w:val="000000" w:themeColor="text1"/>
                <w:kern w:val="48"/>
                <w14:textFill>
                  <w14:solidFill>
                    <w14:schemeClr w14:val="tx1"/>
                  </w14:solidFill>
                </w14:textFill>
              </w:rPr>
              <w:t>t/a</w:t>
            </w:r>
          </w:p>
        </w:tc>
        <w:tc>
          <w:tcPr>
            <w:tcW w:w="1761" w:type="dxa"/>
            <w:tcBorders>
              <w:tl2br w:val="nil"/>
              <w:tr2bl w:val="nil"/>
            </w:tcBorders>
            <w:vAlign w:val="center"/>
          </w:tcPr>
          <w:p w14:paraId="052027F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3.57t/a</w:t>
            </w:r>
          </w:p>
        </w:tc>
        <w:tc>
          <w:tcPr>
            <w:tcW w:w="1959" w:type="dxa"/>
            <w:tcBorders>
              <w:tl2br w:val="nil"/>
              <w:tr2bl w:val="nil"/>
            </w:tcBorders>
            <w:vAlign w:val="center"/>
          </w:tcPr>
          <w:p w14:paraId="3DAA9F7A">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0.4281</w:t>
            </w:r>
            <w:r>
              <w:rPr>
                <w:color w:val="000000" w:themeColor="text1"/>
                <w:kern w:val="48"/>
                <w14:textFill>
                  <w14:solidFill>
                    <w14:schemeClr w14:val="tx1"/>
                  </w14:solidFill>
                </w14:textFill>
              </w:rPr>
              <w:t>t/a</w:t>
            </w:r>
          </w:p>
        </w:tc>
        <w:tc>
          <w:tcPr>
            <w:tcW w:w="1520" w:type="dxa"/>
            <w:tcBorders>
              <w:tl2br w:val="nil"/>
              <w:tr2bl w:val="nil"/>
            </w:tcBorders>
            <w:vAlign w:val="center"/>
          </w:tcPr>
          <w:p w14:paraId="55B4D63F">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-3.1419</w:t>
            </w:r>
            <w:r>
              <w:rPr>
                <w:color w:val="000000" w:themeColor="text1"/>
                <w:kern w:val="48"/>
                <w14:textFill>
                  <w14:solidFill>
                    <w14:schemeClr w14:val="tx1"/>
                  </w14:solidFill>
                </w14:textFill>
              </w:rPr>
              <w:t>t/a</w:t>
            </w:r>
          </w:p>
        </w:tc>
      </w:tr>
      <w:tr w14:paraId="0C906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6" w:type="dxa"/>
            <w:vMerge w:val="restart"/>
            <w:tcBorders>
              <w:tl2br w:val="nil"/>
              <w:tr2bl w:val="nil"/>
            </w:tcBorders>
            <w:vAlign w:val="center"/>
          </w:tcPr>
          <w:p w14:paraId="3BE66ED3">
            <w:pPr>
              <w:jc w:val="center"/>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2415" w:type="dxa"/>
            <w:tcBorders>
              <w:tl2br w:val="nil"/>
              <w:tr2bl w:val="nil"/>
            </w:tcBorders>
            <w:vAlign w:val="center"/>
          </w:tcPr>
          <w:p w14:paraId="1236650E">
            <w:pPr>
              <w:jc w:val="center"/>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cr</w:t>
            </w:r>
          </w:p>
        </w:tc>
        <w:tc>
          <w:tcPr>
            <w:tcW w:w="1337" w:type="dxa"/>
            <w:tcBorders>
              <w:tl2br w:val="nil"/>
              <w:tr2bl w:val="nil"/>
            </w:tcBorders>
            <w:vAlign w:val="center"/>
          </w:tcPr>
          <w:p w14:paraId="4BCF79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0.0456t/a</w:t>
            </w:r>
          </w:p>
        </w:tc>
        <w:tc>
          <w:tcPr>
            <w:tcW w:w="1134" w:type="dxa"/>
            <w:tcBorders>
              <w:tl2br w:val="nil"/>
              <w:tr2bl w:val="nil"/>
            </w:tcBorders>
            <w:vAlign w:val="center"/>
          </w:tcPr>
          <w:p w14:paraId="717E359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11DA5A8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00CF353A">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0.0456t/a</w:t>
            </w:r>
          </w:p>
        </w:tc>
        <w:tc>
          <w:tcPr>
            <w:tcW w:w="1761" w:type="dxa"/>
            <w:tcBorders>
              <w:tl2br w:val="nil"/>
              <w:tr2bl w:val="nil"/>
            </w:tcBorders>
            <w:vAlign w:val="center"/>
          </w:tcPr>
          <w:p w14:paraId="2839992F">
            <w:pPr>
              <w:jc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0.0456t/a</w:t>
            </w:r>
          </w:p>
        </w:tc>
        <w:tc>
          <w:tcPr>
            <w:tcW w:w="1959" w:type="dxa"/>
            <w:tcBorders>
              <w:tl2br w:val="nil"/>
              <w:tr2bl w:val="nil"/>
            </w:tcBorders>
            <w:vAlign w:val="center"/>
          </w:tcPr>
          <w:p w14:paraId="44B672DF">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0.0456t/a</w:t>
            </w:r>
          </w:p>
        </w:tc>
        <w:tc>
          <w:tcPr>
            <w:tcW w:w="1520" w:type="dxa"/>
            <w:tcBorders>
              <w:tl2br w:val="nil"/>
              <w:tr2bl w:val="nil"/>
            </w:tcBorders>
            <w:vAlign w:val="center"/>
          </w:tcPr>
          <w:p w14:paraId="2661AF57">
            <w:pPr>
              <w:widowControl/>
              <w:jc w:val="center"/>
              <w:textAlignment w:val="center"/>
              <w:rPr>
                <w:color w:val="000000" w:themeColor="text1"/>
                <w:kern w:val="48"/>
                <w14:textFill>
                  <w14:solidFill>
                    <w14:schemeClr w14:val="tx1"/>
                  </w14:solidFill>
                </w14:textFill>
              </w:rPr>
            </w:pPr>
            <w:r>
              <w:rPr>
                <w:rFonts w:hint="eastAsia"/>
                <w:color w:val="000000"/>
                <w:kern w:val="0"/>
                <w:lang w:bidi="ar"/>
              </w:rPr>
              <w:t>0</w:t>
            </w:r>
          </w:p>
        </w:tc>
      </w:tr>
      <w:tr w14:paraId="28402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1A0C0865">
            <w:pPr>
              <w:jc w:val="center"/>
              <w:rPr>
                <w:color w:val="000000" w:themeColor="text1"/>
                <w14:textFill>
                  <w14:solidFill>
                    <w14:schemeClr w14:val="tx1"/>
                  </w14:solidFill>
                </w14:textFill>
              </w:rPr>
            </w:pPr>
          </w:p>
        </w:tc>
        <w:tc>
          <w:tcPr>
            <w:tcW w:w="2415" w:type="dxa"/>
            <w:tcBorders>
              <w:tl2br w:val="nil"/>
              <w:tr2bl w:val="nil"/>
            </w:tcBorders>
            <w:vAlign w:val="center"/>
          </w:tcPr>
          <w:p w14:paraId="5AAACA3B">
            <w:pPr>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337" w:type="dxa"/>
            <w:tcBorders>
              <w:tl2br w:val="nil"/>
              <w:tr2bl w:val="nil"/>
            </w:tcBorders>
            <w:vAlign w:val="center"/>
          </w:tcPr>
          <w:p w14:paraId="651D147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0.0091t/a</w:t>
            </w:r>
          </w:p>
        </w:tc>
        <w:tc>
          <w:tcPr>
            <w:tcW w:w="1134" w:type="dxa"/>
            <w:tcBorders>
              <w:tl2br w:val="nil"/>
              <w:tr2bl w:val="nil"/>
            </w:tcBorders>
            <w:vAlign w:val="center"/>
          </w:tcPr>
          <w:p w14:paraId="27A73409">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5483FB16">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66444F36">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0.0091t/a</w:t>
            </w:r>
          </w:p>
        </w:tc>
        <w:tc>
          <w:tcPr>
            <w:tcW w:w="1761" w:type="dxa"/>
            <w:tcBorders>
              <w:tl2br w:val="nil"/>
              <w:tr2bl w:val="nil"/>
            </w:tcBorders>
            <w:vAlign w:val="center"/>
          </w:tcPr>
          <w:p w14:paraId="659FAAC0">
            <w:pPr>
              <w:jc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0.0091t/a</w:t>
            </w:r>
          </w:p>
        </w:tc>
        <w:tc>
          <w:tcPr>
            <w:tcW w:w="1959" w:type="dxa"/>
            <w:tcBorders>
              <w:tl2br w:val="nil"/>
              <w:tr2bl w:val="nil"/>
            </w:tcBorders>
            <w:vAlign w:val="center"/>
          </w:tcPr>
          <w:p w14:paraId="39666350">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0.0091t/a</w:t>
            </w:r>
          </w:p>
        </w:tc>
        <w:tc>
          <w:tcPr>
            <w:tcW w:w="1520" w:type="dxa"/>
            <w:tcBorders>
              <w:tl2br w:val="nil"/>
              <w:tr2bl w:val="nil"/>
            </w:tcBorders>
            <w:vAlign w:val="center"/>
          </w:tcPr>
          <w:p w14:paraId="27FCCC8E">
            <w:pPr>
              <w:widowControl/>
              <w:jc w:val="center"/>
              <w:textAlignment w:val="center"/>
              <w:rPr>
                <w:color w:val="000000" w:themeColor="text1"/>
                <w:kern w:val="48"/>
                <w14:textFill>
                  <w14:solidFill>
                    <w14:schemeClr w14:val="tx1"/>
                  </w14:solidFill>
                </w14:textFill>
              </w:rPr>
            </w:pPr>
            <w:r>
              <w:rPr>
                <w:rFonts w:hint="eastAsia"/>
                <w:color w:val="000000"/>
                <w:kern w:val="0"/>
                <w:lang w:bidi="ar"/>
              </w:rPr>
              <w:t>0</w:t>
            </w:r>
          </w:p>
        </w:tc>
      </w:tr>
      <w:tr w14:paraId="658CD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40BB5037">
            <w:pPr>
              <w:jc w:val="center"/>
              <w:rPr>
                <w:color w:val="000000" w:themeColor="text1"/>
                <w14:textFill>
                  <w14:solidFill>
                    <w14:schemeClr w14:val="tx1"/>
                  </w14:solidFill>
                </w14:textFill>
              </w:rPr>
            </w:pPr>
          </w:p>
        </w:tc>
        <w:tc>
          <w:tcPr>
            <w:tcW w:w="2415" w:type="dxa"/>
            <w:tcBorders>
              <w:tl2br w:val="nil"/>
              <w:tr2bl w:val="nil"/>
            </w:tcBorders>
            <w:vAlign w:val="center"/>
          </w:tcPr>
          <w:p w14:paraId="6D011576">
            <w:pPr>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1337" w:type="dxa"/>
            <w:tcBorders>
              <w:tl2br w:val="nil"/>
              <w:tr2bl w:val="nil"/>
            </w:tcBorders>
            <w:vAlign w:val="center"/>
          </w:tcPr>
          <w:p w14:paraId="5DA134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0.0046t/a</w:t>
            </w:r>
          </w:p>
        </w:tc>
        <w:tc>
          <w:tcPr>
            <w:tcW w:w="1134" w:type="dxa"/>
            <w:tcBorders>
              <w:tl2br w:val="nil"/>
              <w:tr2bl w:val="nil"/>
            </w:tcBorders>
            <w:vAlign w:val="center"/>
          </w:tcPr>
          <w:p w14:paraId="0C6D839F">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605F30E5">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3EE39BA1">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0.0046t/a</w:t>
            </w:r>
          </w:p>
        </w:tc>
        <w:tc>
          <w:tcPr>
            <w:tcW w:w="1761" w:type="dxa"/>
            <w:tcBorders>
              <w:tl2br w:val="nil"/>
              <w:tr2bl w:val="nil"/>
            </w:tcBorders>
            <w:vAlign w:val="center"/>
          </w:tcPr>
          <w:p w14:paraId="3CD6528B">
            <w:pPr>
              <w:jc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0.0046t/a</w:t>
            </w:r>
          </w:p>
        </w:tc>
        <w:tc>
          <w:tcPr>
            <w:tcW w:w="1959" w:type="dxa"/>
            <w:tcBorders>
              <w:tl2br w:val="nil"/>
              <w:tr2bl w:val="nil"/>
            </w:tcBorders>
            <w:vAlign w:val="center"/>
          </w:tcPr>
          <w:p w14:paraId="05297D49">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0.0046t/a</w:t>
            </w:r>
          </w:p>
        </w:tc>
        <w:tc>
          <w:tcPr>
            <w:tcW w:w="1520" w:type="dxa"/>
            <w:tcBorders>
              <w:tl2br w:val="nil"/>
              <w:tr2bl w:val="nil"/>
            </w:tcBorders>
            <w:vAlign w:val="center"/>
          </w:tcPr>
          <w:p w14:paraId="23B80461">
            <w:pPr>
              <w:widowControl/>
              <w:jc w:val="center"/>
              <w:textAlignment w:val="center"/>
              <w:rPr>
                <w:color w:val="000000" w:themeColor="text1"/>
                <w:kern w:val="48"/>
                <w14:textFill>
                  <w14:solidFill>
                    <w14:schemeClr w14:val="tx1"/>
                  </w14:solidFill>
                </w14:textFill>
              </w:rPr>
            </w:pPr>
            <w:r>
              <w:rPr>
                <w:rFonts w:hint="eastAsia"/>
                <w:color w:val="000000"/>
                <w:kern w:val="0"/>
                <w:lang w:bidi="ar"/>
              </w:rPr>
              <w:t>0</w:t>
            </w:r>
          </w:p>
        </w:tc>
      </w:tr>
      <w:tr w14:paraId="0FA3A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668E72A9">
            <w:pPr>
              <w:jc w:val="center"/>
              <w:rPr>
                <w:color w:val="000000" w:themeColor="text1"/>
                <w14:textFill>
                  <w14:solidFill>
                    <w14:schemeClr w14:val="tx1"/>
                  </w14:solidFill>
                </w14:textFill>
              </w:rPr>
            </w:pPr>
          </w:p>
        </w:tc>
        <w:tc>
          <w:tcPr>
            <w:tcW w:w="2415" w:type="dxa"/>
            <w:tcBorders>
              <w:tl2br w:val="nil"/>
              <w:tr2bl w:val="nil"/>
            </w:tcBorders>
            <w:vAlign w:val="center"/>
          </w:tcPr>
          <w:p w14:paraId="01D1AD44">
            <w:pPr>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337" w:type="dxa"/>
            <w:tcBorders>
              <w:tl2br w:val="nil"/>
              <w:tr2bl w:val="nil"/>
            </w:tcBorders>
            <w:vAlign w:val="center"/>
          </w:tcPr>
          <w:p w14:paraId="63F0C47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0.0091t/a</w:t>
            </w:r>
          </w:p>
        </w:tc>
        <w:tc>
          <w:tcPr>
            <w:tcW w:w="1134" w:type="dxa"/>
            <w:tcBorders>
              <w:tl2br w:val="nil"/>
              <w:tr2bl w:val="nil"/>
            </w:tcBorders>
            <w:vAlign w:val="center"/>
          </w:tcPr>
          <w:p w14:paraId="26AD32D8">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5D844263">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35F3B977">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0.0091t/a</w:t>
            </w:r>
          </w:p>
        </w:tc>
        <w:tc>
          <w:tcPr>
            <w:tcW w:w="1761" w:type="dxa"/>
            <w:tcBorders>
              <w:tl2br w:val="nil"/>
              <w:tr2bl w:val="nil"/>
            </w:tcBorders>
            <w:vAlign w:val="center"/>
          </w:tcPr>
          <w:p w14:paraId="621EDA7A">
            <w:pPr>
              <w:jc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0.0091t/a</w:t>
            </w:r>
          </w:p>
        </w:tc>
        <w:tc>
          <w:tcPr>
            <w:tcW w:w="1959" w:type="dxa"/>
            <w:tcBorders>
              <w:tl2br w:val="nil"/>
              <w:tr2bl w:val="nil"/>
            </w:tcBorders>
            <w:vAlign w:val="center"/>
          </w:tcPr>
          <w:p w14:paraId="54B068C4">
            <w:pPr>
              <w:widowControl/>
              <w:jc w:val="center"/>
              <w:textAlignment w:val="center"/>
              <w:rPr>
                <w:color w:val="000000" w:themeColor="text1"/>
                <w:kern w:val="48"/>
                <w14:textFill>
                  <w14:solidFill>
                    <w14:schemeClr w14:val="tx1"/>
                  </w14:solidFill>
                </w14:textFill>
              </w:rPr>
            </w:pPr>
            <w:r>
              <w:rPr>
                <w:rFonts w:hint="eastAsia"/>
                <w:color w:val="000000" w:themeColor="text1"/>
                <w14:textFill>
                  <w14:solidFill>
                    <w14:schemeClr w14:val="tx1"/>
                  </w14:solidFill>
                </w14:textFill>
              </w:rPr>
              <w:t>0.0091t/a</w:t>
            </w:r>
          </w:p>
        </w:tc>
        <w:tc>
          <w:tcPr>
            <w:tcW w:w="1520" w:type="dxa"/>
            <w:tcBorders>
              <w:tl2br w:val="nil"/>
              <w:tr2bl w:val="nil"/>
            </w:tcBorders>
            <w:vAlign w:val="center"/>
          </w:tcPr>
          <w:p w14:paraId="0EAFF701">
            <w:pPr>
              <w:widowControl/>
              <w:jc w:val="center"/>
              <w:textAlignment w:val="center"/>
              <w:rPr>
                <w:color w:val="000000" w:themeColor="text1"/>
                <w:kern w:val="48"/>
                <w14:textFill>
                  <w14:solidFill>
                    <w14:schemeClr w14:val="tx1"/>
                  </w14:solidFill>
                </w14:textFill>
              </w:rPr>
            </w:pPr>
            <w:r>
              <w:rPr>
                <w:rFonts w:hint="eastAsia"/>
                <w:color w:val="000000"/>
                <w:kern w:val="0"/>
                <w:lang w:bidi="ar"/>
              </w:rPr>
              <w:t>0</w:t>
            </w:r>
          </w:p>
        </w:tc>
      </w:tr>
      <w:tr w14:paraId="09197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restart"/>
            <w:tcBorders>
              <w:tl2br w:val="nil"/>
              <w:tr2bl w:val="nil"/>
            </w:tcBorders>
            <w:vAlign w:val="center"/>
          </w:tcPr>
          <w:p w14:paraId="73D087D1">
            <w:pPr>
              <w:jc w:val="center"/>
              <w:rPr>
                <w:color w:val="000000" w:themeColor="text1"/>
                <w14:textFill>
                  <w14:solidFill>
                    <w14:schemeClr w14:val="tx1"/>
                  </w14:solidFill>
                </w14:textFill>
              </w:rPr>
            </w:pPr>
            <w:r>
              <w:rPr>
                <w:color w:val="000000" w:themeColor="text1"/>
                <w14:textFill>
                  <w14:solidFill>
                    <w14:schemeClr w14:val="tx1"/>
                  </w14:solidFill>
                </w14:textFill>
              </w:rPr>
              <w:t>一般工业</w:t>
            </w:r>
          </w:p>
          <w:p w14:paraId="21F73FFC">
            <w:pPr>
              <w:jc w:val="center"/>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2415" w:type="dxa"/>
            <w:tcBorders>
              <w:tl2br w:val="nil"/>
              <w:tr2bl w:val="nil"/>
            </w:tcBorders>
            <w:vAlign w:val="center"/>
          </w:tcPr>
          <w:p w14:paraId="255E5F1F">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废钢材边角料</w:t>
            </w:r>
          </w:p>
        </w:tc>
        <w:tc>
          <w:tcPr>
            <w:tcW w:w="1337" w:type="dxa"/>
            <w:tcBorders>
              <w:tl2br w:val="nil"/>
              <w:tr2bl w:val="nil"/>
            </w:tcBorders>
            <w:vAlign w:val="center"/>
          </w:tcPr>
          <w:p w14:paraId="3073E10F">
            <w:pPr>
              <w:jc w:val="center"/>
              <w:rPr>
                <w:color w:val="000000" w:themeColor="text1"/>
                <w14:textFill>
                  <w14:solidFill>
                    <w14:schemeClr w14:val="tx1"/>
                  </w14:solidFill>
                </w14:textFill>
              </w:rPr>
            </w:pPr>
            <w:r>
              <w:rPr>
                <w:rFonts w:hint="eastAsia"/>
                <w:color w:val="000000"/>
              </w:rPr>
              <w:t>31.158t/a</w:t>
            </w:r>
          </w:p>
        </w:tc>
        <w:tc>
          <w:tcPr>
            <w:tcW w:w="1134" w:type="dxa"/>
            <w:tcBorders>
              <w:tl2br w:val="nil"/>
              <w:tr2bl w:val="nil"/>
            </w:tcBorders>
            <w:vAlign w:val="center"/>
          </w:tcPr>
          <w:p w14:paraId="688DCA26">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2290FB82">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2F0D6CB0">
            <w:pPr>
              <w:widowControl/>
              <w:pBdr>
                <w:top w:val="none" w:color="auto" w:sz="0" w:space="1"/>
                <w:left w:val="none" w:color="auto" w:sz="0" w:space="4"/>
                <w:bottom w:val="none" w:color="auto" w:sz="0" w:space="1"/>
                <w:right w:val="none" w:color="auto" w:sz="0" w:space="4"/>
              </w:pBdr>
              <w:jc w:val="center"/>
              <w:textAlignment w:val="center"/>
              <w:rPr>
                <w:color w:val="000000"/>
              </w:rPr>
            </w:pPr>
            <w:r>
              <w:rPr>
                <w:rFonts w:hint="eastAsia"/>
                <w:color w:val="000000"/>
              </w:rPr>
              <w:t>31.158t/a</w:t>
            </w:r>
          </w:p>
        </w:tc>
        <w:tc>
          <w:tcPr>
            <w:tcW w:w="1761" w:type="dxa"/>
            <w:tcBorders>
              <w:tl2br w:val="nil"/>
              <w:tr2bl w:val="nil"/>
            </w:tcBorders>
            <w:vAlign w:val="center"/>
          </w:tcPr>
          <w:p w14:paraId="310F7A33">
            <w:pPr>
              <w:jc w:val="center"/>
              <w:rPr>
                <w:color w:val="000000" w:themeColor="text1"/>
                <w14:textFill>
                  <w14:solidFill>
                    <w14:schemeClr w14:val="tx1"/>
                  </w14:solidFill>
                </w14:textFill>
              </w:rPr>
            </w:pPr>
            <w:r>
              <w:rPr>
                <w:rFonts w:hint="eastAsia"/>
                <w:color w:val="000000"/>
              </w:rPr>
              <w:t>31.158t/a</w:t>
            </w:r>
          </w:p>
        </w:tc>
        <w:tc>
          <w:tcPr>
            <w:tcW w:w="1959" w:type="dxa"/>
            <w:tcBorders>
              <w:tl2br w:val="nil"/>
              <w:tr2bl w:val="nil"/>
            </w:tcBorders>
            <w:vAlign w:val="center"/>
          </w:tcPr>
          <w:p w14:paraId="39CFBD56">
            <w:pPr>
              <w:pStyle w:val="50"/>
              <w:rPr>
                <w:color w:val="000000" w:themeColor="text1"/>
                <w:szCs w:val="24"/>
                <w14:textFill>
                  <w14:solidFill>
                    <w14:schemeClr w14:val="tx1"/>
                  </w14:solidFill>
                </w14:textFill>
              </w:rPr>
            </w:pPr>
            <w:r>
              <w:rPr>
                <w:rFonts w:hint="eastAsia"/>
                <w:color w:val="000000"/>
              </w:rPr>
              <w:t>31.158t/a</w:t>
            </w:r>
          </w:p>
        </w:tc>
        <w:tc>
          <w:tcPr>
            <w:tcW w:w="1520" w:type="dxa"/>
            <w:tcBorders>
              <w:tl2br w:val="nil"/>
              <w:tr2bl w:val="nil"/>
            </w:tcBorders>
            <w:vAlign w:val="center"/>
          </w:tcPr>
          <w:p w14:paraId="719F58AB">
            <w:pPr>
              <w:pStyle w:val="50"/>
              <w:rPr>
                <w:color w:val="000000" w:themeColor="text1"/>
                <w:szCs w:val="24"/>
                <w14:textFill>
                  <w14:solidFill>
                    <w14:schemeClr w14:val="tx1"/>
                  </w14:solidFill>
                </w14:textFill>
              </w:rPr>
            </w:pPr>
            <w:r>
              <w:rPr>
                <w:rFonts w:hint="eastAsia"/>
                <w:color w:val="000000"/>
                <w:kern w:val="0"/>
                <w:lang w:bidi="ar"/>
              </w:rPr>
              <w:t>0</w:t>
            </w:r>
          </w:p>
        </w:tc>
      </w:tr>
      <w:tr w14:paraId="57400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31C82A02">
            <w:pPr>
              <w:jc w:val="center"/>
              <w:rPr>
                <w:color w:val="000000" w:themeColor="text1"/>
                <w14:textFill>
                  <w14:solidFill>
                    <w14:schemeClr w14:val="tx1"/>
                  </w14:solidFill>
                </w14:textFill>
              </w:rPr>
            </w:pPr>
          </w:p>
        </w:tc>
        <w:tc>
          <w:tcPr>
            <w:tcW w:w="2415" w:type="dxa"/>
            <w:tcBorders>
              <w:tl2br w:val="nil"/>
              <w:tr2bl w:val="nil"/>
            </w:tcBorders>
            <w:vAlign w:val="center"/>
          </w:tcPr>
          <w:p w14:paraId="67006D95">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焊渣</w:t>
            </w:r>
          </w:p>
        </w:tc>
        <w:tc>
          <w:tcPr>
            <w:tcW w:w="1337" w:type="dxa"/>
            <w:tcBorders>
              <w:tl2br w:val="nil"/>
              <w:tr2bl w:val="nil"/>
            </w:tcBorders>
            <w:vAlign w:val="center"/>
          </w:tcPr>
          <w:p w14:paraId="1678EBB0">
            <w:pPr>
              <w:jc w:val="center"/>
              <w:rPr>
                <w:color w:val="000000" w:themeColor="text1"/>
                <w14:textFill>
                  <w14:solidFill>
                    <w14:schemeClr w14:val="tx1"/>
                  </w14:solidFill>
                </w14:textFill>
              </w:rPr>
            </w:pPr>
            <w:r>
              <w:rPr>
                <w:rFonts w:hint="eastAsia"/>
                <w:color w:val="000000"/>
              </w:rPr>
              <w:t>5.31t/a</w:t>
            </w:r>
          </w:p>
        </w:tc>
        <w:tc>
          <w:tcPr>
            <w:tcW w:w="1134" w:type="dxa"/>
            <w:tcBorders>
              <w:tl2br w:val="nil"/>
              <w:tr2bl w:val="nil"/>
            </w:tcBorders>
            <w:vAlign w:val="center"/>
          </w:tcPr>
          <w:p w14:paraId="37F66A66">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035C8C06">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107461CD">
            <w:pPr>
              <w:widowControl/>
              <w:pBdr>
                <w:top w:val="none" w:color="auto" w:sz="0" w:space="1"/>
                <w:left w:val="none" w:color="auto" w:sz="0" w:space="4"/>
                <w:bottom w:val="none" w:color="auto" w:sz="0" w:space="1"/>
                <w:right w:val="none" w:color="auto" w:sz="0" w:space="4"/>
              </w:pBdr>
              <w:jc w:val="center"/>
              <w:textAlignment w:val="center"/>
              <w:rPr>
                <w:color w:val="000000"/>
              </w:rPr>
            </w:pPr>
            <w:r>
              <w:rPr>
                <w:rFonts w:hint="eastAsia"/>
                <w:color w:val="000000"/>
              </w:rPr>
              <w:t>5.31t/a</w:t>
            </w:r>
          </w:p>
        </w:tc>
        <w:tc>
          <w:tcPr>
            <w:tcW w:w="1761" w:type="dxa"/>
            <w:tcBorders>
              <w:tl2br w:val="nil"/>
              <w:tr2bl w:val="nil"/>
            </w:tcBorders>
            <w:vAlign w:val="center"/>
          </w:tcPr>
          <w:p w14:paraId="5BD8C1F9">
            <w:pPr>
              <w:jc w:val="center"/>
              <w:rPr>
                <w:color w:val="000000" w:themeColor="text1"/>
                <w14:textFill>
                  <w14:solidFill>
                    <w14:schemeClr w14:val="tx1"/>
                  </w14:solidFill>
                </w14:textFill>
              </w:rPr>
            </w:pPr>
            <w:r>
              <w:rPr>
                <w:rFonts w:hint="eastAsia"/>
                <w:color w:val="000000"/>
              </w:rPr>
              <w:t>5.31t/a</w:t>
            </w:r>
          </w:p>
        </w:tc>
        <w:tc>
          <w:tcPr>
            <w:tcW w:w="1959" w:type="dxa"/>
            <w:tcBorders>
              <w:tl2br w:val="nil"/>
              <w:tr2bl w:val="nil"/>
            </w:tcBorders>
            <w:vAlign w:val="center"/>
          </w:tcPr>
          <w:p w14:paraId="259658C2">
            <w:pPr>
              <w:pStyle w:val="50"/>
              <w:rPr>
                <w:color w:val="000000" w:themeColor="text1"/>
                <w:szCs w:val="24"/>
                <w14:textFill>
                  <w14:solidFill>
                    <w14:schemeClr w14:val="tx1"/>
                  </w14:solidFill>
                </w14:textFill>
              </w:rPr>
            </w:pPr>
            <w:r>
              <w:rPr>
                <w:rFonts w:hint="eastAsia"/>
                <w:color w:val="000000"/>
              </w:rPr>
              <w:t>5.31t/a</w:t>
            </w:r>
          </w:p>
        </w:tc>
        <w:tc>
          <w:tcPr>
            <w:tcW w:w="1520" w:type="dxa"/>
            <w:tcBorders>
              <w:tl2br w:val="nil"/>
              <w:tr2bl w:val="nil"/>
            </w:tcBorders>
            <w:vAlign w:val="center"/>
          </w:tcPr>
          <w:p w14:paraId="13D7C227">
            <w:pPr>
              <w:pStyle w:val="50"/>
              <w:rPr>
                <w:color w:val="000000" w:themeColor="text1"/>
                <w:szCs w:val="24"/>
                <w14:textFill>
                  <w14:solidFill>
                    <w14:schemeClr w14:val="tx1"/>
                  </w14:solidFill>
                </w14:textFill>
              </w:rPr>
            </w:pPr>
            <w:r>
              <w:rPr>
                <w:rFonts w:hint="eastAsia"/>
                <w:color w:val="000000"/>
                <w:kern w:val="0"/>
                <w:lang w:bidi="ar"/>
              </w:rPr>
              <w:t>0</w:t>
            </w:r>
          </w:p>
        </w:tc>
      </w:tr>
      <w:tr w14:paraId="6DAA6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4DE8FF54">
            <w:pPr>
              <w:jc w:val="center"/>
              <w:rPr>
                <w:color w:val="000000" w:themeColor="text1"/>
                <w14:textFill>
                  <w14:solidFill>
                    <w14:schemeClr w14:val="tx1"/>
                  </w14:solidFill>
                </w14:textFill>
              </w:rPr>
            </w:pPr>
          </w:p>
        </w:tc>
        <w:tc>
          <w:tcPr>
            <w:tcW w:w="2415" w:type="dxa"/>
            <w:tcBorders>
              <w:tl2br w:val="nil"/>
              <w:tr2bl w:val="nil"/>
            </w:tcBorders>
            <w:vAlign w:val="center"/>
          </w:tcPr>
          <w:p w14:paraId="7E981CB8">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废布袋</w:t>
            </w:r>
          </w:p>
        </w:tc>
        <w:tc>
          <w:tcPr>
            <w:tcW w:w="1337" w:type="dxa"/>
            <w:tcBorders>
              <w:tl2br w:val="nil"/>
              <w:tr2bl w:val="nil"/>
            </w:tcBorders>
            <w:vAlign w:val="center"/>
          </w:tcPr>
          <w:p w14:paraId="2C92AB91">
            <w:pPr>
              <w:jc w:val="center"/>
              <w:rPr>
                <w:color w:val="000000" w:themeColor="text1"/>
                <w14:textFill>
                  <w14:solidFill>
                    <w14:schemeClr w14:val="tx1"/>
                  </w14:solidFill>
                </w14:textFill>
              </w:rPr>
            </w:pPr>
            <w:r>
              <w:rPr>
                <w:rFonts w:hint="eastAsia"/>
                <w:color w:val="000000"/>
              </w:rPr>
              <w:t>/</w:t>
            </w:r>
          </w:p>
        </w:tc>
        <w:tc>
          <w:tcPr>
            <w:tcW w:w="1134" w:type="dxa"/>
            <w:tcBorders>
              <w:tl2br w:val="nil"/>
              <w:tr2bl w:val="nil"/>
            </w:tcBorders>
            <w:vAlign w:val="center"/>
          </w:tcPr>
          <w:p w14:paraId="11CCA2BC">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728BBD97">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75F54C01">
            <w:pPr>
              <w:widowControl/>
              <w:pBdr>
                <w:top w:val="none" w:color="auto" w:sz="0" w:space="1"/>
                <w:left w:val="none" w:color="auto" w:sz="0" w:space="4"/>
                <w:bottom w:val="none" w:color="auto" w:sz="0" w:space="1"/>
                <w:right w:val="none" w:color="auto" w:sz="0" w:space="4"/>
              </w:pBdr>
              <w:jc w:val="center"/>
              <w:textAlignment w:val="center"/>
              <w:rPr>
                <w:color w:val="000000"/>
              </w:rPr>
            </w:pPr>
            <w:r>
              <w:rPr>
                <w:rFonts w:hint="eastAsia"/>
                <w:color w:val="000000"/>
              </w:rPr>
              <w:t>0.5t/a</w:t>
            </w:r>
          </w:p>
        </w:tc>
        <w:tc>
          <w:tcPr>
            <w:tcW w:w="1761" w:type="dxa"/>
            <w:tcBorders>
              <w:tl2br w:val="nil"/>
              <w:tr2bl w:val="nil"/>
            </w:tcBorders>
            <w:vAlign w:val="center"/>
          </w:tcPr>
          <w:p w14:paraId="5E71AFD5">
            <w:pPr>
              <w:jc w:val="center"/>
              <w:rPr>
                <w:color w:val="000000" w:themeColor="text1"/>
                <w14:textFill>
                  <w14:solidFill>
                    <w14:schemeClr w14:val="tx1"/>
                  </w14:solidFill>
                </w14:textFill>
              </w:rPr>
            </w:pPr>
            <w:r>
              <w:rPr>
                <w:rFonts w:hint="eastAsia"/>
                <w:color w:val="000000"/>
              </w:rPr>
              <w:t>/</w:t>
            </w:r>
          </w:p>
        </w:tc>
        <w:tc>
          <w:tcPr>
            <w:tcW w:w="1959" w:type="dxa"/>
            <w:tcBorders>
              <w:tl2br w:val="nil"/>
              <w:tr2bl w:val="nil"/>
            </w:tcBorders>
            <w:vAlign w:val="center"/>
          </w:tcPr>
          <w:p w14:paraId="4A7366C1">
            <w:pPr>
              <w:pStyle w:val="50"/>
              <w:rPr>
                <w:color w:val="000000" w:themeColor="text1"/>
                <w:szCs w:val="24"/>
                <w14:textFill>
                  <w14:solidFill>
                    <w14:schemeClr w14:val="tx1"/>
                  </w14:solidFill>
                </w14:textFill>
              </w:rPr>
            </w:pPr>
            <w:r>
              <w:rPr>
                <w:rFonts w:hint="eastAsia"/>
                <w:color w:val="000000"/>
              </w:rPr>
              <w:t>0.5t/a</w:t>
            </w:r>
          </w:p>
        </w:tc>
        <w:tc>
          <w:tcPr>
            <w:tcW w:w="1520" w:type="dxa"/>
            <w:tcBorders>
              <w:tl2br w:val="nil"/>
              <w:tr2bl w:val="nil"/>
            </w:tcBorders>
            <w:vAlign w:val="center"/>
          </w:tcPr>
          <w:p w14:paraId="4839D4ED">
            <w:pPr>
              <w:pStyle w:val="50"/>
              <w:rPr>
                <w:color w:val="000000" w:themeColor="text1"/>
                <w:szCs w:val="24"/>
                <w14:textFill>
                  <w14:solidFill>
                    <w14:schemeClr w14:val="tx1"/>
                  </w14:solidFill>
                </w14:textFill>
              </w:rPr>
            </w:pPr>
            <w:r>
              <w:rPr>
                <w:rFonts w:hint="eastAsia"/>
                <w:color w:val="000000"/>
              </w:rPr>
              <w:t>+0.5t/a</w:t>
            </w:r>
          </w:p>
        </w:tc>
      </w:tr>
      <w:tr w14:paraId="1CF47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3D567C08">
            <w:pPr>
              <w:jc w:val="center"/>
              <w:rPr>
                <w:color w:val="000000" w:themeColor="text1"/>
                <w14:textFill>
                  <w14:solidFill>
                    <w14:schemeClr w14:val="tx1"/>
                  </w14:solidFill>
                </w14:textFill>
              </w:rPr>
            </w:pPr>
          </w:p>
        </w:tc>
        <w:tc>
          <w:tcPr>
            <w:tcW w:w="2415" w:type="dxa"/>
            <w:tcBorders>
              <w:tl2br w:val="nil"/>
              <w:tr2bl w:val="nil"/>
            </w:tcBorders>
            <w:vAlign w:val="center"/>
          </w:tcPr>
          <w:p w14:paraId="39E11227">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袋式除尘器收集粉尘</w:t>
            </w:r>
          </w:p>
        </w:tc>
        <w:tc>
          <w:tcPr>
            <w:tcW w:w="1337" w:type="dxa"/>
            <w:tcBorders>
              <w:tl2br w:val="nil"/>
              <w:tr2bl w:val="nil"/>
            </w:tcBorders>
            <w:vAlign w:val="center"/>
          </w:tcPr>
          <w:p w14:paraId="0A823471">
            <w:pPr>
              <w:jc w:val="center"/>
              <w:rPr>
                <w:color w:val="000000" w:themeColor="text1"/>
                <w14:textFill>
                  <w14:solidFill>
                    <w14:schemeClr w14:val="tx1"/>
                  </w14:solidFill>
                </w14:textFill>
              </w:rPr>
            </w:pPr>
            <w:r>
              <w:rPr>
                <w:rFonts w:hint="eastAsia"/>
                <w:color w:val="000000"/>
              </w:rPr>
              <w:t>/</w:t>
            </w:r>
          </w:p>
        </w:tc>
        <w:tc>
          <w:tcPr>
            <w:tcW w:w="1134" w:type="dxa"/>
            <w:tcBorders>
              <w:tl2br w:val="nil"/>
              <w:tr2bl w:val="nil"/>
            </w:tcBorders>
            <w:vAlign w:val="center"/>
          </w:tcPr>
          <w:p w14:paraId="40229776">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0A195D7E">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0A24532A">
            <w:pPr>
              <w:widowControl/>
              <w:jc w:val="center"/>
              <w:textAlignment w:val="center"/>
              <w:rPr>
                <w:color w:val="000000"/>
              </w:rPr>
            </w:pPr>
            <w:r>
              <w:rPr>
                <w:rFonts w:hint="eastAsia"/>
                <w:color w:val="000000"/>
              </w:rPr>
              <w:t>14.2673t/a</w:t>
            </w:r>
          </w:p>
        </w:tc>
        <w:tc>
          <w:tcPr>
            <w:tcW w:w="1761" w:type="dxa"/>
            <w:tcBorders>
              <w:tl2br w:val="nil"/>
              <w:tr2bl w:val="nil"/>
            </w:tcBorders>
            <w:vAlign w:val="center"/>
          </w:tcPr>
          <w:p w14:paraId="2E972210">
            <w:pPr>
              <w:jc w:val="center"/>
              <w:rPr>
                <w:color w:val="000000" w:themeColor="text1"/>
                <w14:textFill>
                  <w14:solidFill>
                    <w14:schemeClr w14:val="tx1"/>
                  </w14:solidFill>
                </w14:textFill>
              </w:rPr>
            </w:pPr>
            <w:r>
              <w:rPr>
                <w:rFonts w:hint="eastAsia"/>
                <w:color w:val="000000"/>
              </w:rPr>
              <w:t>/</w:t>
            </w:r>
          </w:p>
        </w:tc>
        <w:tc>
          <w:tcPr>
            <w:tcW w:w="1959" w:type="dxa"/>
            <w:tcBorders>
              <w:tl2br w:val="nil"/>
              <w:tr2bl w:val="nil"/>
            </w:tcBorders>
            <w:vAlign w:val="center"/>
          </w:tcPr>
          <w:p w14:paraId="7702954D">
            <w:pPr>
              <w:widowControl/>
              <w:autoSpaceDE w:val="0"/>
              <w:autoSpaceDN w:val="0"/>
              <w:jc w:val="center"/>
              <w:rPr>
                <w:color w:val="000000" w:themeColor="text1"/>
                <w14:textFill>
                  <w14:solidFill>
                    <w14:schemeClr w14:val="tx1"/>
                  </w14:solidFill>
                </w14:textFill>
              </w:rPr>
            </w:pPr>
            <w:r>
              <w:rPr>
                <w:rFonts w:hint="eastAsia"/>
                <w:color w:val="000000"/>
              </w:rPr>
              <w:t>14.2673t/a</w:t>
            </w:r>
          </w:p>
        </w:tc>
        <w:tc>
          <w:tcPr>
            <w:tcW w:w="1520" w:type="dxa"/>
            <w:tcBorders>
              <w:tl2br w:val="nil"/>
              <w:tr2bl w:val="nil"/>
            </w:tcBorders>
            <w:vAlign w:val="center"/>
          </w:tcPr>
          <w:p w14:paraId="3926B4D7">
            <w:pPr>
              <w:widowControl/>
              <w:autoSpaceDE w:val="0"/>
              <w:autoSpaceDN w:val="0"/>
              <w:jc w:val="center"/>
              <w:rPr>
                <w:color w:val="000000" w:themeColor="text1"/>
                <w14:textFill>
                  <w14:solidFill>
                    <w14:schemeClr w14:val="tx1"/>
                  </w14:solidFill>
                </w14:textFill>
              </w:rPr>
            </w:pPr>
            <w:r>
              <w:rPr>
                <w:rFonts w:hint="eastAsia"/>
                <w:color w:val="000000"/>
              </w:rPr>
              <w:t>+14.2673t/a</w:t>
            </w:r>
          </w:p>
        </w:tc>
      </w:tr>
      <w:tr w14:paraId="05915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6A9F8819">
            <w:pPr>
              <w:jc w:val="center"/>
              <w:rPr>
                <w:color w:val="000000" w:themeColor="text1"/>
                <w14:textFill>
                  <w14:solidFill>
                    <w14:schemeClr w14:val="tx1"/>
                  </w14:solidFill>
                </w14:textFill>
              </w:rPr>
            </w:pPr>
          </w:p>
        </w:tc>
        <w:tc>
          <w:tcPr>
            <w:tcW w:w="2415" w:type="dxa"/>
            <w:tcBorders>
              <w:tl2br w:val="nil"/>
              <w:tr2bl w:val="nil"/>
            </w:tcBorders>
            <w:vAlign w:val="center"/>
          </w:tcPr>
          <w:p w14:paraId="053525A4">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废钢丸</w:t>
            </w:r>
          </w:p>
        </w:tc>
        <w:tc>
          <w:tcPr>
            <w:tcW w:w="1337" w:type="dxa"/>
            <w:tcBorders>
              <w:tl2br w:val="nil"/>
              <w:tr2bl w:val="nil"/>
            </w:tcBorders>
            <w:vAlign w:val="center"/>
          </w:tcPr>
          <w:p w14:paraId="62F1B009">
            <w:pPr>
              <w:jc w:val="center"/>
              <w:rPr>
                <w:color w:val="000000" w:themeColor="text1"/>
                <w14:textFill>
                  <w14:solidFill>
                    <w14:schemeClr w14:val="tx1"/>
                  </w14:solidFill>
                </w14:textFill>
              </w:rPr>
            </w:pPr>
            <w:r>
              <w:rPr>
                <w:rFonts w:hint="eastAsia"/>
                <w:color w:val="000000"/>
              </w:rPr>
              <w:t>3t/a</w:t>
            </w:r>
          </w:p>
        </w:tc>
        <w:tc>
          <w:tcPr>
            <w:tcW w:w="1134" w:type="dxa"/>
            <w:tcBorders>
              <w:tl2br w:val="nil"/>
              <w:tr2bl w:val="nil"/>
            </w:tcBorders>
            <w:vAlign w:val="center"/>
          </w:tcPr>
          <w:p w14:paraId="6CFB3098">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7B842390">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17553E55">
            <w:pPr>
              <w:widowControl/>
              <w:jc w:val="center"/>
              <w:textAlignment w:val="center"/>
              <w:rPr>
                <w:color w:val="000000"/>
              </w:rPr>
            </w:pPr>
            <w:r>
              <w:rPr>
                <w:rFonts w:hint="eastAsia"/>
                <w:color w:val="000000"/>
              </w:rPr>
              <w:t>3t/a</w:t>
            </w:r>
          </w:p>
        </w:tc>
        <w:tc>
          <w:tcPr>
            <w:tcW w:w="1761" w:type="dxa"/>
            <w:tcBorders>
              <w:tl2br w:val="nil"/>
              <w:tr2bl w:val="nil"/>
            </w:tcBorders>
            <w:vAlign w:val="center"/>
          </w:tcPr>
          <w:p w14:paraId="3C44EF76">
            <w:pPr>
              <w:jc w:val="center"/>
              <w:rPr>
                <w:color w:val="000000" w:themeColor="text1"/>
                <w14:textFill>
                  <w14:solidFill>
                    <w14:schemeClr w14:val="tx1"/>
                  </w14:solidFill>
                </w14:textFill>
              </w:rPr>
            </w:pPr>
            <w:r>
              <w:rPr>
                <w:rFonts w:hint="eastAsia"/>
                <w:color w:val="000000"/>
              </w:rPr>
              <w:t>3t/a</w:t>
            </w:r>
          </w:p>
        </w:tc>
        <w:tc>
          <w:tcPr>
            <w:tcW w:w="1959" w:type="dxa"/>
            <w:tcBorders>
              <w:tl2br w:val="nil"/>
              <w:tr2bl w:val="nil"/>
            </w:tcBorders>
            <w:vAlign w:val="center"/>
          </w:tcPr>
          <w:p w14:paraId="3BA35EA1">
            <w:pPr>
              <w:widowControl/>
              <w:autoSpaceDE w:val="0"/>
              <w:autoSpaceDN w:val="0"/>
              <w:jc w:val="center"/>
              <w:rPr>
                <w:color w:val="000000" w:themeColor="text1"/>
                <w:kern w:val="0"/>
                <w:lang w:bidi="ar"/>
                <w14:textFill>
                  <w14:solidFill>
                    <w14:schemeClr w14:val="tx1"/>
                  </w14:solidFill>
                </w14:textFill>
              </w:rPr>
            </w:pPr>
            <w:r>
              <w:rPr>
                <w:rFonts w:hint="eastAsia"/>
                <w:color w:val="000000"/>
              </w:rPr>
              <w:t>3t/a</w:t>
            </w:r>
          </w:p>
        </w:tc>
        <w:tc>
          <w:tcPr>
            <w:tcW w:w="1520" w:type="dxa"/>
            <w:tcBorders>
              <w:tl2br w:val="nil"/>
              <w:tr2bl w:val="nil"/>
            </w:tcBorders>
            <w:vAlign w:val="center"/>
          </w:tcPr>
          <w:p w14:paraId="05721B63">
            <w:pPr>
              <w:widowControl/>
              <w:autoSpaceDE w:val="0"/>
              <w:autoSpaceDN w:val="0"/>
              <w:jc w:val="center"/>
              <w:rPr>
                <w:color w:val="000000" w:themeColor="text1"/>
                <w:kern w:val="0"/>
                <w:lang w:bidi="ar"/>
                <w14:textFill>
                  <w14:solidFill>
                    <w14:schemeClr w14:val="tx1"/>
                  </w14:solidFill>
                </w14:textFill>
              </w:rPr>
            </w:pPr>
            <w:r>
              <w:rPr>
                <w:rFonts w:hint="eastAsia"/>
                <w:color w:val="000000"/>
                <w:kern w:val="0"/>
                <w:lang w:bidi="ar"/>
              </w:rPr>
              <w:t>0</w:t>
            </w:r>
          </w:p>
        </w:tc>
      </w:tr>
      <w:tr w14:paraId="273BA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32D2A60B">
            <w:pPr>
              <w:jc w:val="center"/>
              <w:rPr>
                <w:color w:val="000000" w:themeColor="text1"/>
                <w14:textFill>
                  <w14:solidFill>
                    <w14:schemeClr w14:val="tx1"/>
                  </w14:solidFill>
                </w14:textFill>
              </w:rPr>
            </w:pPr>
          </w:p>
        </w:tc>
        <w:tc>
          <w:tcPr>
            <w:tcW w:w="2415" w:type="dxa"/>
            <w:tcBorders>
              <w:tl2br w:val="nil"/>
              <w:tr2bl w:val="nil"/>
            </w:tcBorders>
            <w:vAlign w:val="center"/>
          </w:tcPr>
          <w:p w14:paraId="5638CFDB">
            <w:pPr>
              <w:pStyle w:val="18"/>
              <w:ind w:left="0" w:leftChars="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生活垃圾</w:t>
            </w:r>
          </w:p>
        </w:tc>
        <w:tc>
          <w:tcPr>
            <w:tcW w:w="1337" w:type="dxa"/>
            <w:tcBorders>
              <w:tl2br w:val="nil"/>
              <w:tr2bl w:val="nil"/>
            </w:tcBorders>
            <w:vAlign w:val="center"/>
          </w:tcPr>
          <w:p w14:paraId="5C8AF8EC">
            <w:pPr>
              <w:jc w:val="center"/>
              <w:rPr>
                <w:color w:val="000000" w:themeColor="text1"/>
                <w14:textFill>
                  <w14:solidFill>
                    <w14:schemeClr w14:val="tx1"/>
                  </w14:solidFill>
                </w14:textFill>
              </w:rPr>
            </w:pPr>
            <w:r>
              <w:rPr>
                <w:rFonts w:hint="eastAsia"/>
                <w:color w:val="000000"/>
              </w:rPr>
              <w:t>7.8t/a</w:t>
            </w:r>
          </w:p>
        </w:tc>
        <w:tc>
          <w:tcPr>
            <w:tcW w:w="1134" w:type="dxa"/>
            <w:tcBorders>
              <w:tl2br w:val="nil"/>
              <w:tr2bl w:val="nil"/>
            </w:tcBorders>
            <w:vAlign w:val="center"/>
          </w:tcPr>
          <w:p w14:paraId="5A7C52F2">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6E86E641">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483C2B5F">
            <w:pPr>
              <w:widowControl/>
              <w:jc w:val="center"/>
              <w:textAlignment w:val="center"/>
              <w:rPr>
                <w:color w:val="000000"/>
              </w:rPr>
            </w:pPr>
            <w:r>
              <w:rPr>
                <w:rFonts w:hint="eastAsia"/>
                <w:color w:val="000000"/>
              </w:rPr>
              <w:t>7.8t/a</w:t>
            </w:r>
          </w:p>
        </w:tc>
        <w:tc>
          <w:tcPr>
            <w:tcW w:w="1761" w:type="dxa"/>
            <w:tcBorders>
              <w:tl2br w:val="nil"/>
              <w:tr2bl w:val="nil"/>
            </w:tcBorders>
            <w:vAlign w:val="center"/>
          </w:tcPr>
          <w:p w14:paraId="4758BABF">
            <w:pPr>
              <w:jc w:val="center"/>
              <w:rPr>
                <w:color w:val="000000" w:themeColor="text1"/>
                <w14:textFill>
                  <w14:solidFill>
                    <w14:schemeClr w14:val="tx1"/>
                  </w14:solidFill>
                </w14:textFill>
              </w:rPr>
            </w:pPr>
            <w:r>
              <w:rPr>
                <w:rFonts w:hint="eastAsia"/>
                <w:color w:val="000000"/>
              </w:rPr>
              <w:t>7.8t/a</w:t>
            </w:r>
          </w:p>
        </w:tc>
        <w:tc>
          <w:tcPr>
            <w:tcW w:w="1959" w:type="dxa"/>
            <w:tcBorders>
              <w:tl2br w:val="nil"/>
              <w:tr2bl w:val="nil"/>
            </w:tcBorders>
            <w:vAlign w:val="center"/>
          </w:tcPr>
          <w:p w14:paraId="3201060F">
            <w:pPr>
              <w:widowControl/>
              <w:autoSpaceDE w:val="0"/>
              <w:autoSpaceDN w:val="0"/>
              <w:jc w:val="center"/>
              <w:rPr>
                <w:color w:val="000000" w:themeColor="text1"/>
                <w:kern w:val="0"/>
                <w:lang w:bidi="ar"/>
                <w14:textFill>
                  <w14:solidFill>
                    <w14:schemeClr w14:val="tx1"/>
                  </w14:solidFill>
                </w14:textFill>
              </w:rPr>
            </w:pPr>
            <w:r>
              <w:rPr>
                <w:rFonts w:hint="eastAsia"/>
                <w:color w:val="000000"/>
              </w:rPr>
              <w:t>7.8t/a</w:t>
            </w:r>
          </w:p>
        </w:tc>
        <w:tc>
          <w:tcPr>
            <w:tcW w:w="1520" w:type="dxa"/>
            <w:tcBorders>
              <w:tl2br w:val="nil"/>
              <w:tr2bl w:val="nil"/>
            </w:tcBorders>
            <w:vAlign w:val="center"/>
          </w:tcPr>
          <w:p w14:paraId="6C522AAA">
            <w:pPr>
              <w:widowControl/>
              <w:autoSpaceDE w:val="0"/>
              <w:autoSpaceDN w:val="0"/>
              <w:jc w:val="center"/>
              <w:rPr>
                <w:color w:val="000000" w:themeColor="text1"/>
                <w:kern w:val="0"/>
                <w:lang w:bidi="ar"/>
                <w14:textFill>
                  <w14:solidFill>
                    <w14:schemeClr w14:val="tx1"/>
                  </w14:solidFill>
                </w14:textFill>
              </w:rPr>
            </w:pPr>
            <w:r>
              <w:rPr>
                <w:rFonts w:hint="eastAsia"/>
                <w:color w:val="000000"/>
                <w:kern w:val="0"/>
                <w:lang w:bidi="ar"/>
              </w:rPr>
              <w:t>0</w:t>
            </w:r>
          </w:p>
        </w:tc>
      </w:tr>
      <w:tr w14:paraId="1FA2C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restart"/>
            <w:tcBorders>
              <w:tl2br w:val="nil"/>
              <w:tr2bl w:val="nil"/>
            </w:tcBorders>
            <w:vAlign w:val="center"/>
          </w:tcPr>
          <w:p w14:paraId="363425BE">
            <w:pPr>
              <w:jc w:val="center"/>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2415" w:type="dxa"/>
            <w:tcBorders>
              <w:tl2br w:val="nil"/>
              <w:tr2bl w:val="nil"/>
            </w:tcBorders>
            <w:vAlign w:val="center"/>
          </w:tcPr>
          <w:p w14:paraId="0998C298">
            <w:pPr>
              <w:pStyle w:val="18"/>
              <w:ind w:left="0" w:leftChars="0"/>
              <w:jc w:val="center"/>
              <w:rPr>
                <w:color w:val="000000" w:themeColor="text1"/>
                <w:szCs w:val="24"/>
                <w14:textFill>
                  <w14:solidFill>
                    <w14:schemeClr w14:val="tx1"/>
                  </w14:solidFill>
                </w14:textFill>
              </w:rPr>
            </w:pPr>
            <w:r>
              <w:rPr>
                <w:rFonts w:hint="eastAsia"/>
                <w:color w:val="000000" w:themeColor="text1"/>
                <w:kern w:val="0"/>
                <w:szCs w:val="24"/>
                <w:lang w:bidi="ar"/>
                <w14:textFill>
                  <w14:solidFill>
                    <w14:schemeClr w14:val="tx1"/>
                  </w14:solidFill>
                </w14:textFill>
              </w:rPr>
              <w:t>废水性漆桶</w:t>
            </w:r>
          </w:p>
        </w:tc>
        <w:tc>
          <w:tcPr>
            <w:tcW w:w="1337" w:type="dxa"/>
            <w:tcBorders>
              <w:tl2br w:val="nil"/>
              <w:tr2bl w:val="nil"/>
            </w:tcBorders>
            <w:vAlign w:val="center"/>
          </w:tcPr>
          <w:p w14:paraId="446DE928">
            <w:pPr>
              <w:jc w:val="center"/>
              <w:rPr>
                <w:color w:val="000000" w:themeColor="text1"/>
                <w14:textFill>
                  <w14:solidFill>
                    <w14:schemeClr w14:val="tx1"/>
                  </w14:solidFill>
                </w14:textFill>
              </w:rPr>
            </w:pPr>
            <w:r>
              <w:rPr>
                <w:rFonts w:hint="eastAsia"/>
                <w:color w:val="000000"/>
              </w:rPr>
              <w:t>0.2854t/a</w:t>
            </w:r>
          </w:p>
        </w:tc>
        <w:tc>
          <w:tcPr>
            <w:tcW w:w="1134" w:type="dxa"/>
            <w:tcBorders>
              <w:tl2br w:val="nil"/>
              <w:tr2bl w:val="nil"/>
            </w:tcBorders>
            <w:vAlign w:val="center"/>
          </w:tcPr>
          <w:p w14:paraId="47967640">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72436377">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1E4BD3DA">
            <w:pPr>
              <w:widowControl/>
              <w:jc w:val="center"/>
              <w:textAlignment w:val="center"/>
              <w:rPr>
                <w:color w:val="000000"/>
              </w:rPr>
            </w:pPr>
            <w:r>
              <w:rPr>
                <w:rFonts w:hint="eastAsia"/>
                <w:color w:val="000000"/>
              </w:rPr>
              <w:t>0.2854t/a</w:t>
            </w:r>
          </w:p>
        </w:tc>
        <w:tc>
          <w:tcPr>
            <w:tcW w:w="1761" w:type="dxa"/>
            <w:tcBorders>
              <w:tl2br w:val="nil"/>
              <w:tr2bl w:val="nil"/>
            </w:tcBorders>
            <w:vAlign w:val="center"/>
          </w:tcPr>
          <w:p w14:paraId="5E0B2357">
            <w:pPr>
              <w:jc w:val="center"/>
              <w:rPr>
                <w:color w:val="000000" w:themeColor="text1"/>
                <w14:textFill>
                  <w14:solidFill>
                    <w14:schemeClr w14:val="tx1"/>
                  </w14:solidFill>
                </w14:textFill>
              </w:rPr>
            </w:pPr>
            <w:r>
              <w:rPr>
                <w:rFonts w:hint="eastAsia"/>
                <w:color w:val="000000"/>
              </w:rPr>
              <w:t>0.2854t/a</w:t>
            </w:r>
          </w:p>
        </w:tc>
        <w:tc>
          <w:tcPr>
            <w:tcW w:w="1959" w:type="dxa"/>
            <w:tcBorders>
              <w:tl2br w:val="nil"/>
              <w:tr2bl w:val="nil"/>
            </w:tcBorders>
            <w:vAlign w:val="center"/>
          </w:tcPr>
          <w:p w14:paraId="6C57B5F1">
            <w:pPr>
              <w:widowControl/>
              <w:jc w:val="center"/>
              <w:textAlignment w:val="center"/>
              <w:rPr>
                <w:color w:val="000000" w:themeColor="text1"/>
                <w14:textFill>
                  <w14:solidFill>
                    <w14:schemeClr w14:val="tx1"/>
                  </w14:solidFill>
                </w14:textFill>
              </w:rPr>
            </w:pPr>
            <w:r>
              <w:rPr>
                <w:rFonts w:hint="eastAsia"/>
                <w:color w:val="000000"/>
              </w:rPr>
              <w:t>0.2854t/a</w:t>
            </w:r>
          </w:p>
        </w:tc>
        <w:tc>
          <w:tcPr>
            <w:tcW w:w="1520" w:type="dxa"/>
            <w:tcBorders>
              <w:tl2br w:val="nil"/>
              <w:tr2bl w:val="nil"/>
            </w:tcBorders>
            <w:vAlign w:val="center"/>
          </w:tcPr>
          <w:p w14:paraId="7BEBC99F">
            <w:pPr>
              <w:widowControl/>
              <w:autoSpaceDE w:val="0"/>
              <w:autoSpaceDN w:val="0"/>
              <w:jc w:val="center"/>
              <w:rPr>
                <w:color w:val="000000" w:themeColor="text1"/>
                <w14:textFill>
                  <w14:solidFill>
                    <w14:schemeClr w14:val="tx1"/>
                  </w14:solidFill>
                </w14:textFill>
              </w:rPr>
            </w:pPr>
            <w:r>
              <w:rPr>
                <w:rFonts w:hint="eastAsia"/>
                <w:color w:val="000000"/>
                <w:kern w:val="0"/>
                <w:lang w:bidi="ar"/>
              </w:rPr>
              <w:t>0</w:t>
            </w:r>
          </w:p>
        </w:tc>
      </w:tr>
      <w:tr w14:paraId="7BB3C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42EC2A30">
            <w:pPr>
              <w:jc w:val="center"/>
              <w:rPr>
                <w:color w:val="000000" w:themeColor="text1"/>
                <w14:textFill>
                  <w14:solidFill>
                    <w14:schemeClr w14:val="tx1"/>
                  </w14:solidFill>
                </w14:textFill>
              </w:rPr>
            </w:pPr>
          </w:p>
        </w:tc>
        <w:tc>
          <w:tcPr>
            <w:tcW w:w="2415" w:type="dxa"/>
            <w:tcBorders>
              <w:tl2br w:val="nil"/>
              <w:tr2bl w:val="nil"/>
            </w:tcBorders>
            <w:vAlign w:val="center"/>
          </w:tcPr>
          <w:p w14:paraId="791B4DF3">
            <w:pPr>
              <w:pStyle w:val="18"/>
              <w:ind w:left="0" w:leftChars="0"/>
              <w:jc w:val="center"/>
              <w:rPr>
                <w:color w:val="000000" w:themeColor="text1"/>
                <w:szCs w:val="24"/>
                <w14:textFill>
                  <w14:solidFill>
                    <w14:schemeClr w14:val="tx1"/>
                  </w14:solidFill>
                </w14:textFill>
              </w:rPr>
            </w:pPr>
            <w:r>
              <w:rPr>
                <w:rFonts w:hint="eastAsia"/>
                <w:color w:val="000000"/>
                <w:szCs w:val="24"/>
              </w:rPr>
              <w:t>水性漆漆渣</w:t>
            </w:r>
          </w:p>
        </w:tc>
        <w:tc>
          <w:tcPr>
            <w:tcW w:w="1337" w:type="dxa"/>
            <w:tcBorders>
              <w:tl2br w:val="nil"/>
              <w:tr2bl w:val="nil"/>
            </w:tcBorders>
            <w:vAlign w:val="center"/>
          </w:tcPr>
          <w:p w14:paraId="278A4D4D">
            <w:pPr>
              <w:jc w:val="center"/>
              <w:rPr>
                <w:color w:val="000000" w:themeColor="text1"/>
                <w14:textFill>
                  <w14:solidFill>
                    <w14:schemeClr w14:val="tx1"/>
                  </w14:solidFill>
                </w14:textFill>
              </w:rPr>
            </w:pPr>
            <w:r>
              <w:rPr>
                <w:rFonts w:hint="eastAsia"/>
                <w:color w:val="000000"/>
              </w:rPr>
              <w:t>0.1998t/a</w:t>
            </w:r>
          </w:p>
        </w:tc>
        <w:tc>
          <w:tcPr>
            <w:tcW w:w="1134" w:type="dxa"/>
            <w:tcBorders>
              <w:tl2br w:val="nil"/>
              <w:tr2bl w:val="nil"/>
            </w:tcBorders>
            <w:vAlign w:val="center"/>
          </w:tcPr>
          <w:p w14:paraId="7FC45DB5">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2B4BE7AF">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1A03F307">
            <w:pPr>
              <w:widowControl/>
              <w:jc w:val="center"/>
              <w:textAlignment w:val="center"/>
              <w:rPr>
                <w:color w:val="000000"/>
              </w:rPr>
            </w:pPr>
            <w:r>
              <w:rPr>
                <w:rFonts w:hint="eastAsia"/>
                <w:color w:val="000000"/>
              </w:rPr>
              <w:t>0.1998t/a</w:t>
            </w:r>
          </w:p>
        </w:tc>
        <w:tc>
          <w:tcPr>
            <w:tcW w:w="1761" w:type="dxa"/>
            <w:tcBorders>
              <w:tl2br w:val="nil"/>
              <w:tr2bl w:val="nil"/>
            </w:tcBorders>
            <w:vAlign w:val="center"/>
          </w:tcPr>
          <w:p w14:paraId="248F0DD7">
            <w:pPr>
              <w:jc w:val="center"/>
              <w:rPr>
                <w:color w:val="000000" w:themeColor="text1"/>
                <w14:textFill>
                  <w14:solidFill>
                    <w14:schemeClr w14:val="tx1"/>
                  </w14:solidFill>
                </w14:textFill>
              </w:rPr>
            </w:pPr>
            <w:r>
              <w:rPr>
                <w:rFonts w:hint="eastAsia"/>
                <w:color w:val="000000"/>
              </w:rPr>
              <w:t>0.1998t/a</w:t>
            </w:r>
          </w:p>
        </w:tc>
        <w:tc>
          <w:tcPr>
            <w:tcW w:w="1959" w:type="dxa"/>
            <w:tcBorders>
              <w:tl2br w:val="nil"/>
              <w:tr2bl w:val="nil"/>
            </w:tcBorders>
            <w:vAlign w:val="center"/>
          </w:tcPr>
          <w:p w14:paraId="1F12B0B9">
            <w:pPr>
              <w:widowControl/>
              <w:jc w:val="center"/>
              <w:textAlignment w:val="center"/>
              <w:rPr>
                <w:color w:val="000000" w:themeColor="text1"/>
                <w14:textFill>
                  <w14:solidFill>
                    <w14:schemeClr w14:val="tx1"/>
                  </w14:solidFill>
                </w14:textFill>
              </w:rPr>
            </w:pPr>
            <w:r>
              <w:rPr>
                <w:rFonts w:hint="eastAsia"/>
                <w:color w:val="000000"/>
              </w:rPr>
              <w:t>0.1998t/a</w:t>
            </w:r>
          </w:p>
        </w:tc>
        <w:tc>
          <w:tcPr>
            <w:tcW w:w="1520" w:type="dxa"/>
            <w:tcBorders>
              <w:tl2br w:val="nil"/>
              <w:tr2bl w:val="nil"/>
            </w:tcBorders>
            <w:vAlign w:val="center"/>
          </w:tcPr>
          <w:p w14:paraId="2B1264DA">
            <w:pPr>
              <w:widowControl/>
              <w:autoSpaceDE w:val="0"/>
              <w:autoSpaceDN w:val="0"/>
              <w:jc w:val="center"/>
              <w:rPr>
                <w:color w:val="000000" w:themeColor="text1"/>
                <w14:textFill>
                  <w14:solidFill>
                    <w14:schemeClr w14:val="tx1"/>
                  </w14:solidFill>
                </w14:textFill>
              </w:rPr>
            </w:pPr>
            <w:r>
              <w:rPr>
                <w:rFonts w:hint="eastAsia"/>
                <w:color w:val="000000"/>
                <w:kern w:val="0"/>
                <w:lang w:bidi="ar"/>
              </w:rPr>
              <w:t>0</w:t>
            </w:r>
          </w:p>
        </w:tc>
      </w:tr>
      <w:tr w14:paraId="3383C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3B389B5C">
            <w:pPr>
              <w:jc w:val="center"/>
              <w:rPr>
                <w:color w:val="000000" w:themeColor="text1"/>
                <w14:textFill>
                  <w14:solidFill>
                    <w14:schemeClr w14:val="tx1"/>
                  </w14:solidFill>
                </w14:textFill>
              </w:rPr>
            </w:pPr>
          </w:p>
        </w:tc>
        <w:tc>
          <w:tcPr>
            <w:tcW w:w="2415" w:type="dxa"/>
            <w:tcBorders>
              <w:tl2br w:val="nil"/>
              <w:tr2bl w:val="nil"/>
            </w:tcBorders>
            <w:vAlign w:val="center"/>
          </w:tcPr>
          <w:p w14:paraId="05ACE946">
            <w:pPr>
              <w:pStyle w:val="18"/>
              <w:ind w:left="0" w:leftChars="0"/>
              <w:jc w:val="center"/>
              <w:rPr>
                <w:color w:val="000000" w:themeColor="text1"/>
                <w:szCs w:val="24"/>
                <w14:textFill>
                  <w14:solidFill>
                    <w14:schemeClr w14:val="tx1"/>
                  </w14:solidFill>
                </w14:textFill>
              </w:rPr>
            </w:pPr>
            <w:r>
              <w:rPr>
                <w:rFonts w:hint="eastAsia"/>
                <w:color w:val="000000"/>
                <w:szCs w:val="24"/>
              </w:rPr>
              <w:t>废活性炭</w:t>
            </w:r>
          </w:p>
        </w:tc>
        <w:tc>
          <w:tcPr>
            <w:tcW w:w="1337" w:type="dxa"/>
            <w:tcBorders>
              <w:tl2br w:val="nil"/>
              <w:tr2bl w:val="nil"/>
            </w:tcBorders>
            <w:vAlign w:val="center"/>
          </w:tcPr>
          <w:p w14:paraId="557DD588">
            <w:pPr>
              <w:jc w:val="center"/>
              <w:rPr>
                <w:color w:val="000000" w:themeColor="text1"/>
                <w14:textFill>
                  <w14:solidFill>
                    <w14:schemeClr w14:val="tx1"/>
                  </w14:solidFill>
                </w14:textFill>
              </w:rPr>
            </w:pPr>
            <w:r>
              <w:rPr>
                <w:rFonts w:hint="eastAsia"/>
                <w:color w:val="000000"/>
              </w:rPr>
              <w:t>/</w:t>
            </w:r>
          </w:p>
        </w:tc>
        <w:tc>
          <w:tcPr>
            <w:tcW w:w="1134" w:type="dxa"/>
            <w:tcBorders>
              <w:tl2br w:val="nil"/>
              <w:tr2bl w:val="nil"/>
            </w:tcBorders>
            <w:vAlign w:val="center"/>
          </w:tcPr>
          <w:p w14:paraId="57759799">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5545B693">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6E7A181D">
            <w:pPr>
              <w:widowControl/>
              <w:jc w:val="center"/>
              <w:textAlignment w:val="center"/>
              <w:rPr>
                <w:color w:val="000000"/>
              </w:rPr>
            </w:pPr>
            <w:r>
              <w:rPr>
                <w:rFonts w:hint="eastAsia"/>
                <w:color w:val="000000"/>
              </w:rPr>
              <w:t>8.1989t/a</w:t>
            </w:r>
          </w:p>
        </w:tc>
        <w:tc>
          <w:tcPr>
            <w:tcW w:w="1761" w:type="dxa"/>
            <w:tcBorders>
              <w:tl2br w:val="nil"/>
              <w:tr2bl w:val="nil"/>
            </w:tcBorders>
            <w:vAlign w:val="center"/>
          </w:tcPr>
          <w:p w14:paraId="5CFC1442">
            <w:pPr>
              <w:jc w:val="center"/>
              <w:rPr>
                <w:color w:val="000000" w:themeColor="text1"/>
                <w14:textFill>
                  <w14:solidFill>
                    <w14:schemeClr w14:val="tx1"/>
                  </w14:solidFill>
                </w14:textFill>
              </w:rPr>
            </w:pPr>
            <w:r>
              <w:rPr>
                <w:rFonts w:hint="eastAsia"/>
                <w:color w:val="000000"/>
              </w:rPr>
              <w:t>/</w:t>
            </w:r>
          </w:p>
        </w:tc>
        <w:tc>
          <w:tcPr>
            <w:tcW w:w="1959" w:type="dxa"/>
            <w:tcBorders>
              <w:tl2br w:val="nil"/>
              <w:tr2bl w:val="nil"/>
            </w:tcBorders>
            <w:vAlign w:val="center"/>
          </w:tcPr>
          <w:p w14:paraId="4DA20E67">
            <w:pPr>
              <w:widowControl/>
              <w:jc w:val="center"/>
              <w:textAlignment w:val="center"/>
              <w:rPr>
                <w:color w:val="000000" w:themeColor="text1"/>
                <w14:textFill>
                  <w14:solidFill>
                    <w14:schemeClr w14:val="tx1"/>
                  </w14:solidFill>
                </w14:textFill>
              </w:rPr>
            </w:pPr>
            <w:r>
              <w:rPr>
                <w:rFonts w:hint="eastAsia"/>
                <w:color w:val="000000"/>
              </w:rPr>
              <w:t>8.1989t/a</w:t>
            </w:r>
          </w:p>
        </w:tc>
        <w:tc>
          <w:tcPr>
            <w:tcW w:w="1520" w:type="dxa"/>
            <w:tcBorders>
              <w:tl2br w:val="nil"/>
              <w:tr2bl w:val="nil"/>
            </w:tcBorders>
            <w:vAlign w:val="center"/>
          </w:tcPr>
          <w:p w14:paraId="5D0F6ADF">
            <w:pPr>
              <w:widowControl/>
              <w:jc w:val="center"/>
              <w:textAlignment w:val="center"/>
              <w:rPr>
                <w:color w:val="000000" w:themeColor="text1"/>
                <w14:textFill>
                  <w14:solidFill>
                    <w14:schemeClr w14:val="tx1"/>
                  </w14:solidFill>
                </w14:textFill>
              </w:rPr>
            </w:pPr>
            <w:r>
              <w:rPr>
                <w:rFonts w:hint="eastAsia"/>
                <w:color w:val="000000"/>
              </w:rPr>
              <w:t>+8.1989t/a</w:t>
            </w:r>
          </w:p>
        </w:tc>
      </w:tr>
      <w:tr w14:paraId="62DC5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611A2EBF">
            <w:pPr>
              <w:jc w:val="center"/>
              <w:rPr>
                <w:color w:val="000000" w:themeColor="text1"/>
                <w14:textFill>
                  <w14:solidFill>
                    <w14:schemeClr w14:val="tx1"/>
                  </w14:solidFill>
                </w14:textFill>
              </w:rPr>
            </w:pPr>
          </w:p>
        </w:tc>
        <w:tc>
          <w:tcPr>
            <w:tcW w:w="2415" w:type="dxa"/>
            <w:tcBorders>
              <w:tl2br w:val="nil"/>
              <w:tr2bl w:val="nil"/>
            </w:tcBorders>
            <w:vAlign w:val="center"/>
          </w:tcPr>
          <w:p w14:paraId="44803751">
            <w:pPr>
              <w:pStyle w:val="18"/>
              <w:ind w:left="0" w:leftChars="0"/>
              <w:jc w:val="center"/>
              <w:rPr>
                <w:color w:val="000000"/>
                <w:szCs w:val="24"/>
              </w:rPr>
            </w:pPr>
            <w:r>
              <w:rPr>
                <w:rFonts w:hint="eastAsia"/>
                <w:color w:val="000000"/>
                <w:szCs w:val="24"/>
              </w:rPr>
              <w:t>废过滤棉</w:t>
            </w:r>
          </w:p>
        </w:tc>
        <w:tc>
          <w:tcPr>
            <w:tcW w:w="1337" w:type="dxa"/>
            <w:tcBorders>
              <w:tl2br w:val="nil"/>
              <w:tr2bl w:val="nil"/>
            </w:tcBorders>
            <w:vAlign w:val="center"/>
          </w:tcPr>
          <w:p w14:paraId="05D707C7">
            <w:pPr>
              <w:jc w:val="center"/>
              <w:rPr>
                <w:color w:val="000000" w:themeColor="text1"/>
                <w14:textFill>
                  <w14:solidFill>
                    <w14:schemeClr w14:val="tx1"/>
                  </w14:solidFill>
                </w14:textFill>
              </w:rPr>
            </w:pPr>
            <w:r>
              <w:rPr>
                <w:rFonts w:hint="eastAsia"/>
                <w:color w:val="000000"/>
              </w:rPr>
              <w:t>/</w:t>
            </w:r>
          </w:p>
        </w:tc>
        <w:tc>
          <w:tcPr>
            <w:tcW w:w="1134" w:type="dxa"/>
            <w:tcBorders>
              <w:tl2br w:val="nil"/>
              <w:tr2bl w:val="nil"/>
            </w:tcBorders>
            <w:vAlign w:val="center"/>
          </w:tcPr>
          <w:p w14:paraId="25521F9B">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5A934DA1">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60160EE6">
            <w:pPr>
              <w:widowControl/>
              <w:jc w:val="center"/>
              <w:textAlignment w:val="center"/>
              <w:rPr>
                <w:color w:val="000000"/>
              </w:rPr>
            </w:pPr>
            <w:r>
              <w:rPr>
                <w:rFonts w:hint="eastAsia"/>
                <w:color w:val="000000"/>
              </w:rPr>
              <w:t>2.0898t/a</w:t>
            </w:r>
          </w:p>
        </w:tc>
        <w:tc>
          <w:tcPr>
            <w:tcW w:w="1761" w:type="dxa"/>
            <w:tcBorders>
              <w:tl2br w:val="nil"/>
              <w:tr2bl w:val="nil"/>
            </w:tcBorders>
            <w:vAlign w:val="center"/>
          </w:tcPr>
          <w:p w14:paraId="49467F98">
            <w:pPr>
              <w:jc w:val="center"/>
              <w:rPr>
                <w:color w:val="000000" w:themeColor="text1"/>
                <w14:textFill>
                  <w14:solidFill>
                    <w14:schemeClr w14:val="tx1"/>
                  </w14:solidFill>
                </w14:textFill>
              </w:rPr>
            </w:pPr>
            <w:r>
              <w:rPr>
                <w:rFonts w:hint="eastAsia"/>
                <w:color w:val="000000"/>
              </w:rPr>
              <w:t>/</w:t>
            </w:r>
          </w:p>
        </w:tc>
        <w:tc>
          <w:tcPr>
            <w:tcW w:w="1959" w:type="dxa"/>
            <w:tcBorders>
              <w:tl2br w:val="nil"/>
              <w:tr2bl w:val="nil"/>
            </w:tcBorders>
            <w:vAlign w:val="center"/>
          </w:tcPr>
          <w:p w14:paraId="3099D598">
            <w:pPr>
              <w:widowControl/>
              <w:jc w:val="center"/>
              <w:textAlignment w:val="center"/>
              <w:rPr>
                <w:color w:val="000000" w:themeColor="text1"/>
                <w:kern w:val="0"/>
                <w:lang w:bidi="ar"/>
                <w14:textFill>
                  <w14:solidFill>
                    <w14:schemeClr w14:val="tx1"/>
                  </w14:solidFill>
                </w14:textFill>
              </w:rPr>
            </w:pPr>
            <w:r>
              <w:rPr>
                <w:rFonts w:hint="eastAsia"/>
                <w:color w:val="000000"/>
              </w:rPr>
              <w:t>2.0898t/a</w:t>
            </w:r>
          </w:p>
        </w:tc>
        <w:tc>
          <w:tcPr>
            <w:tcW w:w="1520" w:type="dxa"/>
            <w:tcBorders>
              <w:tl2br w:val="nil"/>
              <w:tr2bl w:val="nil"/>
            </w:tcBorders>
            <w:vAlign w:val="center"/>
          </w:tcPr>
          <w:p w14:paraId="18A3E6DD">
            <w:pPr>
              <w:widowControl/>
              <w:jc w:val="center"/>
              <w:textAlignment w:val="center"/>
              <w:rPr>
                <w:color w:val="000000" w:themeColor="text1"/>
                <w:kern w:val="0"/>
                <w:lang w:bidi="ar"/>
                <w14:textFill>
                  <w14:solidFill>
                    <w14:schemeClr w14:val="tx1"/>
                  </w14:solidFill>
                </w14:textFill>
              </w:rPr>
            </w:pPr>
            <w:r>
              <w:rPr>
                <w:rFonts w:hint="eastAsia"/>
                <w:color w:val="000000"/>
              </w:rPr>
              <w:t>+2.0898t/a</w:t>
            </w:r>
          </w:p>
        </w:tc>
      </w:tr>
      <w:tr w14:paraId="5B7F2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1442CF6D">
            <w:pPr>
              <w:jc w:val="center"/>
              <w:rPr>
                <w:color w:val="000000" w:themeColor="text1"/>
                <w14:textFill>
                  <w14:solidFill>
                    <w14:schemeClr w14:val="tx1"/>
                  </w14:solidFill>
                </w14:textFill>
              </w:rPr>
            </w:pPr>
          </w:p>
        </w:tc>
        <w:tc>
          <w:tcPr>
            <w:tcW w:w="2415" w:type="dxa"/>
            <w:tcBorders>
              <w:tl2br w:val="nil"/>
              <w:tr2bl w:val="nil"/>
            </w:tcBorders>
            <w:vAlign w:val="center"/>
          </w:tcPr>
          <w:p w14:paraId="621C5313">
            <w:pPr>
              <w:pStyle w:val="18"/>
              <w:ind w:left="0" w:leftChars="0"/>
              <w:jc w:val="center"/>
              <w:rPr>
                <w:color w:val="000000"/>
                <w:szCs w:val="24"/>
              </w:rPr>
            </w:pPr>
            <w:r>
              <w:rPr>
                <w:rFonts w:hint="eastAsia"/>
                <w:color w:val="000000"/>
                <w:szCs w:val="24"/>
              </w:rPr>
              <w:t>废润滑油及其包装桶</w:t>
            </w:r>
          </w:p>
        </w:tc>
        <w:tc>
          <w:tcPr>
            <w:tcW w:w="1337" w:type="dxa"/>
            <w:tcBorders>
              <w:tl2br w:val="nil"/>
              <w:tr2bl w:val="nil"/>
            </w:tcBorders>
            <w:vAlign w:val="center"/>
          </w:tcPr>
          <w:p w14:paraId="73ABEEDE">
            <w:pPr>
              <w:jc w:val="center"/>
              <w:rPr>
                <w:color w:val="000000" w:themeColor="text1"/>
                <w14:textFill>
                  <w14:solidFill>
                    <w14:schemeClr w14:val="tx1"/>
                  </w14:solidFill>
                </w14:textFill>
              </w:rPr>
            </w:pPr>
            <w:r>
              <w:rPr>
                <w:rFonts w:hint="eastAsia"/>
                <w:color w:val="000000"/>
              </w:rPr>
              <w:t>0.125t/a</w:t>
            </w:r>
          </w:p>
        </w:tc>
        <w:tc>
          <w:tcPr>
            <w:tcW w:w="1134" w:type="dxa"/>
            <w:tcBorders>
              <w:tl2br w:val="nil"/>
              <w:tr2bl w:val="nil"/>
            </w:tcBorders>
            <w:vAlign w:val="center"/>
          </w:tcPr>
          <w:p w14:paraId="25F7BB3A">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l2br w:val="nil"/>
              <w:tr2bl w:val="nil"/>
            </w:tcBorders>
            <w:vAlign w:val="center"/>
          </w:tcPr>
          <w:p w14:paraId="2BD66E39">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l2br w:val="nil"/>
              <w:tr2bl w:val="nil"/>
            </w:tcBorders>
            <w:vAlign w:val="center"/>
          </w:tcPr>
          <w:p w14:paraId="5C4F457D">
            <w:pPr>
              <w:widowControl/>
              <w:jc w:val="center"/>
              <w:textAlignment w:val="center"/>
              <w:rPr>
                <w:color w:val="000000"/>
              </w:rPr>
            </w:pPr>
            <w:r>
              <w:rPr>
                <w:rFonts w:hint="eastAsia"/>
                <w:color w:val="000000"/>
              </w:rPr>
              <w:t>0.125t/a</w:t>
            </w:r>
          </w:p>
        </w:tc>
        <w:tc>
          <w:tcPr>
            <w:tcW w:w="1761" w:type="dxa"/>
            <w:tcBorders>
              <w:tl2br w:val="nil"/>
              <w:tr2bl w:val="nil"/>
            </w:tcBorders>
            <w:vAlign w:val="center"/>
          </w:tcPr>
          <w:p w14:paraId="6829C2DF">
            <w:pPr>
              <w:jc w:val="center"/>
              <w:rPr>
                <w:color w:val="000000" w:themeColor="text1"/>
                <w14:textFill>
                  <w14:solidFill>
                    <w14:schemeClr w14:val="tx1"/>
                  </w14:solidFill>
                </w14:textFill>
              </w:rPr>
            </w:pPr>
            <w:r>
              <w:rPr>
                <w:rFonts w:hint="eastAsia"/>
                <w:color w:val="000000"/>
              </w:rPr>
              <w:t>0.125t/a</w:t>
            </w:r>
          </w:p>
        </w:tc>
        <w:tc>
          <w:tcPr>
            <w:tcW w:w="1959" w:type="dxa"/>
            <w:tcBorders>
              <w:tl2br w:val="nil"/>
              <w:tr2bl w:val="nil"/>
            </w:tcBorders>
            <w:vAlign w:val="center"/>
          </w:tcPr>
          <w:p w14:paraId="2525C585">
            <w:pPr>
              <w:widowControl/>
              <w:autoSpaceDE w:val="0"/>
              <w:autoSpaceDN w:val="0"/>
              <w:jc w:val="center"/>
              <w:rPr>
                <w:color w:val="000000" w:themeColor="text1"/>
                <w:kern w:val="0"/>
                <w:lang w:bidi="ar"/>
                <w14:textFill>
                  <w14:solidFill>
                    <w14:schemeClr w14:val="tx1"/>
                  </w14:solidFill>
                </w14:textFill>
              </w:rPr>
            </w:pPr>
            <w:r>
              <w:rPr>
                <w:rFonts w:hint="eastAsia"/>
                <w:color w:val="000000"/>
              </w:rPr>
              <w:t>0.125t/a</w:t>
            </w:r>
          </w:p>
        </w:tc>
        <w:tc>
          <w:tcPr>
            <w:tcW w:w="1520" w:type="dxa"/>
            <w:tcBorders>
              <w:tl2br w:val="nil"/>
              <w:tr2bl w:val="nil"/>
            </w:tcBorders>
            <w:vAlign w:val="center"/>
          </w:tcPr>
          <w:p w14:paraId="3517575C">
            <w:pPr>
              <w:widowControl/>
              <w:autoSpaceDE w:val="0"/>
              <w:autoSpaceDN w:val="0"/>
              <w:jc w:val="center"/>
              <w:rPr>
                <w:color w:val="000000" w:themeColor="text1"/>
                <w:kern w:val="0"/>
                <w:lang w:bidi="ar"/>
                <w14:textFill>
                  <w14:solidFill>
                    <w14:schemeClr w14:val="tx1"/>
                  </w14:solidFill>
                </w14:textFill>
              </w:rPr>
            </w:pPr>
            <w:r>
              <w:rPr>
                <w:rFonts w:hint="eastAsia"/>
                <w:color w:val="000000"/>
                <w:kern w:val="0"/>
                <w:lang w:bidi="ar"/>
              </w:rPr>
              <w:t>0</w:t>
            </w:r>
          </w:p>
        </w:tc>
      </w:tr>
      <w:tr w14:paraId="2AF08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vMerge w:val="continue"/>
            <w:tcBorders>
              <w:tl2br w:val="nil"/>
              <w:tr2bl w:val="nil"/>
            </w:tcBorders>
            <w:vAlign w:val="center"/>
          </w:tcPr>
          <w:p w14:paraId="383A27E8">
            <w:pPr>
              <w:jc w:val="center"/>
              <w:rPr>
                <w:color w:val="000000" w:themeColor="text1"/>
                <w14:textFill>
                  <w14:solidFill>
                    <w14:schemeClr w14:val="tx1"/>
                  </w14:solidFill>
                </w14:textFill>
              </w:rPr>
            </w:pPr>
          </w:p>
        </w:tc>
        <w:tc>
          <w:tcPr>
            <w:tcW w:w="2415" w:type="dxa"/>
            <w:tcBorders>
              <w:tl2br w:val="nil"/>
              <w:tr2bl w:val="nil"/>
            </w:tcBorders>
            <w:vAlign w:val="center"/>
          </w:tcPr>
          <w:p w14:paraId="2A19B484">
            <w:pPr>
              <w:pStyle w:val="18"/>
              <w:ind w:left="0" w:leftChars="0"/>
              <w:jc w:val="center"/>
              <w:rPr>
                <w:color w:val="000000"/>
                <w:szCs w:val="24"/>
              </w:rPr>
            </w:pPr>
            <w:r>
              <w:rPr>
                <w:rFonts w:hint="eastAsia"/>
                <w:color w:val="000000"/>
                <w:szCs w:val="24"/>
              </w:rPr>
              <w:t>含油抹布及手套</w:t>
            </w:r>
          </w:p>
        </w:tc>
        <w:tc>
          <w:tcPr>
            <w:tcW w:w="1337" w:type="dxa"/>
            <w:tcBorders>
              <w:tl2br w:val="nil"/>
              <w:tr2bl w:val="nil"/>
            </w:tcBorders>
            <w:vAlign w:val="center"/>
          </w:tcPr>
          <w:p w14:paraId="372EFF80">
            <w:pPr>
              <w:jc w:val="center"/>
              <w:rPr>
                <w:color w:val="000000" w:themeColor="text1"/>
                <w14:textFill>
                  <w14:solidFill>
                    <w14:schemeClr w14:val="tx1"/>
                  </w14:solidFill>
                </w14:textFill>
              </w:rPr>
            </w:pPr>
            <w:r>
              <w:rPr>
                <w:rFonts w:hint="eastAsia"/>
                <w:color w:val="000000"/>
              </w:rPr>
              <w:t>0.05t/a</w:t>
            </w:r>
          </w:p>
        </w:tc>
        <w:tc>
          <w:tcPr>
            <w:tcW w:w="1134" w:type="dxa"/>
            <w:tcBorders>
              <w:tl2br w:val="nil"/>
              <w:tr2bl w:val="nil"/>
            </w:tcBorders>
            <w:vAlign w:val="center"/>
          </w:tcPr>
          <w:p w14:paraId="210C9949">
            <w:pPr>
              <w:jc w:val="center"/>
              <w:rPr>
                <w:color w:val="000000" w:themeColor="text1"/>
                <w14:textFill>
                  <w14:solidFill>
                    <w14:schemeClr w14:val="tx1"/>
                  </w14:solidFill>
                </w14:textFill>
              </w:rPr>
            </w:pPr>
          </w:p>
        </w:tc>
        <w:tc>
          <w:tcPr>
            <w:tcW w:w="1701" w:type="dxa"/>
            <w:tcBorders>
              <w:tl2br w:val="nil"/>
              <w:tr2bl w:val="nil"/>
            </w:tcBorders>
            <w:vAlign w:val="center"/>
          </w:tcPr>
          <w:p w14:paraId="7B613971">
            <w:pPr>
              <w:jc w:val="center"/>
              <w:rPr>
                <w:color w:val="000000" w:themeColor="text1"/>
                <w14:textFill>
                  <w14:solidFill>
                    <w14:schemeClr w14:val="tx1"/>
                  </w14:solidFill>
                </w14:textFill>
              </w:rPr>
            </w:pPr>
          </w:p>
        </w:tc>
        <w:tc>
          <w:tcPr>
            <w:tcW w:w="1559" w:type="dxa"/>
            <w:tcBorders>
              <w:tl2br w:val="nil"/>
              <w:tr2bl w:val="nil"/>
            </w:tcBorders>
            <w:vAlign w:val="center"/>
          </w:tcPr>
          <w:p w14:paraId="5BE59F88">
            <w:pPr>
              <w:widowControl/>
              <w:jc w:val="center"/>
              <w:textAlignment w:val="center"/>
              <w:rPr>
                <w:color w:val="000000"/>
              </w:rPr>
            </w:pPr>
            <w:r>
              <w:rPr>
                <w:rFonts w:hint="eastAsia"/>
                <w:color w:val="000000"/>
              </w:rPr>
              <w:t>0.05t/a</w:t>
            </w:r>
          </w:p>
        </w:tc>
        <w:tc>
          <w:tcPr>
            <w:tcW w:w="1761" w:type="dxa"/>
            <w:tcBorders>
              <w:tl2br w:val="nil"/>
              <w:tr2bl w:val="nil"/>
            </w:tcBorders>
            <w:vAlign w:val="center"/>
          </w:tcPr>
          <w:p w14:paraId="13260B70">
            <w:pPr>
              <w:jc w:val="center"/>
              <w:rPr>
                <w:color w:val="000000" w:themeColor="text1"/>
                <w14:textFill>
                  <w14:solidFill>
                    <w14:schemeClr w14:val="tx1"/>
                  </w14:solidFill>
                </w14:textFill>
              </w:rPr>
            </w:pPr>
            <w:r>
              <w:rPr>
                <w:rFonts w:hint="eastAsia"/>
                <w:color w:val="000000"/>
              </w:rPr>
              <w:t>0.05t/a</w:t>
            </w:r>
          </w:p>
        </w:tc>
        <w:tc>
          <w:tcPr>
            <w:tcW w:w="1959" w:type="dxa"/>
            <w:tcBorders>
              <w:tl2br w:val="nil"/>
              <w:tr2bl w:val="nil"/>
            </w:tcBorders>
            <w:vAlign w:val="center"/>
          </w:tcPr>
          <w:p w14:paraId="359171CC">
            <w:pPr>
              <w:widowControl/>
              <w:autoSpaceDE w:val="0"/>
              <w:autoSpaceDN w:val="0"/>
              <w:jc w:val="center"/>
              <w:rPr>
                <w:color w:val="000000" w:themeColor="text1"/>
                <w:kern w:val="0"/>
                <w:lang w:bidi="ar"/>
                <w14:textFill>
                  <w14:solidFill>
                    <w14:schemeClr w14:val="tx1"/>
                  </w14:solidFill>
                </w14:textFill>
              </w:rPr>
            </w:pPr>
            <w:r>
              <w:rPr>
                <w:rFonts w:hint="eastAsia"/>
                <w:color w:val="000000"/>
              </w:rPr>
              <w:t>0.05t/a</w:t>
            </w:r>
          </w:p>
        </w:tc>
        <w:tc>
          <w:tcPr>
            <w:tcW w:w="1520" w:type="dxa"/>
            <w:tcBorders>
              <w:tl2br w:val="nil"/>
              <w:tr2bl w:val="nil"/>
            </w:tcBorders>
            <w:vAlign w:val="center"/>
          </w:tcPr>
          <w:p w14:paraId="27C77C19">
            <w:pPr>
              <w:widowControl/>
              <w:autoSpaceDE w:val="0"/>
              <w:autoSpaceDN w:val="0"/>
              <w:jc w:val="center"/>
              <w:rPr>
                <w:color w:val="000000" w:themeColor="text1"/>
                <w:kern w:val="0"/>
                <w:lang w:bidi="ar"/>
                <w14:textFill>
                  <w14:solidFill>
                    <w14:schemeClr w14:val="tx1"/>
                  </w14:solidFill>
                </w14:textFill>
              </w:rPr>
            </w:pPr>
            <w:r>
              <w:rPr>
                <w:rFonts w:hint="eastAsia"/>
                <w:color w:val="000000"/>
                <w:kern w:val="0"/>
                <w:lang w:bidi="ar"/>
              </w:rPr>
              <w:t>0</w:t>
            </w:r>
          </w:p>
        </w:tc>
      </w:tr>
    </w:tbl>
    <w:p w14:paraId="69984A13">
      <w:pPr>
        <w:pStyle w:val="55"/>
        <w:spacing w:before="192" w:beforeLines="80" w:after="24"/>
        <w:ind w:left="0" w:leftChars="0" w:firstLine="0" w:firstLineChars="0"/>
        <w:jc w:val="left"/>
        <w:rPr>
          <w:rFonts w:ascii="Times New Roman"/>
          <w:color w:val="000000" w:themeColor="text1"/>
          <w14:textFill>
            <w14:solidFill>
              <w14:schemeClr w14:val="tx1"/>
            </w14:solidFill>
          </w14:textFill>
        </w:rPr>
      </w:pPr>
      <w:r>
        <w:rPr>
          <w:rFonts w:ascii="Times New Roman"/>
          <w:color w:val="000000" w:themeColor="text1"/>
          <w:kern w:val="21"/>
          <w:szCs w:val="21"/>
          <w14:textFill>
            <w14:solidFill>
              <w14:schemeClr w14:val="tx1"/>
            </w14:solidFill>
          </w14:textFill>
        </w:rPr>
        <w:t>注：</w:t>
      </w:r>
      <w:r>
        <w:rPr>
          <w:rFonts w:ascii="Times New Roman"/>
          <w:color w:val="000000" w:themeColor="text1"/>
          <w:spacing w:val="-16"/>
          <w:kern w:val="21"/>
          <w:szCs w:val="21"/>
          <w14:textFill>
            <w14:solidFill>
              <w14:schemeClr w14:val="tx1"/>
            </w14:solidFill>
          </w14:textFill>
        </w:rPr>
        <w:fldChar w:fldCharType="begin"/>
      </w:r>
      <w:r>
        <w:rPr>
          <w:rFonts w:ascii="Times New Roman"/>
          <w:color w:val="000000" w:themeColor="text1"/>
          <w:spacing w:val="-16"/>
          <w:kern w:val="21"/>
          <w:szCs w:val="21"/>
          <w14:textFill>
            <w14:solidFill>
              <w14:schemeClr w14:val="tx1"/>
            </w14:solidFill>
          </w14:textFill>
        </w:rPr>
        <w:instrText xml:space="preserve"> = 6 \* GB3 \* MERGEFORMAT </w:instrText>
      </w:r>
      <w:r>
        <w:rPr>
          <w:rFonts w:ascii="Times New Roman"/>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color w:val="000000" w:themeColor="text1"/>
          <w:spacing w:val="-16"/>
          <w:kern w:val="21"/>
          <w:szCs w:val="21"/>
          <w14:textFill>
            <w14:solidFill>
              <w14:schemeClr w14:val="tx1"/>
            </w14:solidFill>
          </w14:textFill>
        </w:rPr>
        <w:fldChar w:fldCharType="end"/>
      </w:r>
      <w:r>
        <w:rPr>
          <w:rFonts w:ascii="Times New Roman"/>
          <w:color w:val="000000" w:themeColor="text1"/>
          <w:spacing w:val="-16"/>
          <w:kern w:val="21"/>
          <w:szCs w:val="21"/>
          <w14:textFill>
            <w14:solidFill>
              <w14:schemeClr w14:val="tx1"/>
            </w14:solidFill>
          </w14:textFill>
        </w:rPr>
        <w:t>=</w:t>
      </w:r>
      <w:r>
        <w:rPr>
          <w:rFonts w:ascii="Times New Roman"/>
          <w:color w:val="000000" w:themeColor="text1"/>
          <w:spacing w:val="-6"/>
          <w:kern w:val="21"/>
          <w:szCs w:val="21"/>
          <w14:textFill>
            <w14:solidFill>
              <w14:schemeClr w14:val="tx1"/>
            </w14:solidFill>
          </w14:textFill>
        </w:rPr>
        <w:fldChar w:fldCharType="begin"/>
      </w:r>
      <w:r>
        <w:rPr>
          <w:rFonts w:ascii="Times New Roman"/>
          <w:color w:val="000000" w:themeColor="text1"/>
          <w:spacing w:val="-6"/>
          <w:kern w:val="21"/>
          <w:szCs w:val="21"/>
          <w14:textFill>
            <w14:solidFill>
              <w14:schemeClr w14:val="tx1"/>
            </w14:solidFill>
          </w14:textFill>
        </w:rPr>
        <w:instrText xml:space="preserve"> = 1 \* GB3 \* MERGEFORMAT </w:instrText>
      </w:r>
      <w:r>
        <w:rPr>
          <w:rFonts w:ascii="Times New Roman"/>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color w:val="000000" w:themeColor="text1"/>
          <w:spacing w:val="-6"/>
          <w:kern w:val="21"/>
          <w:szCs w:val="21"/>
          <w14:textFill>
            <w14:solidFill>
              <w14:schemeClr w14:val="tx1"/>
            </w14:solidFill>
          </w14:textFill>
        </w:rPr>
        <w:fldChar w:fldCharType="end"/>
      </w:r>
      <w:r>
        <w:rPr>
          <w:rFonts w:ascii="Times New Roman"/>
          <w:color w:val="000000" w:themeColor="text1"/>
          <w:spacing w:val="-6"/>
          <w:kern w:val="21"/>
          <w:szCs w:val="21"/>
          <w14:textFill>
            <w14:solidFill>
              <w14:schemeClr w14:val="tx1"/>
            </w14:solidFill>
          </w14:textFill>
        </w:rPr>
        <w:t>+</w:t>
      </w:r>
      <w:r>
        <w:rPr>
          <w:rFonts w:ascii="Times New Roman"/>
          <w:color w:val="000000" w:themeColor="text1"/>
          <w:spacing w:val="-6"/>
          <w:kern w:val="21"/>
          <w:szCs w:val="21"/>
          <w14:textFill>
            <w14:solidFill>
              <w14:schemeClr w14:val="tx1"/>
            </w14:solidFill>
          </w14:textFill>
        </w:rPr>
        <w:fldChar w:fldCharType="begin"/>
      </w:r>
      <w:r>
        <w:rPr>
          <w:rFonts w:ascii="Times New Roman"/>
          <w:color w:val="000000" w:themeColor="text1"/>
          <w:spacing w:val="-6"/>
          <w:kern w:val="21"/>
          <w:szCs w:val="21"/>
          <w14:textFill>
            <w14:solidFill>
              <w14:schemeClr w14:val="tx1"/>
            </w14:solidFill>
          </w14:textFill>
        </w:rPr>
        <w:instrText xml:space="preserve"> = 3 \* GB3 \* MERGEFORMAT </w:instrText>
      </w:r>
      <w:r>
        <w:rPr>
          <w:rFonts w:ascii="Times New Roman"/>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color w:val="000000" w:themeColor="text1"/>
          <w:spacing w:val="-6"/>
          <w:kern w:val="21"/>
          <w:szCs w:val="21"/>
          <w14:textFill>
            <w14:solidFill>
              <w14:schemeClr w14:val="tx1"/>
            </w14:solidFill>
          </w14:textFill>
        </w:rPr>
        <w:fldChar w:fldCharType="end"/>
      </w:r>
      <w:r>
        <w:rPr>
          <w:rFonts w:ascii="Times New Roman"/>
          <w:color w:val="000000" w:themeColor="text1"/>
          <w:spacing w:val="-6"/>
          <w:kern w:val="21"/>
          <w:szCs w:val="21"/>
          <w14:textFill>
            <w14:solidFill>
              <w14:schemeClr w14:val="tx1"/>
            </w14:solidFill>
          </w14:textFill>
        </w:rPr>
        <w:t>+</w:t>
      </w:r>
      <w:r>
        <w:rPr>
          <w:rFonts w:ascii="Times New Roman"/>
          <w:color w:val="000000" w:themeColor="text1"/>
          <w:spacing w:val="-6"/>
          <w:kern w:val="21"/>
          <w:szCs w:val="21"/>
          <w14:textFill>
            <w14:solidFill>
              <w14:schemeClr w14:val="tx1"/>
            </w14:solidFill>
          </w14:textFill>
        </w:rPr>
        <w:fldChar w:fldCharType="begin"/>
      </w:r>
      <w:r>
        <w:rPr>
          <w:rFonts w:ascii="Times New Roman"/>
          <w:color w:val="000000" w:themeColor="text1"/>
          <w:spacing w:val="-6"/>
          <w:kern w:val="21"/>
          <w:szCs w:val="21"/>
          <w14:textFill>
            <w14:solidFill>
              <w14:schemeClr w14:val="tx1"/>
            </w14:solidFill>
          </w14:textFill>
        </w:rPr>
        <w:instrText xml:space="preserve"> = 4 \* GB3 \* MERGEFORMAT </w:instrText>
      </w:r>
      <w:r>
        <w:rPr>
          <w:rFonts w:ascii="Times New Roman"/>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color w:val="000000" w:themeColor="text1"/>
          <w:spacing w:val="-6"/>
          <w:kern w:val="21"/>
          <w:szCs w:val="21"/>
          <w14:textFill>
            <w14:solidFill>
              <w14:schemeClr w14:val="tx1"/>
            </w14:solidFill>
          </w14:textFill>
        </w:rPr>
        <w:fldChar w:fldCharType="end"/>
      </w:r>
      <w:r>
        <w:rPr>
          <w:rFonts w:ascii="Times New Roman"/>
          <w:color w:val="000000" w:themeColor="text1"/>
          <w:spacing w:val="-6"/>
          <w:kern w:val="21"/>
          <w:szCs w:val="21"/>
          <w14:textFill>
            <w14:solidFill>
              <w14:schemeClr w14:val="tx1"/>
            </w14:solidFill>
          </w14:textFill>
        </w:rPr>
        <w:t>-</w:t>
      </w:r>
      <w:r>
        <w:rPr>
          <w:rFonts w:ascii="Times New Roman"/>
          <w:color w:val="000000" w:themeColor="text1"/>
          <w:spacing w:val="-16"/>
          <w:kern w:val="21"/>
          <w:szCs w:val="21"/>
          <w14:textFill>
            <w14:solidFill>
              <w14:schemeClr w14:val="tx1"/>
            </w14:solidFill>
          </w14:textFill>
        </w:rPr>
        <w:fldChar w:fldCharType="begin"/>
      </w:r>
      <w:r>
        <w:rPr>
          <w:rFonts w:ascii="Times New Roman"/>
          <w:color w:val="000000" w:themeColor="text1"/>
          <w:spacing w:val="-16"/>
          <w:kern w:val="21"/>
          <w:szCs w:val="21"/>
          <w14:textFill>
            <w14:solidFill>
              <w14:schemeClr w14:val="tx1"/>
            </w14:solidFill>
          </w14:textFill>
        </w:rPr>
        <w:instrText xml:space="preserve"> = 5 \* GB3 \* MERGEFORMAT </w:instrText>
      </w:r>
      <w:r>
        <w:rPr>
          <w:rFonts w:ascii="Times New Roman"/>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color w:val="000000" w:themeColor="text1"/>
          <w:spacing w:val="-16"/>
          <w:kern w:val="21"/>
          <w:szCs w:val="21"/>
          <w14:textFill>
            <w14:solidFill>
              <w14:schemeClr w14:val="tx1"/>
            </w14:solidFill>
          </w14:textFill>
        </w:rPr>
        <w:fldChar w:fldCharType="end"/>
      </w:r>
      <w:r>
        <w:rPr>
          <w:rFonts w:ascii="Times New Roman"/>
          <w:color w:val="000000" w:themeColor="text1"/>
          <w:spacing w:val="-16"/>
          <w:kern w:val="21"/>
          <w:szCs w:val="21"/>
          <w14:textFill>
            <w14:solidFill>
              <w14:schemeClr w14:val="tx1"/>
            </w14:solidFill>
          </w14:textFill>
        </w:rPr>
        <w:t>；</w:t>
      </w:r>
      <w:r>
        <w:rPr>
          <w:rFonts w:ascii="Times New Roman"/>
          <w:color w:val="000000" w:themeColor="text1"/>
          <w:spacing w:val="-6"/>
          <w:kern w:val="21"/>
          <w:szCs w:val="21"/>
          <w14:textFill>
            <w14:solidFill>
              <w14:schemeClr w14:val="tx1"/>
            </w14:solidFill>
          </w14:textFill>
        </w:rPr>
        <w:fldChar w:fldCharType="begin"/>
      </w:r>
      <w:r>
        <w:rPr>
          <w:rFonts w:ascii="Times New Roman"/>
          <w:color w:val="000000" w:themeColor="text1"/>
          <w:spacing w:val="-6"/>
          <w:kern w:val="21"/>
          <w:szCs w:val="21"/>
          <w14:textFill>
            <w14:solidFill>
              <w14:schemeClr w14:val="tx1"/>
            </w14:solidFill>
          </w14:textFill>
        </w:rPr>
        <w:instrText xml:space="preserve"> = 7 \* GB3 \* MERGEFORMAT </w:instrText>
      </w:r>
      <w:r>
        <w:rPr>
          <w:rFonts w:ascii="Times New Roman"/>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color w:val="000000" w:themeColor="text1"/>
          <w:spacing w:val="-6"/>
          <w:kern w:val="21"/>
          <w:szCs w:val="21"/>
          <w14:textFill>
            <w14:solidFill>
              <w14:schemeClr w14:val="tx1"/>
            </w14:solidFill>
          </w14:textFill>
        </w:rPr>
        <w:fldChar w:fldCharType="end"/>
      </w:r>
      <w:r>
        <w:rPr>
          <w:rFonts w:ascii="Times New Roman"/>
          <w:color w:val="000000" w:themeColor="text1"/>
          <w:spacing w:val="-6"/>
          <w:kern w:val="21"/>
          <w:szCs w:val="21"/>
          <w14:textFill>
            <w14:solidFill>
              <w14:schemeClr w14:val="tx1"/>
            </w14:solidFill>
          </w14:textFill>
        </w:rPr>
        <w:t>=</w:t>
      </w:r>
      <w:r>
        <w:rPr>
          <w:rFonts w:ascii="Times New Roman"/>
          <w:color w:val="000000" w:themeColor="text1"/>
          <w:spacing w:val="-16"/>
          <w:kern w:val="21"/>
          <w:szCs w:val="21"/>
          <w14:textFill>
            <w14:solidFill>
              <w14:schemeClr w14:val="tx1"/>
            </w14:solidFill>
          </w14:textFill>
        </w:rPr>
        <w:fldChar w:fldCharType="begin"/>
      </w:r>
      <w:r>
        <w:rPr>
          <w:rFonts w:ascii="Times New Roman"/>
          <w:color w:val="000000" w:themeColor="text1"/>
          <w:spacing w:val="-16"/>
          <w:kern w:val="21"/>
          <w:szCs w:val="21"/>
          <w14:textFill>
            <w14:solidFill>
              <w14:schemeClr w14:val="tx1"/>
            </w14:solidFill>
          </w14:textFill>
        </w:rPr>
        <w:instrText xml:space="preserve"> = 6 \* GB3 \* MERGEFORMAT </w:instrText>
      </w:r>
      <w:r>
        <w:rPr>
          <w:rFonts w:ascii="Times New Roman"/>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color w:val="000000" w:themeColor="text1"/>
          <w:spacing w:val="-16"/>
          <w:kern w:val="21"/>
          <w:szCs w:val="21"/>
          <w14:textFill>
            <w14:solidFill>
              <w14:schemeClr w14:val="tx1"/>
            </w14:solidFill>
          </w14:textFill>
        </w:rPr>
        <w:fldChar w:fldCharType="end"/>
      </w:r>
      <w:r>
        <w:rPr>
          <w:rFonts w:ascii="Times New Roman"/>
          <w:color w:val="000000" w:themeColor="text1"/>
          <w:spacing w:val="-16"/>
          <w:kern w:val="21"/>
          <w:szCs w:val="21"/>
          <w14:textFill>
            <w14:solidFill>
              <w14:schemeClr w14:val="tx1"/>
            </w14:solidFill>
          </w14:textFill>
        </w:rPr>
        <w:t>-</w:t>
      </w:r>
      <w:r>
        <w:rPr>
          <w:rFonts w:ascii="Times New Roman"/>
          <w:color w:val="000000" w:themeColor="text1"/>
          <w:spacing w:val="-6"/>
          <w:kern w:val="21"/>
          <w:szCs w:val="21"/>
          <w14:textFill>
            <w14:solidFill>
              <w14:schemeClr w14:val="tx1"/>
            </w14:solidFill>
          </w14:textFill>
        </w:rPr>
        <w:fldChar w:fldCharType="begin"/>
      </w:r>
      <w:r>
        <w:rPr>
          <w:rFonts w:ascii="Times New Roman"/>
          <w:color w:val="000000" w:themeColor="text1"/>
          <w:spacing w:val="-6"/>
          <w:kern w:val="21"/>
          <w:szCs w:val="21"/>
          <w14:textFill>
            <w14:solidFill>
              <w14:schemeClr w14:val="tx1"/>
            </w14:solidFill>
          </w14:textFill>
        </w:rPr>
        <w:instrText xml:space="preserve"> = 1 \* GB3 \* MERGEFORMAT </w:instrText>
      </w:r>
      <w:r>
        <w:rPr>
          <w:rFonts w:ascii="Times New Roman"/>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color w:val="000000" w:themeColor="text1"/>
          <w:spacing w:val="-6"/>
          <w:kern w:val="21"/>
          <w:szCs w:val="21"/>
          <w14:textFill>
            <w14:solidFill>
              <w14:schemeClr w14:val="tx1"/>
            </w14:solidFill>
          </w14:textFill>
        </w:rPr>
        <w:fldChar w:fldCharType="end"/>
      </w:r>
    </w:p>
    <w:p w14:paraId="125E98DE">
      <w:pPr>
        <w:spacing w:line="360" w:lineRule="auto"/>
        <w:ind w:firstLine="480" w:firstLineChars="200"/>
        <w:rPr>
          <w:color w:val="000000" w:themeColor="text1"/>
          <w14:textFill>
            <w14:solidFill>
              <w14:schemeClr w14:val="tx1"/>
            </w14:solidFill>
          </w14:textFill>
        </w:rPr>
        <w:sectPr>
          <w:headerReference r:id="rId8" w:type="first"/>
          <w:headerReference r:id="rId6" w:type="default"/>
          <w:footerReference r:id="rId9" w:type="default"/>
          <w:headerReference r:id="rId7" w:type="even"/>
          <w:pgSz w:w="16838" w:h="11906" w:orient="landscape"/>
          <w:pgMar w:top="1134" w:right="1134" w:bottom="1134" w:left="1134" w:header="851" w:footer="851" w:gutter="0"/>
          <w:cols w:space="720" w:num="1"/>
          <w:docGrid w:linePitch="312" w:charSpace="0"/>
        </w:sectPr>
      </w:pPr>
    </w:p>
    <w:p w14:paraId="7BC178EE">
      <w:pPr>
        <w:adjustRightInd w:val="0"/>
        <w:snapToGrid w:val="0"/>
      </w:pPr>
      <w:bookmarkStart w:id="105" w:name="_GoBack"/>
      <w:bookmarkEnd w:id="105"/>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DD700">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27D0F">
    <w:pPr>
      <w:pStyle w:val="13"/>
      <w:framePr w:wrap="around" w:vAnchor="text" w:hAnchor="margin" w:xAlign="center" w:y="1"/>
      <w:rPr>
        <w:rStyle w:val="26"/>
      </w:rPr>
    </w:pPr>
    <w:r>
      <w:fldChar w:fldCharType="begin"/>
    </w:r>
    <w:r>
      <w:rPr>
        <w:rStyle w:val="26"/>
      </w:rPr>
      <w:instrText xml:space="preserve">PAGE  </w:instrText>
    </w:r>
    <w:r>
      <w:fldChar w:fldCharType="end"/>
    </w:r>
  </w:p>
  <w:p w14:paraId="72D47B78">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9278892"/>
    </w:sdtPr>
    <w:sdtEndPr>
      <w:rPr>
        <w:sz w:val="24"/>
        <w:szCs w:val="24"/>
      </w:rPr>
    </w:sdtEndPr>
    <w:sdtContent>
      <w:p w14:paraId="51984E6C">
        <w:pPr>
          <w:pStyle w:val="13"/>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1363803"/>
    </w:sdtPr>
    <w:sdtContent>
      <w:p w14:paraId="7514EF13">
        <w:pPr>
          <w:pStyle w:val="13"/>
          <w:jc w:val="center"/>
        </w:pPr>
        <w:r>
          <w:fldChar w:fldCharType="begin"/>
        </w:r>
        <w:r>
          <w:instrText xml:space="preserve">PAGE   \* MERGEFORMAT</w:instrText>
        </w:r>
        <w:r>
          <w:fldChar w:fldCharType="separate"/>
        </w:r>
        <w:r>
          <w:rPr>
            <w:lang w:val="zh-CN"/>
          </w:rPr>
          <w:t>2</w:t>
        </w:r>
        <w:r>
          <w:fldChar w:fldCharType="end"/>
        </w:r>
      </w:p>
    </w:sdtContent>
  </w:sdt>
  <w:p w14:paraId="3F24B4F2">
    <w:pPr>
      <w:pStyle w:val="1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835AB">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26AC8">
    <w:pPr>
      <w:pStyle w:val="14"/>
    </w:pPr>
    <w:r>
      <w:pict>
        <v:shape id="PowerPlusWaterMarkObject8" o:spid="_x0000_s1026" o:spt="136" type="#_x0000_t136" style="position:absolute;left:0pt;height:52.25pt;width:627.1pt;mso-position-horizontal:center;mso-position-horizontal-relative:margin;mso-position-vertical:center;mso-position-vertical-relative:margin;rotation:20643840f;z-index:-251655168;mso-width-relative:page;mso-height-relative:page;" fillcolor="#000000" filled="t" stroked="f" coordsize="21600,21600" o:allowincell="f">
          <v:path/>
          <v:fill on="t" opacity="32768f" focussize="0,0"/>
          <v:stroke on="f"/>
          <v:imagedata o:title=""/>
          <o:lock v:ext="edit"/>
          <v:textpath on="t" fitshape="t" fitpath="t" trim="f" xscale="f" string="欢迎关注“益环境”公众号" style="font-family:宋体;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C4C0B">
    <w:pPr>
      <w:pStyle w:val="14"/>
    </w:pPr>
    <w:r>
      <w:pict>
        <v:shape id="PowerPlusWaterMarkObject7" o:spid="_x0000_s1025" o:spt="136" type="#_x0000_t136" style="position:absolute;left:0pt;height:52.25pt;width:627.1pt;mso-position-horizontal:center;mso-position-horizontal-relative:margin;mso-position-vertical:center;mso-position-vertical-relative:margin;rotation:20643840f;z-index:-251656192;mso-width-relative:page;mso-height-relative:page;" fillcolor="#000000" filled="t" stroked="f" coordsize="21600,21600" o:allowincell="f">
          <v:path/>
          <v:fill on="t" opacity="32768f" focussize="0,0"/>
          <v:stroke on="f"/>
          <v:imagedata o:title=""/>
          <o:lock v:ext="edit"/>
          <v:textpath on="t" fitshape="t" fitpath="t" trim="f" xscale="f" string="欢迎关注“益环境”公众号" style="font-family:宋体;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2E"/>
    <w:rsid w:val="000023A2"/>
    <w:rsid w:val="00005F30"/>
    <w:rsid w:val="00011456"/>
    <w:rsid w:val="0001228C"/>
    <w:rsid w:val="00015EDB"/>
    <w:rsid w:val="0002280C"/>
    <w:rsid w:val="00033021"/>
    <w:rsid w:val="00036EDC"/>
    <w:rsid w:val="00046279"/>
    <w:rsid w:val="0005169C"/>
    <w:rsid w:val="00052E5A"/>
    <w:rsid w:val="0005430A"/>
    <w:rsid w:val="0006036D"/>
    <w:rsid w:val="0006398D"/>
    <w:rsid w:val="000774DE"/>
    <w:rsid w:val="00080EEB"/>
    <w:rsid w:val="00093F28"/>
    <w:rsid w:val="000A1B14"/>
    <w:rsid w:val="000A6532"/>
    <w:rsid w:val="000B0082"/>
    <w:rsid w:val="000B2A73"/>
    <w:rsid w:val="000B308D"/>
    <w:rsid w:val="000B5E42"/>
    <w:rsid w:val="000B5EEE"/>
    <w:rsid w:val="000D41FB"/>
    <w:rsid w:val="000D72EA"/>
    <w:rsid w:val="000E05A4"/>
    <w:rsid w:val="000E4717"/>
    <w:rsid w:val="000F0D6D"/>
    <w:rsid w:val="000F6EE8"/>
    <w:rsid w:val="00101811"/>
    <w:rsid w:val="00101D2C"/>
    <w:rsid w:val="00105639"/>
    <w:rsid w:val="00112C89"/>
    <w:rsid w:val="00113ED5"/>
    <w:rsid w:val="00120A9C"/>
    <w:rsid w:val="00137971"/>
    <w:rsid w:val="00143200"/>
    <w:rsid w:val="00144CFC"/>
    <w:rsid w:val="00155986"/>
    <w:rsid w:val="0016734D"/>
    <w:rsid w:val="00172D1D"/>
    <w:rsid w:val="00180B8E"/>
    <w:rsid w:val="0018299C"/>
    <w:rsid w:val="001A314B"/>
    <w:rsid w:val="001A43ED"/>
    <w:rsid w:val="001B06D6"/>
    <w:rsid w:val="001B0D9E"/>
    <w:rsid w:val="001B4E96"/>
    <w:rsid w:val="001B5010"/>
    <w:rsid w:val="001B5FAA"/>
    <w:rsid w:val="001C266C"/>
    <w:rsid w:val="001C57F5"/>
    <w:rsid w:val="001D4525"/>
    <w:rsid w:val="001F2EFB"/>
    <w:rsid w:val="002100FE"/>
    <w:rsid w:val="002133D7"/>
    <w:rsid w:val="00213EAD"/>
    <w:rsid w:val="00220641"/>
    <w:rsid w:val="00242C86"/>
    <w:rsid w:val="0024580C"/>
    <w:rsid w:val="0025279A"/>
    <w:rsid w:val="002564A7"/>
    <w:rsid w:val="00267849"/>
    <w:rsid w:val="00267E27"/>
    <w:rsid w:val="00274A58"/>
    <w:rsid w:val="00283805"/>
    <w:rsid w:val="00285882"/>
    <w:rsid w:val="00291442"/>
    <w:rsid w:val="002A148A"/>
    <w:rsid w:val="002A4D41"/>
    <w:rsid w:val="002A5BC4"/>
    <w:rsid w:val="002B0BFF"/>
    <w:rsid w:val="002B61D3"/>
    <w:rsid w:val="002B7038"/>
    <w:rsid w:val="002C7323"/>
    <w:rsid w:val="002D2343"/>
    <w:rsid w:val="002D72AB"/>
    <w:rsid w:val="002E0099"/>
    <w:rsid w:val="00304A26"/>
    <w:rsid w:val="00305B9B"/>
    <w:rsid w:val="0031030F"/>
    <w:rsid w:val="00326386"/>
    <w:rsid w:val="003431F5"/>
    <w:rsid w:val="0035612E"/>
    <w:rsid w:val="003609E6"/>
    <w:rsid w:val="00363489"/>
    <w:rsid w:val="00364D4C"/>
    <w:rsid w:val="00376D9F"/>
    <w:rsid w:val="00382AA8"/>
    <w:rsid w:val="00385808"/>
    <w:rsid w:val="0038795D"/>
    <w:rsid w:val="00397BB2"/>
    <w:rsid w:val="00397E61"/>
    <w:rsid w:val="003A3C29"/>
    <w:rsid w:val="003B3EAC"/>
    <w:rsid w:val="003C436C"/>
    <w:rsid w:val="003C439E"/>
    <w:rsid w:val="003C6D85"/>
    <w:rsid w:val="003D044F"/>
    <w:rsid w:val="003D2B6E"/>
    <w:rsid w:val="003D366A"/>
    <w:rsid w:val="003D4244"/>
    <w:rsid w:val="003E01F0"/>
    <w:rsid w:val="003F03B3"/>
    <w:rsid w:val="003F663E"/>
    <w:rsid w:val="004038EE"/>
    <w:rsid w:val="00405253"/>
    <w:rsid w:val="00411CAD"/>
    <w:rsid w:val="00413C88"/>
    <w:rsid w:val="00434A72"/>
    <w:rsid w:val="00435A45"/>
    <w:rsid w:val="00435C03"/>
    <w:rsid w:val="004365BC"/>
    <w:rsid w:val="00443D68"/>
    <w:rsid w:val="00443D87"/>
    <w:rsid w:val="00451893"/>
    <w:rsid w:val="00455D6A"/>
    <w:rsid w:val="00456C2B"/>
    <w:rsid w:val="004579CE"/>
    <w:rsid w:val="004707FA"/>
    <w:rsid w:val="00484F93"/>
    <w:rsid w:val="00487295"/>
    <w:rsid w:val="00494CA5"/>
    <w:rsid w:val="004A554B"/>
    <w:rsid w:val="004A71A7"/>
    <w:rsid w:val="004B1436"/>
    <w:rsid w:val="004D534B"/>
    <w:rsid w:val="004D6B36"/>
    <w:rsid w:val="004E101D"/>
    <w:rsid w:val="004E3647"/>
    <w:rsid w:val="004F2B04"/>
    <w:rsid w:val="004F6C14"/>
    <w:rsid w:val="004F74F7"/>
    <w:rsid w:val="00515B32"/>
    <w:rsid w:val="005200F9"/>
    <w:rsid w:val="0052139A"/>
    <w:rsid w:val="00523172"/>
    <w:rsid w:val="00534D69"/>
    <w:rsid w:val="0053710B"/>
    <w:rsid w:val="00542AEE"/>
    <w:rsid w:val="00542ED1"/>
    <w:rsid w:val="00546771"/>
    <w:rsid w:val="00552580"/>
    <w:rsid w:val="005530CB"/>
    <w:rsid w:val="00554C2E"/>
    <w:rsid w:val="00557FB5"/>
    <w:rsid w:val="00561CE0"/>
    <w:rsid w:val="005708C5"/>
    <w:rsid w:val="005748B3"/>
    <w:rsid w:val="005835FD"/>
    <w:rsid w:val="005A3894"/>
    <w:rsid w:val="005B2A38"/>
    <w:rsid w:val="005C2C9C"/>
    <w:rsid w:val="005C42DE"/>
    <w:rsid w:val="005C4793"/>
    <w:rsid w:val="005C52B8"/>
    <w:rsid w:val="006015E6"/>
    <w:rsid w:val="00602AE3"/>
    <w:rsid w:val="00603FB4"/>
    <w:rsid w:val="00604E58"/>
    <w:rsid w:val="00605EC2"/>
    <w:rsid w:val="00610E94"/>
    <w:rsid w:val="00616C2D"/>
    <w:rsid w:val="006201E5"/>
    <w:rsid w:val="00625C65"/>
    <w:rsid w:val="00627875"/>
    <w:rsid w:val="00635464"/>
    <w:rsid w:val="006366C2"/>
    <w:rsid w:val="006506EF"/>
    <w:rsid w:val="00652FB1"/>
    <w:rsid w:val="00653DA6"/>
    <w:rsid w:val="00653F28"/>
    <w:rsid w:val="00657138"/>
    <w:rsid w:val="00662352"/>
    <w:rsid w:val="00676BA6"/>
    <w:rsid w:val="00681332"/>
    <w:rsid w:val="00685CCF"/>
    <w:rsid w:val="006930D7"/>
    <w:rsid w:val="00693C4C"/>
    <w:rsid w:val="006B3A0F"/>
    <w:rsid w:val="006C39F1"/>
    <w:rsid w:val="006C4601"/>
    <w:rsid w:val="006D0398"/>
    <w:rsid w:val="006D0EE3"/>
    <w:rsid w:val="006D1DF8"/>
    <w:rsid w:val="006D33BB"/>
    <w:rsid w:val="006F083E"/>
    <w:rsid w:val="006F1FE4"/>
    <w:rsid w:val="006F533A"/>
    <w:rsid w:val="00705C31"/>
    <w:rsid w:val="007071D7"/>
    <w:rsid w:val="0071175D"/>
    <w:rsid w:val="00724418"/>
    <w:rsid w:val="00726C98"/>
    <w:rsid w:val="00727BDA"/>
    <w:rsid w:val="007308F4"/>
    <w:rsid w:val="007430DC"/>
    <w:rsid w:val="007439D7"/>
    <w:rsid w:val="00750019"/>
    <w:rsid w:val="007508B7"/>
    <w:rsid w:val="007535C3"/>
    <w:rsid w:val="00753F8B"/>
    <w:rsid w:val="007578F5"/>
    <w:rsid w:val="00777228"/>
    <w:rsid w:val="00781D84"/>
    <w:rsid w:val="00783856"/>
    <w:rsid w:val="00785386"/>
    <w:rsid w:val="00793D94"/>
    <w:rsid w:val="00793E90"/>
    <w:rsid w:val="00794811"/>
    <w:rsid w:val="007A24A5"/>
    <w:rsid w:val="007A3ECA"/>
    <w:rsid w:val="007A5D83"/>
    <w:rsid w:val="007A5EA3"/>
    <w:rsid w:val="007B47E7"/>
    <w:rsid w:val="007B69C9"/>
    <w:rsid w:val="007B7ABE"/>
    <w:rsid w:val="007B7F32"/>
    <w:rsid w:val="007C6287"/>
    <w:rsid w:val="007C7202"/>
    <w:rsid w:val="007D089E"/>
    <w:rsid w:val="007D13F9"/>
    <w:rsid w:val="007D4691"/>
    <w:rsid w:val="007D70CF"/>
    <w:rsid w:val="007E1E72"/>
    <w:rsid w:val="007E747D"/>
    <w:rsid w:val="007E748D"/>
    <w:rsid w:val="007F7F9A"/>
    <w:rsid w:val="008002F5"/>
    <w:rsid w:val="00802483"/>
    <w:rsid w:val="008049BB"/>
    <w:rsid w:val="0081771E"/>
    <w:rsid w:val="008242DD"/>
    <w:rsid w:val="00825AB1"/>
    <w:rsid w:val="00842F8E"/>
    <w:rsid w:val="0086087F"/>
    <w:rsid w:val="00861F5F"/>
    <w:rsid w:val="00882B5B"/>
    <w:rsid w:val="008835B7"/>
    <w:rsid w:val="00892CF8"/>
    <w:rsid w:val="008A1B62"/>
    <w:rsid w:val="008A3289"/>
    <w:rsid w:val="008A4128"/>
    <w:rsid w:val="008B643D"/>
    <w:rsid w:val="008B6A03"/>
    <w:rsid w:val="008C10A3"/>
    <w:rsid w:val="008D210E"/>
    <w:rsid w:val="008D34F0"/>
    <w:rsid w:val="008E04EC"/>
    <w:rsid w:val="008E2860"/>
    <w:rsid w:val="008E601F"/>
    <w:rsid w:val="008F2183"/>
    <w:rsid w:val="008F2518"/>
    <w:rsid w:val="00900B5A"/>
    <w:rsid w:val="00900BC5"/>
    <w:rsid w:val="009151C0"/>
    <w:rsid w:val="00915431"/>
    <w:rsid w:val="009267E7"/>
    <w:rsid w:val="00930C5C"/>
    <w:rsid w:val="0093141C"/>
    <w:rsid w:val="009364D5"/>
    <w:rsid w:val="009465C5"/>
    <w:rsid w:val="00953E9B"/>
    <w:rsid w:val="00960CB6"/>
    <w:rsid w:val="00963A91"/>
    <w:rsid w:val="00965FB6"/>
    <w:rsid w:val="00983106"/>
    <w:rsid w:val="009876EB"/>
    <w:rsid w:val="00991689"/>
    <w:rsid w:val="00994436"/>
    <w:rsid w:val="00995AC6"/>
    <w:rsid w:val="009A2557"/>
    <w:rsid w:val="009A5012"/>
    <w:rsid w:val="009A580F"/>
    <w:rsid w:val="009B6D36"/>
    <w:rsid w:val="009D737E"/>
    <w:rsid w:val="009E65BE"/>
    <w:rsid w:val="009F01E5"/>
    <w:rsid w:val="009F41B5"/>
    <w:rsid w:val="009F435C"/>
    <w:rsid w:val="009F59B9"/>
    <w:rsid w:val="00A0301D"/>
    <w:rsid w:val="00A04D56"/>
    <w:rsid w:val="00A22019"/>
    <w:rsid w:val="00A3152E"/>
    <w:rsid w:val="00A40591"/>
    <w:rsid w:val="00A5223E"/>
    <w:rsid w:val="00A614A4"/>
    <w:rsid w:val="00A6196A"/>
    <w:rsid w:val="00A6220B"/>
    <w:rsid w:val="00A67F4E"/>
    <w:rsid w:val="00A84034"/>
    <w:rsid w:val="00A87ADF"/>
    <w:rsid w:val="00A90D69"/>
    <w:rsid w:val="00A90F8E"/>
    <w:rsid w:val="00A910A4"/>
    <w:rsid w:val="00A939A9"/>
    <w:rsid w:val="00A93EB0"/>
    <w:rsid w:val="00A94823"/>
    <w:rsid w:val="00A962AF"/>
    <w:rsid w:val="00AA7712"/>
    <w:rsid w:val="00AB01FC"/>
    <w:rsid w:val="00AC3370"/>
    <w:rsid w:val="00AC6FD8"/>
    <w:rsid w:val="00AD2659"/>
    <w:rsid w:val="00AD5BE3"/>
    <w:rsid w:val="00AE2531"/>
    <w:rsid w:val="00AE50DC"/>
    <w:rsid w:val="00AF1244"/>
    <w:rsid w:val="00AF44BC"/>
    <w:rsid w:val="00AF7CC3"/>
    <w:rsid w:val="00B12190"/>
    <w:rsid w:val="00B155AA"/>
    <w:rsid w:val="00B213E3"/>
    <w:rsid w:val="00B24226"/>
    <w:rsid w:val="00B32652"/>
    <w:rsid w:val="00B33B34"/>
    <w:rsid w:val="00B346EA"/>
    <w:rsid w:val="00B36ED9"/>
    <w:rsid w:val="00B44478"/>
    <w:rsid w:val="00B4556B"/>
    <w:rsid w:val="00B6415B"/>
    <w:rsid w:val="00B73662"/>
    <w:rsid w:val="00B76EC8"/>
    <w:rsid w:val="00B9169A"/>
    <w:rsid w:val="00B92BDA"/>
    <w:rsid w:val="00B95F4F"/>
    <w:rsid w:val="00BA267F"/>
    <w:rsid w:val="00BA6733"/>
    <w:rsid w:val="00BB1EAA"/>
    <w:rsid w:val="00BB3D62"/>
    <w:rsid w:val="00BB3FD2"/>
    <w:rsid w:val="00BB581D"/>
    <w:rsid w:val="00BB6CD9"/>
    <w:rsid w:val="00BB73E4"/>
    <w:rsid w:val="00BC47C7"/>
    <w:rsid w:val="00BD01EB"/>
    <w:rsid w:val="00BD0F88"/>
    <w:rsid w:val="00BD1CB8"/>
    <w:rsid w:val="00BE63D3"/>
    <w:rsid w:val="00BE6FC7"/>
    <w:rsid w:val="00BF1D30"/>
    <w:rsid w:val="00C12613"/>
    <w:rsid w:val="00C14144"/>
    <w:rsid w:val="00C1769D"/>
    <w:rsid w:val="00C20955"/>
    <w:rsid w:val="00C31ACF"/>
    <w:rsid w:val="00C37DD2"/>
    <w:rsid w:val="00C436BA"/>
    <w:rsid w:val="00C4475A"/>
    <w:rsid w:val="00C45451"/>
    <w:rsid w:val="00C4605C"/>
    <w:rsid w:val="00C5144A"/>
    <w:rsid w:val="00C522FB"/>
    <w:rsid w:val="00C56696"/>
    <w:rsid w:val="00C738C1"/>
    <w:rsid w:val="00C81D0D"/>
    <w:rsid w:val="00C8233B"/>
    <w:rsid w:val="00C95721"/>
    <w:rsid w:val="00CA734F"/>
    <w:rsid w:val="00CC70EC"/>
    <w:rsid w:val="00CC732F"/>
    <w:rsid w:val="00CD243F"/>
    <w:rsid w:val="00CE0A38"/>
    <w:rsid w:val="00CE36DB"/>
    <w:rsid w:val="00CE4289"/>
    <w:rsid w:val="00CE7FA5"/>
    <w:rsid w:val="00CF148E"/>
    <w:rsid w:val="00CF2FCE"/>
    <w:rsid w:val="00CF439F"/>
    <w:rsid w:val="00D005AC"/>
    <w:rsid w:val="00D21419"/>
    <w:rsid w:val="00D239A2"/>
    <w:rsid w:val="00D24B52"/>
    <w:rsid w:val="00D252B8"/>
    <w:rsid w:val="00D26C3D"/>
    <w:rsid w:val="00D66FF5"/>
    <w:rsid w:val="00D81C34"/>
    <w:rsid w:val="00D82A3D"/>
    <w:rsid w:val="00D86A76"/>
    <w:rsid w:val="00D93B24"/>
    <w:rsid w:val="00D93EDF"/>
    <w:rsid w:val="00DA2100"/>
    <w:rsid w:val="00DA3ADB"/>
    <w:rsid w:val="00DA606A"/>
    <w:rsid w:val="00DA671A"/>
    <w:rsid w:val="00DB3C50"/>
    <w:rsid w:val="00DB3CC4"/>
    <w:rsid w:val="00DC591E"/>
    <w:rsid w:val="00DC5EB9"/>
    <w:rsid w:val="00DD38E2"/>
    <w:rsid w:val="00DE0CCE"/>
    <w:rsid w:val="00DE407D"/>
    <w:rsid w:val="00DE54EB"/>
    <w:rsid w:val="00DF06E0"/>
    <w:rsid w:val="00DF7C9A"/>
    <w:rsid w:val="00E0038B"/>
    <w:rsid w:val="00E07BDE"/>
    <w:rsid w:val="00E22807"/>
    <w:rsid w:val="00E333AC"/>
    <w:rsid w:val="00E379F4"/>
    <w:rsid w:val="00E45A8E"/>
    <w:rsid w:val="00E46E9F"/>
    <w:rsid w:val="00E470CF"/>
    <w:rsid w:val="00E57F44"/>
    <w:rsid w:val="00E63028"/>
    <w:rsid w:val="00E6332E"/>
    <w:rsid w:val="00E65394"/>
    <w:rsid w:val="00E7007C"/>
    <w:rsid w:val="00E77892"/>
    <w:rsid w:val="00E80EB6"/>
    <w:rsid w:val="00E82450"/>
    <w:rsid w:val="00E855DD"/>
    <w:rsid w:val="00E94EC1"/>
    <w:rsid w:val="00E97BEC"/>
    <w:rsid w:val="00EA30FB"/>
    <w:rsid w:val="00EA3EF9"/>
    <w:rsid w:val="00EB3BA4"/>
    <w:rsid w:val="00EB3F3F"/>
    <w:rsid w:val="00EB4946"/>
    <w:rsid w:val="00EB49E1"/>
    <w:rsid w:val="00EB5248"/>
    <w:rsid w:val="00EB7B74"/>
    <w:rsid w:val="00EC7058"/>
    <w:rsid w:val="00EF3F21"/>
    <w:rsid w:val="00EF40B7"/>
    <w:rsid w:val="00EF4B57"/>
    <w:rsid w:val="00EF5328"/>
    <w:rsid w:val="00EF5A34"/>
    <w:rsid w:val="00EF6EB1"/>
    <w:rsid w:val="00F00D44"/>
    <w:rsid w:val="00F0526E"/>
    <w:rsid w:val="00F12057"/>
    <w:rsid w:val="00F124A7"/>
    <w:rsid w:val="00F13CBF"/>
    <w:rsid w:val="00F22B2D"/>
    <w:rsid w:val="00F23D28"/>
    <w:rsid w:val="00F267F5"/>
    <w:rsid w:val="00F36898"/>
    <w:rsid w:val="00F42A54"/>
    <w:rsid w:val="00F440DD"/>
    <w:rsid w:val="00F50FB9"/>
    <w:rsid w:val="00F516BC"/>
    <w:rsid w:val="00F524EA"/>
    <w:rsid w:val="00F541E5"/>
    <w:rsid w:val="00F63F79"/>
    <w:rsid w:val="00F705AD"/>
    <w:rsid w:val="00F80100"/>
    <w:rsid w:val="00F817C1"/>
    <w:rsid w:val="00F8620B"/>
    <w:rsid w:val="00F87974"/>
    <w:rsid w:val="00FA4845"/>
    <w:rsid w:val="00FA6A69"/>
    <w:rsid w:val="00FA74A5"/>
    <w:rsid w:val="00FC082E"/>
    <w:rsid w:val="00FC47C5"/>
    <w:rsid w:val="00FD1A69"/>
    <w:rsid w:val="00FD6F2E"/>
    <w:rsid w:val="00FD7EF6"/>
    <w:rsid w:val="00FE29EE"/>
    <w:rsid w:val="00FE7DB2"/>
    <w:rsid w:val="0121764C"/>
    <w:rsid w:val="012350F5"/>
    <w:rsid w:val="026B665E"/>
    <w:rsid w:val="026F153B"/>
    <w:rsid w:val="030E4D3A"/>
    <w:rsid w:val="03165668"/>
    <w:rsid w:val="042C79CD"/>
    <w:rsid w:val="045B70AB"/>
    <w:rsid w:val="05111BA7"/>
    <w:rsid w:val="05542478"/>
    <w:rsid w:val="05D11D1B"/>
    <w:rsid w:val="05FD6FE0"/>
    <w:rsid w:val="06B807E5"/>
    <w:rsid w:val="07955B36"/>
    <w:rsid w:val="08584DA9"/>
    <w:rsid w:val="086329D2"/>
    <w:rsid w:val="09F77876"/>
    <w:rsid w:val="0A3A0314"/>
    <w:rsid w:val="0A8C600B"/>
    <w:rsid w:val="0AC0565F"/>
    <w:rsid w:val="0AD26E3F"/>
    <w:rsid w:val="0B5C3E34"/>
    <w:rsid w:val="0C8337A6"/>
    <w:rsid w:val="0CC523F4"/>
    <w:rsid w:val="0D7C256C"/>
    <w:rsid w:val="0DD51C7C"/>
    <w:rsid w:val="0E06277D"/>
    <w:rsid w:val="0E4E5733"/>
    <w:rsid w:val="0ECC63BA"/>
    <w:rsid w:val="0EE429B3"/>
    <w:rsid w:val="0F005F23"/>
    <w:rsid w:val="0F335F41"/>
    <w:rsid w:val="0F9811F5"/>
    <w:rsid w:val="10133525"/>
    <w:rsid w:val="1070679B"/>
    <w:rsid w:val="107A258B"/>
    <w:rsid w:val="110F36F7"/>
    <w:rsid w:val="12521AED"/>
    <w:rsid w:val="12BA372D"/>
    <w:rsid w:val="131E7C21"/>
    <w:rsid w:val="13482EF0"/>
    <w:rsid w:val="13F07D25"/>
    <w:rsid w:val="142B6A9A"/>
    <w:rsid w:val="145A4FE1"/>
    <w:rsid w:val="15BC4455"/>
    <w:rsid w:val="161C4821"/>
    <w:rsid w:val="168746A1"/>
    <w:rsid w:val="16934A18"/>
    <w:rsid w:val="176B3879"/>
    <w:rsid w:val="17F57F70"/>
    <w:rsid w:val="181635BD"/>
    <w:rsid w:val="181B5077"/>
    <w:rsid w:val="18B26DC2"/>
    <w:rsid w:val="1A1E6F2F"/>
    <w:rsid w:val="1AEA3316"/>
    <w:rsid w:val="1B8B42C2"/>
    <w:rsid w:val="1C207D28"/>
    <w:rsid w:val="1DF33169"/>
    <w:rsid w:val="1E543091"/>
    <w:rsid w:val="1F494278"/>
    <w:rsid w:val="1F695B6F"/>
    <w:rsid w:val="20F256D1"/>
    <w:rsid w:val="21246D4B"/>
    <w:rsid w:val="215C465B"/>
    <w:rsid w:val="2264088F"/>
    <w:rsid w:val="226C6BFB"/>
    <w:rsid w:val="22B14210"/>
    <w:rsid w:val="23417C75"/>
    <w:rsid w:val="234C07DB"/>
    <w:rsid w:val="24A32EE9"/>
    <w:rsid w:val="24A849D8"/>
    <w:rsid w:val="25E1345C"/>
    <w:rsid w:val="25FC0296"/>
    <w:rsid w:val="277F4CDB"/>
    <w:rsid w:val="27B64475"/>
    <w:rsid w:val="27FA6A57"/>
    <w:rsid w:val="28EC690F"/>
    <w:rsid w:val="29162F15"/>
    <w:rsid w:val="29F61D16"/>
    <w:rsid w:val="2A7135FB"/>
    <w:rsid w:val="2AD74E2E"/>
    <w:rsid w:val="2AF7727E"/>
    <w:rsid w:val="2BAC73D5"/>
    <w:rsid w:val="2BB313F7"/>
    <w:rsid w:val="2C752D34"/>
    <w:rsid w:val="2CE23E3F"/>
    <w:rsid w:val="2D1C6EDF"/>
    <w:rsid w:val="2D533BB2"/>
    <w:rsid w:val="2DA15F14"/>
    <w:rsid w:val="2DD13825"/>
    <w:rsid w:val="2E443FAE"/>
    <w:rsid w:val="2E5355B0"/>
    <w:rsid w:val="2E7B3D22"/>
    <w:rsid w:val="2E8D1A3A"/>
    <w:rsid w:val="30784C1F"/>
    <w:rsid w:val="327F717E"/>
    <w:rsid w:val="33263CB8"/>
    <w:rsid w:val="34E73EBF"/>
    <w:rsid w:val="3550415A"/>
    <w:rsid w:val="357C6CFE"/>
    <w:rsid w:val="35867B7C"/>
    <w:rsid w:val="35982D70"/>
    <w:rsid w:val="35AF7B90"/>
    <w:rsid w:val="36203FE6"/>
    <w:rsid w:val="36CD21E0"/>
    <w:rsid w:val="380F20AB"/>
    <w:rsid w:val="384653A1"/>
    <w:rsid w:val="38AB67C9"/>
    <w:rsid w:val="38C822BD"/>
    <w:rsid w:val="38E952B7"/>
    <w:rsid w:val="398C0709"/>
    <w:rsid w:val="39A93E39"/>
    <w:rsid w:val="39B77132"/>
    <w:rsid w:val="39E0791A"/>
    <w:rsid w:val="3B8E1539"/>
    <w:rsid w:val="3C7A199E"/>
    <w:rsid w:val="3C9D15FE"/>
    <w:rsid w:val="3CC34D44"/>
    <w:rsid w:val="3F8C62A9"/>
    <w:rsid w:val="4242307D"/>
    <w:rsid w:val="42B12B4D"/>
    <w:rsid w:val="432D14DE"/>
    <w:rsid w:val="438704AA"/>
    <w:rsid w:val="44A40EB8"/>
    <w:rsid w:val="452F046E"/>
    <w:rsid w:val="459C4852"/>
    <w:rsid w:val="45AA41B8"/>
    <w:rsid w:val="4660152F"/>
    <w:rsid w:val="46897329"/>
    <w:rsid w:val="473E0952"/>
    <w:rsid w:val="47D07579"/>
    <w:rsid w:val="4879404B"/>
    <w:rsid w:val="499927C0"/>
    <w:rsid w:val="4A0B1FA6"/>
    <w:rsid w:val="4AD52522"/>
    <w:rsid w:val="4B867388"/>
    <w:rsid w:val="4C4332C5"/>
    <w:rsid w:val="4CB30DFF"/>
    <w:rsid w:val="4CCC5E8D"/>
    <w:rsid w:val="4E157897"/>
    <w:rsid w:val="4E885BC7"/>
    <w:rsid w:val="4EA2737D"/>
    <w:rsid w:val="4FA9473B"/>
    <w:rsid w:val="514B3CFC"/>
    <w:rsid w:val="5167040A"/>
    <w:rsid w:val="522462FB"/>
    <w:rsid w:val="52535EDB"/>
    <w:rsid w:val="52D8254F"/>
    <w:rsid w:val="533A3BD3"/>
    <w:rsid w:val="542566A2"/>
    <w:rsid w:val="543B27AD"/>
    <w:rsid w:val="546724CF"/>
    <w:rsid w:val="559D264C"/>
    <w:rsid w:val="55A25EB5"/>
    <w:rsid w:val="56244B1C"/>
    <w:rsid w:val="56B94902"/>
    <w:rsid w:val="581B5AAA"/>
    <w:rsid w:val="588B54B1"/>
    <w:rsid w:val="58B8641F"/>
    <w:rsid w:val="597F22BE"/>
    <w:rsid w:val="5A754462"/>
    <w:rsid w:val="5A955FE8"/>
    <w:rsid w:val="5AD4024C"/>
    <w:rsid w:val="5B2B0218"/>
    <w:rsid w:val="5B8D1802"/>
    <w:rsid w:val="5C017B14"/>
    <w:rsid w:val="5C5278E9"/>
    <w:rsid w:val="5D047455"/>
    <w:rsid w:val="5D9C7719"/>
    <w:rsid w:val="5DB03139"/>
    <w:rsid w:val="5EA800D6"/>
    <w:rsid w:val="5F2C3578"/>
    <w:rsid w:val="5F317BCE"/>
    <w:rsid w:val="5F4D50E3"/>
    <w:rsid w:val="5F7E76BB"/>
    <w:rsid w:val="601D1725"/>
    <w:rsid w:val="60624BBE"/>
    <w:rsid w:val="607B672C"/>
    <w:rsid w:val="608E7761"/>
    <w:rsid w:val="60DB227B"/>
    <w:rsid w:val="62C31218"/>
    <w:rsid w:val="63260125"/>
    <w:rsid w:val="63862972"/>
    <w:rsid w:val="63F96B8E"/>
    <w:rsid w:val="640C0B3A"/>
    <w:rsid w:val="64470089"/>
    <w:rsid w:val="647B624F"/>
    <w:rsid w:val="6491007C"/>
    <w:rsid w:val="65DC5D59"/>
    <w:rsid w:val="66972118"/>
    <w:rsid w:val="66D659BE"/>
    <w:rsid w:val="67031173"/>
    <w:rsid w:val="67102CCE"/>
    <w:rsid w:val="67397BFF"/>
    <w:rsid w:val="67D32937"/>
    <w:rsid w:val="68460F94"/>
    <w:rsid w:val="68561DE2"/>
    <w:rsid w:val="686A71D2"/>
    <w:rsid w:val="68A4147C"/>
    <w:rsid w:val="69BD752B"/>
    <w:rsid w:val="6B2D401B"/>
    <w:rsid w:val="6C905F15"/>
    <w:rsid w:val="6CED3A62"/>
    <w:rsid w:val="6E6A002B"/>
    <w:rsid w:val="6EC6003D"/>
    <w:rsid w:val="6F5103FF"/>
    <w:rsid w:val="6F9C52CB"/>
    <w:rsid w:val="703A07FF"/>
    <w:rsid w:val="703B7808"/>
    <w:rsid w:val="70752718"/>
    <w:rsid w:val="709019C7"/>
    <w:rsid w:val="721B698D"/>
    <w:rsid w:val="729055BB"/>
    <w:rsid w:val="72DD7342"/>
    <w:rsid w:val="731D6723"/>
    <w:rsid w:val="73CD7F8D"/>
    <w:rsid w:val="73FC4A6E"/>
    <w:rsid w:val="73FF7005"/>
    <w:rsid w:val="740645F0"/>
    <w:rsid w:val="74244D6F"/>
    <w:rsid w:val="7496171B"/>
    <w:rsid w:val="749E27C3"/>
    <w:rsid w:val="74CD0211"/>
    <w:rsid w:val="75647C6A"/>
    <w:rsid w:val="75CF4C00"/>
    <w:rsid w:val="76945B56"/>
    <w:rsid w:val="77884963"/>
    <w:rsid w:val="783A27A3"/>
    <w:rsid w:val="784F59C6"/>
    <w:rsid w:val="788976FE"/>
    <w:rsid w:val="790912B9"/>
    <w:rsid w:val="797E2462"/>
    <w:rsid w:val="79A100AE"/>
    <w:rsid w:val="7AAB3EB0"/>
    <w:rsid w:val="7AC655F4"/>
    <w:rsid w:val="7ADE0BF8"/>
    <w:rsid w:val="7AFB559C"/>
    <w:rsid w:val="7B3908AA"/>
    <w:rsid w:val="7B4E6013"/>
    <w:rsid w:val="7BFC572D"/>
    <w:rsid w:val="7C8D3F62"/>
    <w:rsid w:val="7CAC4E6B"/>
    <w:rsid w:val="7CEE3E0B"/>
    <w:rsid w:val="7E617E0B"/>
    <w:rsid w:val="7E7A2C7B"/>
    <w:rsid w:val="7EFF3357"/>
    <w:rsid w:val="7FB84341"/>
    <w:rsid w:val="7FCB2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List 3"/>
    <w:basedOn w:val="1"/>
    <w:unhideWhenUsed/>
    <w:qFormat/>
    <w:uiPriority w:val="99"/>
    <w:pPr>
      <w:ind w:left="100" w:leftChars="400" w:hanging="200" w:hangingChars="200"/>
      <w:contextualSpacing/>
    </w:pPr>
  </w:style>
  <w:style w:type="paragraph" w:styleId="4">
    <w:name w:val="toc 7"/>
    <w:basedOn w:val="1"/>
    <w:next w:val="1"/>
    <w:autoRedefine/>
    <w:unhideWhenUsed/>
    <w:qFormat/>
    <w:uiPriority w:val="39"/>
    <w:pPr>
      <w:spacing w:after="160" w:line="278" w:lineRule="auto"/>
      <w:ind w:left="2520" w:leftChars="1200"/>
      <w:jc w:val="left"/>
    </w:pPr>
    <w:rPr>
      <w:rFonts w:asciiTheme="minorHAnsi" w:hAnsiTheme="minorHAnsi" w:eastAsiaTheme="minorEastAsia" w:cstheme="minorBidi"/>
      <w:sz w:val="22"/>
      <w14:ligatures w14:val="standardContextual"/>
    </w:rPr>
  </w:style>
  <w:style w:type="paragraph" w:styleId="5">
    <w:name w:val="caption"/>
    <w:basedOn w:val="1"/>
    <w:next w:val="1"/>
    <w:qFormat/>
    <w:uiPriority w:val="0"/>
    <w:rPr>
      <w:rFonts w:ascii="Calibri Light" w:hAnsi="Calibri Light" w:eastAsia="黑体"/>
      <w:sz w:val="20"/>
      <w:szCs w:val="20"/>
    </w:rPr>
  </w:style>
  <w:style w:type="paragraph" w:styleId="6">
    <w:name w:val="annotation text"/>
    <w:basedOn w:val="1"/>
    <w:link w:val="57"/>
    <w:semiHidden/>
    <w:unhideWhenUsed/>
    <w:qFormat/>
    <w:uiPriority w:val="99"/>
    <w:pPr>
      <w:jc w:val="left"/>
    </w:p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customStyle="1" w:styleId="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styleId="9">
    <w:name w:val="Body Text Indent"/>
    <w:basedOn w:val="1"/>
    <w:qFormat/>
    <w:uiPriority w:val="0"/>
    <w:pPr>
      <w:spacing w:after="120"/>
      <w:ind w:left="420" w:leftChars="200"/>
    </w:pPr>
  </w:style>
  <w:style w:type="paragraph" w:styleId="10">
    <w:name w:val="toc 5"/>
    <w:basedOn w:val="1"/>
    <w:next w:val="1"/>
    <w:autoRedefine/>
    <w:unhideWhenUsed/>
    <w:qFormat/>
    <w:uiPriority w:val="39"/>
    <w:pPr>
      <w:spacing w:after="160" w:line="278" w:lineRule="auto"/>
      <w:ind w:left="1680" w:leftChars="800"/>
      <w:jc w:val="left"/>
    </w:pPr>
    <w:rPr>
      <w:rFonts w:asciiTheme="minorHAnsi" w:hAnsiTheme="minorHAnsi" w:eastAsiaTheme="minorEastAsia" w:cstheme="minorBidi"/>
      <w:sz w:val="22"/>
      <w14:ligatures w14:val="standardContextual"/>
    </w:rPr>
  </w:style>
  <w:style w:type="paragraph" w:styleId="11">
    <w:name w:val="toc 3"/>
    <w:basedOn w:val="1"/>
    <w:next w:val="1"/>
    <w:autoRedefine/>
    <w:qFormat/>
    <w:uiPriority w:val="39"/>
    <w:pPr>
      <w:ind w:left="840" w:leftChars="400"/>
    </w:pPr>
  </w:style>
  <w:style w:type="paragraph" w:styleId="12">
    <w:name w:val="toc 8"/>
    <w:basedOn w:val="1"/>
    <w:next w:val="1"/>
    <w:autoRedefine/>
    <w:unhideWhenUsed/>
    <w:qFormat/>
    <w:uiPriority w:val="39"/>
    <w:pPr>
      <w:spacing w:after="160" w:line="278" w:lineRule="auto"/>
      <w:ind w:left="2940" w:leftChars="1400"/>
      <w:jc w:val="left"/>
    </w:pPr>
    <w:rPr>
      <w:rFonts w:asciiTheme="minorHAnsi" w:hAnsiTheme="minorHAnsi" w:eastAsiaTheme="minorEastAsia" w:cstheme="minorBidi"/>
      <w:sz w:val="22"/>
      <w14:ligatures w14:val="standardContextual"/>
    </w:rPr>
  </w:style>
  <w:style w:type="paragraph" w:styleId="13">
    <w:name w:val="footer"/>
    <w:basedOn w:val="1"/>
    <w:link w:val="62"/>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uiPriority w:val="39"/>
  </w:style>
  <w:style w:type="paragraph" w:styleId="16">
    <w:name w:val="toc 4"/>
    <w:basedOn w:val="1"/>
    <w:next w:val="1"/>
    <w:autoRedefine/>
    <w:unhideWhenUsed/>
    <w:qFormat/>
    <w:uiPriority w:val="39"/>
    <w:pPr>
      <w:spacing w:after="160" w:line="278" w:lineRule="auto"/>
      <w:ind w:left="1260" w:leftChars="600"/>
      <w:jc w:val="left"/>
    </w:pPr>
    <w:rPr>
      <w:rFonts w:asciiTheme="minorHAnsi" w:hAnsiTheme="minorHAnsi" w:eastAsiaTheme="minorEastAsia" w:cstheme="minorBidi"/>
      <w:sz w:val="22"/>
      <w14:ligatures w14:val="standardContextual"/>
    </w:rPr>
  </w:style>
  <w:style w:type="paragraph" w:styleId="17">
    <w:name w:val="toc 6"/>
    <w:basedOn w:val="1"/>
    <w:next w:val="1"/>
    <w:autoRedefine/>
    <w:unhideWhenUsed/>
    <w:qFormat/>
    <w:uiPriority w:val="39"/>
    <w:pPr>
      <w:spacing w:after="160" w:line="278" w:lineRule="auto"/>
      <w:ind w:left="2100" w:leftChars="1000"/>
      <w:jc w:val="left"/>
    </w:pPr>
    <w:rPr>
      <w:rFonts w:asciiTheme="minorHAnsi" w:hAnsiTheme="minorHAnsi" w:eastAsiaTheme="minorEastAsia" w:cstheme="minorBidi"/>
      <w:sz w:val="22"/>
      <w14:ligatures w14:val="standardContextual"/>
    </w:rPr>
  </w:style>
  <w:style w:type="paragraph" w:styleId="18">
    <w:name w:val="toc 2"/>
    <w:basedOn w:val="1"/>
    <w:next w:val="1"/>
    <w:qFormat/>
    <w:uiPriority w:val="39"/>
    <w:pPr>
      <w:ind w:left="420" w:leftChars="200"/>
    </w:pPr>
    <w:rPr>
      <w:szCs w:val="20"/>
    </w:rPr>
  </w:style>
  <w:style w:type="paragraph" w:styleId="19">
    <w:name w:val="toc 9"/>
    <w:basedOn w:val="1"/>
    <w:next w:val="1"/>
    <w:autoRedefine/>
    <w:unhideWhenUsed/>
    <w:qFormat/>
    <w:uiPriority w:val="39"/>
    <w:pPr>
      <w:spacing w:after="160" w:line="278" w:lineRule="auto"/>
      <w:ind w:left="3360" w:leftChars="1600"/>
      <w:jc w:val="left"/>
    </w:pPr>
    <w:rPr>
      <w:rFonts w:asciiTheme="minorHAnsi" w:hAnsiTheme="minorHAnsi" w:eastAsiaTheme="minorEastAsia" w:cstheme="minorBidi"/>
      <w:sz w:val="22"/>
      <w14:ligatures w14:val="standardContextual"/>
    </w:rPr>
  </w:style>
  <w:style w:type="paragraph" w:styleId="20">
    <w:name w:val="Normal (Web)"/>
    <w:basedOn w:val="1"/>
    <w:link w:val="67"/>
    <w:qFormat/>
    <w:uiPriority w:val="0"/>
    <w:pPr>
      <w:widowControl/>
      <w:spacing w:before="100" w:beforeAutospacing="1" w:after="100" w:afterAutospacing="1"/>
      <w:jc w:val="left"/>
    </w:pPr>
    <w:rPr>
      <w:rFonts w:ascii="宋体" w:hAnsi="宋体"/>
      <w:kern w:val="0"/>
      <w:szCs w:val="20"/>
    </w:rPr>
  </w:style>
  <w:style w:type="paragraph" w:styleId="21">
    <w:name w:val="annotation subject"/>
    <w:basedOn w:val="6"/>
    <w:next w:val="6"/>
    <w:link w:val="58"/>
    <w:qFormat/>
    <w:uiPriority w:val="0"/>
    <w:rPr>
      <w:b/>
      <w:bCs/>
    </w:rPr>
  </w:style>
  <w:style w:type="paragraph" w:styleId="22">
    <w:name w:val="Body Text First Indent 2"/>
    <w:basedOn w:val="9"/>
    <w:qFormat/>
    <w:uiPriority w:val="0"/>
    <w:pPr>
      <w:ind w:firstLine="420"/>
    </w:pPr>
    <w:rPr>
      <w:sz w:val="21"/>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Hyperlink"/>
    <w:basedOn w:val="25"/>
    <w:unhideWhenUsed/>
    <w:qFormat/>
    <w:uiPriority w:val="99"/>
    <w:rPr>
      <w:color w:val="0026E5" w:themeColor="hyperlink"/>
      <w:u w:val="single"/>
      <w14:textFill>
        <w14:solidFill>
          <w14:schemeClr w14:val="hlink"/>
        </w14:solidFill>
      </w14:textFill>
    </w:rPr>
  </w:style>
  <w:style w:type="character" w:styleId="28">
    <w:name w:val="annotation reference"/>
    <w:basedOn w:val="25"/>
    <w:qFormat/>
    <w:uiPriority w:val="0"/>
    <w:rPr>
      <w:sz w:val="21"/>
      <w:szCs w:val="21"/>
    </w:rPr>
  </w:style>
  <w:style w:type="paragraph" w:customStyle="1" w:styleId="29">
    <w:name w:val="Default"/>
    <w:basedOn w:val="30"/>
    <w:next w:val="1"/>
    <w:qFormat/>
    <w:uiPriority w:val="0"/>
    <w:pPr>
      <w:autoSpaceDE w:val="0"/>
      <w:autoSpaceDN w:val="0"/>
      <w:adjustRightInd w:val="0"/>
      <w:spacing w:line="360" w:lineRule="auto"/>
      <w:ind w:firstLine="200" w:firstLineChars="200"/>
    </w:pPr>
    <w:rPr>
      <w:rFonts w:ascii="幼圆" w:eastAsia="幼圆" w:cs="幼圆"/>
      <w:sz w:val="24"/>
    </w:rPr>
  </w:style>
  <w:style w:type="paragraph" w:customStyle="1" w:styleId="3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表格内容居中"/>
    <w:autoRedefine/>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32">
    <w:name w:val="五号表格"/>
    <w:basedOn w:val="1"/>
    <w:qFormat/>
    <w:uiPriority w:val="0"/>
    <w:pPr>
      <w:jc w:val="center"/>
    </w:pPr>
    <w:rPr>
      <w:kern w:val="0"/>
    </w:rPr>
  </w:style>
  <w:style w:type="paragraph" w:customStyle="1" w:styleId="33">
    <w:name w:val="报告表正文yc"/>
    <w:basedOn w:val="1"/>
    <w:autoRedefine/>
    <w:qFormat/>
    <w:uiPriority w:val="0"/>
    <w:pPr>
      <w:spacing w:line="360" w:lineRule="auto"/>
      <w:ind w:firstLine="720" w:firstLineChars="200"/>
    </w:pPr>
    <w:rPr>
      <w:rFonts w:hint="eastAsia"/>
      <w:kern w:val="0"/>
    </w:rPr>
  </w:style>
  <w:style w:type="paragraph" w:customStyle="1" w:styleId="34">
    <w:name w:val="报告表-表格内文字"/>
    <w:basedOn w:val="1"/>
    <w:qFormat/>
    <w:uiPriority w:val="0"/>
    <w:pPr>
      <w:jc w:val="center"/>
    </w:pPr>
    <w:rPr>
      <w:sz w:val="21"/>
      <w:szCs w:val="21"/>
    </w:rPr>
  </w:style>
  <w:style w:type="paragraph" w:customStyle="1" w:styleId="35">
    <w:name w:val="Table Paragraph"/>
    <w:basedOn w:val="1"/>
    <w:qFormat/>
    <w:uiPriority w:val="1"/>
    <w:pPr>
      <w:jc w:val="center"/>
    </w:pPr>
    <w:rPr>
      <w:rFonts w:ascii="宋体" w:hAnsi="宋体" w:cs="宋体"/>
      <w:lang w:val="zh-CN" w:bidi="zh-CN"/>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styleId="37">
    <w:name w:val="List Paragraph"/>
    <w:basedOn w:val="1"/>
    <w:qFormat/>
    <w:uiPriority w:val="99"/>
    <w:pPr>
      <w:ind w:left="1321" w:hanging="362"/>
    </w:pPr>
    <w:rPr>
      <w:rFonts w:ascii="宋体" w:hAnsi="宋体" w:cs="宋体"/>
      <w:lang w:val="zh-CN" w:bidi="zh-CN"/>
    </w:rPr>
  </w:style>
  <w:style w:type="paragraph" w:customStyle="1" w:styleId="38">
    <w:name w:val="标准正文"/>
    <w:basedOn w:val="1"/>
    <w:qFormat/>
    <w:uiPriority w:val="0"/>
    <w:pPr>
      <w:spacing w:line="360" w:lineRule="auto"/>
      <w:ind w:firstLine="200" w:firstLineChars="200"/>
    </w:pPr>
    <w:rPr>
      <w:szCs w:val="20"/>
    </w:rPr>
  </w:style>
  <w:style w:type="paragraph" w:customStyle="1" w:styleId="39">
    <w:name w:val="1文章"/>
    <w:basedOn w:val="1"/>
    <w:qFormat/>
    <w:uiPriority w:val="0"/>
    <w:pPr>
      <w:snapToGrid w:val="0"/>
      <w:spacing w:line="360" w:lineRule="auto"/>
      <w:ind w:firstLine="573"/>
    </w:pPr>
    <w:rPr>
      <w:rFonts w:eastAsia="仿宋_GB2312"/>
      <w:sz w:val="28"/>
    </w:rPr>
  </w:style>
  <w:style w:type="paragraph" w:customStyle="1" w:styleId="40">
    <w:name w:val="段"/>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paragraph" w:customStyle="1" w:styleId="41">
    <w:name w:val="表标题"/>
    <w:basedOn w:val="1"/>
    <w:qFormat/>
    <w:uiPriority w:val="0"/>
    <w:pPr>
      <w:jc w:val="center"/>
    </w:pPr>
    <w:rPr>
      <w:b/>
      <w:kern w:val="0"/>
      <w:szCs w:val="20"/>
    </w:rPr>
  </w:style>
  <w:style w:type="paragraph" w:customStyle="1" w:styleId="42">
    <w:name w:val="表字体"/>
    <w:basedOn w:val="1"/>
    <w:next w:val="1"/>
    <w:qFormat/>
    <w:uiPriority w:val="0"/>
    <w:pPr>
      <w:jc w:val="center"/>
    </w:pPr>
  </w:style>
  <w:style w:type="paragraph" w:customStyle="1" w:styleId="43">
    <w:name w:val="表格文字"/>
    <w:basedOn w:val="44"/>
    <w:next w:val="1"/>
    <w:qFormat/>
    <w:uiPriority w:val="0"/>
    <w:pPr>
      <w:spacing w:before="78" w:beforeLines="25" w:after="78" w:afterLines="25"/>
      <w:ind w:left="0" w:leftChars="0"/>
      <w:jc w:val="center"/>
    </w:pPr>
    <w:rPr>
      <w:rFonts w:ascii="宋体" w:hAnsi="宋体" w:eastAsia="仿宋_GB2312"/>
      <w:kern w:val="0"/>
      <w:szCs w:val="52"/>
      <w:lang w:val="zh-CN"/>
    </w:rPr>
  </w:style>
  <w:style w:type="paragraph" w:customStyle="1" w:styleId="44">
    <w:name w:val="目录 21"/>
    <w:basedOn w:val="1"/>
    <w:next w:val="1"/>
    <w:qFormat/>
    <w:locked/>
    <w:uiPriority w:val="39"/>
    <w:pPr>
      <w:ind w:left="420" w:leftChars="200"/>
    </w:pPr>
  </w:style>
  <w:style w:type="paragraph" w:customStyle="1" w:styleId="45">
    <w:name w:val="表头"/>
    <w:basedOn w:val="3"/>
    <w:qFormat/>
    <w:uiPriority w:val="0"/>
    <w:pPr>
      <w:tabs>
        <w:tab w:val="left" w:pos="1068"/>
      </w:tabs>
      <w:spacing w:line="360" w:lineRule="auto"/>
      <w:jc w:val="center"/>
      <w:textAlignment w:val="baseline"/>
    </w:pPr>
    <w:rPr>
      <w:rFonts w:ascii="宋体"/>
      <w:snapToGrid w:val="0"/>
      <w:spacing w:val="4"/>
      <w:kern w:val="18"/>
    </w:rPr>
  </w:style>
  <w:style w:type="paragraph" w:customStyle="1" w:styleId="46">
    <w:name w:val="表格题目"/>
    <w:basedOn w:val="1"/>
    <w:qFormat/>
    <w:uiPriority w:val="0"/>
    <w:pPr>
      <w:spacing w:line="240" w:lineRule="atLeast"/>
      <w:jc w:val="center"/>
    </w:pPr>
    <w:rPr>
      <w:rFonts w:ascii="黑体" w:hAnsi="宋体" w:eastAsia="黑体"/>
    </w:rPr>
  </w:style>
  <w:style w:type="paragraph" w:customStyle="1" w:styleId="47">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8">
    <w:name w:val="S报告正文"/>
    <w:basedOn w:val="1"/>
    <w:qFormat/>
    <w:uiPriority w:val="0"/>
    <w:pPr>
      <w:adjustRightInd w:val="0"/>
      <w:snapToGrid w:val="0"/>
      <w:spacing w:line="480" w:lineRule="exact"/>
      <w:ind w:firstLine="510"/>
      <w:jc w:val="left"/>
    </w:pPr>
  </w:style>
  <w:style w:type="paragraph" w:customStyle="1" w:styleId="49">
    <w:name w:val="报告正文-连续目录"/>
    <w:basedOn w:val="1"/>
    <w:qFormat/>
    <w:uiPriority w:val="0"/>
    <w:pPr>
      <w:spacing w:line="440" w:lineRule="exact"/>
      <w:ind w:firstLine="200" w:firstLineChars="200"/>
    </w:pPr>
    <w:rPr>
      <w:rFonts w:ascii="Arial" w:hAnsi="Arial"/>
      <w:snapToGrid w:val="0"/>
      <w:kern w:val="0"/>
    </w:rPr>
  </w:style>
  <w:style w:type="paragraph" w:customStyle="1" w:styleId="50">
    <w:name w:val="环评表格"/>
    <w:basedOn w:val="1"/>
    <w:qFormat/>
    <w:uiPriority w:val="0"/>
    <w:pPr>
      <w:pBdr>
        <w:top w:val="none" w:color="auto" w:sz="0" w:space="1"/>
        <w:left w:val="none" w:color="auto" w:sz="0" w:space="4"/>
        <w:bottom w:val="none" w:color="auto" w:sz="0" w:space="1"/>
        <w:right w:val="none" w:color="auto" w:sz="0" w:space="4"/>
      </w:pBdr>
      <w:jc w:val="center"/>
    </w:pPr>
    <w:rPr>
      <w:szCs w:val="28"/>
    </w:rPr>
  </w:style>
  <w:style w:type="paragraph" w:customStyle="1" w:styleId="51">
    <w:name w:val="环评正文"/>
    <w:basedOn w:val="1"/>
    <w:qFormat/>
    <w:uiPriority w:val="0"/>
    <w:pPr>
      <w:spacing w:line="360" w:lineRule="auto"/>
      <w:ind w:firstLine="560" w:firstLineChars="200"/>
      <w:jc w:val="left"/>
    </w:pPr>
    <w:rPr>
      <w:szCs w:val="28"/>
    </w:rPr>
  </w:style>
  <w:style w:type="paragraph" w:customStyle="1" w:styleId="52">
    <w:name w:val="Body Text 22"/>
    <w:basedOn w:val="1"/>
    <w:qFormat/>
    <w:uiPriority w:val="0"/>
    <w:pPr>
      <w:adjustRightInd w:val="0"/>
      <w:spacing w:line="440" w:lineRule="atLeast"/>
      <w:ind w:firstLine="480"/>
    </w:pPr>
    <w:rPr>
      <w:rFonts w:eastAsia="仿宋_GB2312"/>
      <w:szCs w:val="20"/>
    </w:rPr>
  </w:style>
  <w:style w:type="paragraph" w:customStyle="1" w:styleId="53">
    <w:name w:val="（正文）"/>
    <w:qFormat/>
    <w:uiPriority w:val="0"/>
    <w:pPr>
      <w:adjustRightInd w:val="0"/>
      <w:snapToGrid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54">
    <w:name w:val="表格1"/>
    <w:basedOn w:val="1"/>
    <w:qFormat/>
    <w:uiPriority w:val="0"/>
    <w:pPr>
      <w:jc w:val="center"/>
    </w:pPr>
    <w:rPr>
      <w:bCs/>
      <w:color w:val="000000"/>
      <w:kern w:val="0"/>
      <w:szCs w:val="19"/>
    </w:rPr>
  </w:style>
  <w:style w:type="paragraph" w:customStyle="1" w:styleId="55">
    <w:name w:val="表格"/>
    <w:basedOn w:val="45"/>
    <w:next w:val="1"/>
    <w:qFormat/>
    <w:uiPriority w:val="0"/>
    <w:pPr>
      <w:adjustRightInd w:val="0"/>
      <w:snapToGrid w:val="0"/>
      <w:spacing w:beforeLines="10" w:afterLines="10" w:line="259" w:lineRule="auto"/>
    </w:pPr>
    <w:rPr>
      <w:kern w:val="0"/>
      <w:szCs w:val="20"/>
    </w:rPr>
  </w:style>
  <w:style w:type="paragraph" w:customStyle="1" w:styleId="56">
    <w:name w:val="表文字"/>
    <w:basedOn w:val="1"/>
    <w:qFormat/>
    <w:uiPriority w:val="0"/>
    <w:pPr>
      <w:overflowPunct w:val="0"/>
      <w:autoSpaceDE w:val="0"/>
      <w:autoSpaceDN w:val="0"/>
      <w:adjustRightInd w:val="0"/>
      <w:spacing w:line="240" w:lineRule="atLeast"/>
      <w:textAlignment w:val="baseline"/>
    </w:pPr>
    <w:rPr>
      <w:szCs w:val="21"/>
    </w:rPr>
  </w:style>
  <w:style w:type="character" w:customStyle="1" w:styleId="57">
    <w:name w:val="批注文字 字符"/>
    <w:basedOn w:val="25"/>
    <w:link w:val="6"/>
    <w:semiHidden/>
    <w:qFormat/>
    <w:uiPriority w:val="99"/>
    <w:rPr>
      <w:kern w:val="2"/>
      <w:sz w:val="24"/>
      <w:szCs w:val="24"/>
    </w:rPr>
  </w:style>
  <w:style w:type="character" w:customStyle="1" w:styleId="58">
    <w:name w:val="批注主题 字符"/>
    <w:basedOn w:val="57"/>
    <w:link w:val="21"/>
    <w:qFormat/>
    <w:uiPriority w:val="0"/>
    <w:rPr>
      <w:b/>
      <w:bCs/>
      <w:kern w:val="2"/>
      <w:sz w:val="24"/>
      <w:szCs w:val="24"/>
    </w:rPr>
  </w:style>
  <w:style w:type="paragraph" w:customStyle="1" w:styleId="59">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60">
    <w:name w:val="修订2"/>
    <w:hidden/>
    <w:unhideWhenUsed/>
    <w:qFormat/>
    <w:uiPriority w:val="99"/>
    <w:rPr>
      <w:rFonts w:ascii="Times New Roman" w:hAnsi="Times New Roman" w:eastAsia="宋体" w:cs="Times New Roman"/>
      <w:kern w:val="2"/>
      <w:sz w:val="24"/>
      <w:szCs w:val="24"/>
      <w:lang w:val="en-US" w:eastAsia="zh-CN" w:bidi="ar-SA"/>
    </w:rPr>
  </w:style>
  <w:style w:type="character" w:customStyle="1" w:styleId="61">
    <w:name w:val="未处理的提及1"/>
    <w:basedOn w:val="25"/>
    <w:semiHidden/>
    <w:unhideWhenUsed/>
    <w:qFormat/>
    <w:uiPriority w:val="99"/>
    <w:rPr>
      <w:color w:val="605E5C"/>
      <w:shd w:val="clear" w:color="auto" w:fill="E1DFDD"/>
    </w:rPr>
  </w:style>
  <w:style w:type="character" w:customStyle="1" w:styleId="62">
    <w:name w:val="页脚 字符"/>
    <w:basedOn w:val="25"/>
    <w:link w:val="13"/>
    <w:qFormat/>
    <w:uiPriority w:val="99"/>
    <w:rPr>
      <w:sz w:val="18"/>
    </w:rPr>
  </w:style>
  <w:style w:type="paragraph" w:customStyle="1" w:styleId="63">
    <w:name w:val="表格-易恒1"/>
    <w:basedOn w:val="1"/>
    <w:link w:val="70"/>
    <w:qFormat/>
    <w:uiPriority w:val="0"/>
    <w:pPr>
      <w:jc w:val="center"/>
    </w:pPr>
    <w:rPr>
      <w:rFonts w:cstheme="minorBidi"/>
      <w:sz w:val="21"/>
      <w:szCs w:val="32"/>
    </w:rPr>
  </w:style>
  <w:style w:type="paragraph" w:customStyle="1" w:styleId="64">
    <w:name w:val="表格-易恒"/>
    <w:basedOn w:val="1"/>
    <w:link w:val="65"/>
    <w:qFormat/>
    <w:uiPriority w:val="1"/>
    <w:pPr>
      <w:jc w:val="center"/>
    </w:pPr>
    <w:rPr>
      <w:sz w:val="21"/>
    </w:rPr>
  </w:style>
  <w:style w:type="character" w:customStyle="1" w:styleId="65">
    <w:name w:val="表格-易恒 字符"/>
    <w:basedOn w:val="25"/>
    <w:link w:val="64"/>
    <w:qFormat/>
    <w:uiPriority w:val="1"/>
    <w:rPr>
      <w:kern w:val="2"/>
      <w:sz w:val="21"/>
      <w:szCs w:val="24"/>
    </w:rPr>
  </w:style>
  <w:style w:type="paragraph" w:customStyle="1" w:styleId="66">
    <w:name w:val="表头-易恒1"/>
    <w:basedOn w:val="63"/>
    <w:next w:val="1"/>
    <w:qFormat/>
    <w:uiPriority w:val="0"/>
    <w:pPr>
      <w:spacing w:before="50" w:beforeLines="50"/>
    </w:pPr>
    <w:rPr>
      <w:b/>
    </w:rPr>
  </w:style>
  <w:style w:type="character" w:customStyle="1" w:styleId="67">
    <w:name w:val="普通(网站) 字符"/>
    <w:link w:val="20"/>
    <w:qFormat/>
    <w:uiPriority w:val="0"/>
    <w:rPr>
      <w:rFonts w:ascii="宋体" w:hAnsi="宋体"/>
      <w:sz w:val="24"/>
    </w:rPr>
  </w:style>
  <w:style w:type="paragraph" w:customStyle="1" w:styleId="68">
    <w:name w:val="正文-易恒"/>
    <w:basedOn w:val="1"/>
    <w:link w:val="69"/>
    <w:qFormat/>
    <w:uiPriority w:val="0"/>
    <w:pPr>
      <w:spacing w:line="360" w:lineRule="auto"/>
      <w:ind w:firstLine="200" w:firstLineChars="200"/>
    </w:pPr>
  </w:style>
  <w:style w:type="character" w:customStyle="1" w:styleId="69">
    <w:name w:val="正文-易恒 字符"/>
    <w:basedOn w:val="25"/>
    <w:link w:val="68"/>
    <w:qFormat/>
    <w:uiPriority w:val="0"/>
    <w:rPr>
      <w:kern w:val="2"/>
      <w:sz w:val="24"/>
      <w:szCs w:val="24"/>
    </w:rPr>
  </w:style>
  <w:style w:type="character" w:customStyle="1" w:styleId="70">
    <w:name w:val="表格-易恒1 字符"/>
    <w:basedOn w:val="25"/>
    <w:link w:val="63"/>
    <w:qFormat/>
    <w:uiPriority w:val="0"/>
    <w:rPr>
      <w:rFonts w:cstheme="minorBidi"/>
      <w:kern w:val="2"/>
      <w:sz w:val="21"/>
      <w:szCs w:val="32"/>
    </w:rPr>
  </w:style>
  <w:style w:type="paragraph" w:customStyle="1" w:styleId="71">
    <w:name w:val="BG-表头"/>
    <w:basedOn w:val="1"/>
    <w:qFormat/>
    <w:uiPriority w:val="0"/>
    <w:pPr>
      <w:jc w:val="center"/>
    </w:pPr>
    <w:rPr>
      <w:rFonts w:asciiTheme="minorHAnsi" w:hAnsiTheme="minorHAnsi" w:eastAsiaTheme="minorEastAsia" w:cstheme="minorBidi"/>
      <w:b/>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1.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C5762D-7217-41B8-86AC-A9936710608F}">
  <ds:schemaRefs/>
</ds:datastoreItem>
</file>

<file path=docProps/app.xml><?xml version="1.0" encoding="utf-8"?>
<Properties xmlns="http://schemas.openxmlformats.org/officeDocument/2006/extended-properties" xmlns:vt="http://schemas.openxmlformats.org/officeDocument/2006/docPropsVTypes">
  <Template>Normal</Template>
  <Pages>81</Pages>
  <Words>552</Words>
  <Characters>622</Characters>
  <Lines>2702</Lines>
  <Paragraphs>1775</Paragraphs>
  <TotalTime>2</TotalTime>
  <ScaleCrop>false</ScaleCrop>
  <LinksUpToDate>false</LinksUpToDate>
  <CharactersWithSpaces>783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2026-01-13T03:34:00Z</dcterms:created>
  <dc:creator>23139</dc:creator>
  <cp:lastModifiedBy>爱你所爱</cp:lastModifiedBy>
  <cp:lastPrinted>2026-01-19T02:41:00Z</cp:lastPrinted>
  <dcterms:modified xsi:type="dcterms:W3CDTF">2026-01-28T02:19:07Z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CB999761DE7C4B9CBEC08F101F3FF5B0_13</vt:lpwstr>
  </property>
  <property fmtid="{D5CDD505-2E9C-101B-9397-08002B2CF9AE}" pid="4" name="KSOTemplateDocerSaveRecord">
    <vt:lpwstr>eyJoZGlkIjoiOGMwODM4YzIwYjNkMzU5MzQ2MTdhNmI0MGEyMmFkNTQiLCJ1c2VySWQiOiI4NTQxNjY0OTUifQ==</vt:lpwstr>
  </property>
</Properties>
</file>