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9CAF7" w14:textId="77777777" w:rsidR="00A3020D" w:rsidRDefault="00A3020D">
      <w:pPr>
        <w:rPr>
          <w:color w:val="000000" w:themeColor="text1"/>
        </w:rPr>
      </w:pPr>
    </w:p>
    <w:p w14:paraId="737C421D" w14:textId="77777777" w:rsidR="00A3020D" w:rsidRDefault="00A3020D">
      <w:pPr>
        <w:pStyle w:val="1"/>
        <w:spacing w:before="0" w:after="0" w:line="240" w:lineRule="auto"/>
        <w:ind w:left="0" w:firstLine="0"/>
        <w:rPr>
          <w:color w:val="000000" w:themeColor="text1"/>
        </w:rPr>
      </w:pPr>
    </w:p>
    <w:p w14:paraId="01015151" w14:textId="77777777" w:rsidR="00A3020D" w:rsidRDefault="00A3020D">
      <w:pPr>
        <w:rPr>
          <w:rFonts w:ascii="方正小标宋简体" w:eastAsia="方正小标宋简体"/>
          <w:color w:val="000000" w:themeColor="text1"/>
          <w:sz w:val="24"/>
        </w:rPr>
      </w:pPr>
    </w:p>
    <w:p w14:paraId="2A9950CA" w14:textId="77777777" w:rsidR="00A3020D" w:rsidRDefault="00000000">
      <w:pPr>
        <w:widowControl/>
        <w:adjustRightInd w:val="0"/>
        <w:snapToGrid w:val="0"/>
        <w:spacing w:after="200"/>
        <w:ind w:firstLine="629"/>
        <w:jc w:val="right"/>
        <w:rPr>
          <w:rFonts w:ascii="仿宋_GB2312"/>
          <w:color w:val="000000" w:themeColor="text1"/>
          <w:kern w:val="0"/>
          <w:szCs w:val="32"/>
        </w:rPr>
      </w:pPr>
      <w:r>
        <w:rPr>
          <w:rFonts w:ascii="仿宋_GB2312" w:hint="eastAsia"/>
          <w:color w:val="000000" w:themeColor="text1"/>
          <w:sz w:val="24"/>
        </w:rPr>
        <w:t xml:space="preserve">                               </w:t>
      </w:r>
      <w:r>
        <w:rPr>
          <w:rFonts w:ascii="仿宋_GB2312" w:hint="eastAsia"/>
          <w:color w:val="000000" w:themeColor="text1"/>
          <w:kern w:val="0"/>
          <w:szCs w:val="32"/>
        </w:rPr>
        <w:t>益高环评表〔2025〕17号</w:t>
      </w:r>
    </w:p>
    <w:p w14:paraId="56BD3059" w14:textId="77777777" w:rsidR="00A3020D" w:rsidRDefault="00A3020D">
      <w:pPr>
        <w:pStyle w:val="1"/>
        <w:ind w:left="0" w:firstLine="0"/>
        <w:rPr>
          <w:color w:val="000000" w:themeColor="text1"/>
        </w:rPr>
      </w:pPr>
    </w:p>
    <w:p w14:paraId="32F498F1" w14:textId="77777777" w:rsidR="00A3020D" w:rsidRDefault="00000000">
      <w:pPr>
        <w:tabs>
          <w:tab w:val="left" w:pos="6240"/>
        </w:tabs>
        <w:spacing w:line="560" w:lineRule="exact"/>
        <w:jc w:val="center"/>
        <w:rPr>
          <w:rFonts w:eastAsia="方正小标宋简体"/>
          <w:color w:val="000000" w:themeColor="text1"/>
          <w:sz w:val="44"/>
          <w:szCs w:val="44"/>
        </w:rPr>
      </w:pPr>
      <w:r>
        <w:rPr>
          <w:rFonts w:eastAsia="方正小标宋简体"/>
          <w:color w:val="000000" w:themeColor="text1"/>
          <w:sz w:val="44"/>
          <w:szCs w:val="44"/>
        </w:rPr>
        <w:t>益阳市生态环境局</w:t>
      </w:r>
    </w:p>
    <w:p w14:paraId="6C9C262C" w14:textId="77777777" w:rsidR="00A3020D" w:rsidRDefault="00000000">
      <w:pPr>
        <w:tabs>
          <w:tab w:val="left" w:pos="6240"/>
        </w:tabs>
        <w:spacing w:line="560" w:lineRule="exact"/>
        <w:jc w:val="center"/>
        <w:rPr>
          <w:rFonts w:eastAsia="方正小标宋简体"/>
          <w:color w:val="000000" w:themeColor="text1"/>
          <w:sz w:val="44"/>
          <w:szCs w:val="44"/>
        </w:rPr>
      </w:pPr>
      <w:r>
        <w:rPr>
          <w:rFonts w:eastAsia="方正小标宋简体"/>
          <w:color w:val="000000" w:themeColor="text1"/>
          <w:sz w:val="44"/>
          <w:szCs w:val="44"/>
        </w:rPr>
        <w:t>关于益阳诺博拓电子科技有限公司年产</w:t>
      </w:r>
      <w:r>
        <w:rPr>
          <w:rFonts w:eastAsia="方正小标宋简体"/>
          <w:color w:val="000000" w:themeColor="text1"/>
          <w:sz w:val="44"/>
          <w:szCs w:val="44"/>
        </w:rPr>
        <w:t>100</w:t>
      </w:r>
      <w:r>
        <w:rPr>
          <w:rFonts w:eastAsia="方正小标宋简体"/>
          <w:color w:val="000000" w:themeColor="text1"/>
          <w:sz w:val="44"/>
          <w:szCs w:val="44"/>
        </w:rPr>
        <w:t>亿只电容器封口胶塞项目环境影响报告</w:t>
      </w:r>
      <w:r>
        <w:rPr>
          <w:rFonts w:eastAsia="方正小标宋简体" w:hint="eastAsia"/>
          <w:color w:val="000000" w:themeColor="text1"/>
          <w:sz w:val="44"/>
          <w:szCs w:val="44"/>
        </w:rPr>
        <w:t>表</w:t>
      </w:r>
      <w:r>
        <w:rPr>
          <w:rFonts w:eastAsia="方正小标宋简体"/>
          <w:color w:val="000000" w:themeColor="text1"/>
          <w:sz w:val="44"/>
          <w:szCs w:val="44"/>
        </w:rPr>
        <w:t>的批复</w:t>
      </w:r>
    </w:p>
    <w:p w14:paraId="3D7150E8" w14:textId="77777777" w:rsidR="00A3020D" w:rsidRDefault="00A3020D">
      <w:pPr>
        <w:jc w:val="center"/>
        <w:rPr>
          <w:rFonts w:eastAsia="黑体"/>
          <w:color w:val="000000" w:themeColor="text1"/>
          <w:sz w:val="36"/>
          <w:szCs w:val="36"/>
        </w:rPr>
      </w:pPr>
    </w:p>
    <w:p w14:paraId="3F39B5EA" w14:textId="77777777" w:rsidR="00A3020D" w:rsidRDefault="00000000">
      <w:pPr>
        <w:spacing w:line="560" w:lineRule="exact"/>
        <w:jc w:val="left"/>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益阳诺博拓电子科技有限公司：</w:t>
      </w:r>
    </w:p>
    <w:p w14:paraId="24049F7C" w14:textId="77777777" w:rsidR="00A3020D" w:rsidRDefault="00000000">
      <w:pPr>
        <w:widowControl/>
        <w:adjustRightInd w:val="0"/>
        <w:snapToGrid w:val="0"/>
        <w:spacing w:line="560" w:lineRule="exact"/>
        <w:ind w:firstLine="640"/>
        <w:rPr>
          <w:rFonts w:ascii="仿宋_GB2312" w:hAnsi="仿宋_GB2312" w:cs="仿宋_GB2312" w:hint="eastAsia"/>
          <w:color w:val="000000" w:themeColor="text1"/>
          <w:kern w:val="0"/>
          <w:szCs w:val="32"/>
        </w:rPr>
      </w:pPr>
      <w:r>
        <w:rPr>
          <w:rFonts w:ascii="仿宋_GB2312" w:hAnsi="仿宋_GB2312" w:cs="仿宋_GB2312" w:hint="eastAsia"/>
          <w:color w:val="000000" w:themeColor="text1"/>
          <w:kern w:val="0"/>
          <w:szCs w:val="32"/>
        </w:rPr>
        <w:t>你公司关于《益阳诺博拓电子科技有限公司年产100亿只电容器封口胶塞项目环境影响报告表》申请批复的报告及相关材料已收悉。经审查研究，批复如下：</w:t>
      </w:r>
    </w:p>
    <w:p w14:paraId="60672AD7" w14:textId="2E1C5199" w:rsidR="00A3020D" w:rsidRDefault="00000000">
      <w:pPr>
        <w:numPr>
          <w:ilvl w:val="0"/>
          <w:numId w:val="1"/>
        </w:numPr>
        <w:spacing w:line="560" w:lineRule="exact"/>
        <w:ind w:firstLineChars="200" w:firstLine="640"/>
        <w:rPr>
          <w:rFonts w:ascii="仿宋_GB2312" w:hAnsi="仿宋_GB2312" w:cs="仿宋_GB2312" w:hint="eastAsia"/>
          <w:color w:val="000000" w:themeColor="text1"/>
          <w:kern w:val="0"/>
          <w:szCs w:val="32"/>
        </w:rPr>
      </w:pPr>
      <w:r>
        <w:rPr>
          <w:rFonts w:hint="eastAsia"/>
          <w:kern w:val="0"/>
          <w:szCs w:val="21"/>
        </w:rPr>
        <w:t>益阳科实达电子材料有限公司位于益阳市赫山区龙岭工业园（学府路以北、银星路以东），公司年产</w:t>
      </w:r>
      <w:r>
        <w:rPr>
          <w:rFonts w:hint="eastAsia"/>
          <w:kern w:val="0"/>
          <w:szCs w:val="21"/>
        </w:rPr>
        <w:t>30</w:t>
      </w:r>
      <w:r>
        <w:rPr>
          <w:rFonts w:hint="eastAsia"/>
          <w:kern w:val="0"/>
          <w:szCs w:val="21"/>
        </w:rPr>
        <w:t>亿只铝电解电容器橡胶密封塞生产线项目于</w:t>
      </w:r>
      <w:r>
        <w:rPr>
          <w:rFonts w:hint="eastAsia"/>
          <w:kern w:val="0"/>
          <w:szCs w:val="21"/>
        </w:rPr>
        <w:t>2015</w:t>
      </w:r>
      <w:r>
        <w:rPr>
          <w:rFonts w:hint="eastAsia"/>
          <w:kern w:val="0"/>
          <w:szCs w:val="21"/>
        </w:rPr>
        <w:t>年</w:t>
      </w:r>
      <w:r>
        <w:rPr>
          <w:rFonts w:hint="eastAsia"/>
          <w:kern w:val="0"/>
          <w:szCs w:val="21"/>
        </w:rPr>
        <w:t>8</w:t>
      </w:r>
      <w:r>
        <w:rPr>
          <w:rFonts w:hint="eastAsia"/>
          <w:kern w:val="0"/>
          <w:szCs w:val="21"/>
        </w:rPr>
        <w:t>月取得原益阳市环境保护局的环评批复（益环审〔</w:t>
      </w:r>
      <w:r>
        <w:rPr>
          <w:rFonts w:hint="eastAsia"/>
          <w:kern w:val="0"/>
          <w:szCs w:val="21"/>
        </w:rPr>
        <w:t>2015</w:t>
      </w:r>
      <w:r>
        <w:rPr>
          <w:rFonts w:hint="eastAsia"/>
          <w:kern w:val="0"/>
          <w:szCs w:val="21"/>
        </w:rPr>
        <w:t>〕</w:t>
      </w:r>
      <w:r>
        <w:rPr>
          <w:rFonts w:hint="eastAsia"/>
          <w:kern w:val="0"/>
          <w:szCs w:val="21"/>
        </w:rPr>
        <w:t>22</w:t>
      </w:r>
      <w:r>
        <w:rPr>
          <w:rFonts w:hint="eastAsia"/>
          <w:kern w:val="0"/>
          <w:szCs w:val="21"/>
        </w:rPr>
        <w:t>号），</w:t>
      </w:r>
      <w:r>
        <w:rPr>
          <w:rFonts w:hint="eastAsia"/>
          <w:kern w:val="0"/>
          <w:szCs w:val="21"/>
        </w:rPr>
        <w:t>2016</w:t>
      </w:r>
      <w:r>
        <w:rPr>
          <w:rFonts w:hint="eastAsia"/>
          <w:kern w:val="0"/>
          <w:szCs w:val="21"/>
        </w:rPr>
        <w:t>年</w:t>
      </w:r>
      <w:r>
        <w:rPr>
          <w:rFonts w:hint="eastAsia"/>
          <w:kern w:val="0"/>
          <w:szCs w:val="21"/>
        </w:rPr>
        <w:t>3</w:t>
      </w:r>
      <w:r>
        <w:rPr>
          <w:rFonts w:hint="eastAsia"/>
          <w:kern w:val="0"/>
          <w:szCs w:val="21"/>
        </w:rPr>
        <w:t>月通过了原益阳市环境保护局组织的竣工环保验收（益环评验〔</w:t>
      </w:r>
      <w:r>
        <w:rPr>
          <w:rFonts w:hint="eastAsia"/>
          <w:kern w:val="0"/>
          <w:szCs w:val="21"/>
        </w:rPr>
        <w:t>2016</w:t>
      </w:r>
      <w:r>
        <w:rPr>
          <w:rFonts w:hint="eastAsia"/>
          <w:kern w:val="0"/>
          <w:szCs w:val="21"/>
        </w:rPr>
        <w:t>〕</w:t>
      </w:r>
      <w:r>
        <w:rPr>
          <w:rFonts w:hint="eastAsia"/>
          <w:kern w:val="0"/>
          <w:szCs w:val="21"/>
        </w:rPr>
        <w:t>11</w:t>
      </w:r>
      <w:r>
        <w:rPr>
          <w:rFonts w:hint="eastAsia"/>
          <w:kern w:val="0"/>
          <w:szCs w:val="21"/>
        </w:rPr>
        <w:t>号）</w:t>
      </w:r>
      <w:r w:rsidR="00FC2E88">
        <w:rPr>
          <w:rFonts w:hint="eastAsia"/>
          <w:kern w:val="0"/>
          <w:szCs w:val="21"/>
        </w:rPr>
        <w:t>；</w:t>
      </w:r>
      <w:r>
        <w:rPr>
          <w:rFonts w:hint="eastAsia"/>
          <w:kern w:val="0"/>
          <w:szCs w:val="21"/>
        </w:rPr>
        <w:t>其年产</w:t>
      </w:r>
      <w:r>
        <w:rPr>
          <w:rFonts w:hint="eastAsia"/>
          <w:kern w:val="0"/>
          <w:szCs w:val="21"/>
        </w:rPr>
        <w:t>30</w:t>
      </w:r>
      <w:r>
        <w:rPr>
          <w:rFonts w:hint="eastAsia"/>
          <w:kern w:val="0"/>
          <w:szCs w:val="21"/>
        </w:rPr>
        <w:t>亿只铝电解电容器橡胶密封塞扩建项目于</w:t>
      </w:r>
      <w:r>
        <w:rPr>
          <w:rFonts w:hint="eastAsia"/>
          <w:kern w:val="0"/>
          <w:szCs w:val="21"/>
        </w:rPr>
        <w:t>2020</w:t>
      </w:r>
      <w:r>
        <w:rPr>
          <w:rFonts w:hint="eastAsia"/>
          <w:kern w:val="0"/>
          <w:szCs w:val="21"/>
        </w:rPr>
        <w:t>年</w:t>
      </w:r>
      <w:r>
        <w:rPr>
          <w:rFonts w:hint="eastAsia"/>
          <w:kern w:val="0"/>
          <w:szCs w:val="21"/>
        </w:rPr>
        <w:t>12</w:t>
      </w:r>
      <w:r>
        <w:rPr>
          <w:rFonts w:hint="eastAsia"/>
          <w:kern w:val="0"/>
          <w:szCs w:val="21"/>
        </w:rPr>
        <w:t>月获得益阳市生态环境局环评批复（益环赫审（书）〔</w:t>
      </w:r>
      <w:r>
        <w:rPr>
          <w:rFonts w:hint="eastAsia"/>
          <w:kern w:val="0"/>
          <w:szCs w:val="21"/>
        </w:rPr>
        <w:t>2020</w:t>
      </w:r>
      <w:r>
        <w:rPr>
          <w:rFonts w:hint="eastAsia"/>
          <w:kern w:val="0"/>
          <w:szCs w:val="21"/>
        </w:rPr>
        <w:t>〕</w:t>
      </w:r>
      <w:r>
        <w:rPr>
          <w:rFonts w:hint="eastAsia"/>
          <w:kern w:val="0"/>
          <w:szCs w:val="21"/>
        </w:rPr>
        <w:t>33</w:t>
      </w:r>
      <w:r>
        <w:rPr>
          <w:rFonts w:hint="eastAsia"/>
          <w:kern w:val="0"/>
          <w:szCs w:val="21"/>
        </w:rPr>
        <w:t>号），</w:t>
      </w:r>
      <w:r>
        <w:rPr>
          <w:rFonts w:hint="eastAsia"/>
          <w:kern w:val="0"/>
          <w:szCs w:val="21"/>
        </w:rPr>
        <w:t>2021</w:t>
      </w:r>
      <w:r>
        <w:rPr>
          <w:rFonts w:hint="eastAsia"/>
          <w:kern w:val="0"/>
          <w:szCs w:val="21"/>
        </w:rPr>
        <w:t>年</w:t>
      </w:r>
      <w:r>
        <w:rPr>
          <w:rFonts w:hint="eastAsia"/>
          <w:kern w:val="0"/>
          <w:szCs w:val="21"/>
        </w:rPr>
        <w:t>2</w:t>
      </w:r>
      <w:r>
        <w:rPr>
          <w:rFonts w:hint="eastAsia"/>
          <w:kern w:val="0"/>
          <w:szCs w:val="21"/>
        </w:rPr>
        <w:t>月完成项目竣工环保自主验收。</w:t>
      </w:r>
      <w:r>
        <w:rPr>
          <w:rFonts w:ascii="仿宋_GB2312" w:hAnsi="仿宋_GB2312" w:cs="仿宋_GB2312" w:hint="eastAsia"/>
          <w:color w:val="000000" w:themeColor="text1"/>
          <w:kern w:val="0"/>
          <w:szCs w:val="32"/>
        </w:rPr>
        <w:t>由于企业的快速发展，拟投资1000万元注册益</w:t>
      </w:r>
      <w:r>
        <w:rPr>
          <w:rFonts w:ascii="仿宋_GB2312" w:hAnsi="仿宋_GB2312" w:cs="仿宋_GB2312" w:hint="eastAsia"/>
          <w:color w:val="000000" w:themeColor="text1"/>
          <w:kern w:val="0"/>
          <w:szCs w:val="32"/>
        </w:rPr>
        <w:lastRenderedPageBreak/>
        <w:t>阳诺博拓电子科技有限公司，将原益阳科实达电子材料有限公司</w:t>
      </w:r>
      <w:r>
        <w:rPr>
          <w:rFonts w:ascii="仿宋_GB2312" w:hAnsi="仿宋_GB2312" w:cs="仿宋_GB2312" w:hint="eastAsia"/>
          <w:color w:val="000000" w:themeColor="text1"/>
          <w:szCs w:val="32"/>
        </w:rPr>
        <w:t>年产30亿只铝电解电容器橡胶密封塞扩建项目</w:t>
      </w:r>
      <w:r>
        <w:rPr>
          <w:rFonts w:ascii="仿宋_GB2312" w:hAnsi="仿宋_GB2312" w:cs="仿宋_GB2312" w:hint="eastAsia"/>
          <w:color w:val="000000" w:themeColor="text1"/>
          <w:kern w:val="0"/>
          <w:szCs w:val="32"/>
        </w:rPr>
        <w:t>搬迁至租赁的益阳高新区东部产业园石坝村厂房101室的空置厂房，厂房面积约7898.24m</w:t>
      </w:r>
      <w:r>
        <w:rPr>
          <w:rFonts w:ascii="仿宋_GB2312" w:hAnsi="仿宋_GB2312" w:cs="仿宋_GB2312" w:hint="eastAsia"/>
          <w:color w:val="000000" w:themeColor="text1"/>
          <w:kern w:val="0"/>
          <w:szCs w:val="32"/>
          <w:vertAlign w:val="superscript"/>
        </w:rPr>
        <w:t>2</w:t>
      </w:r>
      <w:r>
        <w:rPr>
          <w:rFonts w:ascii="仿宋_GB2312" w:hAnsi="仿宋_GB2312" w:cs="仿宋_GB2312" w:hint="eastAsia"/>
          <w:color w:val="000000" w:themeColor="text1"/>
          <w:kern w:val="0"/>
          <w:szCs w:val="32"/>
        </w:rPr>
        <w:t>，主要布置配料区、炼胶区、硫化区、模具清洗区、抛光清洗区、包装质检区、烘烤区、实验区等</w:t>
      </w:r>
      <w:r>
        <w:rPr>
          <w:rFonts w:ascii="仿宋_GB2312" w:hAnsi="仿宋_GB2312" w:cs="仿宋_GB2312" w:hint="eastAsia"/>
          <w:color w:val="000000" w:themeColor="text1"/>
          <w:spacing w:val="4"/>
          <w:szCs w:val="32"/>
        </w:rPr>
        <w:t>配套公辅设施及环保工程。</w:t>
      </w:r>
      <w:r>
        <w:rPr>
          <w:rFonts w:ascii="仿宋_GB2312" w:hAnsi="仿宋_GB2312" w:cs="仿宋_GB2312" w:hint="eastAsia"/>
          <w:color w:val="000000" w:themeColor="text1"/>
          <w:kern w:val="0"/>
          <w:szCs w:val="32"/>
        </w:rPr>
        <w:t>项目建成后年产100亿只电容器封口胶塞。</w:t>
      </w:r>
    </w:p>
    <w:p w14:paraId="70E36F4A" w14:textId="77777777" w:rsidR="00A3020D" w:rsidRDefault="00000000">
      <w:pPr>
        <w:widowControl/>
        <w:adjustRightInd w:val="0"/>
        <w:snapToGrid w:val="0"/>
        <w:spacing w:line="560" w:lineRule="exact"/>
        <w:ind w:firstLine="640"/>
        <w:rPr>
          <w:rFonts w:ascii="仿宋_GB2312" w:hAnsi="仿宋_GB2312" w:cs="仿宋_GB2312" w:hint="eastAsia"/>
          <w:color w:val="000000" w:themeColor="text1"/>
          <w:kern w:val="0"/>
          <w:szCs w:val="32"/>
        </w:rPr>
      </w:pPr>
      <w:r>
        <w:rPr>
          <w:rFonts w:ascii="仿宋_GB2312" w:hAnsi="仿宋_GB2312" w:cs="仿宋_GB2312" w:hint="eastAsia"/>
          <w:color w:val="000000"/>
          <w:spacing w:val="4"/>
          <w:szCs w:val="32"/>
        </w:rPr>
        <w:t>项目符合国家产业政策，</w:t>
      </w:r>
      <w:r>
        <w:rPr>
          <w:rFonts w:ascii="仿宋_GB2312" w:hAnsi="仿宋_GB2312" w:cs="仿宋_GB2312" w:hint="eastAsia"/>
          <w:szCs w:val="32"/>
        </w:rPr>
        <w:t>符合</w:t>
      </w:r>
      <w:r>
        <w:rPr>
          <w:rFonts w:ascii="仿宋_GB2312" w:hAnsi="仿宋_GB2312" w:cs="仿宋_GB2312" w:hint="eastAsia"/>
          <w:spacing w:val="4"/>
          <w:szCs w:val="32"/>
        </w:rPr>
        <w:t>《湖南省“三线一单”生态环境总体管控要求暨省级以上产业园区生态环境准入清单》中益阳高新技术产业开发区生态环境准入清单要求</w:t>
      </w:r>
      <w:r>
        <w:rPr>
          <w:rFonts w:ascii="仿宋_GB2312" w:hAnsi="仿宋_GB2312" w:cs="仿宋_GB2312" w:hint="eastAsia"/>
          <w:color w:val="000000"/>
          <w:spacing w:val="4"/>
          <w:szCs w:val="32"/>
        </w:rPr>
        <w:t>。</w:t>
      </w:r>
      <w:r>
        <w:rPr>
          <w:rFonts w:ascii="仿宋_GB2312" w:hAnsi="仿宋_GB2312" w:cs="仿宋_GB2312" w:hint="eastAsia"/>
          <w:color w:val="000000" w:themeColor="text1"/>
          <w:kern w:val="0"/>
          <w:szCs w:val="32"/>
        </w:rPr>
        <w:t>根据湖南中鉴生态环境科技有限公司编制的报告表的分析结论，在建设单位认真落实报告表和本批复提出的</w:t>
      </w:r>
      <w:r>
        <w:rPr>
          <w:rFonts w:ascii="仿宋_GB2312" w:hAnsi="仿宋_GB2312" w:cs="仿宋_GB2312" w:hint="eastAsia"/>
          <w:color w:val="000000" w:themeColor="text1"/>
          <w:spacing w:val="4"/>
          <w:szCs w:val="32"/>
        </w:rPr>
        <w:t>各项生态环境保护措施，确保各类污染物稳定达标排放的前提下，</w:t>
      </w:r>
      <w:r>
        <w:rPr>
          <w:rFonts w:ascii="仿宋_GB2312" w:hAnsi="仿宋_GB2312" w:cs="仿宋_GB2312" w:hint="eastAsia"/>
          <w:color w:val="000000" w:themeColor="text1"/>
          <w:kern w:val="0"/>
          <w:szCs w:val="32"/>
        </w:rPr>
        <w:t>我局原则同意益阳诺博拓电子科技有限公司年产100亿只电容器封口胶塞项目的选址及建设。</w:t>
      </w:r>
    </w:p>
    <w:p w14:paraId="60316D61" w14:textId="77777777" w:rsidR="00A3020D" w:rsidRDefault="00000000">
      <w:pPr>
        <w:widowControl/>
        <w:adjustRightInd w:val="0"/>
        <w:snapToGrid w:val="0"/>
        <w:spacing w:line="560" w:lineRule="exact"/>
        <w:ind w:firstLine="640"/>
        <w:rPr>
          <w:rFonts w:ascii="仿宋_GB2312" w:hAnsi="仿宋_GB2312" w:cs="仿宋_GB2312" w:hint="eastAsia"/>
          <w:color w:val="000000" w:themeColor="text1"/>
          <w:spacing w:val="4"/>
          <w:szCs w:val="32"/>
        </w:rPr>
      </w:pPr>
      <w:r>
        <w:rPr>
          <w:rFonts w:ascii="仿宋_GB2312" w:hAnsi="仿宋_GB2312" w:cs="仿宋_GB2312" w:hint="eastAsia"/>
          <w:color w:val="000000" w:themeColor="text1"/>
          <w:spacing w:val="4"/>
          <w:szCs w:val="32"/>
        </w:rPr>
        <w:t>二、你公司在工程设计、建设和运营管理中，必须落实环评提出的各项污染防治和风险防范措施要求，并着重做好以下工作：</w:t>
      </w:r>
    </w:p>
    <w:p w14:paraId="633E1A0C" w14:textId="77777777" w:rsidR="00A3020D" w:rsidRDefault="00000000">
      <w:pPr>
        <w:spacing w:line="560" w:lineRule="exact"/>
        <w:ind w:firstLineChars="200" w:firstLine="656"/>
        <w:rPr>
          <w:color w:val="000000"/>
          <w:spacing w:val="4"/>
          <w:szCs w:val="32"/>
        </w:rPr>
      </w:pPr>
      <w:r>
        <w:rPr>
          <w:rFonts w:eastAsia="楷体_GB2312"/>
          <w:color w:val="000000" w:themeColor="text1"/>
          <w:spacing w:val="4"/>
          <w:szCs w:val="32"/>
        </w:rPr>
        <w:t>（一）严格履行建设单位的环保主体责任</w:t>
      </w:r>
      <w:r>
        <w:rPr>
          <w:rFonts w:eastAsia="楷体"/>
          <w:color w:val="000000"/>
          <w:spacing w:val="4"/>
          <w:szCs w:val="32"/>
        </w:rPr>
        <w:t>，加强环境管理。</w:t>
      </w:r>
      <w:r>
        <w:rPr>
          <w:rFonts w:ascii="仿宋_GB2312" w:hAnsi="仿宋_GB2312" w:cs="仿宋_GB2312" w:hint="eastAsia"/>
          <w:color w:val="000000"/>
          <w:spacing w:val="4"/>
          <w:szCs w:val="32"/>
        </w:rPr>
        <w:t>建立健全环保规章制度和岗位责任制，配备专职或兼职环保管理人员；加强生产台账和环保台账的登记管理</w:t>
      </w:r>
      <w:r>
        <w:rPr>
          <w:rFonts w:ascii="仿宋_GB2312" w:hAnsi="仿宋_GB2312" w:cs="仿宋_GB2312" w:hint="eastAsia"/>
          <w:szCs w:val="32"/>
        </w:rPr>
        <w:t>，做到有据可查</w:t>
      </w:r>
      <w:r>
        <w:rPr>
          <w:rFonts w:ascii="仿宋_GB2312" w:hAnsi="仿宋_GB2312" w:cs="仿宋_GB2312" w:hint="eastAsia"/>
          <w:color w:val="000000"/>
          <w:spacing w:val="4"/>
          <w:szCs w:val="32"/>
        </w:rPr>
        <w:t>；定期对污染</w:t>
      </w:r>
      <w:r>
        <w:rPr>
          <w:rFonts w:ascii="仿宋_GB2312" w:hAnsi="仿宋_GB2312" w:cs="仿宋_GB2312" w:hint="eastAsia"/>
          <w:color w:val="000000"/>
          <w:szCs w:val="32"/>
        </w:rPr>
        <w:t>防治</w:t>
      </w:r>
      <w:r>
        <w:rPr>
          <w:rFonts w:ascii="仿宋_GB2312" w:hAnsi="仿宋_GB2312" w:cs="仿宋_GB2312" w:hint="eastAsia"/>
          <w:color w:val="000000"/>
          <w:spacing w:val="4"/>
          <w:szCs w:val="32"/>
        </w:rPr>
        <w:t>设施进行检修和维护，确保环保设施稳定正常运行和污染物稳定达标排放；建设单位根据</w:t>
      </w:r>
      <w:r>
        <w:rPr>
          <w:rFonts w:ascii="仿宋_GB2312" w:hAnsi="仿宋_GB2312" w:cs="仿宋_GB2312" w:hint="eastAsia"/>
          <w:color w:val="000000"/>
          <w:spacing w:val="4"/>
          <w:szCs w:val="32"/>
        </w:rPr>
        <w:lastRenderedPageBreak/>
        <w:t>《湖南省突发环境事件应急预案管理办法（修订版）》（湘环发〔2024〕49 号）的要求进行应急预案管理，落实事故风险防范措施，切实防范各类环境风险事故。</w:t>
      </w:r>
    </w:p>
    <w:p w14:paraId="607A2935" w14:textId="77777777" w:rsidR="00A3020D" w:rsidRDefault="00000000">
      <w:pPr>
        <w:spacing w:line="560" w:lineRule="exact"/>
        <w:ind w:firstLineChars="200" w:firstLine="656"/>
        <w:rPr>
          <w:rFonts w:ascii="仿宋_GB2312" w:hAnsi="仿宋_GB2312" w:cs="仿宋_GB2312" w:hint="eastAsia"/>
          <w:szCs w:val="32"/>
        </w:rPr>
      </w:pPr>
      <w:r>
        <w:rPr>
          <w:rFonts w:eastAsia="楷体_GB2312"/>
          <w:color w:val="000000" w:themeColor="text1"/>
          <w:spacing w:val="4"/>
          <w:szCs w:val="32"/>
        </w:rPr>
        <w:t>（</w:t>
      </w:r>
      <w:r>
        <w:rPr>
          <w:rFonts w:eastAsia="楷体_GB2312" w:hint="eastAsia"/>
          <w:color w:val="000000" w:themeColor="text1"/>
          <w:spacing w:val="4"/>
          <w:szCs w:val="32"/>
        </w:rPr>
        <w:t>二</w:t>
      </w:r>
      <w:r>
        <w:rPr>
          <w:rFonts w:eastAsia="楷体_GB2312"/>
          <w:color w:val="000000" w:themeColor="text1"/>
          <w:spacing w:val="4"/>
          <w:szCs w:val="32"/>
        </w:rPr>
        <w:t>）落实大气污染防治措施。</w:t>
      </w:r>
      <w:r>
        <w:rPr>
          <w:rFonts w:ascii="仿宋_GB2312" w:hAnsi="仿宋_GB2312" w:cs="仿宋_GB2312" w:hint="eastAsia"/>
          <w:color w:val="000000" w:themeColor="text1"/>
          <w:szCs w:val="32"/>
        </w:rPr>
        <w:t>项目工序区域单独隔开，四面封闭，仅留出入口。配料、投料、炼胶、烘烤、压延、出片工序产生的颗粒物、非甲烷总烃及恶臭经带软帘的集气罩收集后采取“袋式除尘+UV光解+二级活性炭吸附”装置处理，通过15m高排气筒（DA001）排放；硫化工序产生的非甲烷总烃及恶臭经带软帘的集气罩收集后采取“UV光解+二级活性炭吸附”装置处理，通过15m高排气筒（DA002）排放，外排污染物须满足《橡胶制品工业污染物排放</w:t>
      </w:r>
      <w:r>
        <w:rPr>
          <w:rFonts w:ascii="仿宋_GB2312" w:hAnsi="仿宋_GB2312" w:cs="仿宋_GB2312" w:hint="eastAsia"/>
          <w:szCs w:val="32"/>
        </w:rPr>
        <w:t>标准》（GB27632-2011）中表5新建企业大气污染物排放限值和《恶臭污染物排放标准》（GB14554-93）中表2中的标准限值；厂界非甲烷总烃和颗粒物排放浓度须满足《橡胶制品工业污染物排放标准》（GB27632-2011）表6中的限值要求，臭气浓度须满足《恶臭污染物排放标准》（GB14554-93）表1恶臭污染物厂界标准值新改建二级标准要求；</w:t>
      </w:r>
      <w:r>
        <w:rPr>
          <w:rFonts w:ascii="仿宋_GB2312" w:hAnsi="仿宋_GB2312" w:cs="仿宋_GB2312" w:hint="eastAsia"/>
          <w:color w:val="000000"/>
          <w:szCs w:val="32"/>
        </w:rPr>
        <w:t>厂区内非甲烷总烃无组织排放监控点浓度须满足《挥发性有机物无组织排放控制标准》（GB37822-2019）表A.1规定的无组织排放限值要求。</w:t>
      </w:r>
    </w:p>
    <w:p w14:paraId="498BB0D8" w14:textId="77777777" w:rsidR="00A3020D" w:rsidRDefault="00000000">
      <w:pPr>
        <w:spacing w:line="560" w:lineRule="exact"/>
        <w:ind w:firstLineChars="200" w:firstLine="656"/>
        <w:rPr>
          <w:rFonts w:ascii="仿宋" w:eastAsia="仿宋" w:hAnsi="仿宋" w:cs="仿宋" w:hint="eastAsia"/>
          <w:szCs w:val="32"/>
        </w:rPr>
      </w:pPr>
      <w:r>
        <w:rPr>
          <w:rFonts w:eastAsia="楷体_GB2312" w:hint="eastAsia"/>
          <w:color w:val="000000" w:themeColor="text1"/>
          <w:spacing w:val="4"/>
          <w:szCs w:val="32"/>
        </w:rPr>
        <w:t>（三）</w:t>
      </w:r>
      <w:r>
        <w:rPr>
          <w:rFonts w:eastAsia="楷体_GB2312"/>
          <w:color w:val="000000" w:themeColor="text1"/>
          <w:spacing w:val="4"/>
          <w:szCs w:val="32"/>
        </w:rPr>
        <w:t>落实水污染防治措施。</w:t>
      </w:r>
      <w:r>
        <w:rPr>
          <w:rFonts w:ascii="仿宋_GB2312" w:hAnsi="仿宋_GB2312" w:cs="仿宋_GB2312" w:hint="eastAsia"/>
          <w:szCs w:val="32"/>
        </w:rPr>
        <w:t>项目排水须严格执行“雨污分流、污污分流”原则，生产废水采取沉淀池预处理，生活污水采取化粪池预处理，外排的生活污水与生产废水中阴离子表面活性剂满足《污水综合排放标准》（GB8978-1996）</w:t>
      </w:r>
      <w:r>
        <w:rPr>
          <w:rFonts w:ascii="仿宋_GB2312" w:hAnsi="仿宋_GB2312" w:cs="仿宋_GB2312" w:hint="eastAsia"/>
          <w:color w:val="000000"/>
          <w:spacing w:val="4"/>
          <w:szCs w:val="32"/>
        </w:rPr>
        <w:t>表4</w:t>
      </w:r>
      <w:r>
        <w:rPr>
          <w:rFonts w:ascii="仿宋_GB2312" w:hAnsi="仿宋_GB2312" w:cs="仿宋_GB2312" w:hint="eastAsia"/>
          <w:szCs w:val="32"/>
        </w:rPr>
        <w:lastRenderedPageBreak/>
        <w:t>中三级标准，其他污染物满足《橡胶制品工业污染物排放标准》（GB27632-2011）中表2新建企业水污染物排放限值中的间接排放限值后，生产废水与生活污水分别经园区污水管网排入益阳东部新区污水处理厂深度处理后达标排放。</w:t>
      </w:r>
    </w:p>
    <w:p w14:paraId="0F0C191A" w14:textId="77777777" w:rsidR="00A3020D" w:rsidRDefault="00000000">
      <w:pPr>
        <w:widowControl/>
        <w:adjustRightInd w:val="0"/>
        <w:snapToGrid w:val="0"/>
        <w:spacing w:line="560" w:lineRule="exact"/>
        <w:ind w:firstLineChars="200" w:firstLine="656"/>
        <w:rPr>
          <w:rFonts w:ascii="仿宋_GB2312" w:hAnsi="仿宋_GB2312" w:cs="仿宋_GB2312" w:hint="eastAsia"/>
          <w:color w:val="000000" w:themeColor="text1"/>
          <w:kern w:val="0"/>
          <w:szCs w:val="32"/>
        </w:rPr>
      </w:pPr>
      <w:r>
        <w:rPr>
          <w:rFonts w:eastAsia="楷体_GB2312"/>
          <w:color w:val="000000" w:themeColor="text1"/>
          <w:spacing w:val="4"/>
          <w:szCs w:val="32"/>
        </w:rPr>
        <w:t>（</w:t>
      </w:r>
      <w:r>
        <w:rPr>
          <w:rFonts w:eastAsia="楷体_GB2312" w:hint="eastAsia"/>
          <w:color w:val="000000" w:themeColor="text1"/>
          <w:spacing w:val="4"/>
          <w:szCs w:val="32"/>
        </w:rPr>
        <w:t>四</w:t>
      </w:r>
      <w:r>
        <w:rPr>
          <w:rFonts w:eastAsia="楷体_GB2312"/>
          <w:color w:val="000000" w:themeColor="text1"/>
          <w:spacing w:val="4"/>
          <w:szCs w:val="32"/>
        </w:rPr>
        <w:t>）落实固体废物处置措施。</w:t>
      </w:r>
      <w:r>
        <w:rPr>
          <w:rFonts w:ascii="仿宋_GB2312" w:hAnsi="仿宋_GB2312" w:cs="仿宋_GB2312" w:hint="eastAsia"/>
          <w:color w:val="000000" w:themeColor="text1"/>
          <w:spacing w:val="4"/>
          <w:szCs w:val="32"/>
        </w:rPr>
        <w:t>按照“减量化、资源化、无害化”的原则，做好固废的分类收集、暂存、安全处置工作。按规范要求设置危废暂存间和一般固废暂存间，其建设、运行和管理应分别满足《危险废物贮存污染控制标准》（GB18597-2023）、《一般工业固体废物贮存和填埋污染控制标准》（GB18599-2020）要求。</w:t>
      </w:r>
      <w:r>
        <w:rPr>
          <w:rFonts w:ascii="仿宋_GB2312" w:hAnsi="仿宋_GB2312" w:cs="仿宋_GB2312" w:hint="eastAsia"/>
          <w:szCs w:val="32"/>
        </w:rPr>
        <w:t>废包装袋、废边角料、不合格产品、废液态物料包装桶、</w:t>
      </w:r>
      <w:r>
        <w:rPr>
          <w:rFonts w:ascii="仿宋_GB2312" w:hAnsi="仿宋_GB2312" w:cs="仿宋_GB2312" w:hint="eastAsia"/>
          <w:color w:val="000000"/>
          <w:szCs w:val="21"/>
        </w:rPr>
        <w:t>废收尘及废布袋</w:t>
      </w:r>
      <w:r>
        <w:rPr>
          <w:rFonts w:ascii="仿宋_GB2312" w:hAnsi="仿宋_GB2312" w:cs="仿宋_GB2312" w:hint="eastAsia"/>
          <w:szCs w:val="32"/>
        </w:rPr>
        <w:t>、胶渣等分类收集后外售综合利用；废渗透膜、废滤芯由厂家回收处理；废污泥、废润滑油、含油废手套及抹布、废活性炭、废UV灯管等危险废物委托有资质的单位安全处置；生活垃圾分类收集后交由环卫部门统一清运处理。</w:t>
      </w:r>
    </w:p>
    <w:p w14:paraId="5E2BAA9F" w14:textId="77777777" w:rsidR="00A3020D" w:rsidRDefault="00000000">
      <w:pPr>
        <w:pStyle w:val="1"/>
        <w:keepNext w:val="0"/>
        <w:autoSpaceDE w:val="0"/>
        <w:autoSpaceDN w:val="0"/>
        <w:adjustRightInd w:val="0"/>
        <w:snapToGrid/>
        <w:spacing w:before="0" w:after="0" w:line="560" w:lineRule="exact"/>
        <w:ind w:left="0" w:firstLineChars="200" w:firstLine="656"/>
        <w:textAlignment w:val="baseline"/>
        <w:rPr>
          <w:rFonts w:ascii="仿宋_GB2312" w:eastAsia="仿宋_GB2312" w:hAnsi="仿宋_GB2312" w:cs="仿宋_GB2312" w:hint="eastAsia"/>
          <w:b w:val="0"/>
          <w:bCs w:val="0"/>
          <w:color w:val="000000" w:themeColor="text1"/>
          <w:kern w:val="2"/>
          <w:sz w:val="32"/>
          <w:szCs w:val="32"/>
        </w:rPr>
      </w:pPr>
      <w:r>
        <w:rPr>
          <w:rFonts w:eastAsia="楷体_GB2312"/>
          <w:b w:val="0"/>
          <w:bCs w:val="0"/>
          <w:color w:val="000000" w:themeColor="text1"/>
          <w:spacing w:val="4"/>
          <w:kern w:val="2"/>
          <w:sz w:val="32"/>
          <w:szCs w:val="32"/>
        </w:rPr>
        <w:t>（</w:t>
      </w:r>
      <w:r>
        <w:rPr>
          <w:rFonts w:eastAsia="楷体_GB2312" w:hint="eastAsia"/>
          <w:b w:val="0"/>
          <w:bCs w:val="0"/>
          <w:color w:val="000000" w:themeColor="text1"/>
          <w:spacing w:val="4"/>
          <w:kern w:val="2"/>
          <w:sz w:val="32"/>
          <w:szCs w:val="32"/>
        </w:rPr>
        <w:t>五</w:t>
      </w:r>
      <w:r>
        <w:rPr>
          <w:rFonts w:eastAsia="楷体_GB2312"/>
          <w:b w:val="0"/>
          <w:bCs w:val="0"/>
          <w:color w:val="000000" w:themeColor="text1"/>
          <w:spacing w:val="4"/>
          <w:kern w:val="2"/>
          <w:sz w:val="32"/>
          <w:szCs w:val="32"/>
        </w:rPr>
        <w:t>）落实地下水及土壤污染防治措施。</w:t>
      </w:r>
      <w:r>
        <w:rPr>
          <w:rFonts w:ascii="仿宋_GB2312" w:eastAsia="仿宋_GB2312" w:hAnsi="仿宋_GB2312" w:cs="仿宋_GB2312" w:hint="eastAsia"/>
          <w:b w:val="0"/>
          <w:bCs w:val="0"/>
          <w:color w:val="000000" w:themeColor="text1"/>
          <w:kern w:val="2"/>
          <w:sz w:val="32"/>
          <w:szCs w:val="32"/>
        </w:rPr>
        <w:t>按照“源头控制、分区防控、应急响应”的原则，加强各环节生产管理，减少“跑、冒、滴、漏”，做好分区防渗工作，防止地下水和土壤环境污染。</w:t>
      </w:r>
    </w:p>
    <w:p w14:paraId="4C3D8E19" w14:textId="77777777" w:rsidR="00A3020D" w:rsidRDefault="00000000">
      <w:pPr>
        <w:pStyle w:val="1"/>
        <w:keepNext w:val="0"/>
        <w:autoSpaceDE w:val="0"/>
        <w:autoSpaceDN w:val="0"/>
        <w:adjustRightInd w:val="0"/>
        <w:snapToGrid/>
        <w:spacing w:before="0" w:after="0" w:line="560" w:lineRule="exact"/>
        <w:ind w:left="0" w:firstLineChars="200" w:firstLine="656"/>
        <w:textAlignment w:val="baseline"/>
        <w:rPr>
          <w:rFonts w:eastAsia="仿宋_GB2312"/>
          <w:color w:val="000000" w:themeColor="text1"/>
          <w:spacing w:val="4"/>
          <w:szCs w:val="32"/>
        </w:rPr>
      </w:pPr>
      <w:r>
        <w:rPr>
          <w:rFonts w:eastAsia="楷体_GB2312"/>
          <w:b w:val="0"/>
          <w:bCs w:val="0"/>
          <w:spacing w:val="4"/>
          <w:kern w:val="2"/>
          <w:sz w:val="32"/>
          <w:szCs w:val="32"/>
        </w:rPr>
        <w:t>（</w:t>
      </w:r>
      <w:r>
        <w:rPr>
          <w:rFonts w:eastAsia="楷体_GB2312" w:hint="eastAsia"/>
          <w:b w:val="0"/>
          <w:bCs w:val="0"/>
          <w:spacing w:val="4"/>
          <w:kern w:val="2"/>
          <w:sz w:val="32"/>
          <w:szCs w:val="32"/>
        </w:rPr>
        <w:t>六</w:t>
      </w:r>
      <w:r>
        <w:rPr>
          <w:rFonts w:eastAsia="楷体_GB2312"/>
          <w:b w:val="0"/>
          <w:bCs w:val="0"/>
          <w:spacing w:val="4"/>
          <w:kern w:val="2"/>
          <w:sz w:val="32"/>
          <w:szCs w:val="32"/>
        </w:rPr>
        <w:t>）落实噪声污染防治措施。</w:t>
      </w:r>
      <w:r>
        <w:rPr>
          <w:rFonts w:ascii="仿宋_GB2312" w:eastAsia="仿宋_GB2312" w:hAnsi="仿宋_GB2312" w:cs="仿宋_GB2312" w:hint="eastAsia"/>
          <w:b w:val="0"/>
          <w:bCs w:val="0"/>
          <w:color w:val="000000" w:themeColor="text1"/>
          <w:kern w:val="2"/>
          <w:sz w:val="32"/>
          <w:szCs w:val="32"/>
        </w:rPr>
        <w:t>合理优化总平面布置和设备的选型，对高噪声设备采取减震、隔声、消声等措施，合理安排生产时间，确保厂界四周噪声符合《工业企业厂界环境噪声排放标准》（GB12348-2008）中3类区标准要求。</w:t>
      </w:r>
    </w:p>
    <w:p w14:paraId="708123FB" w14:textId="77777777" w:rsidR="00A3020D" w:rsidRDefault="00000000">
      <w:pPr>
        <w:spacing w:line="540" w:lineRule="exact"/>
        <w:ind w:firstLineChars="200" w:firstLine="656"/>
        <w:rPr>
          <w:color w:val="000000" w:themeColor="text1"/>
          <w:spacing w:val="4"/>
          <w:szCs w:val="32"/>
        </w:rPr>
      </w:pPr>
      <w:r>
        <w:rPr>
          <w:rFonts w:eastAsia="楷体_GB2312"/>
          <w:color w:val="000000"/>
          <w:spacing w:val="4"/>
          <w:szCs w:val="32"/>
        </w:rPr>
        <w:t>（</w:t>
      </w:r>
      <w:r>
        <w:rPr>
          <w:rFonts w:eastAsia="楷体_GB2312" w:hint="eastAsia"/>
          <w:color w:val="000000"/>
          <w:spacing w:val="4"/>
          <w:szCs w:val="32"/>
        </w:rPr>
        <w:t>七</w:t>
      </w:r>
      <w:r>
        <w:rPr>
          <w:rFonts w:eastAsia="楷体_GB2312"/>
          <w:color w:val="000000"/>
          <w:spacing w:val="4"/>
          <w:szCs w:val="32"/>
        </w:rPr>
        <w:t>）本项目污染物总量控制指标为：</w:t>
      </w:r>
      <w:r>
        <w:rPr>
          <w:rFonts w:ascii="仿宋_GB2312" w:hAnsi="仿宋_GB2312" w:cs="仿宋_GB2312" w:hint="eastAsia"/>
          <w:color w:val="000000" w:themeColor="text1"/>
          <w:spacing w:val="4"/>
          <w:szCs w:val="32"/>
        </w:rPr>
        <w:t>COD≤0.02t/a，</w:t>
      </w:r>
      <w:r>
        <w:rPr>
          <w:rFonts w:ascii="仿宋_GB2312" w:hAnsi="仿宋_GB2312" w:cs="仿宋_GB2312" w:hint="eastAsia"/>
          <w:color w:val="000000" w:themeColor="text1"/>
          <w:spacing w:val="4"/>
          <w:szCs w:val="32"/>
        </w:rPr>
        <w:lastRenderedPageBreak/>
        <w:t>NH</w:t>
      </w:r>
      <w:r>
        <w:rPr>
          <w:rFonts w:ascii="仿宋_GB2312" w:hAnsi="仿宋_GB2312" w:cs="仿宋_GB2312" w:hint="eastAsia"/>
          <w:color w:val="000000" w:themeColor="text1"/>
          <w:spacing w:val="4"/>
          <w:szCs w:val="32"/>
          <w:vertAlign w:val="subscript"/>
        </w:rPr>
        <w:t>3</w:t>
      </w:r>
      <w:r>
        <w:rPr>
          <w:rFonts w:ascii="仿宋_GB2312" w:hAnsi="仿宋_GB2312" w:cs="仿宋_GB2312" w:hint="eastAsia"/>
          <w:color w:val="000000" w:themeColor="text1"/>
          <w:spacing w:val="4"/>
          <w:szCs w:val="32"/>
        </w:rPr>
        <w:t>-N≤0.01t/a，TP≤0.01t/a，VOCs</w:t>
      </w:r>
      <w:r>
        <w:rPr>
          <w:rFonts w:ascii="仿宋_GB2312" w:hAnsi="仿宋_GB2312" w:cs="仿宋_GB2312" w:hint="eastAsia"/>
          <w:color w:val="000000" w:themeColor="text1"/>
          <w:szCs w:val="32"/>
          <w:lang w:bidi="ar"/>
        </w:rPr>
        <w:t>≤</w:t>
      </w:r>
      <w:r>
        <w:rPr>
          <w:rFonts w:ascii="仿宋_GB2312" w:hAnsi="仿宋_GB2312" w:cs="仿宋_GB2312" w:hint="eastAsia"/>
          <w:color w:val="000000" w:themeColor="text1"/>
          <w:spacing w:val="4"/>
          <w:szCs w:val="32"/>
        </w:rPr>
        <w:t>0.29t/a，挥发性有机物总量指标来源于本企业（老厂），不新增排放量，</w:t>
      </w:r>
      <w:r>
        <w:rPr>
          <w:rFonts w:ascii="仿宋_GB2312" w:hAnsi="仿宋_GB2312" w:cs="仿宋_GB2312" w:hint="eastAsia"/>
          <w:szCs w:val="32"/>
        </w:rPr>
        <w:t>总量指标</w:t>
      </w:r>
      <w:r>
        <w:rPr>
          <w:rFonts w:ascii="仿宋_GB2312" w:hAnsi="仿宋_GB2312" w:cs="仿宋_GB2312" w:hint="eastAsia"/>
          <w:color w:val="000000"/>
          <w:spacing w:val="4"/>
          <w:szCs w:val="32"/>
        </w:rPr>
        <w:t>纳入高新区总量控制管理。</w:t>
      </w:r>
    </w:p>
    <w:p w14:paraId="254E384A" w14:textId="77777777" w:rsidR="00A3020D" w:rsidRDefault="00000000">
      <w:pPr>
        <w:spacing w:line="560" w:lineRule="exact"/>
        <w:ind w:firstLineChars="200" w:firstLine="656"/>
        <w:rPr>
          <w:rFonts w:ascii="仿宋_GB2312" w:hAnsi="仿宋_GB2312" w:cs="仿宋_GB2312" w:hint="eastAsia"/>
          <w:color w:val="000000" w:themeColor="text1"/>
          <w:spacing w:val="4"/>
          <w:szCs w:val="32"/>
        </w:rPr>
      </w:pPr>
      <w:r>
        <w:rPr>
          <w:rFonts w:ascii="仿宋_GB2312" w:hAnsi="仿宋_GB2312" w:cs="仿宋_GB2312" w:hint="eastAsia"/>
          <w:color w:val="000000" w:themeColor="text1"/>
          <w:spacing w:val="4"/>
          <w:szCs w:val="32"/>
        </w:rPr>
        <w:t>三、本项目经审批后，建设的性质、规模、地点、采用的生产工艺或者防治污染、防止生态破坏的措施发生重大变动的，你公司应重新报批建设项目的环评文件。项目建成投产前，须按照《排污许可管理条例》（国务院令第736条）和《固定污染源排污许可分类管理名录》的要求办理排污许可相关手续。项目建设投运后，须按《建设项目环境保护管理条例》的有关规定，及时进行项目竣工环保自主验收。益阳市生态环境保护综合行政执法支队高新区大队负责本项目“三同时”监督检查和管理工作。</w:t>
      </w:r>
    </w:p>
    <w:p w14:paraId="44D23C22" w14:textId="77777777" w:rsidR="00A3020D" w:rsidRDefault="00000000">
      <w:pPr>
        <w:spacing w:line="560" w:lineRule="exact"/>
        <w:ind w:firstLineChars="200" w:firstLine="656"/>
        <w:rPr>
          <w:rFonts w:ascii="仿宋_GB2312" w:hAnsi="仿宋_GB2312" w:cs="仿宋_GB2312" w:hint="eastAsia"/>
          <w:color w:val="000000" w:themeColor="text1"/>
          <w:spacing w:val="4"/>
          <w:szCs w:val="32"/>
        </w:rPr>
      </w:pPr>
      <w:r>
        <w:rPr>
          <w:rFonts w:ascii="仿宋_GB2312" w:hAnsi="仿宋_GB2312" w:cs="仿宋_GB2312" w:hint="eastAsia"/>
          <w:color w:val="000000" w:themeColor="text1"/>
          <w:spacing w:val="4"/>
          <w:szCs w:val="32"/>
        </w:rPr>
        <w:t>四、你公司在收到本批复后15个工作日内，将本批复及项目环评报告表送至益阳市生态环境局高新区分局。</w:t>
      </w:r>
    </w:p>
    <w:p w14:paraId="5059C89B" w14:textId="77777777" w:rsidR="00A3020D" w:rsidRDefault="00000000">
      <w:pPr>
        <w:spacing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 xml:space="preserve">                           </w:t>
      </w:r>
    </w:p>
    <w:p w14:paraId="1F71BD80" w14:textId="77777777" w:rsidR="00A3020D" w:rsidRDefault="00000000">
      <w:pPr>
        <w:spacing w:line="560" w:lineRule="exact"/>
        <w:ind w:firstLineChars="200" w:firstLine="640"/>
        <w:jc w:val="center"/>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 xml:space="preserve">                   益阳市生态环境局</w:t>
      </w:r>
    </w:p>
    <w:p w14:paraId="697F8D25" w14:textId="77777777" w:rsidR="00A3020D" w:rsidRDefault="00000000">
      <w:pPr>
        <w:rPr>
          <w:color w:val="000000" w:themeColor="text1"/>
          <w:spacing w:val="4"/>
          <w:szCs w:val="32"/>
        </w:rPr>
      </w:pPr>
      <w:r>
        <w:rPr>
          <w:rFonts w:ascii="仿宋_GB2312" w:hAnsi="仿宋_GB2312" w:cs="仿宋_GB2312" w:hint="eastAsia"/>
          <w:color w:val="000000" w:themeColor="text1"/>
          <w:szCs w:val="32"/>
        </w:rPr>
        <w:t xml:space="preserve">                              </w:t>
      </w:r>
      <w:r>
        <w:rPr>
          <w:rFonts w:ascii="仿宋_GB2312" w:hAnsi="仿宋_GB2312" w:cs="仿宋_GB2312" w:hint="eastAsia"/>
          <w:color w:val="000000" w:themeColor="text1"/>
          <w:spacing w:val="4"/>
          <w:szCs w:val="32"/>
        </w:rPr>
        <w:t>2025年12月23日</w:t>
      </w:r>
    </w:p>
    <w:sectPr w:rsidR="00A3020D">
      <w:footerReference w:type="default" r:id="rId8"/>
      <w:pgSz w:w="11906" w:h="16838"/>
      <w:pgMar w:top="1701" w:right="1701" w:bottom="1701" w:left="1701" w:header="851" w:footer="992" w:gutter="0"/>
      <w:pgNumType w:start="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43A3F" w14:textId="77777777" w:rsidR="00AD12EF" w:rsidRDefault="00AD12EF">
      <w:r>
        <w:separator/>
      </w:r>
    </w:p>
  </w:endnote>
  <w:endnote w:type="continuationSeparator" w:id="0">
    <w:p w14:paraId="0B2D913C" w14:textId="77777777" w:rsidR="00AD12EF" w:rsidRDefault="00AD1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61872" w14:textId="77777777" w:rsidR="00A3020D" w:rsidRDefault="00000000">
    <w:pPr>
      <w:pStyle w:val="a5"/>
    </w:pPr>
    <w:r>
      <w:rPr>
        <w:noProof/>
      </w:rPr>
      <mc:AlternateContent>
        <mc:Choice Requires="wps">
          <w:drawing>
            <wp:anchor distT="0" distB="0" distL="114300" distR="114300" simplePos="0" relativeHeight="251659264" behindDoc="0" locked="0" layoutInCell="1" allowOverlap="1" wp14:anchorId="30D42794" wp14:editId="55FF1E86">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2D8A4" w14:textId="77777777" w:rsidR="00A3020D" w:rsidRDefault="00000000">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0D42794"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742D8A4" w14:textId="77777777" w:rsidR="00A3020D" w:rsidRDefault="00000000">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8F83B" w14:textId="77777777" w:rsidR="00AD12EF" w:rsidRDefault="00AD12EF">
      <w:r>
        <w:separator/>
      </w:r>
    </w:p>
  </w:footnote>
  <w:footnote w:type="continuationSeparator" w:id="0">
    <w:p w14:paraId="1DE17B5D" w14:textId="77777777" w:rsidR="00AD12EF" w:rsidRDefault="00AD12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3501B7"/>
    <w:multiLevelType w:val="singleLevel"/>
    <w:tmpl w:val="9D3501B7"/>
    <w:lvl w:ilvl="0">
      <w:start w:val="1"/>
      <w:numFmt w:val="chineseCounting"/>
      <w:suff w:val="nothing"/>
      <w:lvlText w:val="%1、"/>
      <w:lvlJc w:val="left"/>
      <w:rPr>
        <w:rFonts w:hint="eastAsia"/>
      </w:rPr>
    </w:lvl>
  </w:abstractNum>
  <w:num w:numId="1" w16cid:durableId="1664968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YxMTk3NTc1NzI3NTBmNjE3NTg5YTVhYmVmNzdhOWQifQ=="/>
  </w:docVars>
  <w:rsids>
    <w:rsidRoot w:val="7DB33405"/>
    <w:rsid w:val="00382DEE"/>
    <w:rsid w:val="00A3020D"/>
    <w:rsid w:val="00AD12EF"/>
    <w:rsid w:val="00D41D9F"/>
    <w:rsid w:val="00FC2E88"/>
    <w:rsid w:val="018076E9"/>
    <w:rsid w:val="01D86637"/>
    <w:rsid w:val="02274EC8"/>
    <w:rsid w:val="02ED6112"/>
    <w:rsid w:val="03B83B4E"/>
    <w:rsid w:val="07D369E5"/>
    <w:rsid w:val="09FE0C04"/>
    <w:rsid w:val="0C8F3D96"/>
    <w:rsid w:val="0E667697"/>
    <w:rsid w:val="102660B1"/>
    <w:rsid w:val="1068327B"/>
    <w:rsid w:val="1206262D"/>
    <w:rsid w:val="12C14EC5"/>
    <w:rsid w:val="13765CAF"/>
    <w:rsid w:val="15495B9A"/>
    <w:rsid w:val="161F618A"/>
    <w:rsid w:val="163C6D3C"/>
    <w:rsid w:val="16747E6A"/>
    <w:rsid w:val="171F098A"/>
    <w:rsid w:val="17DC1183"/>
    <w:rsid w:val="18A961DF"/>
    <w:rsid w:val="193F08F1"/>
    <w:rsid w:val="19F65454"/>
    <w:rsid w:val="1B182296"/>
    <w:rsid w:val="1D5A3F4C"/>
    <w:rsid w:val="1DA358F3"/>
    <w:rsid w:val="1E4F7095"/>
    <w:rsid w:val="1ECE4BF1"/>
    <w:rsid w:val="1FA161B8"/>
    <w:rsid w:val="1FDC1300"/>
    <w:rsid w:val="20EB18B3"/>
    <w:rsid w:val="22806203"/>
    <w:rsid w:val="22E7342D"/>
    <w:rsid w:val="235558E1"/>
    <w:rsid w:val="23E32F6D"/>
    <w:rsid w:val="24C218A1"/>
    <w:rsid w:val="257A3206"/>
    <w:rsid w:val="25FE652C"/>
    <w:rsid w:val="26CB1A16"/>
    <w:rsid w:val="27F50291"/>
    <w:rsid w:val="27FA0128"/>
    <w:rsid w:val="285048C9"/>
    <w:rsid w:val="29B93B49"/>
    <w:rsid w:val="29E0546B"/>
    <w:rsid w:val="29E259F5"/>
    <w:rsid w:val="2B595843"/>
    <w:rsid w:val="2D614E83"/>
    <w:rsid w:val="2E304F81"/>
    <w:rsid w:val="2E3C4096"/>
    <w:rsid w:val="2EDE1BFA"/>
    <w:rsid w:val="2F4F27ED"/>
    <w:rsid w:val="2F8258A2"/>
    <w:rsid w:val="2FD111ED"/>
    <w:rsid w:val="2FE75B13"/>
    <w:rsid w:val="3082583C"/>
    <w:rsid w:val="30B67293"/>
    <w:rsid w:val="31D62637"/>
    <w:rsid w:val="32B24CA3"/>
    <w:rsid w:val="32D970F4"/>
    <w:rsid w:val="33FD5BB8"/>
    <w:rsid w:val="341B5A61"/>
    <w:rsid w:val="34E00D83"/>
    <w:rsid w:val="367B0D63"/>
    <w:rsid w:val="36C46BAE"/>
    <w:rsid w:val="38532D7D"/>
    <w:rsid w:val="3D6D16AB"/>
    <w:rsid w:val="3DF52EB3"/>
    <w:rsid w:val="3EE80688"/>
    <w:rsid w:val="40544927"/>
    <w:rsid w:val="424470DF"/>
    <w:rsid w:val="42823479"/>
    <w:rsid w:val="42BD2703"/>
    <w:rsid w:val="436311E1"/>
    <w:rsid w:val="44240C8C"/>
    <w:rsid w:val="44E16B7D"/>
    <w:rsid w:val="45294080"/>
    <w:rsid w:val="45E83F3B"/>
    <w:rsid w:val="46154B59"/>
    <w:rsid w:val="46B56B5F"/>
    <w:rsid w:val="476A2E5A"/>
    <w:rsid w:val="47C307BC"/>
    <w:rsid w:val="48846505"/>
    <w:rsid w:val="4AA93C99"/>
    <w:rsid w:val="4F4E3061"/>
    <w:rsid w:val="51105C06"/>
    <w:rsid w:val="526861E8"/>
    <w:rsid w:val="53317391"/>
    <w:rsid w:val="53D1600F"/>
    <w:rsid w:val="53DA4EC3"/>
    <w:rsid w:val="54794C90"/>
    <w:rsid w:val="54813591"/>
    <w:rsid w:val="554611D2"/>
    <w:rsid w:val="55FC0C50"/>
    <w:rsid w:val="56FC7846"/>
    <w:rsid w:val="598976A2"/>
    <w:rsid w:val="59B07562"/>
    <w:rsid w:val="5CAE513F"/>
    <w:rsid w:val="5D373E65"/>
    <w:rsid w:val="5D804D2D"/>
    <w:rsid w:val="5E053485"/>
    <w:rsid w:val="5EEC1B4A"/>
    <w:rsid w:val="5FAC4437"/>
    <w:rsid w:val="5FE41D14"/>
    <w:rsid w:val="601D34B6"/>
    <w:rsid w:val="60216AC4"/>
    <w:rsid w:val="604407C3"/>
    <w:rsid w:val="60EF5D26"/>
    <w:rsid w:val="613A550F"/>
    <w:rsid w:val="62EF64DC"/>
    <w:rsid w:val="639403DF"/>
    <w:rsid w:val="64156940"/>
    <w:rsid w:val="6469740C"/>
    <w:rsid w:val="659E0BB7"/>
    <w:rsid w:val="65EE3E73"/>
    <w:rsid w:val="668F7D8F"/>
    <w:rsid w:val="66FC5B95"/>
    <w:rsid w:val="6735607D"/>
    <w:rsid w:val="673B3A73"/>
    <w:rsid w:val="67A1673C"/>
    <w:rsid w:val="69394E7E"/>
    <w:rsid w:val="6A040A94"/>
    <w:rsid w:val="6A8219B9"/>
    <w:rsid w:val="6AFF7C2B"/>
    <w:rsid w:val="6BCE3061"/>
    <w:rsid w:val="6CF03552"/>
    <w:rsid w:val="6D3E42BD"/>
    <w:rsid w:val="6D561607"/>
    <w:rsid w:val="6E32171F"/>
    <w:rsid w:val="70480FAF"/>
    <w:rsid w:val="70D016D0"/>
    <w:rsid w:val="71E76CD1"/>
    <w:rsid w:val="721E46BD"/>
    <w:rsid w:val="72516841"/>
    <w:rsid w:val="729257A8"/>
    <w:rsid w:val="72D134DE"/>
    <w:rsid w:val="738E13CF"/>
    <w:rsid w:val="73BB0416"/>
    <w:rsid w:val="73BC418E"/>
    <w:rsid w:val="73DC213A"/>
    <w:rsid w:val="75733ED7"/>
    <w:rsid w:val="758A6A62"/>
    <w:rsid w:val="764346F2"/>
    <w:rsid w:val="790973F0"/>
    <w:rsid w:val="795135CA"/>
    <w:rsid w:val="7B9D7CA1"/>
    <w:rsid w:val="7C712AA1"/>
    <w:rsid w:val="7D0E5A5A"/>
    <w:rsid w:val="7D2F67E0"/>
    <w:rsid w:val="7DB33405"/>
    <w:rsid w:val="7E775881"/>
    <w:rsid w:val="7F6C5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139793"/>
  <w15:docId w15:val="{8A2B611D-5630-49BF-818D-2A3231442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eastAsia="仿宋_GB2312"/>
      <w:kern w:val="2"/>
      <w:sz w:val="32"/>
      <w:szCs w:val="24"/>
    </w:rPr>
  </w:style>
  <w:style w:type="paragraph" w:styleId="1">
    <w:name w:val="heading 1"/>
    <w:basedOn w:val="a"/>
    <w:next w:val="a"/>
    <w:autoRedefine/>
    <w:uiPriority w:val="99"/>
    <w:qFormat/>
    <w:pPr>
      <w:keepNext/>
      <w:overflowPunct w:val="0"/>
      <w:snapToGrid w:val="0"/>
      <w:spacing w:before="120" w:after="160" w:line="259" w:lineRule="auto"/>
      <w:ind w:left="432" w:hanging="432"/>
      <w:outlineLvl w:val="0"/>
    </w:pPr>
    <w:rPr>
      <w:rFonts w:eastAsia="黑体"/>
      <w:b/>
      <w:bCs/>
      <w:color w:val="000000"/>
      <w:kern w:val="44"/>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Indent"/>
    <w:basedOn w:val="a"/>
    <w:next w:val="2"/>
    <w:autoRedefine/>
    <w:qFormat/>
    <w:pPr>
      <w:tabs>
        <w:tab w:val="left" w:pos="5985"/>
      </w:tabs>
      <w:ind w:firstLineChars="200" w:firstLine="560"/>
    </w:pPr>
    <w:rPr>
      <w:rFonts w:eastAsia="宋体"/>
      <w:sz w:val="28"/>
    </w:rPr>
  </w:style>
  <w:style w:type="paragraph" w:styleId="2">
    <w:name w:val="Body Text Indent 2"/>
    <w:basedOn w:val="a"/>
    <w:autoRedefine/>
    <w:qFormat/>
    <w:pPr>
      <w:spacing w:after="120" w:line="480" w:lineRule="auto"/>
      <w:ind w:leftChars="200" w:left="420"/>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0">
    <w:name w:val="Body Text First Indent 2"/>
    <w:basedOn w:val="a4"/>
    <w:next w:val="a"/>
    <w:autoRedefine/>
    <w:qFormat/>
    <w:pPr>
      <w:ind w:firstLine="420"/>
    </w:pPr>
  </w:style>
  <w:style w:type="paragraph" w:customStyle="1" w:styleId="Default">
    <w:name w:val="Default"/>
    <w:basedOn w:val="a7"/>
    <w:next w:val="a"/>
    <w:autoRedefine/>
    <w:uiPriority w:val="99"/>
    <w:qFormat/>
    <w:pPr>
      <w:adjustRightInd w:val="0"/>
    </w:pPr>
    <w:rPr>
      <w:rFonts w:ascii="仿宋" w:eastAsia="仿宋" w:cs="仿宋"/>
      <w:color w:val="000000"/>
      <w:sz w:val="24"/>
      <w:lang w:val="en-US"/>
    </w:rPr>
  </w:style>
  <w:style w:type="paragraph" w:customStyle="1" w:styleId="a7">
    <w:name w:val="文本"/>
    <w:basedOn w:val="a"/>
    <w:next w:val="a"/>
    <w:autoRedefine/>
    <w:qFormat/>
    <w:pPr>
      <w:autoSpaceDE w:val="0"/>
      <w:autoSpaceDN w:val="0"/>
      <w:ind w:firstLine="480"/>
    </w:pPr>
    <w:rPr>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403</Words>
  <Characters>2300</Characters>
  <Application>Microsoft Office Word</Application>
  <DocSecurity>0</DocSecurity>
  <Lines>19</Lines>
  <Paragraphs>5</Paragraphs>
  <ScaleCrop>false</ScaleCrop>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dc:creator>
  <cp:lastModifiedBy>F Z</cp:lastModifiedBy>
  <cp:revision>2</cp:revision>
  <cp:lastPrinted>2025-07-29T03:17:00Z</cp:lastPrinted>
  <dcterms:created xsi:type="dcterms:W3CDTF">2023-02-24T03:37:00Z</dcterms:created>
  <dcterms:modified xsi:type="dcterms:W3CDTF">2025-12-31T05:02:00Z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1702B6CA27D04AFDB4706298757BBD95_13</vt:lpwstr>
  </property>
  <property fmtid="{D5CDD505-2E9C-101B-9397-08002B2CF9AE}" pid="4" name="KSOTemplateDocerSaveRecord">
    <vt:lpwstr>eyJoZGlkIjoiZmRmNjEwMGRjNmIyMjEyYTgwOThhNjg3NDliYWQ4MzkiLCJ1c2VySWQiOiIzOTc4ODg5NzgifQ==</vt:lpwstr>
  </property>
</Properties>
</file>