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41F9A850">
      <w:pPr>
        <w:spacing w:line="720" w:lineRule="auto"/>
        <w:jc w:val="center"/>
        <w:rPr>
          <w:rFonts w:hint="eastAsia" w:ascii="Times New Roman" w:hAnsi="Times New Roman" w:eastAsia="宋体" w:cs="Times New Roman"/>
          <w:b/>
          <w:color w:val="auto"/>
          <w:sz w:val="48"/>
          <w:szCs w:val="48"/>
          <w:highlight w:val="none"/>
          <w:lang w:val="en-US" w:eastAsia="zh-CN"/>
        </w:rPr>
      </w:pPr>
    </w:p>
    <w:p w14:paraId="2B963DF6">
      <w:pPr>
        <w:spacing w:line="720" w:lineRule="auto"/>
        <w:jc w:val="center"/>
        <w:rPr>
          <w:rFonts w:hint="eastAsia" w:ascii="Times New Roman" w:hAnsi="Times New Roman" w:eastAsia="宋体" w:cs="Times New Roman"/>
          <w:b/>
          <w:color w:val="auto"/>
          <w:sz w:val="48"/>
          <w:szCs w:val="48"/>
          <w:highlight w:val="none"/>
          <w:lang w:val="en-US" w:eastAsia="zh-CN"/>
        </w:rPr>
      </w:pPr>
    </w:p>
    <w:p w14:paraId="15F48B93">
      <w:pPr>
        <w:spacing w:line="720" w:lineRule="auto"/>
        <w:jc w:val="center"/>
        <w:rPr>
          <w:rFonts w:hint="eastAsia" w:ascii="Times New Roman" w:hAnsi="Times New Roman" w:eastAsia="宋体" w:cs="Times New Roman"/>
          <w:b/>
          <w:color w:val="auto"/>
          <w:sz w:val="48"/>
          <w:szCs w:val="48"/>
          <w:highlight w:val="none"/>
          <w:lang w:val="en-US" w:eastAsia="zh-CN"/>
        </w:rPr>
      </w:pPr>
      <w:r>
        <w:rPr>
          <w:rFonts w:hint="eastAsia" w:ascii="Times New Roman" w:hAnsi="Times New Roman" w:eastAsia="宋体" w:cs="Times New Roman"/>
          <w:b/>
          <w:color w:val="auto"/>
          <w:sz w:val="48"/>
          <w:szCs w:val="48"/>
          <w:highlight w:val="none"/>
          <w:lang w:val="en-US" w:eastAsia="zh-CN"/>
        </w:rPr>
        <w:t>湖南安化渣滓溪矿业有限公司</w:t>
      </w:r>
    </w:p>
    <w:p w14:paraId="2BAD4DA1">
      <w:pPr>
        <w:spacing w:line="720" w:lineRule="auto"/>
        <w:jc w:val="center"/>
        <w:rPr>
          <w:rFonts w:hint="default" w:ascii="Times New Roman" w:hAnsi="Times New Roman" w:eastAsia="宋体" w:cs="Times New Roman"/>
          <w:b/>
          <w:color w:val="auto"/>
          <w:sz w:val="48"/>
          <w:szCs w:val="48"/>
          <w:highlight w:val="none"/>
          <w:lang w:val="en-US" w:eastAsia="zh-CN"/>
        </w:rPr>
      </w:pPr>
      <w:r>
        <w:rPr>
          <w:rFonts w:hint="default" w:ascii="Times New Roman" w:hAnsi="Times New Roman" w:eastAsia="宋体" w:cs="Times New Roman"/>
          <w:b/>
          <w:color w:val="auto"/>
          <w:sz w:val="48"/>
          <w:szCs w:val="48"/>
          <w:highlight w:val="none"/>
          <w:lang w:val="en-US" w:eastAsia="zh-CN"/>
        </w:rPr>
        <w:t>入河排污口设置论证报告</w:t>
      </w:r>
    </w:p>
    <w:p w14:paraId="6FE03777">
      <w:pPr>
        <w:keepNext w:val="0"/>
        <w:keepLines w:val="0"/>
        <w:widowControl/>
        <w:suppressLineNumbers w:val="0"/>
        <w:jc w:val="left"/>
        <w:rPr>
          <w:rFonts w:ascii="仿宋" w:hAnsi="仿宋" w:eastAsia="仿宋" w:cs="仿宋"/>
          <w:color w:val="auto"/>
          <w:kern w:val="0"/>
          <w:sz w:val="31"/>
          <w:szCs w:val="31"/>
          <w:highlight w:val="none"/>
          <w:lang w:val="en-US" w:eastAsia="zh-CN" w:bidi="ar"/>
        </w:rPr>
      </w:pPr>
    </w:p>
    <w:p w14:paraId="63039773">
      <w:pPr>
        <w:keepNext w:val="0"/>
        <w:keepLines w:val="0"/>
        <w:widowControl/>
        <w:suppressLineNumbers w:val="0"/>
        <w:jc w:val="left"/>
        <w:rPr>
          <w:rFonts w:ascii="仿宋" w:hAnsi="仿宋" w:eastAsia="仿宋" w:cs="仿宋"/>
          <w:color w:val="auto"/>
          <w:kern w:val="0"/>
          <w:sz w:val="31"/>
          <w:szCs w:val="31"/>
          <w:highlight w:val="none"/>
          <w:lang w:val="en-US" w:eastAsia="zh-CN" w:bidi="ar"/>
        </w:rPr>
      </w:pPr>
    </w:p>
    <w:p w14:paraId="52D74ACB">
      <w:pPr>
        <w:keepNext w:val="0"/>
        <w:keepLines w:val="0"/>
        <w:widowControl/>
        <w:suppressLineNumbers w:val="0"/>
        <w:jc w:val="left"/>
        <w:rPr>
          <w:rFonts w:ascii="仿宋" w:hAnsi="仿宋" w:eastAsia="仿宋" w:cs="仿宋"/>
          <w:color w:val="auto"/>
          <w:kern w:val="0"/>
          <w:sz w:val="31"/>
          <w:szCs w:val="31"/>
          <w:highlight w:val="none"/>
          <w:lang w:val="en-US" w:eastAsia="zh-CN" w:bidi="ar"/>
        </w:rPr>
      </w:pPr>
    </w:p>
    <w:p w14:paraId="655C0362">
      <w:pPr>
        <w:keepNext w:val="0"/>
        <w:keepLines w:val="0"/>
        <w:widowControl/>
        <w:suppressLineNumbers w:val="0"/>
        <w:jc w:val="left"/>
        <w:rPr>
          <w:rFonts w:ascii="仿宋" w:hAnsi="仿宋" w:eastAsia="仿宋" w:cs="仿宋"/>
          <w:color w:val="auto"/>
          <w:kern w:val="0"/>
          <w:sz w:val="31"/>
          <w:szCs w:val="31"/>
          <w:highlight w:val="none"/>
          <w:lang w:val="en-US" w:eastAsia="zh-CN" w:bidi="ar"/>
        </w:rPr>
      </w:pPr>
    </w:p>
    <w:p w14:paraId="13D3B0D7">
      <w:pPr>
        <w:keepNext w:val="0"/>
        <w:keepLines w:val="0"/>
        <w:widowControl/>
        <w:suppressLineNumbers w:val="0"/>
        <w:jc w:val="left"/>
        <w:rPr>
          <w:rFonts w:ascii="仿宋" w:hAnsi="仿宋" w:eastAsia="仿宋" w:cs="仿宋"/>
          <w:color w:val="auto"/>
          <w:kern w:val="0"/>
          <w:sz w:val="31"/>
          <w:szCs w:val="31"/>
          <w:highlight w:val="none"/>
          <w:lang w:val="en-US" w:eastAsia="zh-CN" w:bidi="ar"/>
        </w:rPr>
      </w:pPr>
    </w:p>
    <w:p w14:paraId="49189786">
      <w:pPr>
        <w:keepNext w:val="0"/>
        <w:keepLines w:val="0"/>
        <w:widowControl/>
        <w:suppressLineNumbers w:val="0"/>
        <w:jc w:val="left"/>
        <w:rPr>
          <w:rFonts w:ascii="仿宋" w:hAnsi="仿宋" w:eastAsia="仿宋" w:cs="仿宋"/>
          <w:color w:val="auto"/>
          <w:kern w:val="0"/>
          <w:sz w:val="31"/>
          <w:szCs w:val="31"/>
          <w:highlight w:val="none"/>
          <w:lang w:val="en-US" w:eastAsia="zh-CN" w:bidi="ar"/>
        </w:rPr>
      </w:pPr>
    </w:p>
    <w:p w14:paraId="470A9344">
      <w:pPr>
        <w:keepNext w:val="0"/>
        <w:keepLines w:val="0"/>
        <w:widowControl/>
        <w:suppressLineNumbers w:val="0"/>
        <w:jc w:val="left"/>
        <w:rPr>
          <w:rFonts w:ascii="仿宋" w:hAnsi="仿宋" w:eastAsia="仿宋" w:cs="仿宋"/>
          <w:color w:val="auto"/>
          <w:kern w:val="0"/>
          <w:sz w:val="31"/>
          <w:szCs w:val="31"/>
          <w:highlight w:val="none"/>
          <w:lang w:val="en-US" w:eastAsia="zh-CN" w:bidi="ar"/>
        </w:rPr>
      </w:pPr>
    </w:p>
    <w:p w14:paraId="7675B548">
      <w:pPr>
        <w:keepNext w:val="0"/>
        <w:keepLines w:val="0"/>
        <w:widowControl/>
        <w:suppressLineNumbers w:val="0"/>
        <w:jc w:val="left"/>
        <w:rPr>
          <w:rFonts w:ascii="仿宋" w:hAnsi="仿宋" w:eastAsia="仿宋" w:cs="仿宋"/>
          <w:color w:val="auto"/>
          <w:kern w:val="0"/>
          <w:sz w:val="31"/>
          <w:szCs w:val="31"/>
          <w:highlight w:val="none"/>
          <w:lang w:val="en-US" w:eastAsia="zh-CN" w:bidi="ar"/>
        </w:rPr>
      </w:pPr>
    </w:p>
    <w:p w14:paraId="550A941F">
      <w:pPr>
        <w:keepNext w:val="0"/>
        <w:keepLines w:val="0"/>
        <w:widowControl/>
        <w:suppressLineNumbers w:val="0"/>
        <w:jc w:val="left"/>
        <w:rPr>
          <w:rFonts w:ascii="仿宋" w:hAnsi="仿宋" w:eastAsia="仿宋" w:cs="仿宋"/>
          <w:color w:val="auto"/>
          <w:kern w:val="0"/>
          <w:sz w:val="31"/>
          <w:szCs w:val="31"/>
          <w:highlight w:val="none"/>
          <w:lang w:val="en-US" w:eastAsia="zh-CN" w:bidi="ar"/>
        </w:rPr>
      </w:pPr>
    </w:p>
    <w:p w14:paraId="518A8C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color w:val="auto"/>
          <w:highlight w:val="none"/>
        </w:rPr>
      </w:pPr>
      <w:r>
        <w:rPr>
          <w:rFonts w:ascii="黑体" w:hAnsi="宋体" w:eastAsia="黑体" w:cs="黑体"/>
          <w:color w:val="auto"/>
          <w:kern w:val="0"/>
          <w:sz w:val="30"/>
          <w:szCs w:val="30"/>
          <w:highlight w:val="none"/>
          <w:lang w:val="en-US" w:eastAsia="zh-CN" w:bidi="ar"/>
        </w:rPr>
        <w:t>建设单位：</w:t>
      </w:r>
      <w:r>
        <w:rPr>
          <w:rFonts w:hint="eastAsia" w:ascii="黑体" w:hAnsi="宋体" w:eastAsia="黑体" w:cs="黑体"/>
          <w:color w:val="auto"/>
          <w:kern w:val="0"/>
          <w:sz w:val="30"/>
          <w:szCs w:val="30"/>
          <w:highlight w:val="none"/>
          <w:lang w:val="en-US" w:eastAsia="zh-CN" w:bidi="ar"/>
        </w:rPr>
        <w:t>湖南安化渣滓溪矿业有限公司</w:t>
      </w:r>
    </w:p>
    <w:p w14:paraId="20B5A1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color w:val="auto"/>
          <w:highlight w:val="none"/>
        </w:rPr>
      </w:pPr>
      <w:r>
        <w:rPr>
          <w:rFonts w:hint="eastAsia" w:ascii="黑体" w:hAnsi="宋体" w:eastAsia="黑体" w:cs="黑体"/>
          <w:color w:val="auto"/>
          <w:kern w:val="0"/>
          <w:sz w:val="30"/>
          <w:szCs w:val="30"/>
          <w:highlight w:val="none"/>
          <w:lang w:val="en-US" w:eastAsia="zh-CN" w:bidi="ar"/>
        </w:rPr>
        <w:t>编制单位：湖南葆华环保科技有限公司</w:t>
      </w:r>
    </w:p>
    <w:p w14:paraId="596BA6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color w:val="auto"/>
          <w:highlight w:val="none"/>
        </w:rPr>
      </w:pPr>
      <w:r>
        <w:rPr>
          <w:rFonts w:hint="eastAsia" w:ascii="黑体" w:hAnsi="宋体" w:eastAsia="黑体" w:cs="黑体"/>
          <w:color w:val="auto"/>
          <w:kern w:val="0"/>
          <w:sz w:val="30"/>
          <w:szCs w:val="30"/>
          <w:highlight w:val="none"/>
          <w:lang w:val="en-US" w:eastAsia="zh-CN" w:bidi="ar"/>
        </w:rPr>
        <w:t>编制时间：二〇二四年十二月</w:t>
      </w:r>
    </w:p>
    <w:p w14:paraId="2B54DEAC">
      <w:pPr>
        <w:pStyle w:val="2"/>
        <w:bidi w:val="0"/>
        <w:ind w:firstLine="0" w:firstLineChars="0"/>
        <w:jc w:val="center"/>
        <w:rPr>
          <w:rFonts w:hint="default" w:ascii="Times New Roman" w:hAnsi="Times New Roman" w:cs="Times New Roman"/>
          <w:color w:val="auto"/>
          <w:highlight w:val="none"/>
        </w:rPr>
      </w:pPr>
    </w:p>
    <w:p w14:paraId="1AA235E8">
      <w:pPr>
        <w:pStyle w:val="2"/>
        <w:bidi w:val="0"/>
        <w:ind w:firstLine="0" w:firstLineChars="0"/>
        <w:jc w:val="center"/>
        <w:rPr>
          <w:rFonts w:hint="default" w:ascii="Times New Roman" w:hAnsi="Times New Roman" w:cs="Times New Roman"/>
          <w:color w:val="auto"/>
          <w:highlight w:val="none"/>
        </w:rPr>
        <w:sectPr>
          <w:headerReference r:id="rId4" w:type="first"/>
          <w:footerReference r:id="rId7" w:type="first"/>
          <w:footerReference r:id="rId5" w:type="default"/>
          <w:headerReference r:id="rId3" w:type="even"/>
          <w:footerReference r:id="rId6" w:type="even"/>
          <w:pgSz w:w="11906" w:h="16838"/>
          <w:pgMar w:top="1440" w:right="1440" w:bottom="1236" w:left="1440" w:header="851" w:footer="992" w:gutter="0"/>
          <w:pgBorders>
            <w:top w:val="none" w:sz="0" w:space="0"/>
            <w:left w:val="none" w:sz="0" w:space="0"/>
            <w:bottom w:val="none" w:sz="0" w:space="0"/>
            <w:right w:val="none" w:sz="0" w:space="0"/>
          </w:pgBorders>
          <w:cols w:space="425" w:num="1"/>
          <w:docGrid w:type="lines" w:linePitch="312" w:charSpace="0"/>
        </w:sectPr>
      </w:pPr>
    </w:p>
    <w:p w14:paraId="37FA0761">
      <w:pPr>
        <w:pStyle w:val="2"/>
        <w:bidi w:val="0"/>
        <w:ind w:firstLine="0" w:firstLineChars="0"/>
        <w:rPr>
          <w:rFonts w:hint="eastAsia" w:ascii="Times New Roman" w:hAnsi="Times New Roman" w:eastAsia="宋体" w:cs="Times New Roman"/>
          <w:color w:val="auto"/>
          <w:szCs w:val="30"/>
          <w:highlight w:val="none"/>
          <w:lang w:eastAsia="zh-CN"/>
        </w:rPr>
      </w:pPr>
      <w:r>
        <w:rPr>
          <w:rFonts w:hint="eastAsia" w:ascii="Times New Roman" w:hAnsi="Times New Roman" w:eastAsia="宋体" w:cs="Times New Roman"/>
          <w:color w:val="auto"/>
          <w:szCs w:val="30"/>
          <w:highlight w:val="none"/>
          <w:lang w:eastAsia="zh-CN"/>
        </w:rPr>
        <w:drawing>
          <wp:inline distT="0" distB="0" distL="114300" distR="114300">
            <wp:extent cx="5728335" cy="8093710"/>
            <wp:effectExtent l="0" t="0" r="1905" b="13970"/>
            <wp:docPr id="5" name="图片 5" descr="入河排污口论证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入河排污口论证资质"/>
                    <pic:cNvPicPr>
                      <a:picLocks noChangeAspect="1"/>
                    </pic:cNvPicPr>
                  </pic:nvPicPr>
                  <pic:blipFill>
                    <a:blip r:embed="rId15"/>
                    <a:stretch>
                      <a:fillRect/>
                    </a:stretch>
                  </pic:blipFill>
                  <pic:spPr>
                    <a:xfrm>
                      <a:off x="0" y="0"/>
                      <a:ext cx="5728335" cy="8093710"/>
                    </a:xfrm>
                    <a:prstGeom prst="rect">
                      <a:avLst/>
                    </a:prstGeom>
                  </pic:spPr>
                </pic:pic>
              </a:graphicData>
            </a:graphic>
          </wp:inline>
        </w:drawing>
      </w:r>
    </w:p>
    <w:p w14:paraId="5E0D99DA">
      <w:pPr>
        <w:pStyle w:val="2"/>
        <w:bidi w:val="0"/>
        <w:ind w:firstLine="0" w:firstLineChars="0"/>
        <w:rPr>
          <w:rFonts w:hint="default" w:ascii="Times New Roman" w:hAnsi="Times New Roman" w:cs="Times New Roman"/>
          <w:color w:val="auto"/>
          <w:szCs w:val="30"/>
          <w:highlight w:val="none"/>
        </w:rPr>
        <w:sectPr>
          <w:footerReference r:id="rId8" w:type="default"/>
          <w:pgSz w:w="11906" w:h="16838"/>
          <w:pgMar w:top="1440" w:right="1440" w:bottom="1236" w:left="144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21A9BAB1">
      <w:pPr>
        <w:pStyle w:val="28"/>
        <w:bidi w:val="0"/>
        <w:rPr>
          <w:rFonts w:hint="eastAsia"/>
          <w:color w:val="auto"/>
          <w:sz w:val="28"/>
          <w:szCs w:val="21"/>
          <w:highlight w:val="none"/>
        </w:rPr>
      </w:pPr>
      <w:r>
        <w:rPr>
          <w:rFonts w:hint="eastAsia"/>
          <w:color w:val="auto"/>
          <w:sz w:val="28"/>
          <w:szCs w:val="21"/>
          <w:highlight w:val="none"/>
        </w:rPr>
        <w:t>入河排污口设置论证报告基本情况表</w:t>
      </w:r>
    </w:p>
    <w:tbl>
      <w:tblPr>
        <w:tblStyle w:val="21"/>
        <w:tblW w:w="4997"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1" w:type="dxa"/>
          <w:bottom w:w="0" w:type="dxa"/>
          <w:right w:w="11" w:type="dxa"/>
        </w:tblCellMar>
      </w:tblPr>
      <w:tblGrid>
        <w:gridCol w:w="938"/>
        <w:gridCol w:w="976"/>
        <w:gridCol w:w="1205"/>
        <w:gridCol w:w="293"/>
        <w:gridCol w:w="426"/>
        <w:gridCol w:w="640"/>
        <w:gridCol w:w="686"/>
        <w:gridCol w:w="774"/>
        <w:gridCol w:w="1283"/>
        <w:gridCol w:w="1822"/>
      </w:tblGrid>
      <w:tr w14:paraId="6ADD44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restart"/>
            <w:noWrap w:val="0"/>
            <w:vAlign w:val="center"/>
          </w:tcPr>
          <w:p w14:paraId="7C725B8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基</w:t>
            </w:r>
          </w:p>
          <w:p w14:paraId="444B3CE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本</w:t>
            </w:r>
          </w:p>
          <w:p w14:paraId="23FFD36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情</w:t>
            </w:r>
          </w:p>
          <w:p w14:paraId="4A6C08A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况</w:t>
            </w:r>
          </w:p>
        </w:tc>
        <w:tc>
          <w:tcPr>
            <w:tcW w:w="1367" w:type="pct"/>
            <w:gridSpan w:val="3"/>
            <w:noWrap w:val="0"/>
            <w:vAlign w:val="center"/>
          </w:tcPr>
          <w:p w14:paraId="47DDF03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项目名称</w:t>
            </w:r>
          </w:p>
        </w:tc>
        <w:tc>
          <w:tcPr>
            <w:tcW w:w="968" w:type="pct"/>
            <w:gridSpan w:val="3"/>
            <w:noWrap w:val="0"/>
            <w:vAlign w:val="center"/>
          </w:tcPr>
          <w:p w14:paraId="587F30C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湖南安化渣滓溪矿业有限公司入河排污口设置论证报告</w:t>
            </w:r>
          </w:p>
        </w:tc>
        <w:tc>
          <w:tcPr>
            <w:tcW w:w="1137" w:type="pct"/>
            <w:gridSpan w:val="2"/>
            <w:noWrap w:val="0"/>
            <w:vAlign w:val="center"/>
          </w:tcPr>
          <w:p w14:paraId="4934CC2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项目位置</w:t>
            </w:r>
          </w:p>
        </w:tc>
        <w:tc>
          <w:tcPr>
            <w:tcW w:w="1007" w:type="pct"/>
            <w:noWrap w:val="0"/>
            <w:vAlign w:val="center"/>
          </w:tcPr>
          <w:p w14:paraId="0666DE4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安化县奎溪镇</w:t>
            </w:r>
          </w:p>
        </w:tc>
      </w:tr>
      <w:tr w14:paraId="17E2DCC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0E72B1A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7E44CD3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项目性质</w:t>
            </w:r>
          </w:p>
        </w:tc>
        <w:tc>
          <w:tcPr>
            <w:tcW w:w="968" w:type="pct"/>
            <w:gridSpan w:val="3"/>
            <w:noWrap w:val="0"/>
            <w:vAlign w:val="center"/>
          </w:tcPr>
          <w:p w14:paraId="69A11D4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新建（补办手续）</w:t>
            </w:r>
          </w:p>
        </w:tc>
        <w:tc>
          <w:tcPr>
            <w:tcW w:w="1137" w:type="pct"/>
            <w:gridSpan w:val="2"/>
            <w:noWrap w:val="0"/>
            <w:vAlign w:val="center"/>
          </w:tcPr>
          <w:p w14:paraId="7DFAEB7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所属行业</w:t>
            </w:r>
          </w:p>
        </w:tc>
        <w:tc>
          <w:tcPr>
            <w:tcW w:w="1007" w:type="pct"/>
            <w:noWrap w:val="0"/>
            <w:vAlign w:val="center"/>
          </w:tcPr>
          <w:p w14:paraId="57BBA6D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B0915锑矿采选</w:t>
            </w:r>
          </w:p>
        </w:tc>
      </w:tr>
      <w:tr w14:paraId="61F4E0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4A38DB8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1F18AC4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建设规模</w:t>
            </w:r>
          </w:p>
        </w:tc>
        <w:tc>
          <w:tcPr>
            <w:tcW w:w="968" w:type="pct"/>
            <w:gridSpan w:val="3"/>
            <w:noWrap w:val="0"/>
            <w:vAlign w:val="center"/>
          </w:tcPr>
          <w:p w14:paraId="097B137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140</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eastAsia" w:ascii="Times New Roman" w:hAnsi="Times New Roman" w:eastAsia="宋体" w:cs="Times New Roman"/>
                <w:color w:val="auto"/>
                <w:kern w:val="2"/>
                <w:sz w:val="22"/>
                <w:szCs w:val="22"/>
                <w:highlight w:val="none"/>
                <w:lang w:val="en-US" w:eastAsia="zh-CN" w:bidi="ar-SA"/>
              </w:rPr>
              <w:t>/h</w:t>
            </w:r>
            <w:r>
              <w:rPr>
                <w:rFonts w:hint="eastAsia" w:cs="Times New Roman"/>
                <w:color w:val="auto"/>
                <w:kern w:val="2"/>
                <w:sz w:val="22"/>
                <w:szCs w:val="22"/>
                <w:highlight w:val="none"/>
                <w:lang w:val="en-US" w:eastAsia="zh-CN" w:bidi="ar-SA"/>
              </w:rPr>
              <w:t>（3360m</w:t>
            </w:r>
            <w:r>
              <w:rPr>
                <w:rFonts w:hint="eastAsia" w:cs="Times New Roman"/>
                <w:color w:val="auto"/>
                <w:kern w:val="2"/>
                <w:sz w:val="22"/>
                <w:szCs w:val="22"/>
                <w:highlight w:val="none"/>
                <w:vertAlign w:val="superscript"/>
                <w:lang w:val="en-US" w:eastAsia="zh-CN" w:bidi="ar-SA"/>
              </w:rPr>
              <w:t>3</w:t>
            </w:r>
            <w:r>
              <w:rPr>
                <w:rFonts w:hint="eastAsia" w:cs="Times New Roman"/>
                <w:color w:val="auto"/>
                <w:kern w:val="2"/>
                <w:sz w:val="22"/>
                <w:szCs w:val="22"/>
                <w:highlight w:val="none"/>
                <w:lang w:val="en-US" w:eastAsia="zh-CN" w:bidi="ar-SA"/>
              </w:rPr>
              <w:t>/d）</w:t>
            </w:r>
          </w:p>
        </w:tc>
        <w:tc>
          <w:tcPr>
            <w:tcW w:w="1137" w:type="pct"/>
            <w:gridSpan w:val="2"/>
            <w:noWrap w:val="0"/>
            <w:vAlign w:val="center"/>
          </w:tcPr>
          <w:p w14:paraId="6688AFE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项目单位</w:t>
            </w:r>
          </w:p>
        </w:tc>
        <w:tc>
          <w:tcPr>
            <w:tcW w:w="1007" w:type="pct"/>
            <w:noWrap w:val="0"/>
            <w:vAlign w:val="center"/>
          </w:tcPr>
          <w:p w14:paraId="1081752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湖南安化渣滓溪矿业有限公司</w:t>
            </w:r>
          </w:p>
        </w:tc>
      </w:tr>
      <w:tr w14:paraId="75B254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2D2A0FB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58E1996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建设项目的审批机关</w:t>
            </w:r>
          </w:p>
        </w:tc>
        <w:tc>
          <w:tcPr>
            <w:tcW w:w="968" w:type="pct"/>
            <w:gridSpan w:val="3"/>
            <w:noWrap w:val="0"/>
            <w:vAlign w:val="center"/>
          </w:tcPr>
          <w:p w14:paraId="70680AF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益阳市生态环境局</w:t>
            </w:r>
          </w:p>
        </w:tc>
        <w:tc>
          <w:tcPr>
            <w:tcW w:w="1137" w:type="pct"/>
            <w:gridSpan w:val="2"/>
            <w:noWrap w:val="0"/>
            <w:vAlign w:val="center"/>
          </w:tcPr>
          <w:p w14:paraId="1DA0F07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入河排污口审核机关</w:t>
            </w:r>
          </w:p>
        </w:tc>
        <w:tc>
          <w:tcPr>
            <w:tcW w:w="1007" w:type="pct"/>
            <w:noWrap w:val="0"/>
            <w:vAlign w:val="center"/>
          </w:tcPr>
          <w:p w14:paraId="10C6523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益阳市生态环境局</w:t>
            </w:r>
          </w:p>
        </w:tc>
      </w:tr>
      <w:tr w14:paraId="6DFC66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3C2C5CF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2BEA833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报告编制合同</w:t>
            </w:r>
            <w:r>
              <w:rPr>
                <w:rFonts w:hint="default" w:ascii="Times New Roman" w:hAnsi="Times New Roman" w:eastAsia="宋体" w:cs="Times New Roman"/>
                <w:color w:val="auto"/>
                <w:kern w:val="2"/>
                <w:sz w:val="22"/>
                <w:szCs w:val="22"/>
                <w:highlight w:val="none"/>
                <w:lang w:val="en-US" w:eastAsia="zh-CN" w:bidi="ar-SA"/>
              </w:rPr>
              <w:t>委托单位</w:t>
            </w:r>
          </w:p>
        </w:tc>
        <w:tc>
          <w:tcPr>
            <w:tcW w:w="968" w:type="pct"/>
            <w:gridSpan w:val="3"/>
            <w:noWrap w:val="0"/>
            <w:vAlign w:val="center"/>
          </w:tcPr>
          <w:p w14:paraId="40ACEAB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湖南安化渣滓溪矿业有限公司</w:t>
            </w:r>
          </w:p>
        </w:tc>
        <w:tc>
          <w:tcPr>
            <w:tcW w:w="1137" w:type="pct"/>
            <w:gridSpan w:val="2"/>
            <w:noWrap w:val="0"/>
            <w:vAlign w:val="center"/>
          </w:tcPr>
          <w:p w14:paraId="1190EFD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报告编制单位及证书号</w:t>
            </w:r>
          </w:p>
        </w:tc>
        <w:tc>
          <w:tcPr>
            <w:tcW w:w="1007" w:type="pct"/>
            <w:noWrap w:val="0"/>
            <w:vAlign w:val="center"/>
          </w:tcPr>
          <w:p w14:paraId="4812F4F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湖南葆华环保科技有限公司</w:t>
            </w:r>
          </w:p>
        </w:tc>
      </w:tr>
      <w:tr w14:paraId="1AB6447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2A1282B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3406ED3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论证工作等级</w:t>
            </w:r>
          </w:p>
        </w:tc>
        <w:tc>
          <w:tcPr>
            <w:tcW w:w="968" w:type="pct"/>
            <w:gridSpan w:val="3"/>
            <w:noWrap w:val="0"/>
            <w:vAlign w:val="center"/>
          </w:tcPr>
          <w:p w14:paraId="2655207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一级</w:t>
            </w:r>
          </w:p>
        </w:tc>
        <w:tc>
          <w:tcPr>
            <w:tcW w:w="1137" w:type="pct"/>
            <w:gridSpan w:val="2"/>
            <w:noWrap w:val="0"/>
            <w:vAlign w:val="center"/>
          </w:tcPr>
          <w:p w14:paraId="249E295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工作范围</w:t>
            </w:r>
          </w:p>
        </w:tc>
        <w:tc>
          <w:tcPr>
            <w:tcW w:w="1007" w:type="pct"/>
            <w:noWrap w:val="0"/>
            <w:vAlign w:val="center"/>
          </w:tcPr>
          <w:p w14:paraId="5C06293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渣滓溪-白茅溪-奎溪-洋溪</w:t>
            </w:r>
            <w:r>
              <w:rPr>
                <w:rFonts w:hint="eastAsia" w:cs="Times New Roman"/>
                <w:color w:val="auto"/>
                <w:kern w:val="2"/>
                <w:sz w:val="22"/>
                <w:szCs w:val="22"/>
                <w:highlight w:val="none"/>
                <w:lang w:val="en-US" w:eastAsia="zh-CN" w:bidi="ar-SA"/>
              </w:rPr>
              <w:t>-资江</w:t>
            </w:r>
          </w:p>
        </w:tc>
      </w:tr>
      <w:tr w14:paraId="7C80CF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6F714C9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21A6709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论证范围</w:t>
            </w:r>
          </w:p>
        </w:tc>
        <w:tc>
          <w:tcPr>
            <w:tcW w:w="968" w:type="pct"/>
            <w:gridSpan w:val="3"/>
            <w:noWrap w:val="0"/>
            <w:vAlign w:val="center"/>
          </w:tcPr>
          <w:p w14:paraId="61D5F0E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自入河排污口</w:t>
            </w:r>
            <w:r>
              <w:rPr>
                <w:rFonts w:hint="eastAsia" w:cs="Times New Roman"/>
                <w:color w:val="auto"/>
                <w:kern w:val="2"/>
                <w:sz w:val="22"/>
                <w:szCs w:val="22"/>
                <w:highlight w:val="none"/>
                <w:lang w:val="en-US" w:eastAsia="zh-CN" w:bidi="ar-SA"/>
              </w:rPr>
              <w:t>上游500m</w:t>
            </w:r>
            <w:r>
              <w:rPr>
                <w:rFonts w:hint="eastAsia" w:ascii="Times New Roman" w:hAnsi="Times New Roman" w:eastAsia="宋体" w:cs="Times New Roman"/>
                <w:color w:val="auto"/>
                <w:kern w:val="2"/>
                <w:sz w:val="22"/>
                <w:szCs w:val="22"/>
                <w:highlight w:val="none"/>
                <w:lang w:val="en-US" w:eastAsia="zh-CN" w:bidi="ar-SA"/>
              </w:rPr>
              <w:t>至下游</w:t>
            </w:r>
            <w:r>
              <w:rPr>
                <w:rFonts w:hint="eastAsia" w:cs="Times New Roman"/>
                <w:color w:val="auto"/>
                <w:kern w:val="2"/>
                <w:sz w:val="22"/>
                <w:szCs w:val="22"/>
                <w:highlight w:val="none"/>
                <w:lang w:val="en-US" w:eastAsia="zh-CN" w:bidi="ar-SA"/>
              </w:rPr>
              <w:t>41</w:t>
            </w:r>
            <w:r>
              <w:rPr>
                <w:rFonts w:hint="eastAsia" w:ascii="Times New Roman" w:hAnsi="Times New Roman" w:eastAsia="宋体" w:cs="Times New Roman"/>
                <w:color w:val="auto"/>
                <w:kern w:val="2"/>
                <w:sz w:val="22"/>
                <w:szCs w:val="22"/>
                <w:highlight w:val="none"/>
                <w:lang w:val="en-US" w:eastAsia="zh-CN" w:bidi="ar-SA"/>
              </w:rPr>
              <w:t>.</w:t>
            </w:r>
            <w:r>
              <w:rPr>
                <w:rFonts w:hint="eastAsia" w:cs="Times New Roman"/>
                <w:color w:val="auto"/>
                <w:kern w:val="2"/>
                <w:sz w:val="22"/>
                <w:szCs w:val="22"/>
                <w:highlight w:val="none"/>
                <w:lang w:val="en-US" w:eastAsia="zh-CN" w:bidi="ar-SA"/>
              </w:rPr>
              <w:t>2</w:t>
            </w:r>
            <w:r>
              <w:rPr>
                <w:rFonts w:hint="eastAsia" w:ascii="Times New Roman" w:hAnsi="Times New Roman" w:eastAsia="宋体" w:cs="Times New Roman"/>
                <w:color w:val="auto"/>
                <w:kern w:val="2"/>
                <w:sz w:val="22"/>
                <w:szCs w:val="22"/>
                <w:highlight w:val="none"/>
                <w:lang w:val="en-US" w:eastAsia="zh-CN" w:bidi="ar-SA"/>
              </w:rPr>
              <w:t>55km</w:t>
            </w:r>
          </w:p>
        </w:tc>
        <w:tc>
          <w:tcPr>
            <w:tcW w:w="1137" w:type="pct"/>
            <w:gridSpan w:val="2"/>
            <w:noWrap w:val="0"/>
            <w:vAlign w:val="center"/>
          </w:tcPr>
          <w:p w14:paraId="514BBFC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水平年（现状—规划）</w:t>
            </w:r>
          </w:p>
        </w:tc>
        <w:tc>
          <w:tcPr>
            <w:tcW w:w="1007" w:type="pct"/>
            <w:noWrap w:val="0"/>
            <w:vAlign w:val="center"/>
          </w:tcPr>
          <w:p w14:paraId="5C63533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2023-2025</w:t>
            </w:r>
          </w:p>
        </w:tc>
      </w:tr>
      <w:tr w14:paraId="5352F9F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restart"/>
            <w:noWrap w:val="0"/>
            <w:vAlign w:val="center"/>
          </w:tcPr>
          <w:p w14:paraId="3F2ED9F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入河排污口设置申请</w:t>
            </w:r>
            <w:r>
              <w:rPr>
                <w:rFonts w:hint="default" w:ascii="Times New Roman" w:hAnsi="Times New Roman" w:eastAsia="宋体" w:cs="Times New Roman"/>
                <w:color w:val="auto"/>
                <w:kern w:val="2"/>
                <w:sz w:val="22"/>
                <w:szCs w:val="22"/>
                <w:highlight w:val="none"/>
                <w:lang w:val="en-US" w:eastAsia="zh-CN" w:bidi="ar-SA"/>
              </w:rPr>
              <w:t>单</w:t>
            </w:r>
            <w:r>
              <w:rPr>
                <w:rFonts w:hint="eastAsia" w:ascii="Times New Roman" w:hAnsi="Times New Roman" w:eastAsia="宋体" w:cs="Times New Roman"/>
                <w:color w:val="auto"/>
                <w:kern w:val="2"/>
                <w:sz w:val="22"/>
                <w:szCs w:val="22"/>
                <w:highlight w:val="none"/>
                <w:lang w:val="en-US" w:eastAsia="zh-CN" w:bidi="ar-SA"/>
              </w:rPr>
              <w:t>位概况</w:t>
            </w:r>
          </w:p>
        </w:tc>
        <w:tc>
          <w:tcPr>
            <w:tcW w:w="539" w:type="pct"/>
            <w:noWrap w:val="0"/>
            <w:vAlign w:val="center"/>
          </w:tcPr>
          <w:p w14:paraId="3A29F59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名</w:t>
            </w:r>
            <w:r>
              <w:rPr>
                <w:rFonts w:hint="eastAsia" w:ascii="Times New Roman" w:hAnsi="Times New Roman" w:eastAsia="宋体" w:cs="Times New Roman"/>
                <w:color w:val="auto"/>
                <w:kern w:val="2"/>
                <w:sz w:val="22"/>
                <w:szCs w:val="22"/>
                <w:highlight w:val="none"/>
                <w:lang w:val="en-US" w:eastAsia="zh-CN" w:bidi="ar-SA"/>
              </w:rPr>
              <w:t xml:space="preserve">  </w:t>
            </w:r>
            <w:r>
              <w:rPr>
                <w:rFonts w:hint="default" w:ascii="Times New Roman" w:hAnsi="Times New Roman" w:eastAsia="宋体" w:cs="Times New Roman"/>
                <w:color w:val="auto"/>
                <w:kern w:val="2"/>
                <w:sz w:val="22"/>
                <w:szCs w:val="22"/>
                <w:highlight w:val="none"/>
                <w:lang w:val="en-US" w:eastAsia="zh-CN" w:bidi="ar-SA"/>
              </w:rPr>
              <w:t>称</w:t>
            </w:r>
          </w:p>
        </w:tc>
        <w:tc>
          <w:tcPr>
            <w:tcW w:w="1796" w:type="pct"/>
            <w:gridSpan w:val="5"/>
            <w:noWrap w:val="0"/>
            <w:vAlign w:val="center"/>
          </w:tcPr>
          <w:p w14:paraId="0F1AD9C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湖南安化渣滓溪矿业有限公司</w:t>
            </w:r>
          </w:p>
        </w:tc>
        <w:tc>
          <w:tcPr>
            <w:tcW w:w="1137" w:type="pct"/>
            <w:gridSpan w:val="2"/>
            <w:noWrap w:val="0"/>
            <w:vAlign w:val="center"/>
          </w:tcPr>
          <w:p w14:paraId="71FC773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法人代表</w:t>
            </w:r>
          </w:p>
        </w:tc>
        <w:tc>
          <w:tcPr>
            <w:tcW w:w="1007" w:type="pct"/>
            <w:noWrap w:val="0"/>
            <w:vAlign w:val="center"/>
          </w:tcPr>
          <w:p w14:paraId="69F7AB6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欧阳景权</w:t>
            </w:r>
          </w:p>
        </w:tc>
      </w:tr>
      <w:tr w14:paraId="12BDE9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2048410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39" w:type="pct"/>
            <w:noWrap w:val="0"/>
            <w:vAlign w:val="center"/>
          </w:tcPr>
          <w:p w14:paraId="00F5E6B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隶属关系</w:t>
            </w:r>
          </w:p>
        </w:tc>
        <w:tc>
          <w:tcPr>
            <w:tcW w:w="1796" w:type="pct"/>
            <w:gridSpan w:val="5"/>
            <w:noWrap w:val="0"/>
            <w:vAlign w:val="center"/>
          </w:tcPr>
          <w:p w14:paraId="02A9E32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1137" w:type="pct"/>
            <w:gridSpan w:val="2"/>
            <w:noWrap w:val="0"/>
            <w:vAlign w:val="center"/>
          </w:tcPr>
          <w:p w14:paraId="17DBC55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行业类别</w:t>
            </w:r>
          </w:p>
        </w:tc>
        <w:tc>
          <w:tcPr>
            <w:tcW w:w="1007" w:type="pct"/>
            <w:noWrap w:val="0"/>
            <w:vAlign w:val="center"/>
          </w:tcPr>
          <w:p w14:paraId="3CEB3C3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r>
      <w:tr w14:paraId="302C8D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72C7B6B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39" w:type="pct"/>
            <w:noWrap w:val="0"/>
            <w:vAlign w:val="center"/>
          </w:tcPr>
          <w:p w14:paraId="09F3F34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企业规模</w:t>
            </w:r>
          </w:p>
        </w:tc>
        <w:tc>
          <w:tcPr>
            <w:tcW w:w="1796" w:type="pct"/>
            <w:gridSpan w:val="5"/>
            <w:noWrap w:val="0"/>
            <w:vAlign w:val="center"/>
          </w:tcPr>
          <w:p w14:paraId="7B35121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1137" w:type="pct"/>
            <w:gridSpan w:val="2"/>
            <w:noWrap w:val="0"/>
            <w:vAlign w:val="center"/>
          </w:tcPr>
          <w:p w14:paraId="7A39332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职工总数</w:t>
            </w:r>
          </w:p>
        </w:tc>
        <w:tc>
          <w:tcPr>
            <w:tcW w:w="1007" w:type="pct"/>
            <w:noWrap w:val="0"/>
            <w:vAlign w:val="center"/>
          </w:tcPr>
          <w:p w14:paraId="79746F4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r>
      <w:tr w14:paraId="5C8E80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8F5165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39" w:type="pct"/>
            <w:noWrap w:val="0"/>
            <w:vAlign w:val="center"/>
          </w:tcPr>
          <w:p w14:paraId="4F62EBB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地</w:t>
            </w:r>
            <w:r>
              <w:rPr>
                <w:rFonts w:hint="eastAsia" w:ascii="Times New Roman" w:hAnsi="Times New Roman" w:eastAsia="宋体" w:cs="Times New Roman"/>
                <w:color w:val="auto"/>
                <w:kern w:val="2"/>
                <w:sz w:val="22"/>
                <w:szCs w:val="22"/>
                <w:highlight w:val="none"/>
                <w:lang w:val="en-US" w:eastAsia="zh-CN" w:bidi="ar-SA"/>
              </w:rPr>
              <w:t xml:space="preserve">  </w:t>
            </w:r>
            <w:r>
              <w:rPr>
                <w:rFonts w:hint="default" w:ascii="Times New Roman" w:hAnsi="Times New Roman" w:eastAsia="宋体" w:cs="Times New Roman"/>
                <w:color w:val="auto"/>
                <w:kern w:val="2"/>
                <w:sz w:val="22"/>
                <w:szCs w:val="22"/>
                <w:highlight w:val="none"/>
                <w:lang w:val="en-US" w:eastAsia="zh-CN" w:bidi="ar-SA"/>
              </w:rPr>
              <w:t>址</w:t>
            </w:r>
          </w:p>
        </w:tc>
        <w:tc>
          <w:tcPr>
            <w:tcW w:w="1796" w:type="pct"/>
            <w:gridSpan w:val="5"/>
            <w:noWrap w:val="0"/>
            <w:vAlign w:val="center"/>
          </w:tcPr>
          <w:p w14:paraId="528EBF6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安化县奎溪镇</w:t>
            </w:r>
          </w:p>
        </w:tc>
        <w:tc>
          <w:tcPr>
            <w:tcW w:w="1137" w:type="pct"/>
            <w:gridSpan w:val="2"/>
            <w:noWrap w:val="0"/>
            <w:vAlign w:val="center"/>
          </w:tcPr>
          <w:p w14:paraId="024ED1E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邮</w:t>
            </w:r>
            <w:r>
              <w:rPr>
                <w:rFonts w:hint="eastAsia" w:ascii="Times New Roman" w:hAnsi="Times New Roman" w:eastAsia="宋体" w:cs="Times New Roman"/>
                <w:color w:val="auto"/>
                <w:kern w:val="2"/>
                <w:sz w:val="22"/>
                <w:szCs w:val="22"/>
                <w:highlight w:val="none"/>
                <w:lang w:val="en-US" w:eastAsia="zh-CN" w:bidi="ar-SA"/>
              </w:rPr>
              <w:t xml:space="preserve">  </w:t>
            </w:r>
            <w:r>
              <w:rPr>
                <w:rFonts w:hint="default" w:ascii="Times New Roman" w:hAnsi="Times New Roman" w:eastAsia="宋体" w:cs="Times New Roman"/>
                <w:color w:val="auto"/>
                <w:kern w:val="2"/>
                <w:sz w:val="22"/>
                <w:szCs w:val="22"/>
                <w:highlight w:val="none"/>
                <w:lang w:val="en-US" w:eastAsia="zh-CN" w:bidi="ar-SA"/>
              </w:rPr>
              <w:t>编</w:t>
            </w:r>
          </w:p>
        </w:tc>
        <w:tc>
          <w:tcPr>
            <w:tcW w:w="1007" w:type="pct"/>
            <w:noWrap w:val="0"/>
            <w:vAlign w:val="center"/>
          </w:tcPr>
          <w:p w14:paraId="1FC9EEA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413507</w:t>
            </w:r>
          </w:p>
        </w:tc>
      </w:tr>
      <w:tr w14:paraId="7D4252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78E8CD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39" w:type="pct"/>
            <w:noWrap w:val="0"/>
            <w:vAlign w:val="center"/>
          </w:tcPr>
          <w:p w14:paraId="640B5E7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联系人</w:t>
            </w:r>
          </w:p>
        </w:tc>
        <w:tc>
          <w:tcPr>
            <w:tcW w:w="666" w:type="pct"/>
            <w:noWrap w:val="0"/>
            <w:vAlign w:val="center"/>
          </w:tcPr>
          <w:p w14:paraId="0C2B471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丁国毅</w:t>
            </w:r>
          </w:p>
        </w:tc>
        <w:tc>
          <w:tcPr>
            <w:tcW w:w="397" w:type="pct"/>
            <w:gridSpan w:val="2"/>
            <w:noWrap w:val="0"/>
            <w:vAlign w:val="center"/>
          </w:tcPr>
          <w:p w14:paraId="45A892E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电</w:t>
            </w:r>
            <w:r>
              <w:rPr>
                <w:rFonts w:hint="eastAsia" w:ascii="Times New Roman" w:hAnsi="Times New Roman" w:eastAsia="宋体" w:cs="Times New Roman"/>
                <w:color w:val="auto"/>
                <w:kern w:val="2"/>
                <w:sz w:val="22"/>
                <w:szCs w:val="22"/>
                <w:highlight w:val="none"/>
                <w:lang w:val="en-US" w:eastAsia="zh-CN" w:bidi="ar-SA"/>
              </w:rPr>
              <w:t xml:space="preserve">  </w:t>
            </w:r>
            <w:r>
              <w:rPr>
                <w:rFonts w:hint="default" w:ascii="Times New Roman" w:hAnsi="Times New Roman" w:eastAsia="宋体" w:cs="Times New Roman"/>
                <w:color w:val="auto"/>
                <w:kern w:val="2"/>
                <w:sz w:val="22"/>
                <w:szCs w:val="22"/>
                <w:highlight w:val="none"/>
                <w:lang w:val="en-US" w:eastAsia="zh-CN" w:bidi="ar-SA"/>
              </w:rPr>
              <w:t>话</w:t>
            </w:r>
          </w:p>
        </w:tc>
        <w:tc>
          <w:tcPr>
            <w:tcW w:w="733" w:type="pct"/>
            <w:gridSpan w:val="2"/>
            <w:noWrap w:val="0"/>
            <w:vAlign w:val="center"/>
          </w:tcPr>
          <w:p w14:paraId="47274D0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13</w:t>
            </w:r>
            <w:r>
              <w:rPr>
                <w:rFonts w:hint="eastAsia" w:cs="Times New Roman"/>
                <w:color w:val="auto"/>
                <w:kern w:val="2"/>
                <w:sz w:val="22"/>
                <w:szCs w:val="22"/>
                <w:highlight w:val="none"/>
                <w:lang w:val="en-US" w:eastAsia="zh-CN" w:bidi="ar-SA"/>
              </w:rPr>
              <w:t>487376932</w:t>
            </w:r>
          </w:p>
        </w:tc>
        <w:tc>
          <w:tcPr>
            <w:tcW w:w="1137" w:type="pct"/>
            <w:gridSpan w:val="2"/>
            <w:noWrap w:val="0"/>
            <w:vAlign w:val="center"/>
          </w:tcPr>
          <w:p w14:paraId="5F7E2DD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邮</w:t>
            </w:r>
            <w:r>
              <w:rPr>
                <w:rFonts w:hint="eastAsia" w:ascii="Times New Roman" w:hAnsi="Times New Roman" w:eastAsia="宋体" w:cs="Times New Roman"/>
                <w:color w:val="auto"/>
                <w:kern w:val="2"/>
                <w:sz w:val="22"/>
                <w:szCs w:val="22"/>
                <w:highlight w:val="none"/>
                <w:lang w:val="en-US" w:eastAsia="zh-CN" w:bidi="ar-SA"/>
              </w:rPr>
              <w:t xml:space="preserve">  </w:t>
            </w:r>
            <w:r>
              <w:rPr>
                <w:rFonts w:hint="default" w:ascii="Times New Roman" w:hAnsi="Times New Roman" w:eastAsia="宋体" w:cs="Times New Roman"/>
                <w:color w:val="auto"/>
                <w:kern w:val="2"/>
                <w:sz w:val="22"/>
                <w:szCs w:val="22"/>
                <w:highlight w:val="none"/>
                <w:lang w:val="en-US" w:eastAsia="zh-CN" w:bidi="ar-SA"/>
              </w:rPr>
              <w:t>箱</w:t>
            </w:r>
          </w:p>
        </w:tc>
        <w:tc>
          <w:tcPr>
            <w:tcW w:w="1007" w:type="pct"/>
            <w:noWrap w:val="0"/>
            <w:vAlign w:val="center"/>
          </w:tcPr>
          <w:p w14:paraId="57475E4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r>
      <w:tr w14:paraId="5323FA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restart"/>
            <w:noWrap w:val="0"/>
            <w:vAlign w:val="center"/>
          </w:tcPr>
          <w:p w14:paraId="3B1A518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排</w:t>
            </w:r>
          </w:p>
          <w:p w14:paraId="27CA407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污</w:t>
            </w:r>
          </w:p>
          <w:p w14:paraId="52046E7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口</w:t>
            </w:r>
          </w:p>
          <w:p w14:paraId="65F2FCF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基</w:t>
            </w:r>
          </w:p>
          <w:p w14:paraId="314A0C0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本</w:t>
            </w:r>
          </w:p>
          <w:p w14:paraId="48001B8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情</w:t>
            </w:r>
          </w:p>
          <w:p w14:paraId="2E649A2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况</w:t>
            </w:r>
          </w:p>
        </w:tc>
        <w:tc>
          <w:tcPr>
            <w:tcW w:w="1367" w:type="pct"/>
            <w:gridSpan w:val="3"/>
            <w:noWrap w:val="0"/>
            <w:vAlign w:val="center"/>
          </w:tcPr>
          <w:p w14:paraId="5C94C35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排污口名称</w:t>
            </w:r>
          </w:p>
        </w:tc>
        <w:tc>
          <w:tcPr>
            <w:tcW w:w="3113" w:type="pct"/>
            <w:gridSpan w:val="6"/>
            <w:noWrap w:val="0"/>
            <w:vAlign w:val="center"/>
          </w:tcPr>
          <w:p w14:paraId="1E77652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湖南安化渣滓溪矿业有限公司排污口</w:t>
            </w:r>
          </w:p>
        </w:tc>
      </w:tr>
      <w:tr w14:paraId="4B167D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2FD1ECC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7CA5B5D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排污口行政地址</w:t>
            </w:r>
          </w:p>
        </w:tc>
        <w:tc>
          <w:tcPr>
            <w:tcW w:w="3113" w:type="pct"/>
            <w:gridSpan w:val="6"/>
            <w:noWrap w:val="0"/>
            <w:vAlign w:val="center"/>
          </w:tcPr>
          <w:p w14:paraId="7509003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安化县奎溪镇渣滓溪</w:t>
            </w:r>
            <w:bookmarkStart w:id="84" w:name="_GoBack"/>
            <w:bookmarkEnd w:id="84"/>
            <w:r>
              <w:rPr>
                <w:rFonts w:hint="eastAsia" w:cs="Times New Roman"/>
                <w:color w:val="auto"/>
                <w:kern w:val="2"/>
                <w:sz w:val="22"/>
                <w:szCs w:val="22"/>
                <w:highlight w:val="none"/>
                <w:u w:val="single"/>
                <w:lang w:val="en-US" w:eastAsia="zh-CN" w:bidi="ar-SA"/>
              </w:rPr>
              <w:t>右岸</w:t>
            </w:r>
          </w:p>
        </w:tc>
      </w:tr>
      <w:tr w14:paraId="48DA42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0A636A5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0720D18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所在水功能区概况</w:t>
            </w:r>
          </w:p>
        </w:tc>
        <w:tc>
          <w:tcPr>
            <w:tcW w:w="3113" w:type="pct"/>
            <w:gridSpan w:val="6"/>
            <w:noWrap w:val="0"/>
            <w:vAlign w:val="center"/>
          </w:tcPr>
          <w:p w14:paraId="6EFDE1D9">
            <w:pPr>
              <w:pStyle w:val="2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eastAsia="宋体" w:cs="Times New Roman"/>
                <w:color w:val="auto"/>
                <w:kern w:val="2"/>
                <w:szCs w:val="22"/>
                <w:highlight w:val="none"/>
                <w:lang w:val="en-US" w:eastAsia="zh-CN" w:bidi="ar-SA"/>
              </w:rPr>
              <w:t>洋</w:t>
            </w:r>
            <w:r>
              <w:rPr>
                <w:rFonts w:hint="default" w:ascii="Times New Roman" w:hAnsi="Times New Roman" w:cs="Times New Roman"/>
                <w:lang w:val="en-US" w:eastAsia="zh-CN"/>
              </w:rPr>
              <w:t>溪安化奎溪镇-马路镇保留区，水质管理目标为Ⅲ类;</w:t>
            </w:r>
          </w:p>
          <w:p w14:paraId="0E6340B0">
            <w:pPr>
              <w:pStyle w:val="26"/>
              <w:keepNext w:val="0"/>
              <w:keepLines w:val="0"/>
              <w:suppressLineNumbers w:val="0"/>
              <w:bidi w:val="0"/>
              <w:spacing w:before="0" w:beforeAutospacing="0" w:after="0" w:afterAutospacing="0"/>
              <w:ind w:left="0" w:right="0"/>
              <w:rPr>
                <w:rFonts w:hint="default"/>
                <w:lang w:val="en-US" w:eastAsia="zh-CN"/>
              </w:rPr>
            </w:pPr>
            <w:r>
              <w:rPr>
                <w:rFonts w:hint="default" w:ascii="Times New Roman" w:hAnsi="Times New Roman" w:cs="Times New Roman"/>
                <w:lang w:val="en-US" w:eastAsia="zh-CN"/>
              </w:rPr>
              <w:t>资水安化保留区，水质管理目标为Ⅲ类</w:t>
            </w:r>
          </w:p>
        </w:tc>
      </w:tr>
      <w:tr w14:paraId="01ED9F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8A5690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753220B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排污口经纬度</w:t>
            </w:r>
          </w:p>
        </w:tc>
        <w:tc>
          <w:tcPr>
            <w:tcW w:w="3113" w:type="pct"/>
            <w:gridSpan w:val="6"/>
            <w:noWrap w:val="0"/>
            <w:vAlign w:val="center"/>
          </w:tcPr>
          <w:p w14:paraId="0129A31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E</w:t>
            </w:r>
            <w:r>
              <w:rPr>
                <w:rFonts w:hint="default" w:ascii="Times New Roman" w:hAnsi="Times New Roman" w:eastAsia="宋体" w:cs="Times New Roman"/>
                <w:color w:val="auto"/>
                <w:kern w:val="2"/>
                <w:sz w:val="22"/>
                <w:szCs w:val="22"/>
                <w:highlight w:val="none"/>
                <w:lang w:val="en-US" w:eastAsia="zh-CN" w:bidi="ar-SA"/>
              </w:rPr>
              <w:t>110°49′56.90791″</w:t>
            </w:r>
            <w:r>
              <w:rPr>
                <w:rFonts w:hint="eastAsia" w:ascii="Times New Roman" w:hAnsi="Times New Roman" w:eastAsia="宋体" w:cs="Times New Roman"/>
                <w:color w:val="auto"/>
                <w:kern w:val="2"/>
                <w:sz w:val="22"/>
                <w:szCs w:val="22"/>
                <w:highlight w:val="none"/>
                <w:lang w:val="en-US" w:eastAsia="zh-CN" w:bidi="ar-SA"/>
              </w:rPr>
              <w:t>，N</w:t>
            </w:r>
            <w:r>
              <w:rPr>
                <w:rFonts w:hint="default" w:ascii="Times New Roman" w:hAnsi="Times New Roman" w:eastAsia="宋体" w:cs="Times New Roman"/>
                <w:color w:val="auto"/>
                <w:kern w:val="2"/>
                <w:sz w:val="22"/>
                <w:szCs w:val="22"/>
                <w:highlight w:val="none"/>
                <w:lang w:val="en-US" w:eastAsia="zh-CN" w:bidi="ar-SA"/>
              </w:rPr>
              <w:t>28°15′15.91420″</w:t>
            </w:r>
          </w:p>
        </w:tc>
      </w:tr>
      <w:tr w14:paraId="20DBA9A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1D39AD1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45EFDFF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排污口类型</w:t>
            </w:r>
          </w:p>
        </w:tc>
        <w:tc>
          <w:tcPr>
            <w:tcW w:w="3113" w:type="pct"/>
            <w:gridSpan w:val="6"/>
            <w:noWrap w:val="0"/>
            <w:vAlign w:val="center"/>
          </w:tcPr>
          <w:p w14:paraId="08DA856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新建（ √ ）     改建（   ）      扩大（   ）</w:t>
            </w:r>
          </w:p>
        </w:tc>
      </w:tr>
      <w:tr w14:paraId="58E160F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68F69E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1DD8DCA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废污水年排放量(</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eastAsia" w:ascii="Times New Roman" w:hAnsi="Times New Roman" w:eastAsia="宋体" w:cs="Times New Roman"/>
                <w:color w:val="auto"/>
                <w:kern w:val="2"/>
                <w:sz w:val="22"/>
                <w:szCs w:val="22"/>
                <w:highlight w:val="none"/>
                <w:lang w:val="en-US" w:eastAsia="zh-CN" w:bidi="ar-SA"/>
              </w:rPr>
              <w:t>)</w:t>
            </w:r>
          </w:p>
        </w:tc>
        <w:tc>
          <w:tcPr>
            <w:tcW w:w="3113" w:type="pct"/>
            <w:gridSpan w:val="6"/>
            <w:noWrap w:val="0"/>
            <w:vAlign w:val="center"/>
          </w:tcPr>
          <w:p w14:paraId="1EF6662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86</w:t>
            </w:r>
            <w:r>
              <w:rPr>
                <w:rFonts w:hint="default" w:ascii="Times New Roman" w:hAnsi="Times New Roman" w:eastAsia="宋体" w:cs="Times New Roman"/>
                <w:color w:val="auto"/>
                <w:kern w:val="2"/>
                <w:sz w:val="22"/>
                <w:szCs w:val="22"/>
                <w:highlight w:val="none"/>
                <w:lang w:val="en-US" w:eastAsia="zh-CN" w:bidi="ar-SA"/>
              </w:rPr>
              <w:t>.</w:t>
            </w:r>
            <w:r>
              <w:rPr>
                <w:rFonts w:hint="eastAsia" w:cs="Times New Roman"/>
                <w:color w:val="auto"/>
                <w:kern w:val="2"/>
                <w:sz w:val="22"/>
                <w:szCs w:val="22"/>
                <w:highlight w:val="none"/>
                <w:lang w:val="en-US" w:eastAsia="zh-CN" w:bidi="ar-SA"/>
              </w:rPr>
              <w:t>64</w:t>
            </w:r>
            <w:r>
              <w:rPr>
                <w:rFonts w:hint="default" w:ascii="Times New Roman" w:hAnsi="Times New Roman" w:eastAsia="宋体" w:cs="Times New Roman"/>
                <w:color w:val="auto"/>
                <w:kern w:val="2"/>
                <w:sz w:val="22"/>
                <w:szCs w:val="22"/>
                <w:highlight w:val="none"/>
                <w:lang w:val="en-US" w:eastAsia="zh-CN" w:bidi="ar-SA"/>
              </w:rPr>
              <w:t>万t/a</w:t>
            </w:r>
          </w:p>
        </w:tc>
      </w:tr>
      <w:tr w14:paraId="591E7C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492EAC4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restart"/>
            <w:noWrap w:val="0"/>
            <w:vAlign w:val="center"/>
          </w:tcPr>
          <w:p w14:paraId="19DAB75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主</w:t>
            </w:r>
          </w:p>
          <w:p w14:paraId="2A1C9B3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要</w:t>
            </w:r>
          </w:p>
          <w:p w14:paraId="755FFB9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污</w:t>
            </w:r>
          </w:p>
          <w:p w14:paraId="5203D64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染</w:t>
            </w:r>
          </w:p>
          <w:p w14:paraId="5456BAB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物</w:t>
            </w:r>
          </w:p>
        </w:tc>
        <w:tc>
          <w:tcPr>
            <w:tcW w:w="589" w:type="pct"/>
            <w:gridSpan w:val="2"/>
            <w:noWrap w:val="0"/>
            <w:vAlign w:val="center"/>
          </w:tcPr>
          <w:p w14:paraId="30EAAEA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项</w:t>
            </w:r>
            <w:r>
              <w:rPr>
                <w:rFonts w:hint="eastAsia" w:ascii="Times New Roman" w:hAnsi="Times New Roman" w:eastAsia="宋体" w:cs="Times New Roman"/>
                <w:color w:val="auto"/>
                <w:kern w:val="2"/>
                <w:sz w:val="22"/>
                <w:szCs w:val="22"/>
                <w:highlight w:val="none"/>
                <w:lang w:val="en-US" w:eastAsia="zh-CN" w:bidi="ar-SA"/>
              </w:rPr>
              <w:t xml:space="preserve">  </w:t>
            </w:r>
            <w:r>
              <w:rPr>
                <w:rFonts w:hint="default" w:ascii="Times New Roman" w:hAnsi="Times New Roman" w:eastAsia="宋体" w:cs="Times New Roman"/>
                <w:color w:val="auto"/>
                <w:kern w:val="2"/>
                <w:sz w:val="22"/>
                <w:szCs w:val="22"/>
                <w:highlight w:val="none"/>
                <w:lang w:val="en-US" w:eastAsia="zh-CN" w:bidi="ar-SA"/>
              </w:rPr>
              <w:t>目</w:t>
            </w:r>
          </w:p>
        </w:tc>
        <w:tc>
          <w:tcPr>
            <w:tcW w:w="807" w:type="pct"/>
            <w:gridSpan w:val="2"/>
            <w:noWrap w:val="0"/>
            <w:vAlign w:val="center"/>
          </w:tcPr>
          <w:p w14:paraId="50372A6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日最高</w:t>
            </w:r>
            <w:r>
              <w:rPr>
                <w:rFonts w:hint="default" w:ascii="Times New Roman" w:hAnsi="Times New Roman" w:eastAsia="宋体" w:cs="Times New Roman"/>
                <w:color w:val="auto"/>
                <w:kern w:val="2"/>
                <w:sz w:val="22"/>
                <w:szCs w:val="22"/>
                <w:highlight w:val="none"/>
                <w:lang w:val="en-US" w:eastAsia="zh-CN" w:bidi="ar-SA"/>
              </w:rPr>
              <w:t>排放浓度</w:t>
            </w:r>
            <w:r>
              <w:rPr>
                <w:rFonts w:hint="eastAsia" w:ascii="Times New Roman" w:hAnsi="Times New Roman" w:eastAsia="宋体" w:cs="Times New Roman"/>
                <w:color w:val="auto"/>
                <w:kern w:val="2"/>
                <w:sz w:val="22"/>
                <w:szCs w:val="22"/>
                <w:highlight w:val="none"/>
                <w:lang w:val="en-US" w:eastAsia="zh-CN" w:bidi="ar-SA"/>
              </w:rPr>
              <w:t>（mg/l）</w:t>
            </w:r>
          </w:p>
        </w:tc>
        <w:tc>
          <w:tcPr>
            <w:tcW w:w="709" w:type="pct"/>
            <w:noWrap w:val="0"/>
            <w:vAlign w:val="center"/>
          </w:tcPr>
          <w:p w14:paraId="04FE258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月平均排放浓度</w:t>
            </w:r>
          </w:p>
        </w:tc>
        <w:tc>
          <w:tcPr>
            <w:tcW w:w="1007" w:type="pct"/>
            <w:noWrap w:val="0"/>
            <w:vAlign w:val="center"/>
          </w:tcPr>
          <w:p w14:paraId="4BDBFC7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最大</w:t>
            </w:r>
            <w:r>
              <w:rPr>
                <w:rFonts w:hint="default" w:ascii="Times New Roman" w:hAnsi="Times New Roman" w:eastAsia="宋体" w:cs="Times New Roman"/>
                <w:color w:val="auto"/>
                <w:kern w:val="2"/>
                <w:sz w:val="22"/>
                <w:szCs w:val="22"/>
                <w:highlight w:val="none"/>
                <w:lang w:val="en-US" w:eastAsia="zh-CN" w:bidi="ar-SA"/>
              </w:rPr>
              <w:t>年排放量</w:t>
            </w:r>
            <w:r>
              <w:rPr>
                <w:rFonts w:hint="eastAsia" w:ascii="Times New Roman" w:hAnsi="Times New Roman" w:eastAsia="宋体" w:cs="Times New Roman"/>
                <w:color w:val="auto"/>
                <w:kern w:val="2"/>
                <w:sz w:val="22"/>
                <w:szCs w:val="22"/>
                <w:highlight w:val="none"/>
                <w:lang w:val="en-US" w:eastAsia="zh-CN" w:bidi="ar-SA"/>
              </w:rPr>
              <w:t>（t）</w:t>
            </w:r>
          </w:p>
        </w:tc>
      </w:tr>
      <w:tr w14:paraId="00075B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007EB5C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729E427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6083D2E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COD</w:t>
            </w:r>
          </w:p>
        </w:tc>
        <w:tc>
          <w:tcPr>
            <w:tcW w:w="807" w:type="pct"/>
            <w:gridSpan w:val="2"/>
            <w:noWrap w:val="0"/>
            <w:vAlign w:val="center"/>
          </w:tcPr>
          <w:p w14:paraId="2A078E7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35</w:t>
            </w:r>
          </w:p>
        </w:tc>
        <w:tc>
          <w:tcPr>
            <w:tcW w:w="709" w:type="pct"/>
            <w:noWrap w:val="0"/>
            <w:vAlign w:val="center"/>
          </w:tcPr>
          <w:p w14:paraId="58DA0FF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6.15</w:t>
            </w:r>
          </w:p>
        </w:tc>
        <w:tc>
          <w:tcPr>
            <w:tcW w:w="1007" w:type="pct"/>
            <w:noWrap w:val="0"/>
            <w:vAlign w:val="center"/>
          </w:tcPr>
          <w:p w14:paraId="552434B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5.320</w:t>
            </w:r>
          </w:p>
        </w:tc>
      </w:tr>
      <w:tr w14:paraId="566D16C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447CD7D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47FD960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396A542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氨氮</w:t>
            </w:r>
          </w:p>
        </w:tc>
        <w:tc>
          <w:tcPr>
            <w:tcW w:w="807" w:type="pct"/>
            <w:gridSpan w:val="2"/>
            <w:noWrap w:val="0"/>
            <w:vAlign w:val="center"/>
          </w:tcPr>
          <w:p w14:paraId="0616CD6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2.45</w:t>
            </w:r>
          </w:p>
        </w:tc>
        <w:tc>
          <w:tcPr>
            <w:tcW w:w="709" w:type="pct"/>
            <w:noWrap w:val="0"/>
            <w:vAlign w:val="center"/>
          </w:tcPr>
          <w:p w14:paraId="4A46F1D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0.32</w:t>
            </w:r>
          </w:p>
        </w:tc>
        <w:tc>
          <w:tcPr>
            <w:tcW w:w="1007" w:type="pct"/>
            <w:noWrap w:val="0"/>
            <w:vAlign w:val="center"/>
          </w:tcPr>
          <w:p w14:paraId="4FEC52D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0.277</w:t>
            </w:r>
          </w:p>
        </w:tc>
      </w:tr>
      <w:tr w14:paraId="201720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04EDE92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2F24FA0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128DFA9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总磷</w:t>
            </w:r>
          </w:p>
        </w:tc>
        <w:tc>
          <w:tcPr>
            <w:tcW w:w="807" w:type="pct"/>
            <w:gridSpan w:val="2"/>
            <w:noWrap w:val="0"/>
            <w:vAlign w:val="center"/>
          </w:tcPr>
          <w:p w14:paraId="777CD9E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0.13</w:t>
            </w:r>
          </w:p>
        </w:tc>
        <w:tc>
          <w:tcPr>
            <w:tcW w:w="709" w:type="pct"/>
            <w:noWrap w:val="0"/>
            <w:vAlign w:val="center"/>
          </w:tcPr>
          <w:p w14:paraId="3961646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w:t>
            </w:r>
            <w:r>
              <w:rPr>
                <w:rFonts w:hint="eastAsia" w:cs="Times New Roman"/>
                <w:color w:val="auto"/>
                <w:kern w:val="2"/>
                <w:sz w:val="22"/>
                <w:szCs w:val="22"/>
                <w:highlight w:val="none"/>
                <w:lang w:val="en-US" w:eastAsia="zh-CN" w:bidi="ar-SA"/>
              </w:rPr>
              <w:t>04</w:t>
            </w:r>
          </w:p>
        </w:tc>
        <w:tc>
          <w:tcPr>
            <w:tcW w:w="1007" w:type="pct"/>
            <w:noWrap w:val="0"/>
            <w:vAlign w:val="center"/>
          </w:tcPr>
          <w:p w14:paraId="2FB61A3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w:t>
            </w:r>
            <w:r>
              <w:rPr>
                <w:rFonts w:hint="eastAsia" w:cs="Times New Roman"/>
                <w:color w:val="auto"/>
                <w:kern w:val="2"/>
                <w:sz w:val="22"/>
                <w:szCs w:val="22"/>
                <w:highlight w:val="none"/>
                <w:lang w:val="en-US" w:eastAsia="zh-CN" w:bidi="ar-SA"/>
              </w:rPr>
              <w:t>035</w:t>
            </w:r>
          </w:p>
        </w:tc>
      </w:tr>
      <w:tr w14:paraId="4E02C7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7B03CDE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3CB19B4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73B9ABC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锑</w:t>
            </w:r>
          </w:p>
        </w:tc>
        <w:tc>
          <w:tcPr>
            <w:tcW w:w="807" w:type="pct"/>
            <w:gridSpan w:val="2"/>
            <w:noWrap w:val="0"/>
            <w:vAlign w:val="center"/>
          </w:tcPr>
          <w:p w14:paraId="743E45B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0.</w:t>
            </w:r>
            <w:r>
              <w:rPr>
                <w:rFonts w:hint="eastAsia" w:ascii="Times New Roman" w:hAnsi="Times New Roman" w:eastAsia="宋体" w:cs="Times New Roman"/>
                <w:color w:val="auto"/>
                <w:kern w:val="2"/>
                <w:sz w:val="22"/>
                <w:szCs w:val="22"/>
                <w:highlight w:val="none"/>
                <w:lang w:val="en-US" w:eastAsia="zh-CN" w:bidi="ar-SA"/>
              </w:rPr>
              <w:t>15</w:t>
            </w:r>
          </w:p>
        </w:tc>
        <w:tc>
          <w:tcPr>
            <w:tcW w:w="709" w:type="pct"/>
            <w:noWrap w:val="0"/>
            <w:vAlign w:val="center"/>
          </w:tcPr>
          <w:p w14:paraId="70BF814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0.</w:t>
            </w:r>
            <w:r>
              <w:rPr>
                <w:rFonts w:hint="eastAsia" w:ascii="Times New Roman" w:hAnsi="Times New Roman" w:eastAsia="宋体" w:cs="Times New Roman"/>
                <w:color w:val="auto"/>
                <w:kern w:val="2"/>
                <w:sz w:val="22"/>
                <w:szCs w:val="22"/>
                <w:highlight w:val="none"/>
                <w:lang w:val="en-US" w:eastAsia="zh-CN" w:bidi="ar-SA"/>
              </w:rPr>
              <w:t>15</w:t>
            </w:r>
          </w:p>
        </w:tc>
        <w:tc>
          <w:tcPr>
            <w:tcW w:w="1007" w:type="pct"/>
            <w:noWrap w:val="0"/>
            <w:vAlign w:val="center"/>
          </w:tcPr>
          <w:p w14:paraId="3D7E647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w:t>
            </w:r>
            <w:r>
              <w:rPr>
                <w:rFonts w:hint="eastAsia" w:cs="Times New Roman"/>
                <w:color w:val="auto"/>
                <w:kern w:val="2"/>
                <w:sz w:val="22"/>
                <w:szCs w:val="22"/>
                <w:highlight w:val="none"/>
                <w:lang w:val="en-US" w:eastAsia="zh-CN" w:bidi="ar-SA"/>
              </w:rPr>
              <w:t>30</w:t>
            </w:r>
          </w:p>
        </w:tc>
      </w:tr>
      <w:tr w14:paraId="69858B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4DF18DA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09E6234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63E974A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砷</w:t>
            </w:r>
          </w:p>
        </w:tc>
        <w:tc>
          <w:tcPr>
            <w:tcW w:w="807" w:type="pct"/>
            <w:gridSpan w:val="2"/>
            <w:noWrap w:val="0"/>
            <w:vAlign w:val="center"/>
          </w:tcPr>
          <w:p w14:paraId="51DEBCD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0.102</w:t>
            </w:r>
          </w:p>
        </w:tc>
        <w:tc>
          <w:tcPr>
            <w:tcW w:w="709" w:type="pct"/>
            <w:noWrap w:val="0"/>
            <w:vAlign w:val="center"/>
          </w:tcPr>
          <w:p w14:paraId="6A30CDBD">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0.034</w:t>
            </w:r>
          </w:p>
        </w:tc>
        <w:tc>
          <w:tcPr>
            <w:tcW w:w="1007" w:type="pct"/>
            <w:noWrap w:val="0"/>
            <w:vAlign w:val="center"/>
          </w:tcPr>
          <w:p w14:paraId="0C9EAF43">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29.413kg/a</w:t>
            </w:r>
          </w:p>
        </w:tc>
      </w:tr>
      <w:tr w14:paraId="070CBA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D85113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41ED52D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6FDB2FD5">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铅</w:t>
            </w:r>
          </w:p>
        </w:tc>
        <w:tc>
          <w:tcPr>
            <w:tcW w:w="807" w:type="pct"/>
            <w:gridSpan w:val="2"/>
            <w:noWrap w:val="0"/>
            <w:vAlign w:val="center"/>
          </w:tcPr>
          <w:p w14:paraId="4F2E0BE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0.062</w:t>
            </w:r>
          </w:p>
        </w:tc>
        <w:tc>
          <w:tcPr>
            <w:tcW w:w="709" w:type="pct"/>
            <w:noWrap w:val="0"/>
            <w:vAlign w:val="center"/>
          </w:tcPr>
          <w:p w14:paraId="7088656F">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0.024</w:t>
            </w:r>
          </w:p>
        </w:tc>
        <w:tc>
          <w:tcPr>
            <w:tcW w:w="1007" w:type="pct"/>
            <w:noWrap w:val="0"/>
            <w:vAlign w:val="center"/>
          </w:tcPr>
          <w:p w14:paraId="12F04961">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20.762kg/a</w:t>
            </w:r>
          </w:p>
        </w:tc>
      </w:tr>
      <w:tr w14:paraId="616834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80EC92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6332E72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43A16287">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汞</w:t>
            </w:r>
          </w:p>
        </w:tc>
        <w:tc>
          <w:tcPr>
            <w:tcW w:w="807" w:type="pct"/>
            <w:gridSpan w:val="2"/>
            <w:noWrap w:val="0"/>
            <w:vAlign w:val="center"/>
          </w:tcPr>
          <w:p w14:paraId="6F0FD35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0.00035</w:t>
            </w:r>
          </w:p>
        </w:tc>
        <w:tc>
          <w:tcPr>
            <w:tcW w:w="709" w:type="pct"/>
            <w:noWrap w:val="0"/>
            <w:vAlign w:val="center"/>
          </w:tcPr>
          <w:p w14:paraId="1CE1BE6A">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0.00007</w:t>
            </w:r>
          </w:p>
        </w:tc>
        <w:tc>
          <w:tcPr>
            <w:tcW w:w="1007" w:type="pct"/>
            <w:noWrap w:val="0"/>
            <w:vAlign w:val="center"/>
          </w:tcPr>
          <w:p w14:paraId="631EB53B">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0.061kg/a</w:t>
            </w:r>
          </w:p>
        </w:tc>
      </w:tr>
      <w:tr w14:paraId="708FCA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F0C9F1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61371F4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45CA4918">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镉</w:t>
            </w:r>
          </w:p>
        </w:tc>
        <w:tc>
          <w:tcPr>
            <w:tcW w:w="807" w:type="pct"/>
            <w:gridSpan w:val="2"/>
            <w:noWrap w:val="0"/>
            <w:vAlign w:val="center"/>
          </w:tcPr>
          <w:p w14:paraId="58C2383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0.0037</w:t>
            </w:r>
          </w:p>
        </w:tc>
        <w:tc>
          <w:tcPr>
            <w:tcW w:w="709" w:type="pct"/>
            <w:noWrap w:val="0"/>
            <w:vAlign w:val="center"/>
          </w:tcPr>
          <w:p w14:paraId="1CF3DED9">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0.003</w:t>
            </w:r>
          </w:p>
        </w:tc>
        <w:tc>
          <w:tcPr>
            <w:tcW w:w="1007" w:type="pct"/>
            <w:noWrap w:val="0"/>
            <w:vAlign w:val="center"/>
          </w:tcPr>
          <w:p w14:paraId="33561BCB">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2.595kg/a</w:t>
            </w:r>
          </w:p>
        </w:tc>
      </w:tr>
      <w:tr w14:paraId="1B86FD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7147A9F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62BC186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计量设施安装状况</w:t>
            </w:r>
          </w:p>
        </w:tc>
        <w:tc>
          <w:tcPr>
            <w:tcW w:w="3113" w:type="pct"/>
            <w:gridSpan w:val="6"/>
            <w:noWrap w:val="0"/>
            <w:vAlign w:val="center"/>
          </w:tcPr>
          <w:p w14:paraId="546B581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废污水计量设施（ √ ）   水质在线监测设施（ √ ）</w:t>
            </w:r>
          </w:p>
        </w:tc>
      </w:tr>
      <w:tr w14:paraId="490A71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361CA6D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0202F79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污水性质</w:t>
            </w:r>
          </w:p>
        </w:tc>
        <w:tc>
          <w:tcPr>
            <w:tcW w:w="3113" w:type="pct"/>
            <w:gridSpan w:val="6"/>
            <w:noWrap w:val="0"/>
            <w:vAlign w:val="center"/>
          </w:tcPr>
          <w:p w14:paraId="6D230FE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工业（  ）  生活（  ）  混合（ √ ）  其他（  ）</w:t>
            </w:r>
          </w:p>
        </w:tc>
      </w:tr>
      <w:tr w14:paraId="001821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465E20A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73197E8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废污水入河方式</w:t>
            </w:r>
          </w:p>
        </w:tc>
        <w:tc>
          <w:tcPr>
            <w:tcW w:w="3113" w:type="pct"/>
            <w:gridSpan w:val="6"/>
            <w:noWrap w:val="0"/>
            <w:vAlign w:val="center"/>
          </w:tcPr>
          <w:p w14:paraId="4DF6B0F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管道（ √ ）      明渠（   ）      涵闸（   ）</w:t>
            </w:r>
          </w:p>
          <w:p w14:paraId="25DBE74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阴沟（   ）      干沟（   ）      其他（   ）</w:t>
            </w:r>
          </w:p>
        </w:tc>
      </w:tr>
      <w:tr w14:paraId="3C3446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168953F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01111DD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废污水排放方式</w:t>
            </w:r>
          </w:p>
        </w:tc>
        <w:tc>
          <w:tcPr>
            <w:tcW w:w="3113" w:type="pct"/>
            <w:gridSpan w:val="6"/>
            <w:noWrap w:val="0"/>
            <w:vAlign w:val="center"/>
          </w:tcPr>
          <w:p w14:paraId="4912A79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连续（</w:t>
            </w:r>
            <w:r>
              <w:rPr>
                <w:rFonts w:hint="default" w:ascii="Times New Roman" w:hAnsi="Times New Roman" w:eastAsia="宋体" w:cs="Times New Roman"/>
                <w:color w:val="auto"/>
                <w:kern w:val="2"/>
                <w:sz w:val="22"/>
                <w:szCs w:val="22"/>
                <w:highlight w:val="none"/>
                <w:lang w:val="en-US" w:eastAsia="zh-CN" w:bidi="ar-SA"/>
              </w:rPr>
              <w:t xml:space="preserve"> √ </w:t>
            </w:r>
            <w:r>
              <w:rPr>
                <w:rFonts w:hint="eastAsia" w:ascii="Times New Roman" w:hAnsi="Times New Roman" w:eastAsia="宋体" w:cs="Times New Roman"/>
                <w:color w:val="auto"/>
                <w:kern w:val="2"/>
                <w:sz w:val="22"/>
                <w:szCs w:val="22"/>
                <w:highlight w:val="none"/>
                <w:lang w:val="en-US" w:eastAsia="zh-CN" w:bidi="ar-SA"/>
              </w:rPr>
              <w:t>）</w:t>
            </w:r>
            <w:r>
              <w:rPr>
                <w:rFonts w:hint="default" w:ascii="Times New Roman" w:hAnsi="Times New Roman" w:eastAsia="宋体" w:cs="Times New Roman"/>
                <w:color w:val="auto"/>
                <w:kern w:val="2"/>
                <w:sz w:val="22"/>
                <w:szCs w:val="22"/>
                <w:highlight w:val="none"/>
                <w:lang w:val="en-US" w:eastAsia="zh-CN" w:bidi="ar-SA"/>
              </w:rPr>
              <w:t xml:space="preserve">      </w:t>
            </w:r>
            <w:r>
              <w:rPr>
                <w:rFonts w:hint="eastAsia" w:ascii="Times New Roman" w:hAnsi="Times New Roman" w:eastAsia="宋体" w:cs="Times New Roman"/>
                <w:color w:val="auto"/>
                <w:kern w:val="2"/>
                <w:sz w:val="22"/>
                <w:szCs w:val="22"/>
                <w:highlight w:val="none"/>
                <w:lang w:val="en-US" w:eastAsia="zh-CN" w:bidi="ar-SA"/>
              </w:rPr>
              <w:t>间歇（</w:t>
            </w:r>
            <w:r>
              <w:rPr>
                <w:rFonts w:hint="default" w:ascii="Times New Roman" w:hAnsi="Times New Roman" w:eastAsia="宋体" w:cs="Times New Roman"/>
                <w:color w:val="auto"/>
                <w:kern w:val="2"/>
                <w:sz w:val="22"/>
                <w:szCs w:val="22"/>
                <w:highlight w:val="none"/>
                <w:lang w:val="en-US" w:eastAsia="zh-CN" w:bidi="ar-SA"/>
              </w:rPr>
              <w:t xml:space="preserve">  </w:t>
            </w:r>
            <w:r>
              <w:rPr>
                <w:rFonts w:hint="eastAsia" w:ascii="Times New Roman" w:hAnsi="Times New Roman" w:eastAsia="宋体" w:cs="Times New Roman"/>
                <w:color w:val="auto"/>
                <w:kern w:val="2"/>
                <w:sz w:val="22"/>
                <w:szCs w:val="22"/>
                <w:highlight w:val="none"/>
                <w:lang w:val="en-US" w:eastAsia="zh-CN" w:bidi="ar-SA"/>
              </w:rPr>
              <w:t>）</w:t>
            </w:r>
          </w:p>
        </w:tc>
      </w:tr>
      <w:tr w14:paraId="119EA16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noWrap w:val="0"/>
            <w:vAlign w:val="center"/>
          </w:tcPr>
          <w:p w14:paraId="5272D5E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排污河道、排污口平面位置示意图</w:t>
            </w:r>
          </w:p>
        </w:tc>
        <w:tc>
          <w:tcPr>
            <w:tcW w:w="4481" w:type="pct"/>
            <w:gridSpan w:val="9"/>
            <w:noWrap w:val="0"/>
            <w:vAlign w:val="center"/>
          </w:tcPr>
          <w:p w14:paraId="6D09C14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both"/>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drawing>
                <wp:anchor distT="0" distB="0" distL="114300" distR="114300" simplePos="0" relativeHeight="251664384" behindDoc="0" locked="0" layoutInCell="1" allowOverlap="1">
                  <wp:simplePos x="0" y="0"/>
                  <wp:positionH relativeFrom="column">
                    <wp:posOffset>10795</wp:posOffset>
                  </wp:positionH>
                  <wp:positionV relativeFrom="paragraph">
                    <wp:posOffset>222250</wp:posOffset>
                  </wp:positionV>
                  <wp:extent cx="4956810" cy="3761105"/>
                  <wp:effectExtent l="0" t="0" r="5715" b="1270"/>
                  <wp:wrapTopAndBottom/>
                  <wp:docPr id="9" name="图片 9" descr="插图-排污河道、排污口平面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插图-排污河道、排污口平面位置示意图"/>
                          <pic:cNvPicPr>
                            <a:picLocks noChangeAspect="1"/>
                          </pic:cNvPicPr>
                        </pic:nvPicPr>
                        <pic:blipFill>
                          <a:blip r:embed="rId16"/>
                          <a:stretch>
                            <a:fillRect/>
                          </a:stretch>
                        </pic:blipFill>
                        <pic:spPr>
                          <a:xfrm>
                            <a:off x="0" y="0"/>
                            <a:ext cx="4956810" cy="3761105"/>
                          </a:xfrm>
                          <a:prstGeom prst="rect">
                            <a:avLst/>
                          </a:prstGeom>
                        </pic:spPr>
                      </pic:pic>
                    </a:graphicData>
                  </a:graphic>
                </wp:anchor>
              </w:drawing>
            </w:r>
            <w:r>
              <w:rPr>
                <w:rFonts w:hint="eastAsia" w:ascii="Times New Roman" w:hAnsi="Times New Roman" w:eastAsia="宋体" w:cs="Times New Roman"/>
                <w:color w:val="auto"/>
                <w:kern w:val="2"/>
                <w:sz w:val="22"/>
                <w:szCs w:val="22"/>
                <w:highlight w:val="none"/>
                <w:lang w:val="en-US" w:eastAsia="zh-CN" w:bidi="ar-SA"/>
              </w:rPr>
              <w:t>排污河道：渣滓溪</w:t>
            </w:r>
          </w:p>
        </w:tc>
      </w:tr>
      <w:tr w14:paraId="632537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restart"/>
            <w:noWrap w:val="0"/>
            <w:vAlign w:val="center"/>
          </w:tcPr>
          <w:p w14:paraId="1459AE7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退</w:t>
            </w:r>
          </w:p>
          <w:p w14:paraId="0BEF8B9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水</w:t>
            </w:r>
          </w:p>
          <w:p w14:paraId="265287B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及</w:t>
            </w:r>
          </w:p>
          <w:p w14:paraId="580FF7C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影</w:t>
            </w:r>
          </w:p>
          <w:p w14:paraId="5282FF0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响</w:t>
            </w:r>
          </w:p>
        </w:tc>
        <w:tc>
          <w:tcPr>
            <w:tcW w:w="1367" w:type="pct"/>
            <w:gridSpan w:val="3"/>
            <w:noWrap w:val="0"/>
            <w:vAlign w:val="center"/>
          </w:tcPr>
          <w:p w14:paraId="684126E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废污水</w:t>
            </w:r>
            <w:r>
              <w:rPr>
                <w:rFonts w:hint="default" w:ascii="Times New Roman" w:hAnsi="Times New Roman" w:eastAsia="宋体" w:cs="Times New Roman"/>
                <w:color w:val="auto"/>
                <w:kern w:val="2"/>
                <w:sz w:val="22"/>
                <w:szCs w:val="22"/>
                <w:highlight w:val="none"/>
                <w:lang w:val="en-US" w:eastAsia="zh-CN" w:bidi="ar-SA"/>
              </w:rPr>
              <w:t>是否经过处理</w:t>
            </w:r>
          </w:p>
        </w:tc>
        <w:tc>
          <w:tcPr>
            <w:tcW w:w="3113" w:type="pct"/>
            <w:gridSpan w:val="6"/>
            <w:noWrap w:val="0"/>
            <w:vAlign w:val="center"/>
          </w:tcPr>
          <w:p w14:paraId="5B1381A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是</w:t>
            </w:r>
          </w:p>
        </w:tc>
      </w:tr>
      <w:tr w14:paraId="0161D9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0F86F56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2A2D958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废污水处理</w:t>
            </w:r>
            <w:r>
              <w:rPr>
                <w:rFonts w:hint="default" w:ascii="Times New Roman" w:hAnsi="Times New Roman" w:eastAsia="宋体" w:cs="Times New Roman"/>
                <w:color w:val="auto"/>
                <w:kern w:val="2"/>
                <w:sz w:val="22"/>
                <w:szCs w:val="22"/>
                <w:highlight w:val="none"/>
                <w:lang w:val="en-US" w:eastAsia="zh-CN" w:bidi="ar-SA"/>
              </w:rPr>
              <w:t>方式及处理工艺</w:t>
            </w:r>
          </w:p>
        </w:tc>
        <w:tc>
          <w:tcPr>
            <w:tcW w:w="3113" w:type="pct"/>
            <w:gridSpan w:val="6"/>
            <w:noWrap w:val="0"/>
            <w:vAlign w:val="center"/>
          </w:tcPr>
          <w:p w14:paraId="4DF289A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混凝沉淀</w:t>
            </w:r>
          </w:p>
        </w:tc>
      </w:tr>
      <w:tr w14:paraId="65928F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B86679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restart"/>
            <w:noWrap w:val="0"/>
            <w:vAlign w:val="center"/>
          </w:tcPr>
          <w:p w14:paraId="78829D8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废水处理站</w:t>
            </w:r>
            <w:r>
              <w:rPr>
                <w:rFonts w:hint="default" w:ascii="Times New Roman" w:hAnsi="Times New Roman" w:eastAsia="宋体" w:cs="Times New Roman"/>
                <w:color w:val="auto"/>
                <w:kern w:val="2"/>
                <w:sz w:val="22"/>
                <w:szCs w:val="22"/>
                <w:highlight w:val="none"/>
                <w:lang w:val="en-US" w:eastAsia="zh-CN" w:bidi="ar-SA"/>
              </w:rPr>
              <w:t>进水及出水</w:t>
            </w:r>
          </w:p>
          <w:p w14:paraId="34AE0A8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浓度</w:t>
            </w:r>
          </w:p>
        </w:tc>
        <w:tc>
          <w:tcPr>
            <w:tcW w:w="589" w:type="pct"/>
            <w:gridSpan w:val="2"/>
            <w:noWrap w:val="0"/>
            <w:vAlign w:val="center"/>
          </w:tcPr>
          <w:p w14:paraId="77B9E3B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项</w:t>
            </w:r>
            <w:r>
              <w:rPr>
                <w:rFonts w:hint="eastAsia" w:ascii="Times New Roman" w:hAnsi="Times New Roman" w:eastAsia="宋体" w:cs="Times New Roman"/>
                <w:color w:val="auto"/>
                <w:kern w:val="2"/>
                <w:sz w:val="22"/>
                <w:szCs w:val="22"/>
                <w:highlight w:val="none"/>
                <w:lang w:val="en-US" w:eastAsia="zh-CN" w:bidi="ar-SA"/>
              </w:rPr>
              <w:t xml:space="preserve">  </w:t>
            </w:r>
            <w:r>
              <w:rPr>
                <w:rFonts w:hint="default" w:ascii="Times New Roman" w:hAnsi="Times New Roman" w:eastAsia="宋体" w:cs="Times New Roman"/>
                <w:color w:val="auto"/>
                <w:kern w:val="2"/>
                <w:sz w:val="22"/>
                <w:szCs w:val="22"/>
                <w:highlight w:val="none"/>
                <w:lang w:val="en-US" w:eastAsia="zh-CN" w:bidi="ar-SA"/>
              </w:rPr>
              <w:t>目</w:t>
            </w:r>
          </w:p>
        </w:tc>
        <w:tc>
          <w:tcPr>
            <w:tcW w:w="1516" w:type="pct"/>
            <w:gridSpan w:val="3"/>
            <w:noWrap w:val="0"/>
            <w:vAlign w:val="center"/>
          </w:tcPr>
          <w:p w14:paraId="7DE2869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进水</w:t>
            </w:r>
            <w:r>
              <w:rPr>
                <w:rFonts w:hint="default" w:ascii="Times New Roman" w:hAnsi="Times New Roman" w:eastAsia="宋体" w:cs="Times New Roman"/>
                <w:color w:val="auto"/>
                <w:kern w:val="2"/>
                <w:sz w:val="22"/>
                <w:szCs w:val="22"/>
                <w:highlight w:val="none"/>
                <w:lang w:val="en-US" w:eastAsia="zh-CN" w:bidi="ar-SA"/>
              </w:rPr>
              <w:t>浓度</w:t>
            </w:r>
            <w:r>
              <w:rPr>
                <w:rFonts w:hint="eastAsia" w:ascii="Times New Roman" w:hAnsi="Times New Roman" w:eastAsia="宋体" w:cs="Times New Roman"/>
                <w:color w:val="auto"/>
                <w:kern w:val="2"/>
                <w:sz w:val="22"/>
                <w:szCs w:val="22"/>
                <w:highlight w:val="none"/>
                <w:lang w:val="en-US" w:eastAsia="zh-CN" w:bidi="ar-SA"/>
              </w:rPr>
              <w:t>（mg/l）</w:t>
            </w:r>
          </w:p>
        </w:tc>
        <w:tc>
          <w:tcPr>
            <w:tcW w:w="1007" w:type="pct"/>
            <w:noWrap w:val="0"/>
            <w:vAlign w:val="center"/>
          </w:tcPr>
          <w:p w14:paraId="5B181FF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出水浓度（mg/l）</w:t>
            </w:r>
          </w:p>
        </w:tc>
      </w:tr>
      <w:tr w14:paraId="4A0732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3360F4A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266B7F3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4DD5582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COD</w:t>
            </w:r>
          </w:p>
        </w:tc>
        <w:tc>
          <w:tcPr>
            <w:tcW w:w="1516" w:type="pct"/>
            <w:gridSpan w:val="3"/>
            <w:noWrap w:val="0"/>
            <w:vAlign w:val="center"/>
          </w:tcPr>
          <w:p w14:paraId="2E31258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71</w:t>
            </w:r>
          </w:p>
        </w:tc>
        <w:tc>
          <w:tcPr>
            <w:tcW w:w="1007" w:type="pct"/>
            <w:noWrap w:val="0"/>
            <w:vAlign w:val="center"/>
          </w:tcPr>
          <w:p w14:paraId="68C9BD4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6.15</w:t>
            </w:r>
          </w:p>
        </w:tc>
      </w:tr>
      <w:tr w14:paraId="14F75E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068A654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70E3F31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0387AD3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氨氮</w:t>
            </w:r>
          </w:p>
        </w:tc>
        <w:tc>
          <w:tcPr>
            <w:tcW w:w="1516" w:type="pct"/>
            <w:gridSpan w:val="3"/>
            <w:noWrap w:val="0"/>
            <w:vAlign w:val="center"/>
          </w:tcPr>
          <w:p w14:paraId="46926F5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1.45</w:t>
            </w:r>
          </w:p>
        </w:tc>
        <w:tc>
          <w:tcPr>
            <w:tcW w:w="1007" w:type="pct"/>
            <w:noWrap w:val="0"/>
            <w:vAlign w:val="center"/>
          </w:tcPr>
          <w:p w14:paraId="5707236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0.32</w:t>
            </w:r>
          </w:p>
        </w:tc>
      </w:tr>
      <w:tr w14:paraId="3A06DD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311C73C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31FAA38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680E699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总磷</w:t>
            </w:r>
          </w:p>
        </w:tc>
        <w:tc>
          <w:tcPr>
            <w:tcW w:w="1516" w:type="pct"/>
            <w:gridSpan w:val="3"/>
            <w:noWrap w:val="0"/>
            <w:vAlign w:val="center"/>
          </w:tcPr>
          <w:p w14:paraId="524B77F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0.46</w:t>
            </w:r>
          </w:p>
        </w:tc>
        <w:tc>
          <w:tcPr>
            <w:tcW w:w="1007" w:type="pct"/>
            <w:noWrap w:val="0"/>
            <w:vAlign w:val="center"/>
          </w:tcPr>
          <w:p w14:paraId="5F93492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w:t>
            </w:r>
            <w:r>
              <w:rPr>
                <w:rFonts w:hint="eastAsia" w:cs="Times New Roman"/>
                <w:color w:val="auto"/>
                <w:kern w:val="2"/>
                <w:sz w:val="22"/>
                <w:szCs w:val="22"/>
                <w:highlight w:val="none"/>
                <w:lang w:val="en-US" w:eastAsia="zh-CN" w:bidi="ar-SA"/>
              </w:rPr>
              <w:t>04</w:t>
            </w:r>
          </w:p>
        </w:tc>
      </w:tr>
      <w:tr w14:paraId="686E5E7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433D8EA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67613E1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7CF0EF6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锑</w:t>
            </w:r>
          </w:p>
        </w:tc>
        <w:tc>
          <w:tcPr>
            <w:tcW w:w="1516" w:type="pct"/>
            <w:gridSpan w:val="3"/>
            <w:noWrap w:val="0"/>
            <w:vAlign w:val="center"/>
          </w:tcPr>
          <w:p w14:paraId="57F1916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2.33</w:t>
            </w:r>
          </w:p>
        </w:tc>
        <w:tc>
          <w:tcPr>
            <w:tcW w:w="1007" w:type="pct"/>
            <w:noWrap w:val="0"/>
            <w:vAlign w:val="center"/>
          </w:tcPr>
          <w:p w14:paraId="3A39552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0.</w:t>
            </w:r>
            <w:r>
              <w:rPr>
                <w:rFonts w:hint="eastAsia" w:ascii="Times New Roman" w:hAnsi="Times New Roman" w:eastAsia="宋体" w:cs="Times New Roman"/>
                <w:color w:val="auto"/>
                <w:kern w:val="2"/>
                <w:sz w:val="22"/>
                <w:szCs w:val="22"/>
                <w:highlight w:val="none"/>
                <w:lang w:val="en-US" w:eastAsia="zh-CN" w:bidi="ar-SA"/>
              </w:rPr>
              <w:t>15</w:t>
            </w:r>
          </w:p>
        </w:tc>
      </w:tr>
      <w:tr w14:paraId="6320F6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3349B78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22E500B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68B8D59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砷</w:t>
            </w:r>
          </w:p>
        </w:tc>
        <w:tc>
          <w:tcPr>
            <w:tcW w:w="1516" w:type="pct"/>
            <w:gridSpan w:val="3"/>
            <w:noWrap w:val="0"/>
            <w:vAlign w:val="center"/>
          </w:tcPr>
          <w:p w14:paraId="6BD1D66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w:t>
            </w:r>
          </w:p>
        </w:tc>
        <w:tc>
          <w:tcPr>
            <w:tcW w:w="1007" w:type="pct"/>
            <w:noWrap w:val="0"/>
            <w:vAlign w:val="center"/>
          </w:tcPr>
          <w:p w14:paraId="061A12CC">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0.034</w:t>
            </w:r>
          </w:p>
        </w:tc>
      </w:tr>
      <w:tr w14:paraId="134EEE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331970E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32F43B4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4849B40E">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铅</w:t>
            </w:r>
          </w:p>
        </w:tc>
        <w:tc>
          <w:tcPr>
            <w:tcW w:w="1516" w:type="pct"/>
            <w:gridSpan w:val="3"/>
            <w:noWrap w:val="0"/>
            <w:vAlign w:val="center"/>
          </w:tcPr>
          <w:p w14:paraId="514A0A5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w:t>
            </w:r>
          </w:p>
        </w:tc>
        <w:tc>
          <w:tcPr>
            <w:tcW w:w="1007" w:type="pct"/>
            <w:noWrap w:val="0"/>
            <w:vAlign w:val="center"/>
          </w:tcPr>
          <w:p w14:paraId="56132BD2">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0.024</w:t>
            </w:r>
          </w:p>
        </w:tc>
      </w:tr>
      <w:tr w14:paraId="5CFD08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77282ED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782EBC9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04707AE1">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汞</w:t>
            </w:r>
          </w:p>
        </w:tc>
        <w:tc>
          <w:tcPr>
            <w:tcW w:w="1516" w:type="pct"/>
            <w:gridSpan w:val="3"/>
            <w:noWrap w:val="0"/>
            <w:vAlign w:val="center"/>
          </w:tcPr>
          <w:p w14:paraId="33FBF18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w:t>
            </w:r>
          </w:p>
        </w:tc>
        <w:tc>
          <w:tcPr>
            <w:tcW w:w="1007" w:type="pct"/>
            <w:noWrap w:val="0"/>
            <w:vAlign w:val="center"/>
          </w:tcPr>
          <w:p w14:paraId="32DF2488">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0.00007</w:t>
            </w:r>
          </w:p>
        </w:tc>
      </w:tr>
      <w:tr w14:paraId="7B8C00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1640BDB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vMerge w:val="continue"/>
            <w:noWrap w:val="0"/>
            <w:vAlign w:val="center"/>
          </w:tcPr>
          <w:p w14:paraId="3E9B893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589" w:type="pct"/>
            <w:gridSpan w:val="2"/>
            <w:noWrap w:val="0"/>
            <w:vAlign w:val="center"/>
          </w:tcPr>
          <w:p w14:paraId="713E2D2C">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镉</w:t>
            </w:r>
          </w:p>
        </w:tc>
        <w:tc>
          <w:tcPr>
            <w:tcW w:w="1516" w:type="pct"/>
            <w:gridSpan w:val="3"/>
            <w:noWrap w:val="0"/>
            <w:vAlign w:val="center"/>
          </w:tcPr>
          <w:p w14:paraId="610EC99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w:t>
            </w:r>
          </w:p>
        </w:tc>
        <w:tc>
          <w:tcPr>
            <w:tcW w:w="1007" w:type="pct"/>
            <w:noWrap w:val="0"/>
            <w:vAlign w:val="center"/>
          </w:tcPr>
          <w:p w14:paraId="6C2A99E8">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0.003</w:t>
            </w:r>
          </w:p>
        </w:tc>
      </w:tr>
      <w:tr w14:paraId="496298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D53EBF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56FF291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水文、水质数据三性检查</w:t>
            </w:r>
          </w:p>
        </w:tc>
        <w:tc>
          <w:tcPr>
            <w:tcW w:w="3113" w:type="pct"/>
            <w:gridSpan w:val="6"/>
            <w:noWrap w:val="0"/>
            <w:vAlign w:val="center"/>
          </w:tcPr>
          <w:p w14:paraId="7AD9795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本排污口下游的渣滓溪、白茅溪、奎溪、洋溪均无水文站，水文数据采用“水文比拟法”移用“</w:t>
            </w:r>
            <w:r>
              <w:rPr>
                <w:rFonts w:hint="eastAsia" w:cs="Times New Roman"/>
                <w:color w:val="auto"/>
                <w:kern w:val="2"/>
                <w:sz w:val="22"/>
                <w:szCs w:val="22"/>
                <w:highlight w:val="none"/>
                <w:lang w:val="en-US" w:eastAsia="zh-CN" w:bidi="ar-SA"/>
              </w:rPr>
              <w:t>梧桐</w:t>
            </w:r>
            <w:r>
              <w:rPr>
                <w:rFonts w:hint="eastAsia" w:ascii="Times New Roman" w:hAnsi="Times New Roman" w:eastAsia="宋体" w:cs="Times New Roman"/>
                <w:color w:val="auto"/>
                <w:kern w:val="2"/>
                <w:sz w:val="22"/>
                <w:szCs w:val="22"/>
                <w:highlight w:val="none"/>
                <w:lang w:val="en-US" w:eastAsia="zh-CN" w:bidi="ar-SA"/>
              </w:rPr>
              <w:t>站”（位于</w:t>
            </w:r>
            <w:r>
              <w:rPr>
                <w:rFonts w:hint="eastAsia" w:cs="Times New Roman"/>
                <w:color w:val="auto"/>
                <w:kern w:val="2"/>
                <w:sz w:val="22"/>
                <w:szCs w:val="22"/>
                <w:highlight w:val="none"/>
                <w:lang w:val="en-US" w:eastAsia="zh-CN" w:bidi="ar-SA"/>
              </w:rPr>
              <w:t>渠江</w:t>
            </w:r>
            <w:r>
              <w:rPr>
                <w:rFonts w:hint="eastAsia" w:ascii="Times New Roman" w:hAnsi="Times New Roman" w:eastAsia="宋体" w:cs="Times New Roman"/>
                <w:color w:val="auto"/>
                <w:kern w:val="2"/>
                <w:sz w:val="22"/>
                <w:szCs w:val="22"/>
                <w:highlight w:val="none"/>
                <w:lang w:val="en-US" w:eastAsia="zh-CN" w:bidi="ar-SA"/>
              </w:rPr>
              <w:t>上，距离项目</w:t>
            </w:r>
            <w:r>
              <w:rPr>
                <w:rFonts w:hint="eastAsia" w:cs="Times New Roman"/>
                <w:color w:val="auto"/>
                <w:kern w:val="2"/>
                <w:sz w:val="22"/>
                <w:szCs w:val="22"/>
                <w:highlight w:val="none"/>
                <w:lang w:val="en-US" w:eastAsia="zh-CN" w:bidi="ar-SA"/>
              </w:rPr>
              <w:t>30</w:t>
            </w:r>
            <w:r>
              <w:rPr>
                <w:rFonts w:hint="eastAsia" w:ascii="Times New Roman" w:hAnsi="Times New Roman" w:eastAsia="宋体" w:cs="Times New Roman"/>
                <w:color w:val="auto"/>
                <w:kern w:val="2"/>
                <w:sz w:val="22"/>
                <w:szCs w:val="22"/>
                <w:highlight w:val="none"/>
                <w:lang w:val="en-US" w:eastAsia="zh-CN" w:bidi="ar-SA"/>
              </w:rPr>
              <w:t>km）计算</w:t>
            </w:r>
            <w:r>
              <w:rPr>
                <w:rFonts w:hint="eastAsia" w:cs="Times New Roman"/>
                <w:color w:val="auto"/>
                <w:kern w:val="2"/>
                <w:sz w:val="22"/>
                <w:szCs w:val="22"/>
                <w:highlight w:val="none"/>
                <w:lang w:val="en-US" w:eastAsia="zh-CN" w:bidi="ar-SA"/>
              </w:rPr>
              <w:t>，资江水文数据以“桃江水文站”为参证站</w:t>
            </w:r>
            <w:r>
              <w:rPr>
                <w:rFonts w:hint="eastAsia" w:ascii="Times New Roman" w:hAnsi="Times New Roman" w:eastAsia="宋体" w:cs="Times New Roman"/>
                <w:color w:val="auto"/>
                <w:kern w:val="2"/>
                <w:sz w:val="22"/>
                <w:szCs w:val="22"/>
                <w:highlight w:val="none"/>
                <w:lang w:val="en-US" w:eastAsia="zh-CN" w:bidi="ar-SA"/>
              </w:rPr>
              <w:t>；水质采用渣滓溪锑矿2023年</w:t>
            </w:r>
            <w:r>
              <w:rPr>
                <w:rFonts w:hint="eastAsia" w:cs="Times New Roman"/>
                <w:color w:val="auto"/>
                <w:kern w:val="2"/>
                <w:sz w:val="22"/>
                <w:szCs w:val="22"/>
                <w:highlight w:val="none"/>
                <w:lang w:val="en-US" w:eastAsia="zh-CN" w:bidi="ar-SA"/>
              </w:rPr>
              <w:t>废水处理站</w:t>
            </w:r>
            <w:r>
              <w:rPr>
                <w:rFonts w:hint="eastAsia" w:ascii="Times New Roman" w:hAnsi="Times New Roman" w:eastAsia="宋体" w:cs="Times New Roman"/>
                <w:color w:val="auto"/>
                <w:kern w:val="2"/>
                <w:sz w:val="22"/>
                <w:szCs w:val="22"/>
                <w:highlight w:val="none"/>
                <w:lang w:val="en-US" w:eastAsia="zh-CN" w:bidi="ar-SA"/>
              </w:rPr>
              <w:t>水质监测值的平均值。水文、水质数据具有可靠性、一致性和代表性</w:t>
            </w:r>
          </w:p>
        </w:tc>
      </w:tr>
      <w:tr w14:paraId="0A6DA7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6C02ED4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4DE2DB5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水污染物输移时间及混合区实验情况</w:t>
            </w:r>
          </w:p>
        </w:tc>
        <w:tc>
          <w:tcPr>
            <w:tcW w:w="3113" w:type="pct"/>
            <w:gridSpan w:val="6"/>
            <w:noWrap w:val="0"/>
            <w:vAlign w:val="center"/>
          </w:tcPr>
          <w:p w14:paraId="6CDBC96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r>
      <w:tr w14:paraId="697D78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4109D5E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2BF0DAA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水生态调查及污水急性毒性试验情况</w:t>
            </w:r>
          </w:p>
        </w:tc>
        <w:tc>
          <w:tcPr>
            <w:tcW w:w="3113" w:type="pct"/>
            <w:gridSpan w:val="6"/>
            <w:noWrap w:val="0"/>
            <w:vAlign w:val="center"/>
          </w:tcPr>
          <w:p w14:paraId="659474E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r>
      <w:tr w14:paraId="5BADF6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219B902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37EB772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设计水文条件选取及计算方法，拟入河废污水、纳污水体水污染物浓度可能最大值计算方法，水质模型选取</w:t>
            </w:r>
          </w:p>
        </w:tc>
        <w:tc>
          <w:tcPr>
            <w:tcW w:w="3113" w:type="pct"/>
            <w:gridSpan w:val="6"/>
            <w:noWrap w:val="0"/>
            <w:vAlign w:val="center"/>
          </w:tcPr>
          <w:p w14:paraId="6804C9C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纳污水体浓度，</w:t>
            </w:r>
            <w:r>
              <w:rPr>
                <w:rFonts w:hint="default" w:ascii="Times New Roman" w:hAnsi="Times New Roman" w:eastAsia="宋体" w:cs="Times New Roman"/>
                <w:color w:val="auto"/>
                <w:kern w:val="2"/>
                <w:sz w:val="22"/>
                <w:szCs w:val="22"/>
                <w:highlight w:val="none"/>
                <w:lang w:val="en-US" w:eastAsia="zh-CN" w:bidi="ar-SA"/>
              </w:rPr>
              <w:t>水域纳污能力计算按规范采用</w:t>
            </w:r>
            <w:r>
              <w:rPr>
                <w:rFonts w:hint="eastAsia" w:ascii="Times New Roman" w:hAnsi="Times New Roman" w:eastAsia="宋体" w:cs="Times New Roman"/>
                <w:color w:val="auto"/>
                <w:kern w:val="2"/>
                <w:sz w:val="22"/>
                <w:szCs w:val="22"/>
                <w:highlight w:val="none"/>
                <w:lang w:val="en-US" w:eastAsia="zh-CN" w:bidi="ar-SA"/>
              </w:rPr>
              <w:t>河流零维模型</w:t>
            </w:r>
          </w:p>
        </w:tc>
      </w:tr>
      <w:tr w14:paraId="584ADE5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29810BA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79E691D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排入</w:t>
            </w:r>
            <w:r>
              <w:rPr>
                <w:rFonts w:hint="default" w:ascii="Times New Roman" w:hAnsi="Times New Roman" w:eastAsia="宋体" w:cs="Times New Roman"/>
                <w:color w:val="auto"/>
                <w:kern w:val="2"/>
                <w:sz w:val="22"/>
                <w:szCs w:val="22"/>
                <w:highlight w:val="none"/>
                <w:lang w:val="en-US" w:eastAsia="zh-CN" w:bidi="ar-SA"/>
              </w:rPr>
              <w:t>水功能区及水质目标</w:t>
            </w:r>
          </w:p>
        </w:tc>
        <w:tc>
          <w:tcPr>
            <w:tcW w:w="3113" w:type="pct"/>
            <w:gridSpan w:val="6"/>
            <w:noWrap w:val="0"/>
            <w:vAlign w:val="center"/>
          </w:tcPr>
          <w:p w14:paraId="75187A0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洋溪安化奎溪镇-马路镇保留区，水质管理目标为Ⅲ类;</w:t>
            </w:r>
          </w:p>
          <w:p w14:paraId="710B1A4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资水安化保留区，水质管理目标为Ⅲ类</w:t>
            </w:r>
          </w:p>
        </w:tc>
      </w:tr>
      <w:tr w14:paraId="6D9C4D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2C472B9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4045221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对水功能区水质影响</w:t>
            </w:r>
          </w:p>
        </w:tc>
        <w:tc>
          <w:tcPr>
            <w:tcW w:w="3113" w:type="pct"/>
            <w:gridSpan w:val="6"/>
            <w:noWrap w:val="0"/>
            <w:vAlign w:val="center"/>
          </w:tcPr>
          <w:p w14:paraId="71F92C9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较小</w:t>
            </w:r>
          </w:p>
        </w:tc>
      </w:tr>
      <w:tr w14:paraId="5983D8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F1CC65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fr-FR" w:eastAsia="zh-CN" w:bidi="ar-SA"/>
              </w:rPr>
            </w:pPr>
          </w:p>
        </w:tc>
        <w:tc>
          <w:tcPr>
            <w:tcW w:w="1367" w:type="pct"/>
            <w:gridSpan w:val="3"/>
            <w:noWrap w:val="0"/>
            <w:vAlign w:val="center"/>
          </w:tcPr>
          <w:p w14:paraId="4C2B382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是否满足水功能区要求</w:t>
            </w:r>
          </w:p>
        </w:tc>
        <w:tc>
          <w:tcPr>
            <w:tcW w:w="3113" w:type="pct"/>
            <w:gridSpan w:val="6"/>
            <w:noWrap w:val="0"/>
            <w:vAlign w:val="center"/>
          </w:tcPr>
          <w:p w14:paraId="1FFE4ED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否</w:t>
            </w:r>
          </w:p>
        </w:tc>
      </w:tr>
      <w:tr w14:paraId="7A9201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095689D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2B4FF69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对下游</w:t>
            </w:r>
            <w:r>
              <w:rPr>
                <w:rFonts w:hint="eastAsia" w:ascii="Times New Roman" w:hAnsi="Times New Roman" w:eastAsia="宋体" w:cs="Times New Roman"/>
                <w:color w:val="auto"/>
                <w:kern w:val="2"/>
                <w:sz w:val="22"/>
                <w:szCs w:val="22"/>
                <w:highlight w:val="none"/>
                <w:lang w:val="en-US" w:eastAsia="zh-CN" w:bidi="ar-SA"/>
              </w:rPr>
              <w:t>取水及生态敏感点</w:t>
            </w:r>
            <w:r>
              <w:rPr>
                <w:rFonts w:hint="default" w:ascii="Times New Roman" w:hAnsi="Times New Roman" w:eastAsia="宋体" w:cs="Times New Roman"/>
                <w:color w:val="auto"/>
                <w:kern w:val="2"/>
                <w:sz w:val="22"/>
                <w:szCs w:val="22"/>
                <w:highlight w:val="none"/>
                <w:lang w:val="en-US" w:eastAsia="zh-CN" w:bidi="ar-SA"/>
              </w:rPr>
              <w:t>的影响</w:t>
            </w:r>
          </w:p>
        </w:tc>
        <w:tc>
          <w:tcPr>
            <w:tcW w:w="3113" w:type="pct"/>
            <w:gridSpan w:val="6"/>
            <w:noWrap w:val="0"/>
            <w:vAlign w:val="center"/>
          </w:tcPr>
          <w:p w14:paraId="07B2C29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较小</w:t>
            </w:r>
          </w:p>
        </w:tc>
      </w:tr>
      <w:tr w14:paraId="028292D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52C81D2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198862C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对</w:t>
            </w:r>
            <w:r>
              <w:rPr>
                <w:rFonts w:hint="default" w:ascii="Times New Roman" w:hAnsi="Times New Roman" w:eastAsia="宋体" w:cs="Times New Roman"/>
                <w:color w:val="auto"/>
                <w:kern w:val="2"/>
                <w:sz w:val="22"/>
                <w:szCs w:val="22"/>
                <w:highlight w:val="none"/>
                <w:lang w:val="en-US" w:eastAsia="zh-CN" w:bidi="ar-SA"/>
              </w:rPr>
              <w:t>重要第三方</w:t>
            </w:r>
            <w:r>
              <w:rPr>
                <w:rFonts w:hint="eastAsia" w:ascii="Times New Roman" w:hAnsi="Times New Roman" w:eastAsia="宋体" w:cs="Times New Roman"/>
                <w:color w:val="auto"/>
                <w:kern w:val="2"/>
                <w:sz w:val="22"/>
                <w:szCs w:val="22"/>
                <w:highlight w:val="none"/>
                <w:lang w:val="en-US" w:eastAsia="zh-CN" w:bidi="ar-SA"/>
              </w:rPr>
              <w:t>的影响</w:t>
            </w:r>
          </w:p>
        </w:tc>
        <w:tc>
          <w:tcPr>
            <w:tcW w:w="3113" w:type="pct"/>
            <w:gridSpan w:val="6"/>
            <w:noWrap w:val="0"/>
            <w:vAlign w:val="center"/>
          </w:tcPr>
          <w:p w14:paraId="0EE860A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无</w:t>
            </w:r>
          </w:p>
        </w:tc>
      </w:tr>
      <w:tr w14:paraId="306CC7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restart"/>
            <w:noWrap w:val="0"/>
            <w:vAlign w:val="center"/>
          </w:tcPr>
          <w:p w14:paraId="50457F9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水</w:t>
            </w:r>
          </w:p>
          <w:p w14:paraId="35A05DC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资</w:t>
            </w:r>
          </w:p>
          <w:p w14:paraId="6E4BB66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源</w:t>
            </w:r>
          </w:p>
          <w:p w14:paraId="15F8871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保</w:t>
            </w:r>
          </w:p>
          <w:p w14:paraId="13081AA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护</w:t>
            </w:r>
          </w:p>
          <w:p w14:paraId="7A363D8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措</w:t>
            </w:r>
          </w:p>
          <w:p w14:paraId="4FD56FC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施</w:t>
            </w:r>
          </w:p>
        </w:tc>
        <w:tc>
          <w:tcPr>
            <w:tcW w:w="1367" w:type="pct"/>
            <w:gridSpan w:val="3"/>
            <w:noWrap w:val="0"/>
            <w:vAlign w:val="center"/>
          </w:tcPr>
          <w:p w14:paraId="436147B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管理措施</w:t>
            </w:r>
          </w:p>
        </w:tc>
        <w:tc>
          <w:tcPr>
            <w:tcW w:w="3113" w:type="pct"/>
            <w:gridSpan w:val="6"/>
            <w:noWrap w:val="0"/>
            <w:vAlign w:val="center"/>
          </w:tcPr>
          <w:p w14:paraId="616693E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（1）严格执行《排污许可证管理条例》，坚持依法排污，并按规定缴纳排污费，环境保护行政主管部门应定期将持证排污者主要污染物排放情况向社会公布，接受公众监督；</w:t>
            </w:r>
          </w:p>
          <w:p w14:paraId="36A2F8C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（2）严格按项目环评及批复的相关要求，执行和落实保护措施及补偿措施。</w:t>
            </w:r>
          </w:p>
        </w:tc>
      </w:tr>
      <w:tr w14:paraId="4684596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6F44119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6B23B3C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技术措施</w:t>
            </w:r>
          </w:p>
        </w:tc>
        <w:tc>
          <w:tcPr>
            <w:tcW w:w="3113" w:type="pct"/>
            <w:gridSpan w:val="6"/>
            <w:noWrap w:val="0"/>
            <w:vAlign w:val="center"/>
          </w:tcPr>
          <w:p w14:paraId="3FCD8F3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铊执行《工业废水铊污染物排放标准》（DB43/968-2021），其他因子</w:t>
            </w:r>
            <w:r>
              <w:rPr>
                <w:rFonts w:hint="default" w:ascii="Times New Roman" w:hAnsi="Times New Roman" w:eastAsia="宋体" w:cs="Times New Roman"/>
                <w:color w:val="auto"/>
                <w:kern w:val="2"/>
                <w:sz w:val="22"/>
                <w:szCs w:val="22"/>
                <w:highlight w:val="none"/>
                <w:lang w:val="en-US" w:eastAsia="zh-CN" w:bidi="ar-SA"/>
              </w:rPr>
              <w:t>执行《</w:t>
            </w:r>
            <w:r>
              <w:rPr>
                <w:rFonts w:hint="default" w:ascii="Times New Roman" w:hAnsi="Times New Roman" w:eastAsia="宋体" w:cs="Times New Roman"/>
                <w:color w:val="auto"/>
                <w:kern w:val="2"/>
                <w:sz w:val="22"/>
                <w:szCs w:val="22"/>
                <w:highlight w:val="none"/>
                <w:lang w:val="en-US" w:eastAsia="zh-CN" w:bidi="ar-SA"/>
              </w:rPr>
              <w:fldChar w:fldCharType="begin"/>
            </w:r>
            <w:r>
              <w:rPr>
                <w:rFonts w:hint="default" w:ascii="Times New Roman" w:hAnsi="Times New Roman" w:eastAsia="宋体" w:cs="Times New Roman"/>
                <w:color w:val="auto"/>
                <w:kern w:val="2"/>
                <w:sz w:val="22"/>
                <w:szCs w:val="22"/>
                <w:highlight w:val="none"/>
                <w:lang w:val="en-US" w:eastAsia="zh-CN" w:bidi="ar-SA"/>
              </w:rPr>
              <w:instrText xml:space="preserve"> HYPERLINK "http://kjs.mep.gov.cn/hjbhbz/bzwb/dqhjbh/dqgdwrywrwpfbz/201405/W020140530533213253195.pdf" </w:instrText>
            </w:r>
            <w:r>
              <w:rPr>
                <w:rFonts w:hint="default" w:ascii="Times New Roman" w:hAnsi="Times New Roman" w:eastAsia="宋体" w:cs="Times New Roman"/>
                <w:color w:val="auto"/>
                <w:kern w:val="2"/>
                <w:sz w:val="22"/>
                <w:szCs w:val="22"/>
                <w:highlight w:val="none"/>
                <w:lang w:val="en-US" w:eastAsia="zh-CN" w:bidi="ar-SA"/>
              </w:rPr>
              <w:fldChar w:fldCharType="separate"/>
            </w:r>
            <w:r>
              <w:rPr>
                <w:rFonts w:hint="default" w:ascii="Times New Roman" w:hAnsi="Times New Roman" w:eastAsia="宋体" w:cs="Times New Roman"/>
                <w:color w:val="auto"/>
                <w:kern w:val="2"/>
                <w:sz w:val="22"/>
                <w:szCs w:val="22"/>
                <w:highlight w:val="none"/>
                <w:lang w:val="en-US" w:eastAsia="zh-CN" w:bidi="ar-SA"/>
              </w:rPr>
              <w:t>锡、锑、汞工业污染物排放标准</w:t>
            </w:r>
            <w:r>
              <w:rPr>
                <w:rFonts w:hint="default" w:ascii="Times New Roman" w:hAnsi="Times New Roman" w:eastAsia="宋体" w:cs="Times New Roman"/>
                <w:color w:val="auto"/>
                <w:kern w:val="2"/>
                <w:sz w:val="22"/>
                <w:szCs w:val="22"/>
                <w:highlight w:val="none"/>
                <w:lang w:val="en-US" w:eastAsia="zh-CN" w:bidi="ar-SA"/>
              </w:rPr>
              <w:fldChar w:fldCharType="end"/>
            </w:r>
            <w:r>
              <w:rPr>
                <w:rFonts w:hint="default" w:ascii="Times New Roman" w:hAnsi="Times New Roman" w:eastAsia="宋体" w:cs="Times New Roman"/>
                <w:color w:val="auto"/>
                <w:kern w:val="2"/>
                <w:sz w:val="22"/>
                <w:szCs w:val="22"/>
                <w:highlight w:val="none"/>
                <w:lang w:val="en-US" w:eastAsia="zh-CN" w:bidi="ar-SA"/>
              </w:rPr>
              <w:t>》（GB 30770-2014）</w:t>
            </w:r>
            <w:r>
              <w:rPr>
                <w:rFonts w:hint="eastAsia" w:ascii="Times New Roman" w:hAnsi="Times New Roman" w:eastAsia="宋体" w:cs="Times New Roman"/>
                <w:color w:val="auto"/>
                <w:kern w:val="2"/>
                <w:sz w:val="22"/>
                <w:szCs w:val="22"/>
                <w:highlight w:val="none"/>
                <w:lang w:val="en-US" w:eastAsia="zh-CN" w:bidi="ar-SA"/>
              </w:rPr>
              <w:t>表</w:t>
            </w:r>
            <w:r>
              <w:rPr>
                <w:rFonts w:hint="eastAsia" w:cs="Times New Roman"/>
                <w:color w:val="auto"/>
                <w:kern w:val="2"/>
                <w:sz w:val="22"/>
                <w:szCs w:val="22"/>
                <w:highlight w:val="none"/>
                <w:lang w:val="en-US" w:eastAsia="zh-CN" w:bidi="ar-SA"/>
              </w:rPr>
              <w:t>2</w:t>
            </w:r>
            <w:r>
              <w:rPr>
                <w:rFonts w:hint="eastAsia" w:ascii="Times New Roman" w:hAnsi="Times New Roman" w:eastAsia="宋体" w:cs="Times New Roman"/>
                <w:color w:val="auto"/>
                <w:kern w:val="2"/>
                <w:sz w:val="22"/>
                <w:szCs w:val="22"/>
                <w:highlight w:val="none"/>
                <w:lang w:val="en-US" w:eastAsia="zh-CN" w:bidi="ar-SA"/>
              </w:rPr>
              <w:t>，其中锑执行0.15mg/L</w:t>
            </w:r>
            <w:r>
              <w:rPr>
                <w:rFonts w:hint="default" w:ascii="Times New Roman" w:hAnsi="Times New Roman" w:eastAsia="宋体" w:cs="Times New Roman"/>
                <w:color w:val="auto"/>
                <w:kern w:val="2"/>
                <w:sz w:val="22"/>
                <w:szCs w:val="22"/>
                <w:highlight w:val="none"/>
                <w:lang w:val="en-US" w:eastAsia="zh-CN" w:bidi="ar-SA"/>
              </w:rPr>
              <w:t>，排污口设置在线监测装置。</w:t>
            </w:r>
          </w:p>
        </w:tc>
      </w:tr>
      <w:tr w14:paraId="127033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0929455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12396F5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污染物总量控制意见</w:t>
            </w:r>
          </w:p>
        </w:tc>
        <w:tc>
          <w:tcPr>
            <w:tcW w:w="3113" w:type="pct"/>
            <w:gridSpan w:val="6"/>
            <w:noWrap w:val="0"/>
            <w:vAlign w:val="center"/>
          </w:tcPr>
          <w:p w14:paraId="51A8B94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无需再申请总量</w:t>
            </w:r>
          </w:p>
        </w:tc>
      </w:tr>
      <w:tr w14:paraId="7EA3396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7F28D89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7A54BE8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基于水质目标的水污染物排放限值</w:t>
            </w:r>
          </w:p>
        </w:tc>
        <w:tc>
          <w:tcPr>
            <w:tcW w:w="3113" w:type="pct"/>
            <w:gridSpan w:val="6"/>
            <w:noWrap w:val="0"/>
            <w:vAlign w:val="center"/>
          </w:tcPr>
          <w:p w14:paraId="4FE18BF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r>
      <w:tr w14:paraId="4CC877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1A6D9A2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33B1BAB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污水排放监控</w:t>
            </w:r>
            <w:r>
              <w:rPr>
                <w:rFonts w:hint="eastAsia" w:ascii="Times New Roman" w:hAnsi="Times New Roman" w:eastAsia="宋体" w:cs="Times New Roman"/>
                <w:color w:val="auto"/>
                <w:kern w:val="2"/>
                <w:sz w:val="22"/>
                <w:szCs w:val="22"/>
                <w:highlight w:val="none"/>
                <w:lang w:val="en-US" w:eastAsia="zh-CN" w:bidi="ar-SA"/>
              </w:rPr>
              <w:t>要求</w:t>
            </w:r>
          </w:p>
        </w:tc>
        <w:tc>
          <w:tcPr>
            <w:tcW w:w="3113" w:type="pct"/>
            <w:gridSpan w:val="6"/>
            <w:noWrap w:val="0"/>
            <w:vAlign w:val="center"/>
          </w:tcPr>
          <w:p w14:paraId="154D2EB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在线监测p</w:t>
            </w:r>
            <w:r>
              <w:rPr>
                <w:rFonts w:hint="default" w:ascii="Times New Roman" w:hAnsi="Times New Roman" w:eastAsia="宋体" w:cs="Times New Roman"/>
                <w:color w:val="auto"/>
                <w:kern w:val="2"/>
                <w:sz w:val="22"/>
                <w:szCs w:val="22"/>
                <w:highlight w:val="none"/>
                <w:lang w:val="en-US" w:eastAsia="zh-CN" w:bidi="ar-SA"/>
              </w:rPr>
              <w:t>H、CODcr、NH</w:t>
            </w:r>
            <w:r>
              <w:rPr>
                <w:rFonts w:hint="default" w:ascii="Times New Roman" w:hAnsi="Times New Roman" w:eastAsia="宋体" w:cs="Times New Roman"/>
                <w:color w:val="auto"/>
                <w:kern w:val="2"/>
                <w:sz w:val="22"/>
                <w:szCs w:val="22"/>
                <w:highlight w:val="none"/>
                <w:vertAlign w:val="subscript"/>
                <w:lang w:val="en-US" w:eastAsia="zh-CN" w:bidi="ar-SA"/>
              </w:rPr>
              <w:t>3</w:t>
            </w:r>
            <w:r>
              <w:rPr>
                <w:rFonts w:hint="default" w:ascii="Times New Roman" w:hAnsi="Times New Roman" w:eastAsia="宋体" w:cs="Times New Roman"/>
                <w:color w:val="auto"/>
                <w:kern w:val="2"/>
                <w:sz w:val="22"/>
                <w:szCs w:val="22"/>
                <w:highlight w:val="none"/>
                <w:lang w:val="en-US" w:eastAsia="zh-CN" w:bidi="ar-SA"/>
              </w:rPr>
              <w:t>-N、</w:t>
            </w:r>
            <w:r>
              <w:rPr>
                <w:rFonts w:hint="eastAsia" w:ascii="Times New Roman" w:hAnsi="Times New Roman" w:eastAsia="宋体" w:cs="Times New Roman"/>
                <w:color w:val="auto"/>
                <w:kern w:val="2"/>
                <w:sz w:val="22"/>
                <w:szCs w:val="22"/>
                <w:highlight w:val="none"/>
                <w:lang w:val="en-US" w:eastAsia="zh-CN" w:bidi="ar-SA"/>
              </w:rPr>
              <w:t>锑</w:t>
            </w:r>
          </w:p>
        </w:tc>
      </w:tr>
      <w:tr w14:paraId="4C9FC7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1" w:type="dxa"/>
            <w:bottom w:w="0" w:type="dxa"/>
            <w:right w:w="11" w:type="dxa"/>
          </w:tblCellMar>
        </w:tblPrEx>
        <w:trPr>
          <w:trHeight w:val="20" w:hRule="atLeast"/>
          <w:jc w:val="center"/>
        </w:trPr>
        <w:tc>
          <w:tcPr>
            <w:tcW w:w="518" w:type="pct"/>
            <w:vMerge w:val="continue"/>
            <w:noWrap w:val="0"/>
            <w:vAlign w:val="center"/>
          </w:tcPr>
          <w:p w14:paraId="30B9733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367" w:type="pct"/>
            <w:gridSpan w:val="3"/>
            <w:noWrap w:val="0"/>
            <w:vAlign w:val="center"/>
          </w:tcPr>
          <w:p w14:paraId="3DF55FB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突发水污染事件应急预案</w:t>
            </w:r>
          </w:p>
        </w:tc>
        <w:tc>
          <w:tcPr>
            <w:tcW w:w="3113" w:type="pct"/>
            <w:gridSpan w:val="6"/>
            <w:noWrap w:val="0"/>
            <w:vAlign w:val="center"/>
          </w:tcPr>
          <w:p w14:paraId="64D9936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r>
    </w:tbl>
    <w:p w14:paraId="58C2E627">
      <w:pPr>
        <w:pStyle w:val="2"/>
        <w:rPr>
          <w:rFonts w:hint="eastAsia"/>
          <w:color w:val="auto"/>
          <w:sz w:val="28"/>
          <w:szCs w:val="21"/>
          <w:highlight w:val="none"/>
        </w:rPr>
      </w:pPr>
    </w:p>
    <w:p w14:paraId="4461BEC9">
      <w:pPr>
        <w:pStyle w:val="2"/>
        <w:bidi w:val="0"/>
        <w:rPr>
          <w:rFonts w:hint="default" w:ascii="Times New Roman" w:hAnsi="Times New Roman" w:cs="Times New Roman"/>
          <w:b/>
          <w:bCs/>
          <w:color w:val="auto"/>
          <w:highlight w:val="none"/>
        </w:rPr>
      </w:pPr>
    </w:p>
    <w:p w14:paraId="6C5519E3">
      <w:pPr>
        <w:pStyle w:val="35"/>
        <w:bidi w:val="0"/>
        <w:rPr>
          <w:rFonts w:hint="default" w:ascii="Times New Roman" w:hAnsi="Times New Roman" w:cs="Times New Roman"/>
          <w:color w:val="auto"/>
          <w:highlight w:val="none"/>
        </w:rPr>
        <w:sectPr>
          <w:footerReference r:id="rId9" w:type="default"/>
          <w:pgSz w:w="11906" w:h="16838"/>
          <w:pgMar w:top="1440" w:right="1440" w:bottom="1236" w:left="1440" w:header="851" w:footer="992" w:gutter="0"/>
          <w:pgBorders>
            <w:top w:val="none" w:sz="0" w:space="0"/>
            <w:left w:val="none" w:sz="0" w:space="0"/>
            <w:bottom w:val="none" w:sz="0" w:space="0"/>
            <w:right w:val="none" w:sz="0" w:space="0"/>
          </w:pgBorders>
          <w:pgNumType w:start="1"/>
          <w:cols w:space="720" w:num="1"/>
          <w:docGrid w:type="lines" w:linePitch="312" w:charSpace="0"/>
        </w:sectPr>
      </w:pPr>
      <w:bookmarkStart w:id="0" w:name="_Toc4257"/>
    </w:p>
    <w:bookmarkEnd w:id="0"/>
    <w:p w14:paraId="738ABC93">
      <w:pPr>
        <w:pStyle w:val="28"/>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目   录</w:t>
      </w:r>
    </w:p>
    <w:p w14:paraId="7CF43416">
      <w:pPr>
        <w:pStyle w:val="17"/>
        <w:tabs>
          <w:tab w:val="right" w:leader="dot" w:pos="9026"/>
        </w:tabs>
      </w:pPr>
      <w:r>
        <w:rPr>
          <w:rFonts w:hint="default" w:ascii="Times New Roman" w:hAnsi="Times New Roman" w:cs="Times New Roman"/>
          <w:b/>
          <w:color w:val="auto"/>
          <w:szCs w:val="24"/>
          <w:highlight w:val="none"/>
        </w:rPr>
        <w:fldChar w:fldCharType="begin"/>
      </w:r>
      <w:r>
        <w:rPr>
          <w:rFonts w:hint="default" w:ascii="Times New Roman" w:hAnsi="Times New Roman" w:cs="Times New Roman"/>
          <w:b/>
          <w:color w:val="auto"/>
          <w:szCs w:val="24"/>
          <w:highlight w:val="none"/>
        </w:rPr>
        <w:instrText xml:space="preserve"> TOC \o "1-2" \h \z \u </w:instrText>
      </w:r>
      <w:r>
        <w:rPr>
          <w:rFonts w:hint="default" w:ascii="Times New Roman" w:hAnsi="Times New Roman" w:cs="Times New Roman"/>
          <w:b/>
          <w:color w:val="auto"/>
          <w:szCs w:val="24"/>
          <w:highlight w:val="none"/>
        </w:rPr>
        <w:fldChar w:fldCharType="separate"/>
      </w: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_Toc31682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rPr>
        <w:t xml:space="preserve">1 </w:t>
      </w:r>
      <w:r>
        <w:rPr>
          <w:rFonts w:hint="default" w:ascii="Times New Roman" w:hAnsi="Times New Roman" w:cs="Times New Roman"/>
          <w:highlight w:val="none"/>
        </w:rPr>
        <w:t>总则</w:t>
      </w:r>
      <w:r>
        <w:tab/>
      </w:r>
      <w:r>
        <w:fldChar w:fldCharType="begin"/>
      </w:r>
      <w:r>
        <w:instrText xml:space="preserve"> PAGEREF _Toc31682 \h </w:instrText>
      </w:r>
      <w:r>
        <w:fldChar w:fldCharType="separate"/>
      </w:r>
      <w:r>
        <w:t>1</w:t>
      </w:r>
      <w:r>
        <w:fldChar w:fldCharType="end"/>
      </w:r>
      <w:r>
        <w:rPr>
          <w:rFonts w:hint="default" w:ascii="Times New Roman" w:hAnsi="Times New Roman" w:cs="Times New Roman"/>
          <w:color w:val="auto"/>
          <w:szCs w:val="24"/>
          <w:highlight w:val="none"/>
        </w:rPr>
        <w:fldChar w:fldCharType="end"/>
      </w:r>
    </w:p>
    <w:p w14:paraId="132288E4">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_Toc4381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rPr>
        <w:t xml:space="preserve">1.1 </w:t>
      </w:r>
      <w:r>
        <w:rPr>
          <w:rFonts w:hint="eastAsia" w:cs="Times New Roman"/>
          <w:highlight w:val="none"/>
          <w:lang w:val="en-US" w:eastAsia="zh-CN"/>
        </w:rPr>
        <w:t>企业概况</w:t>
      </w:r>
      <w:r>
        <w:tab/>
      </w:r>
      <w:r>
        <w:fldChar w:fldCharType="begin"/>
      </w:r>
      <w:r>
        <w:instrText xml:space="preserve"> PAGEREF _Toc4381 \h </w:instrText>
      </w:r>
      <w:r>
        <w:fldChar w:fldCharType="separate"/>
      </w:r>
      <w:r>
        <w:t>1</w:t>
      </w:r>
      <w:r>
        <w:fldChar w:fldCharType="end"/>
      </w:r>
      <w:r>
        <w:rPr>
          <w:rFonts w:hint="default" w:ascii="Times New Roman" w:hAnsi="Times New Roman" w:cs="Times New Roman"/>
          <w:color w:val="auto"/>
          <w:szCs w:val="24"/>
          <w:highlight w:val="none"/>
        </w:rPr>
        <w:fldChar w:fldCharType="end"/>
      </w:r>
    </w:p>
    <w:p w14:paraId="089C4092">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_Toc1419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1.2 </w:t>
      </w:r>
      <w:r>
        <w:rPr>
          <w:rFonts w:hint="eastAsia" w:ascii="Times New Roman" w:hAnsi="Times New Roman" w:cs="Times New Roman"/>
          <w:highlight w:val="none"/>
          <w:lang w:val="en-US" w:eastAsia="zh-CN"/>
        </w:rPr>
        <w:t>论证目的</w:t>
      </w:r>
      <w:r>
        <w:tab/>
      </w:r>
      <w:r>
        <w:fldChar w:fldCharType="begin"/>
      </w:r>
      <w:r>
        <w:instrText xml:space="preserve"> PAGEREF _Toc1419 \h </w:instrText>
      </w:r>
      <w:r>
        <w:fldChar w:fldCharType="separate"/>
      </w:r>
      <w:r>
        <w:t>3</w:t>
      </w:r>
      <w:r>
        <w:fldChar w:fldCharType="end"/>
      </w:r>
      <w:r>
        <w:rPr>
          <w:rFonts w:hint="default" w:ascii="Times New Roman" w:hAnsi="Times New Roman" w:cs="Times New Roman"/>
          <w:color w:val="auto"/>
          <w:szCs w:val="24"/>
          <w:highlight w:val="none"/>
        </w:rPr>
        <w:fldChar w:fldCharType="end"/>
      </w:r>
    </w:p>
    <w:p w14:paraId="142B05BB">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_Toc22775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1.3 </w:t>
      </w:r>
      <w:r>
        <w:rPr>
          <w:rFonts w:hint="eastAsia" w:ascii="Times New Roman" w:hAnsi="Times New Roman" w:cs="Times New Roman"/>
          <w:highlight w:val="none"/>
          <w:lang w:val="en-US" w:eastAsia="zh-CN"/>
        </w:rPr>
        <w:t>论证原则</w:t>
      </w:r>
      <w:r>
        <w:tab/>
      </w:r>
      <w:r>
        <w:fldChar w:fldCharType="begin"/>
      </w:r>
      <w:r>
        <w:instrText xml:space="preserve"> PAGEREF _Toc22775 \h </w:instrText>
      </w:r>
      <w:r>
        <w:fldChar w:fldCharType="separate"/>
      </w:r>
      <w:r>
        <w:t>4</w:t>
      </w:r>
      <w:r>
        <w:fldChar w:fldCharType="end"/>
      </w:r>
      <w:r>
        <w:rPr>
          <w:rFonts w:hint="default" w:ascii="Times New Roman" w:hAnsi="Times New Roman" w:cs="Times New Roman"/>
          <w:color w:val="auto"/>
          <w:szCs w:val="24"/>
          <w:highlight w:val="none"/>
        </w:rPr>
        <w:fldChar w:fldCharType="end"/>
      </w:r>
    </w:p>
    <w:p w14:paraId="76DA20BE">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_Toc8702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1.4 </w:t>
      </w:r>
      <w:r>
        <w:rPr>
          <w:rFonts w:hint="eastAsia" w:ascii="Times New Roman" w:hAnsi="Times New Roman" w:cs="Times New Roman"/>
          <w:highlight w:val="none"/>
          <w:lang w:val="en-US" w:eastAsia="zh-CN"/>
        </w:rPr>
        <w:t>论证依据</w:t>
      </w:r>
      <w:r>
        <w:tab/>
      </w:r>
      <w:r>
        <w:fldChar w:fldCharType="begin"/>
      </w:r>
      <w:r>
        <w:instrText xml:space="preserve"> PAGEREF _Toc8702 \h </w:instrText>
      </w:r>
      <w:r>
        <w:fldChar w:fldCharType="separate"/>
      </w:r>
      <w:r>
        <w:t>4</w:t>
      </w:r>
      <w:r>
        <w:fldChar w:fldCharType="end"/>
      </w:r>
      <w:r>
        <w:rPr>
          <w:rFonts w:hint="default" w:ascii="Times New Roman" w:hAnsi="Times New Roman" w:cs="Times New Roman"/>
          <w:color w:val="auto"/>
          <w:szCs w:val="24"/>
          <w:highlight w:val="none"/>
        </w:rPr>
        <w:fldChar w:fldCharType="end"/>
      </w:r>
    </w:p>
    <w:p w14:paraId="3C1F0B42">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_Toc15539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1.5 </w:t>
      </w:r>
      <w:r>
        <w:rPr>
          <w:rFonts w:hint="eastAsia" w:ascii="Times New Roman" w:hAnsi="Times New Roman" w:cs="Times New Roman"/>
          <w:highlight w:val="none"/>
          <w:lang w:val="en-US" w:eastAsia="zh-CN"/>
        </w:rPr>
        <w:t>论证范围</w:t>
      </w:r>
      <w:r>
        <w:tab/>
      </w:r>
      <w:r>
        <w:fldChar w:fldCharType="begin"/>
      </w:r>
      <w:r>
        <w:instrText xml:space="preserve"> PAGEREF _Toc15539 \h </w:instrText>
      </w:r>
      <w:r>
        <w:fldChar w:fldCharType="separate"/>
      </w:r>
      <w:r>
        <w:t>6</w:t>
      </w:r>
      <w:r>
        <w:fldChar w:fldCharType="end"/>
      </w:r>
      <w:r>
        <w:rPr>
          <w:rFonts w:hint="default" w:ascii="Times New Roman" w:hAnsi="Times New Roman" w:cs="Times New Roman"/>
          <w:color w:val="auto"/>
          <w:szCs w:val="24"/>
          <w:highlight w:val="none"/>
        </w:rPr>
        <w:fldChar w:fldCharType="end"/>
      </w:r>
    </w:p>
    <w:p w14:paraId="553A6489">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_Toc3107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1.6 </w:t>
      </w:r>
      <w:r>
        <w:rPr>
          <w:rFonts w:hint="eastAsia" w:ascii="Times New Roman" w:hAnsi="Times New Roman" w:cs="Times New Roman"/>
          <w:highlight w:val="none"/>
          <w:lang w:val="en-US" w:eastAsia="zh-CN"/>
        </w:rPr>
        <w:t>论证工作程序</w:t>
      </w:r>
      <w:r>
        <w:tab/>
      </w:r>
      <w:r>
        <w:fldChar w:fldCharType="begin"/>
      </w:r>
      <w:r>
        <w:instrText xml:space="preserve"> PAGEREF _Toc3107 \h </w:instrText>
      </w:r>
      <w:r>
        <w:fldChar w:fldCharType="separate"/>
      </w:r>
      <w:r>
        <w:t>7</w:t>
      </w:r>
      <w:r>
        <w:fldChar w:fldCharType="end"/>
      </w:r>
      <w:r>
        <w:rPr>
          <w:rFonts w:hint="default" w:ascii="Times New Roman" w:hAnsi="Times New Roman" w:cs="Times New Roman"/>
          <w:color w:val="auto"/>
          <w:szCs w:val="24"/>
          <w:highlight w:val="none"/>
        </w:rPr>
        <w:fldChar w:fldCharType="end"/>
      </w:r>
    </w:p>
    <w:p w14:paraId="7277697A">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_Toc31835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1.7 </w:t>
      </w:r>
      <w:r>
        <w:rPr>
          <w:rFonts w:hint="eastAsia" w:ascii="Times New Roman" w:hAnsi="Times New Roman" w:cs="Times New Roman"/>
          <w:highlight w:val="none"/>
          <w:lang w:val="en-US" w:eastAsia="zh-CN"/>
        </w:rPr>
        <w:t>论证的主要内容</w:t>
      </w:r>
      <w:r>
        <w:tab/>
      </w:r>
      <w:r>
        <w:fldChar w:fldCharType="begin"/>
      </w:r>
      <w:r>
        <w:instrText xml:space="preserve"> PAGEREF _Toc31835 \h </w:instrText>
      </w:r>
      <w:r>
        <w:fldChar w:fldCharType="separate"/>
      </w:r>
      <w:r>
        <w:t>8</w:t>
      </w:r>
      <w:r>
        <w:fldChar w:fldCharType="end"/>
      </w:r>
      <w:r>
        <w:rPr>
          <w:rFonts w:hint="default" w:ascii="Times New Roman" w:hAnsi="Times New Roman" w:cs="Times New Roman"/>
          <w:color w:val="auto"/>
          <w:szCs w:val="24"/>
          <w:highlight w:val="none"/>
        </w:rPr>
        <w:fldChar w:fldCharType="end"/>
      </w:r>
    </w:p>
    <w:p w14:paraId="4EF952B5">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_Toc6285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1.8 </w:t>
      </w:r>
      <w:r>
        <w:rPr>
          <w:rFonts w:hint="eastAsia" w:ascii="Times New Roman" w:hAnsi="Times New Roman" w:cs="Times New Roman"/>
          <w:highlight w:val="none"/>
          <w:lang w:val="en-US" w:eastAsia="zh-CN"/>
        </w:rPr>
        <w:t>论证水平年、规模及论证等级</w:t>
      </w:r>
      <w:r>
        <w:tab/>
      </w:r>
      <w:r>
        <w:fldChar w:fldCharType="begin"/>
      </w:r>
      <w:r>
        <w:instrText xml:space="preserve"> PAGEREF _Toc6285 \h </w:instrText>
      </w:r>
      <w:r>
        <w:fldChar w:fldCharType="separate"/>
      </w:r>
      <w:r>
        <w:t>9</w:t>
      </w:r>
      <w:r>
        <w:fldChar w:fldCharType="end"/>
      </w:r>
      <w:r>
        <w:rPr>
          <w:rFonts w:hint="default" w:ascii="Times New Roman" w:hAnsi="Times New Roman" w:cs="Times New Roman"/>
          <w:color w:val="auto"/>
          <w:szCs w:val="24"/>
          <w:highlight w:val="none"/>
        </w:rPr>
        <w:fldChar w:fldCharType="end"/>
      </w:r>
    </w:p>
    <w:p w14:paraId="7EC22B69">
      <w:pPr>
        <w:pStyle w:val="17"/>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_Toc9239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2 </w:t>
      </w:r>
      <w:r>
        <w:rPr>
          <w:rFonts w:hint="eastAsia" w:ascii="Times New Roman" w:hAnsi="Times New Roman" w:cs="Times New Roman"/>
          <w:highlight w:val="none"/>
          <w:lang w:val="en-US" w:eastAsia="zh-CN"/>
        </w:rPr>
        <w:t>项目概况</w:t>
      </w:r>
      <w:r>
        <w:tab/>
      </w:r>
      <w:r>
        <w:fldChar w:fldCharType="begin"/>
      </w:r>
      <w:r>
        <w:instrText xml:space="preserve"> PAGEREF _Toc9239 \h </w:instrText>
      </w:r>
      <w:r>
        <w:fldChar w:fldCharType="separate"/>
      </w:r>
      <w:r>
        <w:t>11</w:t>
      </w:r>
      <w:r>
        <w:fldChar w:fldCharType="end"/>
      </w:r>
      <w:r>
        <w:rPr>
          <w:rFonts w:hint="default" w:ascii="Times New Roman" w:hAnsi="Times New Roman" w:cs="Times New Roman"/>
          <w:color w:val="auto"/>
          <w:szCs w:val="24"/>
          <w:highlight w:val="none"/>
        </w:rPr>
        <w:fldChar w:fldCharType="end"/>
      </w:r>
    </w:p>
    <w:p w14:paraId="7738048A">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_Toc11523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2.1 </w:t>
      </w:r>
      <w:r>
        <w:rPr>
          <w:rFonts w:hint="eastAsia" w:ascii="Times New Roman" w:hAnsi="Times New Roman" w:cs="Times New Roman"/>
          <w:highlight w:val="none"/>
          <w:lang w:val="en-US" w:eastAsia="zh-CN"/>
        </w:rPr>
        <w:t>项目基本情况</w:t>
      </w:r>
      <w:r>
        <w:tab/>
      </w:r>
      <w:r>
        <w:fldChar w:fldCharType="begin"/>
      </w:r>
      <w:r>
        <w:instrText xml:space="preserve"> PAGEREF _Toc11523 \h </w:instrText>
      </w:r>
      <w:r>
        <w:fldChar w:fldCharType="separate"/>
      </w:r>
      <w:r>
        <w:t>11</w:t>
      </w:r>
      <w:r>
        <w:fldChar w:fldCharType="end"/>
      </w:r>
      <w:r>
        <w:rPr>
          <w:rFonts w:hint="default" w:ascii="Times New Roman" w:hAnsi="Times New Roman" w:cs="Times New Roman"/>
          <w:color w:val="auto"/>
          <w:szCs w:val="24"/>
          <w:highlight w:val="none"/>
        </w:rPr>
        <w:fldChar w:fldCharType="end"/>
      </w:r>
    </w:p>
    <w:p w14:paraId="44D41E1D">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_Toc27604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2.2 </w:t>
      </w:r>
      <w:r>
        <w:rPr>
          <w:rFonts w:hint="eastAsia" w:ascii="Times New Roman" w:hAnsi="Times New Roman" w:cs="Times New Roman"/>
          <w:highlight w:val="none"/>
          <w:lang w:val="en-US" w:eastAsia="zh-CN"/>
        </w:rPr>
        <w:t>项目所在区域概况</w:t>
      </w:r>
      <w:r>
        <w:tab/>
      </w:r>
      <w:r>
        <w:fldChar w:fldCharType="begin"/>
      </w:r>
      <w:r>
        <w:instrText xml:space="preserve"> PAGEREF _Toc27604 \h </w:instrText>
      </w:r>
      <w:r>
        <w:fldChar w:fldCharType="separate"/>
      </w:r>
      <w:r>
        <w:t>65</w:t>
      </w:r>
      <w:r>
        <w:fldChar w:fldCharType="end"/>
      </w:r>
      <w:r>
        <w:rPr>
          <w:rFonts w:hint="default" w:ascii="Times New Roman" w:hAnsi="Times New Roman" w:cs="Times New Roman"/>
          <w:color w:val="auto"/>
          <w:szCs w:val="24"/>
          <w:highlight w:val="none"/>
        </w:rPr>
        <w:fldChar w:fldCharType="end"/>
      </w:r>
    </w:p>
    <w:p w14:paraId="5DC8F75A">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_Toc19989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2.3 </w:t>
      </w:r>
      <w:r>
        <w:rPr>
          <w:rFonts w:hint="eastAsia" w:ascii="Times New Roman" w:hAnsi="Times New Roman" w:cs="Times New Roman"/>
          <w:highlight w:val="none"/>
          <w:lang w:val="en-US" w:eastAsia="zh-CN"/>
        </w:rPr>
        <w:t>项目建设依据及必要性</w:t>
      </w:r>
      <w:r>
        <w:tab/>
      </w:r>
      <w:r>
        <w:fldChar w:fldCharType="begin"/>
      </w:r>
      <w:r>
        <w:instrText xml:space="preserve"> PAGEREF _Toc19989 \h </w:instrText>
      </w:r>
      <w:r>
        <w:fldChar w:fldCharType="separate"/>
      </w:r>
      <w:r>
        <w:t>70</w:t>
      </w:r>
      <w:r>
        <w:fldChar w:fldCharType="end"/>
      </w:r>
      <w:r>
        <w:rPr>
          <w:rFonts w:hint="default" w:ascii="Times New Roman" w:hAnsi="Times New Roman" w:cs="Times New Roman"/>
          <w:color w:val="auto"/>
          <w:szCs w:val="24"/>
          <w:highlight w:val="none"/>
        </w:rPr>
        <w:fldChar w:fldCharType="end"/>
      </w:r>
    </w:p>
    <w:p w14:paraId="0E61B46C">
      <w:pPr>
        <w:pStyle w:val="17"/>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_Toc2279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3 </w:t>
      </w:r>
      <w:r>
        <w:rPr>
          <w:rFonts w:hint="eastAsia" w:cs="Times New Roman"/>
          <w:highlight w:val="none"/>
          <w:lang w:val="en-US" w:eastAsia="zh-CN"/>
        </w:rPr>
        <w:t>水功能区（水域）管理要求和现状取排水状况</w:t>
      </w:r>
      <w:r>
        <w:tab/>
      </w:r>
      <w:r>
        <w:fldChar w:fldCharType="begin"/>
      </w:r>
      <w:r>
        <w:instrText xml:space="preserve"> PAGEREF _Toc2279 \h </w:instrText>
      </w:r>
      <w:r>
        <w:fldChar w:fldCharType="separate"/>
      </w:r>
      <w:r>
        <w:t>72</w:t>
      </w:r>
      <w:r>
        <w:fldChar w:fldCharType="end"/>
      </w:r>
      <w:r>
        <w:rPr>
          <w:rFonts w:hint="default" w:ascii="Times New Roman" w:hAnsi="Times New Roman" w:cs="Times New Roman"/>
          <w:color w:val="auto"/>
          <w:szCs w:val="24"/>
          <w:highlight w:val="none"/>
        </w:rPr>
        <w:fldChar w:fldCharType="end"/>
      </w:r>
    </w:p>
    <w:p w14:paraId="6FFD9983">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_Toc15010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3.1 </w:t>
      </w:r>
      <w:r>
        <w:rPr>
          <w:rFonts w:hint="eastAsia" w:ascii="Times New Roman" w:hAnsi="Times New Roman" w:cs="Times New Roman"/>
          <w:highlight w:val="none"/>
          <w:lang w:val="en-US" w:eastAsia="zh-CN"/>
        </w:rPr>
        <w:t>水功能区（水域）</w:t>
      </w:r>
      <w:r>
        <w:rPr>
          <w:rFonts w:hint="eastAsia" w:cs="Times New Roman"/>
          <w:highlight w:val="none"/>
          <w:lang w:val="en-US" w:eastAsia="zh-CN"/>
        </w:rPr>
        <w:t>保护水质</w:t>
      </w:r>
      <w:r>
        <w:rPr>
          <w:rFonts w:hint="eastAsia" w:ascii="Times New Roman" w:hAnsi="Times New Roman" w:cs="Times New Roman"/>
          <w:highlight w:val="none"/>
          <w:lang w:val="en-US" w:eastAsia="zh-CN"/>
        </w:rPr>
        <w:t>管理</w:t>
      </w:r>
      <w:r>
        <w:rPr>
          <w:rFonts w:hint="eastAsia" w:cs="Times New Roman"/>
          <w:highlight w:val="none"/>
          <w:lang w:val="en-US" w:eastAsia="zh-CN"/>
        </w:rPr>
        <w:t>目标与</w:t>
      </w:r>
      <w:r>
        <w:rPr>
          <w:rFonts w:hint="eastAsia" w:ascii="Times New Roman" w:hAnsi="Times New Roman" w:cs="Times New Roman"/>
          <w:highlight w:val="none"/>
          <w:lang w:val="en-US" w:eastAsia="zh-CN"/>
        </w:rPr>
        <w:t>要求</w:t>
      </w:r>
      <w:r>
        <w:tab/>
      </w:r>
      <w:r>
        <w:fldChar w:fldCharType="begin"/>
      </w:r>
      <w:r>
        <w:instrText xml:space="preserve"> PAGEREF _Toc15010 \h </w:instrText>
      </w:r>
      <w:r>
        <w:fldChar w:fldCharType="separate"/>
      </w:r>
      <w:r>
        <w:t>72</w:t>
      </w:r>
      <w:r>
        <w:fldChar w:fldCharType="end"/>
      </w:r>
      <w:r>
        <w:rPr>
          <w:rFonts w:hint="default" w:ascii="Times New Roman" w:hAnsi="Times New Roman" w:cs="Times New Roman"/>
          <w:color w:val="auto"/>
          <w:szCs w:val="24"/>
          <w:highlight w:val="none"/>
        </w:rPr>
        <w:fldChar w:fldCharType="end"/>
      </w:r>
    </w:p>
    <w:p w14:paraId="34C7B75B">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_Toc10765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3.2 </w:t>
      </w:r>
      <w:r>
        <w:rPr>
          <w:rFonts w:hint="eastAsia" w:ascii="Times New Roman" w:hAnsi="Times New Roman" w:cs="Times New Roman"/>
          <w:highlight w:val="none"/>
          <w:lang w:val="en-US" w:eastAsia="zh-CN"/>
        </w:rPr>
        <w:t>论证水功能区（水域）现状取排水情况</w:t>
      </w:r>
      <w:r>
        <w:tab/>
      </w:r>
      <w:r>
        <w:fldChar w:fldCharType="begin"/>
      </w:r>
      <w:r>
        <w:instrText xml:space="preserve"> PAGEREF _Toc10765 \h </w:instrText>
      </w:r>
      <w:r>
        <w:fldChar w:fldCharType="separate"/>
      </w:r>
      <w:r>
        <w:t>74</w:t>
      </w:r>
      <w:r>
        <w:fldChar w:fldCharType="end"/>
      </w:r>
      <w:r>
        <w:rPr>
          <w:rFonts w:hint="default" w:ascii="Times New Roman" w:hAnsi="Times New Roman" w:cs="Times New Roman"/>
          <w:color w:val="auto"/>
          <w:szCs w:val="24"/>
          <w:highlight w:val="none"/>
        </w:rPr>
        <w:fldChar w:fldCharType="end"/>
      </w:r>
    </w:p>
    <w:p w14:paraId="64D733C6">
      <w:pPr>
        <w:pStyle w:val="17"/>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_Toc3174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4 </w:t>
      </w:r>
      <w:r>
        <w:rPr>
          <w:rFonts w:hint="eastAsia" w:ascii="Times New Roman" w:hAnsi="Times New Roman" w:cs="Times New Roman"/>
          <w:highlight w:val="none"/>
          <w:lang w:val="en-US" w:eastAsia="zh-CN"/>
        </w:rPr>
        <w:t>入河排污口所在水域水质现状及接纳污水状况</w:t>
      </w:r>
      <w:r>
        <w:tab/>
      </w:r>
      <w:r>
        <w:fldChar w:fldCharType="begin"/>
      </w:r>
      <w:r>
        <w:instrText xml:space="preserve"> PAGEREF _Toc3174 \h </w:instrText>
      </w:r>
      <w:r>
        <w:fldChar w:fldCharType="separate"/>
      </w:r>
      <w:r>
        <w:t>75</w:t>
      </w:r>
      <w:r>
        <w:fldChar w:fldCharType="end"/>
      </w:r>
      <w:r>
        <w:rPr>
          <w:rFonts w:hint="default" w:ascii="Times New Roman" w:hAnsi="Times New Roman" w:cs="Times New Roman"/>
          <w:color w:val="auto"/>
          <w:szCs w:val="24"/>
          <w:highlight w:val="none"/>
        </w:rPr>
        <w:fldChar w:fldCharType="end"/>
      </w:r>
    </w:p>
    <w:p w14:paraId="1C81F41B">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_Toc22589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4.1 </w:t>
      </w:r>
      <w:r>
        <w:rPr>
          <w:rFonts w:hint="eastAsia" w:ascii="Times New Roman" w:hAnsi="Times New Roman" w:cs="Times New Roman"/>
          <w:highlight w:val="none"/>
          <w:lang w:val="en-US" w:eastAsia="zh-CN"/>
        </w:rPr>
        <w:t>入河排污口所在水域水质现状</w:t>
      </w:r>
      <w:r>
        <w:tab/>
      </w:r>
      <w:r>
        <w:fldChar w:fldCharType="begin"/>
      </w:r>
      <w:r>
        <w:instrText xml:space="preserve"> PAGEREF _Toc22589 \h </w:instrText>
      </w:r>
      <w:r>
        <w:fldChar w:fldCharType="separate"/>
      </w:r>
      <w:r>
        <w:t>75</w:t>
      </w:r>
      <w:r>
        <w:fldChar w:fldCharType="end"/>
      </w:r>
      <w:r>
        <w:rPr>
          <w:rFonts w:hint="default" w:ascii="Times New Roman" w:hAnsi="Times New Roman" w:cs="Times New Roman"/>
          <w:color w:val="auto"/>
          <w:szCs w:val="24"/>
          <w:highlight w:val="none"/>
        </w:rPr>
        <w:fldChar w:fldCharType="end"/>
      </w:r>
    </w:p>
    <w:p w14:paraId="3A5B5ABD">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_Toc19965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4.2 </w:t>
      </w:r>
      <w:r>
        <w:rPr>
          <w:rFonts w:hint="eastAsia" w:ascii="Times New Roman" w:hAnsi="Times New Roman" w:cs="Times New Roman"/>
          <w:highlight w:val="none"/>
          <w:lang w:val="en-US" w:eastAsia="zh-CN"/>
        </w:rPr>
        <w:t>入河排污口所在水域接纳污水状况</w:t>
      </w:r>
      <w:r>
        <w:tab/>
      </w:r>
      <w:r>
        <w:fldChar w:fldCharType="begin"/>
      </w:r>
      <w:r>
        <w:instrText xml:space="preserve"> PAGEREF _Toc19965 \h </w:instrText>
      </w:r>
      <w:r>
        <w:fldChar w:fldCharType="separate"/>
      </w:r>
      <w:r>
        <w:t>107</w:t>
      </w:r>
      <w:r>
        <w:fldChar w:fldCharType="end"/>
      </w:r>
      <w:r>
        <w:rPr>
          <w:rFonts w:hint="default" w:ascii="Times New Roman" w:hAnsi="Times New Roman" w:cs="Times New Roman"/>
          <w:color w:val="auto"/>
          <w:szCs w:val="24"/>
          <w:highlight w:val="none"/>
        </w:rPr>
        <w:fldChar w:fldCharType="end"/>
      </w:r>
    </w:p>
    <w:p w14:paraId="076A526D">
      <w:pPr>
        <w:pStyle w:val="17"/>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_Toc2848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5 </w:t>
      </w:r>
      <w:r>
        <w:rPr>
          <w:rFonts w:hint="eastAsia" w:ascii="Times New Roman" w:hAnsi="Times New Roman" w:cs="Times New Roman"/>
          <w:highlight w:val="none"/>
          <w:lang w:val="en-US" w:eastAsia="zh-CN"/>
        </w:rPr>
        <w:t>入河排污口排放位置、排放方式</w:t>
      </w:r>
      <w:r>
        <w:tab/>
      </w:r>
      <w:r>
        <w:fldChar w:fldCharType="begin"/>
      </w:r>
      <w:r>
        <w:instrText xml:space="preserve"> PAGEREF _Toc2848 \h </w:instrText>
      </w:r>
      <w:r>
        <w:fldChar w:fldCharType="separate"/>
      </w:r>
      <w:r>
        <w:t>109</w:t>
      </w:r>
      <w:r>
        <w:fldChar w:fldCharType="end"/>
      </w:r>
      <w:r>
        <w:rPr>
          <w:rFonts w:hint="default" w:ascii="Times New Roman" w:hAnsi="Times New Roman" w:cs="Times New Roman"/>
          <w:color w:val="auto"/>
          <w:szCs w:val="24"/>
          <w:highlight w:val="none"/>
        </w:rPr>
        <w:fldChar w:fldCharType="end"/>
      </w:r>
    </w:p>
    <w:p w14:paraId="69D8E29A">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_Toc14850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5.1 </w:t>
      </w:r>
      <w:r>
        <w:rPr>
          <w:rFonts w:hint="eastAsia" w:ascii="Times New Roman" w:hAnsi="Times New Roman" w:cs="Times New Roman"/>
          <w:highlight w:val="none"/>
          <w:lang w:val="en-US" w:eastAsia="zh-CN"/>
        </w:rPr>
        <w:t>相关规划区划对入河排污口设置的要求</w:t>
      </w:r>
      <w:r>
        <w:tab/>
      </w:r>
      <w:r>
        <w:fldChar w:fldCharType="begin"/>
      </w:r>
      <w:r>
        <w:instrText xml:space="preserve"> PAGEREF _Toc14850 \h </w:instrText>
      </w:r>
      <w:r>
        <w:fldChar w:fldCharType="separate"/>
      </w:r>
      <w:r>
        <w:t>109</w:t>
      </w:r>
      <w:r>
        <w:fldChar w:fldCharType="end"/>
      </w:r>
      <w:r>
        <w:rPr>
          <w:rFonts w:hint="default" w:ascii="Times New Roman" w:hAnsi="Times New Roman" w:cs="Times New Roman"/>
          <w:color w:val="auto"/>
          <w:szCs w:val="24"/>
          <w:highlight w:val="none"/>
        </w:rPr>
        <w:fldChar w:fldCharType="end"/>
      </w:r>
    </w:p>
    <w:p w14:paraId="6F1AFB72">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_Toc30249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5.2 </w:t>
      </w:r>
      <w:r>
        <w:rPr>
          <w:rFonts w:hint="eastAsia" w:ascii="Times New Roman" w:hAnsi="Times New Roman" w:cs="Times New Roman"/>
          <w:highlight w:val="none"/>
          <w:lang w:val="en-US" w:eastAsia="zh-CN"/>
        </w:rPr>
        <w:t>入河排污口排放位置、排放方式及与相关规划区划的符合性</w:t>
      </w:r>
      <w:r>
        <w:tab/>
      </w:r>
      <w:r>
        <w:fldChar w:fldCharType="begin"/>
      </w:r>
      <w:r>
        <w:instrText xml:space="preserve"> PAGEREF _Toc30249 \h </w:instrText>
      </w:r>
      <w:r>
        <w:fldChar w:fldCharType="separate"/>
      </w:r>
      <w:r>
        <w:t>112</w:t>
      </w:r>
      <w:r>
        <w:fldChar w:fldCharType="end"/>
      </w:r>
      <w:r>
        <w:rPr>
          <w:rFonts w:hint="default" w:ascii="Times New Roman" w:hAnsi="Times New Roman" w:cs="Times New Roman"/>
          <w:color w:val="auto"/>
          <w:szCs w:val="24"/>
          <w:highlight w:val="none"/>
        </w:rPr>
        <w:fldChar w:fldCharType="end"/>
      </w:r>
    </w:p>
    <w:p w14:paraId="2908C863">
      <w:pPr>
        <w:pStyle w:val="17"/>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_Toc13369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6 </w:t>
      </w:r>
      <w:r>
        <w:rPr>
          <w:rFonts w:hint="eastAsia" w:ascii="Times New Roman" w:hAnsi="Times New Roman" w:cs="Times New Roman"/>
          <w:highlight w:val="none"/>
          <w:lang w:val="en-US" w:eastAsia="zh-CN"/>
        </w:rPr>
        <w:t>入河污水所含主要污染物种类及其排放浓度和总量</w:t>
      </w:r>
      <w:r>
        <w:tab/>
      </w:r>
      <w:r>
        <w:fldChar w:fldCharType="begin"/>
      </w:r>
      <w:r>
        <w:instrText xml:space="preserve"> PAGEREF _Toc13369 \h </w:instrText>
      </w:r>
      <w:r>
        <w:fldChar w:fldCharType="separate"/>
      </w:r>
      <w:r>
        <w:t>117</w:t>
      </w:r>
      <w:r>
        <w:fldChar w:fldCharType="end"/>
      </w:r>
      <w:r>
        <w:rPr>
          <w:rFonts w:hint="default" w:ascii="Times New Roman" w:hAnsi="Times New Roman" w:cs="Times New Roman"/>
          <w:color w:val="auto"/>
          <w:szCs w:val="24"/>
          <w:highlight w:val="none"/>
        </w:rPr>
        <w:fldChar w:fldCharType="end"/>
      </w:r>
    </w:p>
    <w:p w14:paraId="20C5BE56">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_Toc31660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6.1 </w:t>
      </w:r>
      <w:r>
        <w:rPr>
          <w:rFonts w:hint="eastAsia" w:ascii="Times New Roman" w:hAnsi="Times New Roman" w:cs="Times New Roman"/>
          <w:highlight w:val="none"/>
          <w:lang w:val="en-US" w:eastAsia="zh-CN"/>
        </w:rPr>
        <w:t>入河排污口废污水来源、构成</w:t>
      </w:r>
      <w:r>
        <w:tab/>
      </w:r>
      <w:r>
        <w:fldChar w:fldCharType="begin"/>
      </w:r>
      <w:r>
        <w:instrText xml:space="preserve"> PAGEREF _Toc31660 \h </w:instrText>
      </w:r>
      <w:r>
        <w:fldChar w:fldCharType="separate"/>
      </w:r>
      <w:r>
        <w:t>117</w:t>
      </w:r>
      <w:r>
        <w:fldChar w:fldCharType="end"/>
      </w:r>
      <w:r>
        <w:rPr>
          <w:rFonts w:hint="default" w:ascii="Times New Roman" w:hAnsi="Times New Roman" w:cs="Times New Roman"/>
          <w:color w:val="auto"/>
          <w:szCs w:val="24"/>
          <w:highlight w:val="none"/>
        </w:rPr>
        <w:fldChar w:fldCharType="end"/>
      </w:r>
    </w:p>
    <w:p w14:paraId="634C6C6E">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_Toc21725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6.2 </w:t>
      </w:r>
      <w:r>
        <w:rPr>
          <w:rFonts w:hint="eastAsia" w:ascii="Times New Roman" w:hAnsi="Times New Roman" w:cs="Times New Roman"/>
          <w:highlight w:val="none"/>
          <w:lang w:val="en-US" w:eastAsia="zh-CN"/>
        </w:rPr>
        <w:t>入河排污口废污水主要污染物种类、排放浓度和总量</w:t>
      </w:r>
      <w:r>
        <w:tab/>
      </w:r>
      <w:r>
        <w:fldChar w:fldCharType="begin"/>
      </w:r>
      <w:r>
        <w:instrText xml:space="preserve"> PAGEREF _Toc21725 \h </w:instrText>
      </w:r>
      <w:r>
        <w:fldChar w:fldCharType="separate"/>
      </w:r>
      <w:r>
        <w:t>119</w:t>
      </w:r>
      <w:r>
        <w:fldChar w:fldCharType="end"/>
      </w:r>
      <w:r>
        <w:rPr>
          <w:rFonts w:hint="default" w:ascii="Times New Roman" w:hAnsi="Times New Roman" w:cs="Times New Roman"/>
          <w:color w:val="auto"/>
          <w:szCs w:val="24"/>
          <w:highlight w:val="none"/>
        </w:rPr>
        <w:fldChar w:fldCharType="end"/>
      </w:r>
    </w:p>
    <w:p w14:paraId="5C3F0BC1">
      <w:pPr>
        <w:pStyle w:val="17"/>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_Toc23903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7 </w:t>
      </w:r>
      <w:r>
        <w:rPr>
          <w:rFonts w:hint="eastAsia" w:ascii="Times New Roman" w:hAnsi="Times New Roman" w:cs="Times New Roman"/>
          <w:highlight w:val="none"/>
          <w:lang w:val="en-US" w:eastAsia="zh-CN"/>
        </w:rPr>
        <w:t>入河排污口设置对水域水质和水生态的影响</w:t>
      </w:r>
      <w:r>
        <w:tab/>
      </w:r>
      <w:r>
        <w:fldChar w:fldCharType="begin"/>
      </w:r>
      <w:r>
        <w:instrText xml:space="preserve"> PAGEREF _Toc23903 \h </w:instrText>
      </w:r>
      <w:r>
        <w:fldChar w:fldCharType="separate"/>
      </w:r>
      <w:r>
        <w:t>124</w:t>
      </w:r>
      <w:r>
        <w:fldChar w:fldCharType="end"/>
      </w:r>
      <w:r>
        <w:rPr>
          <w:rFonts w:hint="default" w:ascii="Times New Roman" w:hAnsi="Times New Roman" w:cs="Times New Roman"/>
          <w:color w:val="auto"/>
          <w:szCs w:val="24"/>
          <w:highlight w:val="none"/>
        </w:rPr>
        <w:fldChar w:fldCharType="end"/>
      </w:r>
    </w:p>
    <w:p w14:paraId="7E8D7F21">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_Toc24458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7.1 </w:t>
      </w:r>
      <w:r>
        <w:rPr>
          <w:rFonts w:hint="eastAsia" w:ascii="Times New Roman" w:hAnsi="Times New Roman" w:cs="Times New Roman"/>
          <w:highlight w:val="none"/>
          <w:lang w:val="en-US" w:eastAsia="zh-CN"/>
        </w:rPr>
        <w:t>水域水质、水生态保护要求</w:t>
      </w:r>
      <w:r>
        <w:tab/>
      </w:r>
      <w:r>
        <w:fldChar w:fldCharType="begin"/>
      </w:r>
      <w:r>
        <w:instrText xml:space="preserve"> PAGEREF _Toc24458 \h </w:instrText>
      </w:r>
      <w:r>
        <w:fldChar w:fldCharType="separate"/>
      </w:r>
      <w:r>
        <w:t>124</w:t>
      </w:r>
      <w:r>
        <w:fldChar w:fldCharType="end"/>
      </w:r>
      <w:r>
        <w:rPr>
          <w:rFonts w:hint="default" w:ascii="Times New Roman" w:hAnsi="Times New Roman" w:cs="Times New Roman"/>
          <w:color w:val="auto"/>
          <w:szCs w:val="24"/>
          <w:highlight w:val="none"/>
        </w:rPr>
        <w:fldChar w:fldCharType="end"/>
      </w:r>
    </w:p>
    <w:p w14:paraId="2C16030B">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_Toc15912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7.2 </w:t>
      </w:r>
      <w:r>
        <w:rPr>
          <w:rFonts w:hint="eastAsia" w:ascii="Times New Roman" w:hAnsi="Times New Roman" w:cs="Times New Roman"/>
          <w:highlight w:val="none"/>
          <w:lang w:val="en-US" w:eastAsia="zh-CN"/>
        </w:rPr>
        <w:t>水域污染物排放总量控制要求</w:t>
      </w:r>
      <w:r>
        <w:tab/>
      </w:r>
      <w:r>
        <w:fldChar w:fldCharType="begin"/>
      </w:r>
      <w:r>
        <w:instrText xml:space="preserve"> PAGEREF _Toc15912 \h </w:instrText>
      </w:r>
      <w:r>
        <w:fldChar w:fldCharType="separate"/>
      </w:r>
      <w:r>
        <w:t>131</w:t>
      </w:r>
      <w:r>
        <w:fldChar w:fldCharType="end"/>
      </w:r>
      <w:r>
        <w:rPr>
          <w:rFonts w:hint="default" w:ascii="Times New Roman" w:hAnsi="Times New Roman" w:cs="Times New Roman"/>
          <w:color w:val="auto"/>
          <w:szCs w:val="24"/>
          <w:highlight w:val="none"/>
        </w:rPr>
        <w:fldChar w:fldCharType="end"/>
      </w:r>
    </w:p>
    <w:p w14:paraId="0C990968">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_Toc2657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7.3 </w:t>
      </w:r>
      <w:r>
        <w:rPr>
          <w:rFonts w:hint="eastAsia" w:ascii="Times New Roman" w:hAnsi="Times New Roman" w:cs="Times New Roman"/>
          <w:highlight w:val="none"/>
          <w:lang w:val="en-US" w:eastAsia="zh-CN"/>
        </w:rPr>
        <w:t>入河排污口设置对水质的影响</w:t>
      </w:r>
      <w:r>
        <w:tab/>
      </w:r>
      <w:r>
        <w:fldChar w:fldCharType="begin"/>
      </w:r>
      <w:r>
        <w:instrText xml:space="preserve"> PAGEREF _Toc2657 \h </w:instrText>
      </w:r>
      <w:r>
        <w:fldChar w:fldCharType="separate"/>
      </w:r>
      <w:r>
        <w:t>131</w:t>
      </w:r>
      <w:r>
        <w:fldChar w:fldCharType="end"/>
      </w:r>
      <w:r>
        <w:rPr>
          <w:rFonts w:hint="default" w:ascii="Times New Roman" w:hAnsi="Times New Roman" w:cs="Times New Roman"/>
          <w:color w:val="auto"/>
          <w:szCs w:val="24"/>
          <w:highlight w:val="none"/>
        </w:rPr>
        <w:fldChar w:fldCharType="end"/>
      </w:r>
    </w:p>
    <w:p w14:paraId="07B78CCF">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_Toc26412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7.4 </w:t>
      </w:r>
      <w:r>
        <w:rPr>
          <w:rFonts w:hint="eastAsia" w:ascii="Times New Roman" w:hAnsi="Times New Roman" w:cs="Times New Roman"/>
          <w:highlight w:val="none"/>
          <w:lang w:val="en-US" w:eastAsia="zh-CN"/>
        </w:rPr>
        <w:t>入河排污口设置对水生态的影响</w:t>
      </w:r>
      <w:r>
        <w:tab/>
      </w:r>
      <w:r>
        <w:fldChar w:fldCharType="begin"/>
      </w:r>
      <w:r>
        <w:instrText xml:space="preserve"> PAGEREF _Toc26412 \h </w:instrText>
      </w:r>
      <w:r>
        <w:fldChar w:fldCharType="separate"/>
      </w:r>
      <w:r>
        <w:t>131</w:t>
      </w:r>
      <w:r>
        <w:fldChar w:fldCharType="end"/>
      </w:r>
      <w:r>
        <w:rPr>
          <w:rFonts w:hint="default" w:ascii="Times New Roman" w:hAnsi="Times New Roman" w:cs="Times New Roman"/>
          <w:color w:val="auto"/>
          <w:szCs w:val="24"/>
          <w:highlight w:val="none"/>
        </w:rPr>
        <w:fldChar w:fldCharType="end"/>
      </w:r>
    </w:p>
    <w:p w14:paraId="4B684C3E">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_Toc24403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7.5 </w:t>
      </w:r>
      <w:r>
        <w:rPr>
          <w:rFonts w:hint="eastAsia" w:ascii="Times New Roman" w:hAnsi="Times New Roman" w:cs="Times New Roman"/>
          <w:highlight w:val="none"/>
          <w:lang w:val="en-US" w:eastAsia="zh-CN"/>
        </w:rPr>
        <w:t>入河排污口设置对地下水的影响</w:t>
      </w:r>
      <w:r>
        <w:tab/>
      </w:r>
      <w:r>
        <w:fldChar w:fldCharType="begin"/>
      </w:r>
      <w:r>
        <w:instrText xml:space="preserve"> PAGEREF _Toc24403 \h </w:instrText>
      </w:r>
      <w:r>
        <w:fldChar w:fldCharType="separate"/>
      </w:r>
      <w:r>
        <w:t>132</w:t>
      </w:r>
      <w:r>
        <w:fldChar w:fldCharType="end"/>
      </w:r>
      <w:r>
        <w:rPr>
          <w:rFonts w:hint="default" w:ascii="Times New Roman" w:hAnsi="Times New Roman" w:cs="Times New Roman"/>
          <w:color w:val="auto"/>
          <w:szCs w:val="24"/>
          <w:highlight w:val="none"/>
        </w:rPr>
        <w:fldChar w:fldCharType="end"/>
      </w:r>
    </w:p>
    <w:p w14:paraId="49F15CA0">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_Toc4726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7.6 </w:t>
      </w:r>
      <w:r>
        <w:rPr>
          <w:rFonts w:hint="eastAsia"/>
          <w:lang w:val="en-US" w:eastAsia="zh-CN"/>
        </w:rPr>
        <w:t>入河排污口设置合理性和环境可行性</w:t>
      </w:r>
      <w:r>
        <w:tab/>
      </w:r>
      <w:r>
        <w:fldChar w:fldCharType="begin"/>
      </w:r>
      <w:r>
        <w:instrText xml:space="preserve"> PAGEREF _Toc4726 \h </w:instrText>
      </w:r>
      <w:r>
        <w:fldChar w:fldCharType="separate"/>
      </w:r>
      <w:r>
        <w:t>132</w:t>
      </w:r>
      <w:r>
        <w:fldChar w:fldCharType="end"/>
      </w:r>
      <w:r>
        <w:rPr>
          <w:rFonts w:hint="default" w:ascii="Times New Roman" w:hAnsi="Times New Roman" w:cs="Times New Roman"/>
          <w:color w:val="auto"/>
          <w:szCs w:val="24"/>
          <w:highlight w:val="none"/>
        </w:rPr>
        <w:fldChar w:fldCharType="end"/>
      </w:r>
    </w:p>
    <w:p w14:paraId="1606534B">
      <w:pPr>
        <w:pStyle w:val="17"/>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_Toc4277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8 </w:t>
      </w:r>
      <w:r>
        <w:rPr>
          <w:rFonts w:hint="eastAsia" w:ascii="Times New Roman" w:hAnsi="Times New Roman" w:cs="Times New Roman"/>
          <w:highlight w:val="none"/>
          <w:lang w:val="en-US" w:eastAsia="zh-CN"/>
        </w:rPr>
        <w:t>入河排污口设置对有利害关系的第三者权益的影响分析</w:t>
      </w:r>
      <w:r>
        <w:tab/>
      </w:r>
      <w:r>
        <w:fldChar w:fldCharType="begin"/>
      </w:r>
      <w:r>
        <w:instrText xml:space="preserve"> PAGEREF _Toc4277 \h </w:instrText>
      </w:r>
      <w:r>
        <w:fldChar w:fldCharType="separate"/>
      </w:r>
      <w:r>
        <w:t>133</w:t>
      </w:r>
      <w:r>
        <w:fldChar w:fldCharType="end"/>
      </w:r>
      <w:r>
        <w:rPr>
          <w:rFonts w:hint="default" w:ascii="Times New Roman" w:hAnsi="Times New Roman" w:cs="Times New Roman"/>
          <w:color w:val="auto"/>
          <w:szCs w:val="24"/>
          <w:highlight w:val="none"/>
        </w:rPr>
        <w:fldChar w:fldCharType="end"/>
      </w:r>
    </w:p>
    <w:p w14:paraId="725446EB">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_Toc20399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8.1 </w:t>
      </w:r>
      <w:r>
        <w:rPr>
          <w:rFonts w:hint="eastAsia" w:ascii="Times New Roman" w:hAnsi="Times New Roman" w:cs="Times New Roman"/>
          <w:highlight w:val="none"/>
          <w:lang w:val="en-US" w:eastAsia="zh-CN"/>
        </w:rPr>
        <w:t>主要集中城市生活饮用水水源以及第三方取用水对入河排污口设置的制约</w:t>
      </w:r>
      <w:r>
        <w:tab/>
      </w:r>
      <w:r>
        <w:fldChar w:fldCharType="begin"/>
      </w:r>
      <w:r>
        <w:instrText xml:space="preserve"> PAGEREF _Toc20399 \h </w:instrText>
      </w:r>
      <w:r>
        <w:fldChar w:fldCharType="separate"/>
      </w:r>
      <w:r>
        <w:t>133</w:t>
      </w:r>
      <w:r>
        <w:fldChar w:fldCharType="end"/>
      </w:r>
      <w:r>
        <w:rPr>
          <w:rFonts w:hint="default" w:ascii="Times New Roman" w:hAnsi="Times New Roman" w:cs="Times New Roman"/>
          <w:color w:val="auto"/>
          <w:szCs w:val="24"/>
          <w:highlight w:val="none"/>
        </w:rPr>
        <w:fldChar w:fldCharType="end"/>
      </w:r>
    </w:p>
    <w:p w14:paraId="477FB855">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_Toc9103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8.2 </w:t>
      </w:r>
      <w:r>
        <w:rPr>
          <w:rFonts w:hint="eastAsia" w:ascii="Times New Roman" w:hAnsi="Times New Roman" w:cs="Times New Roman"/>
          <w:highlight w:val="none"/>
          <w:lang w:val="en-US" w:eastAsia="zh-CN"/>
        </w:rPr>
        <w:t>持久性有机污染物、重金属或有毒有害水污染物对水源地的污染风险</w:t>
      </w:r>
      <w:r>
        <w:tab/>
      </w:r>
      <w:r>
        <w:fldChar w:fldCharType="begin"/>
      </w:r>
      <w:r>
        <w:instrText xml:space="preserve"> PAGEREF _Toc9103 \h </w:instrText>
      </w:r>
      <w:r>
        <w:fldChar w:fldCharType="separate"/>
      </w:r>
      <w:r>
        <w:t>134</w:t>
      </w:r>
      <w:r>
        <w:fldChar w:fldCharType="end"/>
      </w:r>
      <w:r>
        <w:rPr>
          <w:rFonts w:hint="default" w:ascii="Times New Roman" w:hAnsi="Times New Roman" w:cs="Times New Roman"/>
          <w:color w:val="auto"/>
          <w:szCs w:val="24"/>
          <w:highlight w:val="none"/>
        </w:rPr>
        <w:fldChar w:fldCharType="end"/>
      </w:r>
    </w:p>
    <w:p w14:paraId="4F6E1FFB">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_Toc31675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8.3 </w:t>
      </w:r>
      <w:r>
        <w:rPr>
          <w:rFonts w:hint="eastAsia" w:ascii="Times New Roman" w:hAnsi="Times New Roman" w:cs="Times New Roman"/>
          <w:highlight w:val="none"/>
          <w:lang w:val="en-US" w:eastAsia="zh-CN"/>
        </w:rPr>
        <w:t>非正常工况排污对水功能区的影响及处置措施和对策</w:t>
      </w:r>
      <w:r>
        <w:tab/>
      </w:r>
      <w:r>
        <w:fldChar w:fldCharType="begin"/>
      </w:r>
      <w:r>
        <w:instrText xml:space="preserve"> PAGEREF _Toc31675 \h </w:instrText>
      </w:r>
      <w:r>
        <w:fldChar w:fldCharType="separate"/>
      </w:r>
      <w:r>
        <w:t>134</w:t>
      </w:r>
      <w:r>
        <w:fldChar w:fldCharType="end"/>
      </w:r>
      <w:r>
        <w:rPr>
          <w:rFonts w:hint="default" w:ascii="Times New Roman" w:hAnsi="Times New Roman" w:cs="Times New Roman"/>
          <w:color w:val="auto"/>
          <w:szCs w:val="24"/>
          <w:highlight w:val="none"/>
        </w:rPr>
        <w:fldChar w:fldCharType="end"/>
      </w:r>
    </w:p>
    <w:p w14:paraId="6189FA20">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_Toc9535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8.4 </w:t>
      </w:r>
      <w:r>
        <w:rPr>
          <w:rFonts w:hint="eastAsia" w:ascii="Times New Roman" w:hAnsi="Times New Roman" w:cs="Times New Roman"/>
          <w:highlight w:val="none"/>
          <w:lang w:val="en-US" w:eastAsia="zh-CN"/>
        </w:rPr>
        <w:t>对防洪、供水、堤防安全、河势稳定的影响</w:t>
      </w:r>
      <w:r>
        <w:tab/>
      </w:r>
      <w:r>
        <w:fldChar w:fldCharType="begin"/>
      </w:r>
      <w:r>
        <w:instrText xml:space="preserve"> PAGEREF _Toc9535 \h </w:instrText>
      </w:r>
      <w:r>
        <w:fldChar w:fldCharType="separate"/>
      </w:r>
      <w:r>
        <w:t>135</w:t>
      </w:r>
      <w:r>
        <w:fldChar w:fldCharType="end"/>
      </w:r>
      <w:r>
        <w:rPr>
          <w:rFonts w:hint="default" w:ascii="Times New Roman" w:hAnsi="Times New Roman" w:cs="Times New Roman"/>
          <w:color w:val="auto"/>
          <w:szCs w:val="24"/>
          <w:highlight w:val="none"/>
        </w:rPr>
        <w:fldChar w:fldCharType="end"/>
      </w:r>
    </w:p>
    <w:p w14:paraId="08076E8D">
      <w:pPr>
        <w:pStyle w:val="17"/>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_Toc19013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9 </w:t>
      </w:r>
      <w:r>
        <w:rPr>
          <w:rFonts w:hint="eastAsia" w:ascii="Times New Roman" w:hAnsi="Times New Roman" w:cs="Times New Roman"/>
          <w:highlight w:val="none"/>
          <w:lang w:val="en-US" w:eastAsia="zh-CN"/>
        </w:rPr>
        <w:t>水质保护措施及效果分析</w:t>
      </w:r>
      <w:r>
        <w:tab/>
      </w:r>
      <w:r>
        <w:fldChar w:fldCharType="begin"/>
      </w:r>
      <w:r>
        <w:instrText xml:space="preserve"> PAGEREF _Toc19013 \h </w:instrText>
      </w:r>
      <w:r>
        <w:fldChar w:fldCharType="separate"/>
      </w:r>
      <w:r>
        <w:t>136</w:t>
      </w:r>
      <w:r>
        <w:fldChar w:fldCharType="end"/>
      </w:r>
      <w:r>
        <w:rPr>
          <w:rFonts w:hint="default" w:ascii="Times New Roman" w:hAnsi="Times New Roman" w:cs="Times New Roman"/>
          <w:color w:val="auto"/>
          <w:szCs w:val="24"/>
          <w:highlight w:val="none"/>
        </w:rPr>
        <w:fldChar w:fldCharType="end"/>
      </w:r>
    </w:p>
    <w:p w14:paraId="0064579E">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_Toc3951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9.1 </w:t>
      </w:r>
      <w:r>
        <w:rPr>
          <w:rFonts w:hint="eastAsia" w:ascii="Times New Roman" w:hAnsi="Times New Roman" w:cs="Times New Roman"/>
          <w:highlight w:val="none"/>
          <w:lang w:val="en-US" w:eastAsia="zh-CN"/>
        </w:rPr>
        <w:t>水质保护措施</w:t>
      </w:r>
      <w:r>
        <w:tab/>
      </w:r>
      <w:r>
        <w:fldChar w:fldCharType="begin"/>
      </w:r>
      <w:r>
        <w:instrText xml:space="preserve"> PAGEREF _Toc3951 \h </w:instrText>
      </w:r>
      <w:r>
        <w:fldChar w:fldCharType="separate"/>
      </w:r>
      <w:r>
        <w:t>136</w:t>
      </w:r>
      <w:r>
        <w:fldChar w:fldCharType="end"/>
      </w:r>
      <w:r>
        <w:rPr>
          <w:rFonts w:hint="default" w:ascii="Times New Roman" w:hAnsi="Times New Roman" w:cs="Times New Roman"/>
          <w:color w:val="auto"/>
          <w:szCs w:val="24"/>
          <w:highlight w:val="none"/>
        </w:rPr>
        <w:fldChar w:fldCharType="end"/>
      </w:r>
    </w:p>
    <w:p w14:paraId="78636024">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_Toc6255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9.2 </w:t>
      </w:r>
      <w:r>
        <w:rPr>
          <w:rFonts w:hint="eastAsia" w:ascii="Times New Roman" w:hAnsi="Times New Roman" w:cs="Times New Roman"/>
          <w:highlight w:val="none"/>
          <w:lang w:val="en-US" w:eastAsia="zh-CN"/>
        </w:rPr>
        <w:t>水质保护措施实施效果分析</w:t>
      </w:r>
      <w:r>
        <w:tab/>
      </w:r>
      <w:r>
        <w:fldChar w:fldCharType="begin"/>
      </w:r>
      <w:r>
        <w:instrText xml:space="preserve"> PAGEREF _Toc6255 \h </w:instrText>
      </w:r>
      <w:r>
        <w:fldChar w:fldCharType="separate"/>
      </w:r>
      <w:r>
        <w:t>136</w:t>
      </w:r>
      <w:r>
        <w:fldChar w:fldCharType="end"/>
      </w:r>
      <w:r>
        <w:rPr>
          <w:rFonts w:hint="default" w:ascii="Times New Roman" w:hAnsi="Times New Roman" w:cs="Times New Roman"/>
          <w:color w:val="auto"/>
          <w:szCs w:val="24"/>
          <w:highlight w:val="none"/>
        </w:rPr>
        <w:fldChar w:fldCharType="end"/>
      </w:r>
    </w:p>
    <w:p w14:paraId="75BF8727">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_Toc21608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9.3 </w:t>
      </w:r>
      <w:r>
        <w:rPr>
          <w:rFonts w:hint="eastAsia" w:ascii="Times New Roman" w:hAnsi="Times New Roman" w:cs="Times New Roman"/>
          <w:highlight w:val="none"/>
          <w:lang w:val="en-US" w:eastAsia="zh-CN"/>
        </w:rPr>
        <w:t>水质达标保障措施</w:t>
      </w:r>
      <w:r>
        <w:tab/>
      </w:r>
      <w:r>
        <w:fldChar w:fldCharType="begin"/>
      </w:r>
      <w:r>
        <w:instrText xml:space="preserve"> PAGEREF _Toc21608 \h </w:instrText>
      </w:r>
      <w:r>
        <w:fldChar w:fldCharType="separate"/>
      </w:r>
      <w:r>
        <w:t>137</w:t>
      </w:r>
      <w:r>
        <w:fldChar w:fldCharType="end"/>
      </w:r>
      <w:r>
        <w:rPr>
          <w:rFonts w:hint="default" w:ascii="Times New Roman" w:hAnsi="Times New Roman" w:cs="Times New Roman"/>
          <w:color w:val="auto"/>
          <w:szCs w:val="24"/>
          <w:highlight w:val="none"/>
        </w:rPr>
        <w:fldChar w:fldCharType="end"/>
      </w:r>
    </w:p>
    <w:p w14:paraId="4CFE01A0">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_Toc14917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9.4 </w:t>
      </w:r>
      <w:r>
        <w:rPr>
          <w:rFonts w:hint="eastAsia" w:ascii="Times New Roman" w:hAnsi="Times New Roman" w:cs="Times New Roman"/>
          <w:highlight w:val="none"/>
          <w:lang w:val="en-US" w:eastAsia="zh-CN"/>
        </w:rPr>
        <w:t>风险分析及事故排污应急措施</w:t>
      </w:r>
      <w:r>
        <w:tab/>
      </w:r>
      <w:r>
        <w:fldChar w:fldCharType="begin"/>
      </w:r>
      <w:r>
        <w:instrText xml:space="preserve"> PAGEREF _Toc14917 \h </w:instrText>
      </w:r>
      <w:r>
        <w:fldChar w:fldCharType="separate"/>
      </w:r>
      <w:r>
        <w:t>137</w:t>
      </w:r>
      <w:r>
        <w:fldChar w:fldCharType="end"/>
      </w:r>
      <w:r>
        <w:rPr>
          <w:rFonts w:hint="default" w:ascii="Times New Roman" w:hAnsi="Times New Roman" w:cs="Times New Roman"/>
          <w:color w:val="auto"/>
          <w:szCs w:val="24"/>
          <w:highlight w:val="none"/>
        </w:rPr>
        <w:fldChar w:fldCharType="end"/>
      </w:r>
    </w:p>
    <w:p w14:paraId="6D65F4E4">
      <w:pPr>
        <w:pStyle w:val="17"/>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_Toc8004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10 </w:t>
      </w:r>
      <w:r>
        <w:rPr>
          <w:rFonts w:hint="eastAsia" w:ascii="Times New Roman" w:hAnsi="Times New Roman" w:cs="Times New Roman"/>
          <w:highlight w:val="none"/>
          <w:lang w:val="en-US" w:eastAsia="zh-CN"/>
        </w:rPr>
        <w:t>结论与建议</w:t>
      </w:r>
      <w:r>
        <w:tab/>
      </w:r>
      <w:r>
        <w:fldChar w:fldCharType="begin"/>
      </w:r>
      <w:r>
        <w:instrText xml:space="preserve"> PAGEREF _Toc8004 \h </w:instrText>
      </w:r>
      <w:r>
        <w:fldChar w:fldCharType="separate"/>
      </w:r>
      <w:r>
        <w:t>139</w:t>
      </w:r>
      <w:r>
        <w:fldChar w:fldCharType="end"/>
      </w:r>
      <w:r>
        <w:rPr>
          <w:rFonts w:hint="default" w:ascii="Times New Roman" w:hAnsi="Times New Roman" w:cs="Times New Roman"/>
          <w:color w:val="auto"/>
          <w:szCs w:val="24"/>
          <w:highlight w:val="none"/>
        </w:rPr>
        <w:fldChar w:fldCharType="end"/>
      </w:r>
    </w:p>
    <w:p w14:paraId="030E70A7">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_Toc16560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10.1 </w:t>
      </w:r>
      <w:r>
        <w:rPr>
          <w:rFonts w:hint="eastAsia" w:cs="Times New Roman"/>
          <w:highlight w:val="none"/>
          <w:lang w:val="en-US" w:eastAsia="zh-CN"/>
        </w:rPr>
        <w:t>论证结论</w:t>
      </w:r>
      <w:r>
        <w:tab/>
      </w:r>
      <w:r>
        <w:fldChar w:fldCharType="begin"/>
      </w:r>
      <w:r>
        <w:instrText xml:space="preserve"> PAGEREF _Toc16560 \h </w:instrText>
      </w:r>
      <w:r>
        <w:fldChar w:fldCharType="separate"/>
      </w:r>
      <w:r>
        <w:t>139</w:t>
      </w:r>
      <w:r>
        <w:fldChar w:fldCharType="end"/>
      </w:r>
      <w:r>
        <w:rPr>
          <w:rFonts w:hint="default" w:ascii="Times New Roman" w:hAnsi="Times New Roman" w:cs="Times New Roman"/>
          <w:color w:val="auto"/>
          <w:szCs w:val="24"/>
          <w:highlight w:val="none"/>
        </w:rPr>
        <w:fldChar w:fldCharType="end"/>
      </w:r>
    </w:p>
    <w:p w14:paraId="3DDC8C64">
      <w:pPr>
        <w:pStyle w:val="18"/>
        <w:tabs>
          <w:tab w:val="right" w:leader="dot" w:pos="9026"/>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_Toc28319 </w:instrText>
      </w:r>
      <w:r>
        <w:rPr>
          <w:rFonts w:hint="default" w:ascii="Times New Roman" w:hAnsi="Times New Roman" w:cs="Times New Roman"/>
          <w:szCs w:val="24"/>
          <w:highlight w:val="none"/>
        </w:rPr>
        <w:fldChar w:fldCharType="separate"/>
      </w:r>
      <w:r>
        <w:rPr>
          <w:rFonts w:hint="default" w:ascii="Times New Roman" w:hAnsi="Times New Roman" w:eastAsia="宋体" w:cs="Times New Roman"/>
          <w:lang w:val="en-US" w:eastAsia="zh-CN"/>
        </w:rPr>
        <w:t xml:space="preserve">10.2 </w:t>
      </w:r>
      <w:r>
        <w:rPr>
          <w:rFonts w:hint="eastAsia" w:cs="Times New Roman"/>
          <w:highlight w:val="none"/>
          <w:lang w:val="en-US" w:eastAsia="zh-CN"/>
        </w:rPr>
        <w:t>建议</w:t>
      </w:r>
      <w:r>
        <w:tab/>
      </w:r>
      <w:r>
        <w:fldChar w:fldCharType="begin"/>
      </w:r>
      <w:r>
        <w:instrText xml:space="preserve"> PAGEREF _Toc28319 \h </w:instrText>
      </w:r>
      <w:r>
        <w:fldChar w:fldCharType="separate"/>
      </w:r>
      <w:r>
        <w:t>141</w:t>
      </w:r>
      <w:r>
        <w:fldChar w:fldCharType="end"/>
      </w:r>
      <w:r>
        <w:rPr>
          <w:rFonts w:hint="default" w:ascii="Times New Roman" w:hAnsi="Times New Roman" w:cs="Times New Roman"/>
          <w:color w:val="auto"/>
          <w:szCs w:val="24"/>
          <w:highlight w:val="none"/>
        </w:rPr>
        <w:fldChar w:fldCharType="end"/>
      </w:r>
    </w:p>
    <w:p w14:paraId="7B9B1D97">
      <w:pPr>
        <w:keepNext w:val="0"/>
        <w:keepLines w:val="0"/>
        <w:pageBreakBefore w:val="0"/>
        <w:widowControl w:val="0"/>
        <w:tabs>
          <w:tab w:val="left" w:pos="8400"/>
          <w:tab w:val="right" w:pos="8820"/>
        </w:tabs>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highlight w:val="none"/>
        </w:rPr>
      </w:pPr>
      <w:r>
        <w:rPr>
          <w:rFonts w:hint="default" w:ascii="Times New Roman" w:hAnsi="Times New Roman" w:cs="Times New Roman"/>
          <w:color w:val="auto"/>
          <w:szCs w:val="24"/>
          <w:highlight w:val="none"/>
        </w:rPr>
        <w:fldChar w:fldCharType="end"/>
      </w:r>
    </w:p>
    <w:p w14:paraId="4EE73072">
      <w:pPr>
        <w:pStyle w:val="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附件：</w:t>
      </w:r>
    </w:p>
    <w:p w14:paraId="5E19417B">
      <w:pPr>
        <w:widowControl w:val="0"/>
        <w:numPr>
          <w:ilvl w:val="0"/>
          <w:numId w:val="3"/>
        </w:numPr>
        <w:tabs>
          <w:tab w:val="left" w:pos="1021"/>
        </w:tabs>
        <w:bidi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cs="Times New Roman"/>
          <w:b w:val="0"/>
          <w:bCs w:val="0"/>
          <w:color w:val="auto"/>
          <w:kern w:val="2"/>
          <w:sz w:val="24"/>
          <w:highlight w:val="none"/>
          <w:lang w:val="en-US" w:eastAsia="zh-CN" w:bidi="ar-SA"/>
        </w:rPr>
        <w:t>委托书</w:t>
      </w:r>
      <w:r>
        <w:rPr>
          <w:rFonts w:hint="default" w:ascii="Times New Roman" w:hAnsi="Times New Roman" w:eastAsia="宋体" w:cs="Times New Roman"/>
          <w:b w:val="0"/>
          <w:bCs w:val="0"/>
          <w:color w:val="auto"/>
          <w:kern w:val="2"/>
          <w:sz w:val="24"/>
          <w:highlight w:val="none"/>
          <w:lang w:val="en-US" w:eastAsia="zh-CN" w:bidi="ar-SA"/>
        </w:rPr>
        <w:t>；</w:t>
      </w:r>
    </w:p>
    <w:p w14:paraId="0799324D">
      <w:pPr>
        <w:widowControl w:val="0"/>
        <w:numPr>
          <w:ilvl w:val="0"/>
          <w:numId w:val="3"/>
        </w:numPr>
        <w:tabs>
          <w:tab w:val="left" w:pos="1021"/>
        </w:tabs>
        <w:bidi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采矿许可证</w:t>
      </w:r>
      <w:r>
        <w:rPr>
          <w:rFonts w:hint="default" w:ascii="Times New Roman" w:hAnsi="Times New Roman" w:eastAsia="宋体" w:cs="Times New Roman"/>
          <w:b w:val="0"/>
          <w:bCs w:val="0"/>
          <w:color w:val="auto"/>
          <w:kern w:val="2"/>
          <w:sz w:val="24"/>
          <w:highlight w:val="none"/>
          <w:lang w:val="en-US" w:eastAsia="zh-CN" w:bidi="ar-SA"/>
        </w:rPr>
        <w:t>；</w:t>
      </w:r>
    </w:p>
    <w:p w14:paraId="5948D6BD">
      <w:pPr>
        <w:widowControl w:val="0"/>
        <w:numPr>
          <w:ilvl w:val="0"/>
          <w:numId w:val="3"/>
        </w:numPr>
        <w:tabs>
          <w:tab w:val="left" w:pos="1021"/>
        </w:tabs>
        <w:bidi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排污许可证</w:t>
      </w:r>
      <w:r>
        <w:rPr>
          <w:rFonts w:hint="default" w:ascii="Times New Roman" w:hAnsi="Times New Roman" w:eastAsia="宋体" w:cs="Times New Roman"/>
          <w:b w:val="0"/>
          <w:bCs w:val="0"/>
          <w:color w:val="auto"/>
          <w:kern w:val="2"/>
          <w:sz w:val="24"/>
          <w:highlight w:val="none"/>
          <w:lang w:val="en-US" w:eastAsia="zh-CN" w:bidi="ar-SA"/>
        </w:rPr>
        <w:t>；</w:t>
      </w:r>
    </w:p>
    <w:p w14:paraId="1C6D0225">
      <w:pPr>
        <w:widowControl w:val="0"/>
        <w:numPr>
          <w:ilvl w:val="0"/>
          <w:numId w:val="3"/>
        </w:numPr>
        <w:tabs>
          <w:tab w:val="left" w:pos="1021"/>
        </w:tabs>
        <w:bidi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cs="Times New Roman"/>
          <w:b w:val="0"/>
          <w:bCs w:val="0"/>
          <w:color w:val="auto"/>
          <w:kern w:val="2"/>
          <w:sz w:val="24"/>
          <w:highlight w:val="none"/>
          <w:lang w:val="en-US" w:eastAsia="zh-CN" w:bidi="ar-SA"/>
        </w:rPr>
        <w:t>企业排污权证</w:t>
      </w:r>
      <w:r>
        <w:rPr>
          <w:rFonts w:hint="default" w:ascii="Times New Roman" w:hAnsi="Times New Roman" w:eastAsia="宋体" w:cs="Times New Roman"/>
          <w:b w:val="0"/>
          <w:bCs w:val="0"/>
          <w:color w:val="auto"/>
          <w:kern w:val="2"/>
          <w:sz w:val="24"/>
          <w:highlight w:val="none"/>
          <w:lang w:val="en-US" w:eastAsia="zh-CN" w:bidi="ar-SA"/>
        </w:rPr>
        <w:t>；</w:t>
      </w:r>
    </w:p>
    <w:p w14:paraId="272C8FD2">
      <w:pPr>
        <w:widowControl w:val="0"/>
        <w:numPr>
          <w:ilvl w:val="0"/>
          <w:numId w:val="3"/>
        </w:numPr>
        <w:tabs>
          <w:tab w:val="left" w:pos="1021"/>
        </w:tabs>
        <w:bidi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default" w:ascii="Times New Roman" w:hAnsi="Times New Roman" w:eastAsia="宋体" w:cs="Times New Roman"/>
          <w:b w:val="0"/>
          <w:bCs w:val="0"/>
          <w:color w:val="auto"/>
          <w:kern w:val="2"/>
          <w:sz w:val="24"/>
          <w:highlight w:val="none"/>
          <w:lang w:val="en-US" w:eastAsia="zh-CN" w:bidi="ar-SA"/>
        </w:rPr>
        <w:t>渣滓溪锑矿</w:t>
      </w:r>
      <w:r>
        <w:rPr>
          <w:rFonts w:hint="eastAsia" w:cs="Times New Roman"/>
          <w:b w:val="0"/>
          <w:bCs w:val="0"/>
          <w:color w:val="auto"/>
          <w:kern w:val="2"/>
          <w:sz w:val="24"/>
          <w:highlight w:val="none"/>
          <w:lang w:val="en-US" w:eastAsia="zh-CN" w:bidi="ar-SA"/>
        </w:rPr>
        <w:t>节能环保技改工程</w:t>
      </w:r>
      <w:r>
        <w:rPr>
          <w:rFonts w:hint="default" w:ascii="Times New Roman" w:hAnsi="Times New Roman" w:eastAsia="宋体" w:cs="Times New Roman"/>
          <w:b w:val="0"/>
          <w:bCs w:val="0"/>
          <w:color w:val="auto"/>
          <w:kern w:val="2"/>
          <w:sz w:val="24"/>
          <w:highlight w:val="none"/>
          <w:lang w:val="en-US" w:eastAsia="zh-CN" w:bidi="ar-SA"/>
        </w:rPr>
        <w:t>（</w:t>
      </w:r>
      <w:r>
        <w:rPr>
          <w:rFonts w:hint="eastAsia" w:ascii="Times New Roman" w:hAnsi="Times New Roman" w:eastAsia="宋体" w:cs="Times New Roman"/>
          <w:b w:val="0"/>
          <w:bCs w:val="0"/>
          <w:color w:val="auto"/>
          <w:kern w:val="2"/>
          <w:sz w:val="24"/>
          <w:highlight w:val="none"/>
          <w:lang w:val="en-US" w:eastAsia="zh-CN" w:bidi="ar-SA"/>
        </w:rPr>
        <w:t>冶炼</w:t>
      </w:r>
      <w:r>
        <w:rPr>
          <w:rFonts w:hint="default" w:ascii="Times New Roman" w:hAnsi="Times New Roman" w:eastAsia="宋体" w:cs="Times New Roman"/>
          <w:b w:val="0"/>
          <w:bCs w:val="0"/>
          <w:color w:val="auto"/>
          <w:kern w:val="2"/>
          <w:sz w:val="24"/>
          <w:highlight w:val="none"/>
          <w:lang w:val="en-US" w:eastAsia="zh-CN" w:bidi="ar-SA"/>
        </w:rPr>
        <w:t>部分）</w:t>
      </w:r>
      <w:r>
        <w:rPr>
          <w:rFonts w:hint="eastAsia" w:eastAsia="宋体" w:cs="Times New Roman"/>
          <w:b w:val="0"/>
          <w:bCs w:val="0"/>
          <w:color w:val="auto"/>
          <w:kern w:val="2"/>
          <w:sz w:val="24"/>
          <w:highlight w:val="none"/>
          <w:lang w:val="en-US" w:eastAsia="zh-CN" w:bidi="ar-SA"/>
        </w:rPr>
        <w:t>环评</w:t>
      </w:r>
      <w:r>
        <w:rPr>
          <w:rFonts w:hint="default" w:ascii="Times New Roman" w:hAnsi="Times New Roman" w:eastAsia="宋体" w:cs="Times New Roman"/>
          <w:b w:val="0"/>
          <w:bCs w:val="0"/>
          <w:color w:val="auto"/>
          <w:kern w:val="2"/>
          <w:sz w:val="24"/>
          <w:highlight w:val="none"/>
          <w:lang w:val="en-US" w:eastAsia="zh-CN" w:bidi="ar-SA"/>
        </w:rPr>
        <w:t>批复（湘环评〔2013〕218号）；</w:t>
      </w:r>
    </w:p>
    <w:p w14:paraId="76E33EFD">
      <w:pPr>
        <w:widowControl w:val="0"/>
        <w:numPr>
          <w:ilvl w:val="0"/>
          <w:numId w:val="3"/>
        </w:numPr>
        <w:tabs>
          <w:tab w:val="left" w:pos="1021"/>
        </w:tabs>
        <w:bidi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default" w:ascii="Times New Roman" w:hAnsi="Times New Roman" w:eastAsia="宋体" w:cs="Times New Roman"/>
          <w:b w:val="0"/>
          <w:bCs w:val="0"/>
          <w:color w:val="auto"/>
          <w:kern w:val="2"/>
          <w:sz w:val="24"/>
          <w:highlight w:val="none"/>
          <w:lang w:val="en-US" w:eastAsia="zh-CN" w:bidi="ar-SA"/>
        </w:rPr>
        <w:t>渣滓溪锑矿</w:t>
      </w:r>
      <w:r>
        <w:rPr>
          <w:rFonts w:hint="eastAsia" w:cs="Times New Roman"/>
          <w:b w:val="0"/>
          <w:bCs w:val="0"/>
          <w:color w:val="auto"/>
          <w:kern w:val="2"/>
          <w:sz w:val="24"/>
          <w:highlight w:val="none"/>
          <w:lang w:val="en-US" w:eastAsia="zh-CN" w:bidi="ar-SA"/>
        </w:rPr>
        <w:t>节能环保技改工程</w:t>
      </w:r>
      <w:r>
        <w:rPr>
          <w:rFonts w:hint="default" w:ascii="Times New Roman" w:hAnsi="Times New Roman" w:eastAsia="宋体" w:cs="Times New Roman"/>
          <w:b w:val="0"/>
          <w:bCs w:val="0"/>
          <w:color w:val="auto"/>
          <w:kern w:val="2"/>
          <w:sz w:val="24"/>
          <w:highlight w:val="none"/>
          <w:lang w:val="en-US" w:eastAsia="zh-CN" w:bidi="ar-SA"/>
        </w:rPr>
        <w:t>（采选部分）</w:t>
      </w:r>
      <w:r>
        <w:rPr>
          <w:rFonts w:hint="eastAsia" w:eastAsia="宋体" w:cs="Times New Roman"/>
          <w:b w:val="0"/>
          <w:bCs w:val="0"/>
          <w:color w:val="auto"/>
          <w:kern w:val="2"/>
          <w:sz w:val="24"/>
          <w:highlight w:val="none"/>
          <w:lang w:val="en-US" w:eastAsia="zh-CN" w:bidi="ar-SA"/>
        </w:rPr>
        <w:t>环评</w:t>
      </w:r>
      <w:r>
        <w:rPr>
          <w:rFonts w:hint="default" w:ascii="Times New Roman" w:hAnsi="Times New Roman" w:eastAsia="宋体" w:cs="Times New Roman"/>
          <w:b w:val="0"/>
          <w:bCs w:val="0"/>
          <w:color w:val="auto"/>
          <w:kern w:val="2"/>
          <w:sz w:val="24"/>
          <w:highlight w:val="none"/>
          <w:lang w:val="en-US" w:eastAsia="zh-CN" w:bidi="ar-SA"/>
        </w:rPr>
        <w:t>批复（湘环评〔2013〕219号）；</w:t>
      </w:r>
    </w:p>
    <w:p w14:paraId="2446130D">
      <w:pPr>
        <w:pStyle w:val="2"/>
        <w:numPr>
          <w:ilvl w:val="0"/>
          <w:numId w:val="3"/>
        </w:numPr>
        <w:bidi w:val="0"/>
        <w:ind w:firstLine="48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val="en-US" w:eastAsia="zh-CN"/>
        </w:rPr>
        <w:t>渣滓溪锑矿</w:t>
      </w:r>
      <w:r>
        <w:rPr>
          <w:rFonts w:hint="eastAsia" w:cs="Times New Roman"/>
          <w:b w:val="0"/>
          <w:bCs w:val="0"/>
          <w:color w:val="auto"/>
          <w:highlight w:val="none"/>
          <w:lang w:val="en-US" w:eastAsia="zh-CN"/>
        </w:rPr>
        <w:t>节能环保技改工程</w:t>
      </w:r>
      <w:r>
        <w:rPr>
          <w:rFonts w:hint="default" w:ascii="Times New Roman" w:hAnsi="Times New Roman" w:cs="Times New Roman"/>
          <w:b w:val="0"/>
          <w:bCs w:val="0"/>
          <w:color w:val="auto"/>
          <w:highlight w:val="none"/>
          <w:lang w:val="en-US" w:eastAsia="zh-CN"/>
        </w:rPr>
        <w:t>（采选部分）</w:t>
      </w:r>
      <w:r>
        <w:rPr>
          <w:rFonts w:hint="eastAsia" w:cs="Times New Roman"/>
          <w:b w:val="0"/>
          <w:bCs w:val="0"/>
          <w:color w:val="auto"/>
          <w:highlight w:val="none"/>
          <w:lang w:val="en-US" w:eastAsia="zh-CN"/>
        </w:rPr>
        <w:t>验收手续</w:t>
      </w:r>
      <w:r>
        <w:rPr>
          <w:rFonts w:hint="default" w:ascii="Times New Roman" w:hAnsi="Times New Roman" w:cs="Times New Roman"/>
          <w:b w:val="0"/>
          <w:bCs w:val="0"/>
          <w:color w:val="auto"/>
          <w:highlight w:val="none"/>
          <w:lang w:val="en-US" w:eastAsia="zh-CN"/>
        </w:rPr>
        <w:t>（益环评验〔2017〕50号）</w:t>
      </w:r>
      <w:r>
        <w:rPr>
          <w:rFonts w:hint="default" w:ascii="Times New Roman" w:hAnsi="Times New Roman" w:eastAsia="宋体" w:cs="Times New Roman"/>
          <w:b w:val="0"/>
          <w:bCs w:val="0"/>
          <w:color w:val="auto"/>
          <w:kern w:val="2"/>
          <w:sz w:val="24"/>
          <w:highlight w:val="none"/>
          <w:lang w:val="en-US" w:eastAsia="zh-CN" w:bidi="ar-SA"/>
        </w:rPr>
        <w:t>；</w:t>
      </w:r>
    </w:p>
    <w:p w14:paraId="3C15AA6F">
      <w:pPr>
        <w:pStyle w:val="2"/>
        <w:numPr>
          <w:ilvl w:val="0"/>
          <w:numId w:val="3"/>
        </w:numPr>
        <w:bidi w:val="0"/>
        <w:ind w:firstLine="48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val="en-US" w:eastAsia="zh-CN"/>
        </w:rPr>
        <w:t>渣滓溪锑矿</w:t>
      </w:r>
      <w:r>
        <w:rPr>
          <w:rFonts w:hint="eastAsia" w:cs="Times New Roman"/>
          <w:b w:val="0"/>
          <w:bCs w:val="0"/>
          <w:color w:val="auto"/>
          <w:highlight w:val="none"/>
          <w:lang w:val="en-US" w:eastAsia="zh-CN"/>
        </w:rPr>
        <w:t>节能环保技改工程</w:t>
      </w:r>
      <w:r>
        <w:rPr>
          <w:rFonts w:hint="default" w:ascii="Times New Roman" w:hAnsi="Times New Roman" w:cs="Times New Roman"/>
          <w:b w:val="0"/>
          <w:bCs w:val="0"/>
          <w:color w:val="auto"/>
          <w:highlight w:val="none"/>
          <w:lang w:val="en-US" w:eastAsia="zh-CN"/>
        </w:rPr>
        <w:t>（</w:t>
      </w:r>
      <w:r>
        <w:rPr>
          <w:rFonts w:hint="eastAsia" w:cs="Times New Roman"/>
          <w:b w:val="0"/>
          <w:bCs w:val="0"/>
          <w:color w:val="auto"/>
          <w:highlight w:val="none"/>
          <w:lang w:val="en-US" w:eastAsia="zh-CN"/>
        </w:rPr>
        <w:t>冶炼</w:t>
      </w:r>
      <w:r>
        <w:rPr>
          <w:rFonts w:hint="default" w:ascii="Times New Roman" w:hAnsi="Times New Roman" w:cs="Times New Roman"/>
          <w:b w:val="0"/>
          <w:bCs w:val="0"/>
          <w:color w:val="auto"/>
          <w:highlight w:val="none"/>
          <w:lang w:val="en-US" w:eastAsia="zh-CN"/>
        </w:rPr>
        <w:t>部分）</w:t>
      </w:r>
      <w:r>
        <w:rPr>
          <w:rFonts w:hint="eastAsia" w:cs="Times New Roman"/>
          <w:b w:val="0"/>
          <w:bCs w:val="0"/>
          <w:color w:val="auto"/>
          <w:highlight w:val="none"/>
          <w:lang w:val="en-US" w:eastAsia="zh-CN"/>
        </w:rPr>
        <w:t>验收手续</w:t>
      </w:r>
      <w:r>
        <w:rPr>
          <w:rFonts w:hint="default" w:ascii="Times New Roman" w:hAnsi="Times New Roman" w:cs="Times New Roman"/>
          <w:b w:val="0"/>
          <w:bCs w:val="0"/>
          <w:color w:val="auto"/>
          <w:highlight w:val="none"/>
          <w:lang w:val="en-US" w:eastAsia="zh-CN"/>
        </w:rPr>
        <w:t>（湘环评验〔2018〕7号）</w:t>
      </w:r>
      <w:r>
        <w:rPr>
          <w:rFonts w:hint="default" w:ascii="Times New Roman" w:hAnsi="Times New Roman" w:eastAsia="宋体" w:cs="Times New Roman"/>
          <w:b w:val="0"/>
          <w:bCs w:val="0"/>
          <w:color w:val="auto"/>
          <w:kern w:val="2"/>
          <w:sz w:val="24"/>
          <w:highlight w:val="none"/>
          <w:lang w:val="en-US" w:eastAsia="zh-CN" w:bidi="ar-SA"/>
        </w:rPr>
        <w:t>；</w:t>
      </w:r>
    </w:p>
    <w:p w14:paraId="7FC27F06">
      <w:pPr>
        <w:pStyle w:val="2"/>
        <w:numPr>
          <w:ilvl w:val="0"/>
          <w:numId w:val="3"/>
        </w:numPr>
        <w:bidi w:val="0"/>
        <w:ind w:firstLine="480"/>
        <w:rPr>
          <w:rFonts w:hint="default" w:ascii="Times New Roman" w:hAnsi="Times New Roman" w:cs="Times New Roman"/>
          <w:b w:val="0"/>
          <w:bCs w:val="0"/>
          <w:color w:val="auto"/>
          <w:highlight w:val="none"/>
          <w:lang w:eastAsia="zh-CN"/>
        </w:rPr>
      </w:pPr>
      <w:r>
        <w:rPr>
          <w:rFonts w:hint="eastAsia" w:ascii="Times New Roman" w:hAnsi="Times New Roman" w:eastAsia="宋体" w:cs="Times New Roman"/>
          <w:b w:val="0"/>
          <w:bCs w:val="0"/>
          <w:color w:val="auto"/>
          <w:kern w:val="2"/>
          <w:sz w:val="24"/>
          <w:highlight w:val="none"/>
          <w:u w:val="single"/>
          <w:lang w:val="en-US" w:eastAsia="zh-CN" w:bidi="ar-SA"/>
        </w:rPr>
        <w:t>企业从严排放承诺函</w:t>
      </w:r>
      <w:r>
        <w:rPr>
          <w:rFonts w:hint="default" w:ascii="Times New Roman" w:hAnsi="Times New Roman" w:eastAsia="宋体" w:cs="Times New Roman"/>
          <w:b w:val="0"/>
          <w:bCs w:val="0"/>
          <w:color w:val="auto"/>
          <w:kern w:val="2"/>
          <w:sz w:val="24"/>
          <w:highlight w:val="none"/>
          <w:u w:val="single"/>
          <w:lang w:val="en-US" w:eastAsia="zh-CN" w:bidi="ar-SA"/>
        </w:rPr>
        <w:t>；</w:t>
      </w:r>
    </w:p>
    <w:p w14:paraId="07B0D369">
      <w:pPr>
        <w:pStyle w:val="2"/>
        <w:numPr>
          <w:ilvl w:val="0"/>
          <w:numId w:val="3"/>
        </w:numPr>
        <w:bidi w:val="0"/>
        <w:ind w:firstLine="480"/>
        <w:rPr>
          <w:rFonts w:hint="default" w:ascii="Times New Roman" w:hAnsi="Times New Roman" w:cs="Times New Roman"/>
          <w:b w:val="0"/>
          <w:bCs w:val="0"/>
          <w:color w:val="auto"/>
          <w:highlight w:val="none"/>
          <w:lang w:eastAsia="zh-CN"/>
        </w:rPr>
      </w:pPr>
      <w:r>
        <w:rPr>
          <w:rFonts w:hint="eastAsia" w:cs="Times New Roman"/>
          <w:b w:val="0"/>
          <w:bCs w:val="0"/>
          <w:color w:val="auto"/>
          <w:kern w:val="2"/>
          <w:sz w:val="24"/>
          <w:highlight w:val="none"/>
          <w:u w:val="single"/>
          <w:lang w:val="en-US" w:eastAsia="zh-CN" w:bidi="ar-SA"/>
        </w:rPr>
        <w:t>专家评审意见</w:t>
      </w:r>
      <w:r>
        <w:rPr>
          <w:rFonts w:hint="default" w:ascii="Times New Roman" w:hAnsi="Times New Roman" w:eastAsia="宋体" w:cs="Times New Roman"/>
          <w:b w:val="0"/>
          <w:bCs w:val="0"/>
          <w:color w:val="auto"/>
          <w:kern w:val="2"/>
          <w:sz w:val="24"/>
          <w:highlight w:val="none"/>
          <w:u w:val="single"/>
          <w:lang w:val="en-US" w:eastAsia="zh-CN" w:bidi="ar-SA"/>
        </w:rPr>
        <w:t>；</w:t>
      </w:r>
    </w:p>
    <w:p w14:paraId="5D0C3B6D">
      <w:pPr>
        <w:pStyle w:val="2"/>
        <w:widowControl w:val="0"/>
        <w:numPr>
          <w:ilvl w:val="0"/>
          <w:numId w:val="0"/>
        </w:numPr>
        <w:bidi w:val="0"/>
        <w:spacing w:line="360" w:lineRule="auto"/>
        <w:jc w:val="both"/>
        <w:rPr>
          <w:rFonts w:hint="default" w:ascii="Times New Roman" w:hAnsi="Times New Roman" w:cs="Times New Roman"/>
          <w:b w:val="0"/>
          <w:bCs w:val="0"/>
          <w:color w:val="auto"/>
          <w:highlight w:val="none"/>
          <w:lang w:val="en-US" w:eastAsia="zh-CN"/>
        </w:rPr>
      </w:pPr>
    </w:p>
    <w:p w14:paraId="3EC34B03">
      <w:pPr>
        <w:pStyle w:val="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附图：</w:t>
      </w:r>
    </w:p>
    <w:p w14:paraId="0213DE8D">
      <w:pPr>
        <w:pStyle w:val="2"/>
        <w:numPr>
          <w:ilvl w:val="0"/>
          <w:numId w:val="4"/>
        </w:numPr>
        <w:bidi w:val="0"/>
        <w:ind w:firstLine="480"/>
        <w:rPr>
          <w:rFonts w:hint="default" w:ascii="Times New Roman" w:hAnsi="Times New Roman" w:cs="Times New Roman"/>
          <w:b w:val="0"/>
          <w:bCs w:val="0"/>
          <w:color w:val="auto"/>
          <w:highlight w:val="none"/>
        </w:rPr>
      </w:pPr>
      <w:r>
        <w:rPr>
          <w:rFonts w:hint="eastAsia" w:cs="Times New Roman"/>
          <w:b w:val="0"/>
          <w:bCs w:val="0"/>
          <w:color w:val="auto"/>
          <w:highlight w:val="none"/>
          <w:lang w:val="en-US" w:eastAsia="zh-CN"/>
        </w:rPr>
        <w:t>项目地理位置图</w:t>
      </w:r>
      <w:r>
        <w:rPr>
          <w:rFonts w:hint="default" w:ascii="Times New Roman" w:hAnsi="Times New Roman" w:cs="Times New Roman"/>
          <w:b w:val="0"/>
          <w:bCs w:val="0"/>
          <w:color w:val="auto"/>
          <w:highlight w:val="none"/>
          <w:lang w:eastAsia="zh-CN"/>
        </w:rPr>
        <w:t>；</w:t>
      </w:r>
    </w:p>
    <w:p w14:paraId="5B9CA8DA">
      <w:pPr>
        <w:pStyle w:val="2"/>
        <w:numPr>
          <w:ilvl w:val="0"/>
          <w:numId w:val="4"/>
        </w:numPr>
        <w:bidi w:val="0"/>
        <w:ind w:firstLine="480"/>
        <w:rPr>
          <w:rFonts w:hint="default" w:ascii="Times New Roman" w:hAnsi="Times New Roman" w:cs="Times New Roman"/>
          <w:b w:val="0"/>
          <w:bCs w:val="0"/>
          <w:color w:val="auto"/>
          <w:highlight w:val="none"/>
        </w:rPr>
      </w:pPr>
      <w:r>
        <w:rPr>
          <w:rFonts w:hint="eastAsia" w:ascii="Times New Roman" w:hAnsi="Times New Roman" w:cs="Times New Roman"/>
          <w:b w:val="0"/>
          <w:bCs w:val="0"/>
          <w:color w:val="auto"/>
          <w:highlight w:val="none"/>
          <w:u w:val="single"/>
          <w:lang w:val="en-US" w:eastAsia="zh-CN"/>
        </w:rPr>
        <w:t>影响范围示意图</w:t>
      </w:r>
      <w:r>
        <w:rPr>
          <w:rFonts w:hint="default" w:ascii="Times New Roman" w:hAnsi="Times New Roman" w:cs="Times New Roman"/>
          <w:b w:val="0"/>
          <w:bCs w:val="0"/>
          <w:color w:val="auto"/>
          <w:highlight w:val="none"/>
          <w:u w:val="single"/>
          <w:lang w:eastAsia="zh-CN"/>
        </w:rPr>
        <w:t>；</w:t>
      </w:r>
    </w:p>
    <w:p w14:paraId="1CB7DD06">
      <w:pPr>
        <w:pStyle w:val="2"/>
        <w:numPr>
          <w:ilvl w:val="0"/>
          <w:numId w:val="4"/>
        </w:numPr>
        <w:bidi w:val="0"/>
        <w:ind w:firstLine="480"/>
        <w:rPr>
          <w:rFonts w:hint="default" w:ascii="Times New Roman" w:hAnsi="Times New Roman" w:cs="Times New Roman"/>
          <w:b w:val="0"/>
          <w:bCs w:val="0"/>
          <w:color w:val="auto"/>
          <w:highlight w:val="none"/>
          <w:u w:val="single"/>
        </w:rPr>
      </w:pPr>
      <w:r>
        <w:rPr>
          <w:rFonts w:hint="eastAsia" w:cs="Times New Roman"/>
          <w:b w:val="0"/>
          <w:bCs w:val="0"/>
          <w:color w:val="auto"/>
          <w:highlight w:val="none"/>
          <w:u w:val="single"/>
          <w:lang w:val="en-US" w:eastAsia="zh-CN"/>
        </w:rPr>
        <w:t>论证范围示意图</w:t>
      </w:r>
      <w:r>
        <w:rPr>
          <w:rFonts w:hint="default" w:ascii="Times New Roman" w:hAnsi="Times New Roman" w:cs="Times New Roman"/>
          <w:b w:val="0"/>
          <w:bCs w:val="0"/>
          <w:color w:val="auto"/>
          <w:highlight w:val="none"/>
          <w:u w:val="single"/>
          <w:lang w:eastAsia="zh-CN"/>
        </w:rPr>
        <w:t>；</w:t>
      </w:r>
    </w:p>
    <w:p w14:paraId="25359188">
      <w:pPr>
        <w:pStyle w:val="2"/>
        <w:numPr>
          <w:ilvl w:val="0"/>
          <w:numId w:val="4"/>
        </w:numPr>
        <w:bidi w:val="0"/>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lang w:eastAsia="zh-CN"/>
        </w:rPr>
        <w:t>渣滓溪锑矿总平面布置示意图；</w:t>
      </w:r>
    </w:p>
    <w:p w14:paraId="0489939B">
      <w:pPr>
        <w:pStyle w:val="2"/>
        <w:numPr>
          <w:ilvl w:val="0"/>
          <w:numId w:val="4"/>
        </w:numPr>
        <w:bidi w:val="0"/>
        <w:ind w:firstLine="480"/>
        <w:rPr>
          <w:rFonts w:hint="default" w:ascii="Times New Roman" w:hAnsi="Times New Roman" w:cs="Times New Roman"/>
          <w:b w:val="0"/>
          <w:bCs w:val="0"/>
          <w:color w:val="auto"/>
          <w:highlight w:val="none"/>
        </w:rPr>
      </w:pPr>
      <w:r>
        <w:rPr>
          <w:rFonts w:hint="eastAsia" w:cs="Times New Roman"/>
          <w:b w:val="0"/>
          <w:bCs w:val="0"/>
          <w:color w:val="auto"/>
          <w:highlight w:val="none"/>
          <w:lang w:val="en-US" w:eastAsia="zh-CN"/>
        </w:rPr>
        <w:t>区域水系及地表水监测布点图</w:t>
      </w:r>
      <w:r>
        <w:rPr>
          <w:rFonts w:hint="default" w:ascii="Times New Roman" w:hAnsi="Times New Roman" w:cs="Times New Roman"/>
          <w:b w:val="0"/>
          <w:bCs w:val="0"/>
          <w:color w:val="auto"/>
          <w:highlight w:val="none"/>
          <w:lang w:eastAsia="zh-CN"/>
        </w:rPr>
        <w:t>；</w:t>
      </w:r>
    </w:p>
    <w:p w14:paraId="57A77EC6">
      <w:pPr>
        <w:pStyle w:val="2"/>
        <w:numPr>
          <w:ilvl w:val="0"/>
          <w:numId w:val="4"/>
        </w:numPr>
        <w:bidi w:val="0"/>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lang w:val="en-US" w:eastAsia="zh-CN"/>
        </w:rPr>
        <w:t>项目区域排水路径图</w:t>
      </w:r>
      <w:r>
        <w:rPr>
          <w:rFonts w:hint="default" w:ascii="Times New Roman" w:hAnsi="Times New Roman" w:cs="Times New Roman"/>
          <w:b w:val="0"/>
          <w:bCs w:val="0"/>
          <w:color w:val="auto"/>
          <w:highlight w:val="none"/>
          <w:lang w:eastAsia="zh-CN"/>
        </w:rPr>
        <w:t>；</w:t>
      </w:r>
    </w:p>
    <w:p w14:paraId="2B9BA2F1">
      <w:pPr>
        <w:pStyle w:val="2"/>
        <w:numPr>
          <w:ilvl w:val="0"/>
          <w:numId w:val="4"/>
        </w:numPr>
        <w:bidi w:val="0"/>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项目与安化县奎溪镇白毛溪饮用水水源保护区位置关系</w:t>
      </w:r>
      <w:r>
        <w:rPr>
          <w:rFonts w:hint="eastAsia" w:cs="Times New Roman"/>
          <w:b w:val="0"/>
          <w:bCs w:val="0"/>
          <w:color w:val="auto"/>
          <w:highlight w:val="none"/>
          <w:lang w:val="en-US" w:eastAsia="zh-CN"/>
        </w:rPr>
        <w:t>图</w:t>
      </w:r>
      <w:r>
        <w:rPr>
          <w:rFonts w:hint="default" w:ascii="Times New Roman" w:hAnsi="Times New Roman" w:cs="Times New Roman"/>
          <w:b w:val="0"/>
          <w:bCs w:val="0"/>
          <w:color w:val="auto"/>
          <w:highlight w:val="none"/>
          <w:lang w:eastAsia="zh-CN"/>
        </w:rPr>
        <w:t>；</w:t>
      </w:r>
    </w:p>
    <w:p w14:paraId="0E42CBC4">
      <w:pPr>
        <w:pStyle w:val="2"/>
        <w:numPr>
          <w:ilvl w:val="0"/>
          <w:numId w:val="4"/>
        </w:numPr>
        <w:bidi w:val="0"/>
        <w:ind w:firstLine="480"/>
        <w:rPr>
          <w:rFonts w:hint="default" w:ascii="Times New Roman" w:hAnsi="Times New Roman" w:cs="Times New Roman"/>
          <w:b w:val="0"/>
          <w:bCs w:val="0"/>
          <w:color w:val="auto"/>
          <w:highlight w:val="none"/>
        </w:rPr>
      </w:pPr>
      <w:r>
        <w:rPr>
          <w:rFonts w:hint="eastAsia" w:cs="Times New Roman"/>
          <w:b w:val="0"/>
          <w:bCs w:val="0"/>
          <w:color w:val="auto"/>
          <w:highlight w:val="none"/>
          <w:lang w:val="en-US" w:eastAsia="zh-CN"/>
        </w:rPr>
        <w:t>益阳市水功能一级区划分布图</w:t>
      </w:r>
      <w:r>
        <w:rPr>
          <w:rFonts w:hint="default" w:ascii="Times New Roman" w:hAnsi="Times New Roman" w:cs="Times New Roman"/>
          <w:b w:val="0"/>
          <w:bCs w:val="0"/>
          <w:color w:val="auto"/>
          <w:highlight w:val="none"/>
          <w:lang w:eastAsia="zh-CN"/>
        </w:rPr>
        <w:t>；</w:t>
      </w:r>
    </w:p>
    <w:p w14:paraId="6A6C8740">
      <w:pPr>
        <w:pStyle w:val="2"/>
        <w:numPr>
          <w:ilvl w:val="0"/>
          <w:numId w:val="4"/>
        </w:numPr>
        <w:bidi w:val="0"/>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u w:val="single"/>
        </w:rPr>
        <w:t>项目与</w:t>
      </w:r>
      <w:r>
        <w:rPr>
          <w:rFonts w:hint="default" w:ascii="Times New Roman" w:hAnsi="Times New Roman" w:cs="Times New Roman"/>
          <w:b w:val="0"/>
          <w:bCs w:val="0"/>
          <w:color w:val="auto"/>
          <w:highlight w:val="none"/>
          <w:u w:val="single"/>
          <w:lang w:val="en-US" w:eastAsia="zh-CN"/>
        </w:rPr>
        <w:t>湖南雪峰湖国家湿地自然公园</w:t>
      </w:r>
      <w:r>
        <w:rPr>
          <w:rFonts w:hint="default" w:ascii="Times New Roman" w:hAnsi="Times New Roman" w:cs="Times New Roman"/>
          <w:b w:val="0"/>
          <w:bCs w:val="0"/>
          <w:color w:val="auto"/>
          <w:highlight w:val="none"/>
          <w:u w:val="single"/>
        </w:rPr>
        <w:t>位置关系</w:t>
      </w:r>
      <w:r>
        <w:rPr>
          <w:rFonts w:hint="eastAsia" w:cs="Times New Roman"/>
          <w:b w:val="0"/>
          <w:bCs w:val="0"/>
          <w:color w:val="auto"/>
          <w:highlight w:val="none"/>
          <w:u w:val="single"/>
          <w:lang w:val="en-US" w:eastAsia="zh-CN"/>
        </w:rPr>
        <w:t>图</w:t>
      </w:r>
      <w:r>
        <w:rPr>
          <w:rFonts w:hint="default" w:ascii="Times New Roman" w:hAnsi="Times New Roman" w:eastAsia="宋体" w:cs="Times New Roman"/>
          <w:b w:val="0"/>
          <w:bCs w:val="0"/>
          <w:color w:val="auto"/>
          <w:kern w:val="2"/>
          <w:sz w:val="24"/>
          <w:highlight w:val="none"/>
          <w:u w:val="single"/>
          <w:lang w:val="en-US" w:eastAsia="zh-CN" w:bidi="ar-SA"/>
        </w:rPr>
        <w:t>；</w:t>
      </w:r>
    </w:p>
    <w:p w14:paraId="052A269A">
      <w:pPr>
        <w:pStyle w:val="2"/>
        <w:numPr>
          <w:ilvl w:val="0"/>
          <w:numId w:val="4"/>
        </w:numPr>
        <w:bidi w:val="0"/>
        <w:ind w:firstLine="480"/>
        <w:rPr>
          <w:rFonts w:hint="default" w:ascii="Times New Roman" w:hAnsi="Times New Roman" w:cs="Times New Roman"/>
          <w:b w:val="0"/>
          <w:bCs w:val="0"/>
          <w:color w:val="auto"/>
          <w:highlight w:val="none"/>
        </w:rPr>
      </w:pPr>
      <w:r>
        <w:rPr>
          <w:rFonts w:hint="default" w:ascii="Times New Roman" w:hAnsi="Times New Roman" w:eastAsia="宋体" w:cs="Times New Roman"/>
          <w:b w:val="0"/>
          <w:bCs w:val="0"/>
          <w:color w:val="auto"/>
          <w:kern w:val="2"/>
          <w:sz w:val="24"/>
          <w:highlight w:val="none"/>
          <w:u w:val="single"/>
          <w:lang w:val="en-US" w:eastAsia="zh-CN" w:bidi="ar-SA"/>
        </w:rPr>
        <w:t>区域水系分区及地表水预测点示意图；</w:t>
      </w:r>
    </w:p>
    <w:p w14:paraId="26068AE7">
      <w:pPr>
        <w:pStyle w:val="2"/>
        <w:bidi w:val="0"/>
        <w:rPr>
          <w:rFonts w:hint="default" w:ascii="Times New Roman" w:hAnsi="Times New Roman" w:cs="Times New Roman"/>
          <w:b/>
          <w:bCs/>
          <w:color w:val="auto"/>
          <w:highlight w:val="none"/>
        </w:rPr>
      </w:pPr>
    </w:p>
    <w:p w14:paraId="28A8BE01">
      <w:pPr>
        <w:pStyle w:val="2"/>
        <w:bidi w:val="0"/>
        <w:rPr>
          <w:rFonts w:hint="default" w:ascii="Times New Roman" w:hAnsi="Times New Roman" w:cs="Times New Roman"/>
          <w:b/>
          <w:bCs/>
          <w:color w:val="auto"/>
          <w:highlight w:val="none"/>
        </w:rPr>
        <w:sectPr>
          <w:footerReference r:id="rId10" w:type="default"/>
          <w:pgSz w:w="11906" w:h="16838"/>
          <w:pgMar w:top="1440" w:right="1440" w:bottom="1236" w:left="144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3C30331F">
      <w:pPr>
        <w:pStyle w:val="35"/>
        <w:bidi w:val="0"/>
        <w:rPr>
          <w:rFonts w:hint="default" w:ascii="Times New Roman" w:hAnsi="Times New Roman" w:cs="Times New Roman"/>
          <w:color w:val="auto"/>
          <w:highlight w:val="none"/>
        </w:rPr>
      </w:pPr>
      <w:bookmarkStart w:id="1" w:name="_Toc13924"/>
      <w:bookmarkStart w:id="2" w:name="_Toc31682"/>
      <w:r>
        <w:rPr>
          <w:rFonts w:hint="default" w:ascii="Times New Roman" w:hAnsi="Times New Roman" w:cs="Times New Roman"/>
          <w:color w:val="auto"/>
          <w:highlight w:val="none"/>
        </w:rPr>
        <w:t>总则</w:t>
      </w:r>
      <w:bookmarkEnd w:id="1"/>
      <w:bookmarkEnd w:id="2"/>
    </w:p>
    <w:p w14:paraId="32252360">
      <w:pPr>
        <w:pStyle w:val="36"/>
        <w:bidi w:val="0"/>
        <w:rPr>
          <w:rFonts w:hint="default" w:ascii="Times New Roman" w:hAnsi="Times New Roman" w:cs="Times New Roman"/>
          <w:color w:val="auto"/>
          <w:highlight w:val="none"/>
        </w:rPr>
      </w:pPr>
      <w:bookmarkStart w:id="3" w:name="_Toc4381"/>
      <w:r>
        <w:rPr>
          <w:rFonts w:hint="eastAsia" w:cs="Times New Roman"/>
          <w:color w:val="auto"/>
          <w:highlight w:val="none"/>
          <w:lang w:val="en-US" w:eastAsia="zh-CN"/>
        </w:rPr>
        <w:t>企业概况</w:t>
      </w:r>
      <w:bookmarkEnd w:id="3"/>
    </w:p>
    <w:p w14:paraId="73E24905">
      <w:pPr>
        <w:pStyle w:val="2"/>
        <w:rPr>
          <w:rFonts w:hint="default"/>
          <w:color w:val="auto"/>
          <w:highlight w:val="none"/>
          <w:lang w:eastAsia="zh-CN"/>
        </w:rPr>
      </w:pPr>
      <w:r>
        <w:rPr>
          <w:rFonts w:hint="default"/>
          <w:color w:val="auto"/>
          <w:highlight w:val="none"/>
          <w:lang w:eastAsia="zh-CN"/>
        </w:rPr>
        <w:t>湖南省安化县渣滓溪锑矿（</w:t>
      </w:r>
      <w:r>
        <w:rPr>
          <w:rFonts w:hint="default"/>
          <w:color w:val="auto"/>
          <w:highlight w:val="none"/>
          <w:lang w:val="en-US" w:eastAsia="zh-CN"/>
        </w:rPr>
        <w:t>以下简称“渣滓溪锑矿”</w:t>
      </w:r>
      <w:r>
        <w:rPr>
          <w:rFonts w:hint="default"/>
          <w:color w:val="auto"/>
          <w:highlight w:val="none"/>
          <w:lang w:eastAsia="zh-CN"/>
        </w:rPr>
        <w:t>）</w:t>
      </w:r>
      <w:r>
        <w:rPr>
          <w:rFonts w:hint="default"/>
          <w:color w:val="auto"/>
          <w:highlight w:val="none"/>
          <w:lang w:val="en-US" w:eastAsia="zh-CN"/>
        </w:rPr>
        <w:t>位于安化县奎溪镇白洋村，距离安化县城西南方向65公里。矿山始采于1906年，1950年设立渣滓溪锑矿，1984年以前开采锑矿，兼采钨矿，1985年起专门开采锑矿，采矿权人为湖南省安化县渣滓溪锑矿，2009年7月20日，企业被湖南辰州矿业股份有限公司兼并重组，更名为</w:t>
      </w:r>
      <w:r>
        <w:rPr>
          <w:rFonts w:hint="default"/>
          <w:color w:val="auto"/>
          <w:highlight w:val="none"/>
          <w:lang w:eastAsia="zh-CN"/>
        </w:rPr>
        <w:t>湖南安化渣滓溪矿业有限公司（</w:t>
      </w:r>
      <w:r>
        <w:rPr>
          <w:rFonts w:hint="default"/>
          <w:color w:val="auto"/>
          <w:highlight w:val="none"/>
          <w:lang w:val="en-US" w:eastAsia="zh-CN"/>
        </w:rPr>
        <w:t>以下简称“渣滓溪矿业”</w:t>
      </w:r>
      <w:r>
        <w:rPr>
          <w:rFonts w:hint="default"/>
          <w:color w:val="auto"/>
          <w:highlight w:val="none"/>
          <w:lang w:eastAsia="zh-CN"/>
        </w:rPr>
        <w:t>）。</w:t>
      </w:r>
      <w:r>
        <w:rPr>
          <w:rFonts w:hint="default"/>
          <w:color w:val="auto"/>
          <w:highlight w:val="none"/>
          <w:lang w:val="en-US" w:eastAsia="zh-CN"/>
        </w:rPr>
        <w:t>渣滓溪矿业是一个集锑矿采选、冶炼的联合企业，其中，</w:t>
      </w:r>
      <w:r>
        <w:rPr>
          <w:rFonts w:hint="default"/>
          <w:color w:val="auto"/>
          <w:highlight w:val="none"/>
          <w:lang w:eastAsia="zh-CN"/>
        </w:rPr>
        <w:t>渣滓溪锑矿为地下开采，选矿为手选+浮选；冶炼厂</w:t>
      </w:r>
      <w:r>
        <w:rPr>
          <w:rFonts w:hint="default"/>
          <w:color w:val="auto"/>
          <w:highlight w:val="none"/>
          <w:lang w:val="en-US" w:eastAsia="zh-CN"/>
        </w:rPr>
        <w:t>位于矿区附近，</w:t>
      </w:r>
      <w:r>
        <w:rPr>
          <w:rFonts w:hint="default"/>
          <w:color w:val="auto"/>
          <w:highlight w:val="none"/>
          <w:lang w:eastAsia="zh-CN"/>
        </w:rPr>
        <w:t>以自产锑精矿为原料生产锑锭。</w:t>
      </w:r>
    </w:p>
    <w:p w14:paraId="74E8D6DC">
      <w:pPr>
        <w:pStyle w:val="2"/>
        <w:rPr>
          <w:rFonts w:hint="default"/>
          <w:color w:val="auto"/>
          <w:highlight w:val="none"/>
          <w:lang w:val="en-US" w:eastAsia="zh-CN"/>
        </w:rPr>
      </w:pPr>
      <w:r>
        <w:rPr>
          <w:rFonts w:hint="default"/>
          <w:color w:val="auto"/>
          <w:highlight w:val="none"/>
          <w:lang w:val="en-US" w:eastAsia="zh-CN"/>
        </w:rPr>
        <w:t>渣滓溪矿业于</w:t>
      </w:r>
      <w:r>
        <w:rPr>
          <w:rFonts w:hint="default"/>
          <w:color w:val="auto"/>
          <w:highlight w:val="none"/>
          <w:lang w:eastAsia="zh-CN"/>
        </w:rPr>
        <w:t>2009年1月办理了采矿许可证延续，编号为C1000002009113110046463，规定采矿规模为7.5万吨/年；</w:t>
      </w:r>
      <w:r>
        <w:rPr>
          <w:rFonts w:hint="default"/>
          <w:color w:val="auto"/>
          <w:highlight w:val="none"/>
          <w:lang w:val="en-US" w:eastAsia="zh-CN"/>
        </w:rPr>
        <w:t>配套冶炼厂</w:t>
      </w:r>
      <w:r>
        <w:rPr>
          <w:rFonts w:hint="default"/>
          <w:color w:val="auto"/>
          <w:highlight w:val="none"/>
          <w:lang w:eastAsia="zh-CN"/>
        </w:rPr>
        <w:t>规模为年产锑锭2500吨。</w:t>
      </w:r>
      <w:r>
        <w:rPr>
          <w:rFonts w:hint="default"/>
          <w:color w:val="auto"/>
          <w:highlight w:val="none"/>
          <w:lang w:val="en-US" w:eastAsia="zh-CN"/>
        </w:rPr>
        <w:t>2012年，受限于原有生产规模和生产工艺，企业拟实施渣滓溪锑矿</w:t>
      </w:r>
      <w:r>
        <w:rPr>
          <w:rFonts w:hint="eastAsia"/>
          <w:color w:val="auto"/>
          <w:highlight w:val="none"/>
          <w:lang w:val="en-US" w:eastAsia="zh-CN"/>
        </w:rPr>
        <w:t>节能环保技改工程</w:t>
      </w:r>
      <w:r>
        <w:rPr>
          <w:rFonts w:hint="default"/>
          <w:color w:val="auto"/>
          <w:highlight w:val="none"/>
          <w:lang w:val="en-US" w:eastAsia="zh-CN"/>
        </w:rPr>
        <w:t>，工程分为采选部分和冶炼部分，其中，采选部分采选能力由7.5万t/a提升至21万t/a，冶炼部分生产规模由年产锑锭2500t提高至5250t。2013年8月29日，企业取得了《湖南省环境保护厅关于湖南安化渣滓溪矿业有限公司渣滓溪锑矿</w:t>
      </w:r>
      <w:r>
        <w:rPr>
          <w:rFonts w:hint="eastAsia"/>
          <w:color w:val="auto"/>
          <w:highlight w:val="none"/>
          <w:lang w:val="en-US" w:eastAsia="zh-CN"/>
        </w:rPr>
        <w:t>节能环保技改工程</w:t>
      </w:r>
      <w:r>
        <w:rPr>
          <w:rFonts w:hint="default"/>
          <w:color w:val="auto"/>
          <w:highlight w:val="none"/>
          <w:lang w:val="en-US" w:eastAsia="zh-CN"/>
        </w:rPr>
        <w:t>（冶炼部分）环境影响报告书的批复》（湘环评〔2013〕218号）</w:t>
      </w:r>
      <w:r>
        <w:rPr>
          <w:rFonts w:hint="eastAsia"/>
          <w:color w:val="auto"/>
          <w:highlight w:val="none"/>
          <w:lang w:val="en-US" w:eastAsia="zh-CN"/>
        </w:rPr>
        <w:t>（附件4）</w:t>
      </w:r>
      <w:r>
        <w:rPr>
          <w:rFonts w:hint="default"/>
          <w:color w:val="auto"/>
          <w:highlight w:val="none"/>
          <w:lang w:val="en-US" w:eastAsia="zh-CN"/>
        </w:rPr>
        <w:t>及《湖南省环境保护厅关于湖南安化渣滓溪矿业有限公司渣滓溪锑矿</w:t>
      </w:r>
      <w:r>
        <w:rPr>
          <w:rFonts w:hint="eastAsia"/>
          <w:color w:val="auto"/>
          <w:highlight w:val="none"/>
          <w:lang w:val="en-US" w:eastAsia="zh-CN"/>
        </w:rPr>
        <w:t>节能环保技改工程</w:t>
      </w:r>
      <w:r>
        <w:rPr>
          <w:rFonts w:hint="default"/>
          <w:color w:val="auto"/>
          <w:highlight w:val="none"/>
          <w:lang w:val="en-US" w:eastAsia="zh-CN"/>
        </w:rPr>
        <w:t>（采选部分）环境影响报告书的批复》（湘环评〔2013〕219号）</w:t>
      </w:r>
      <w:r>
        <w:rPr>
          <w:rFonts w:hint="eastAsia"/>
          <w:color w:val="auto"/>
          <w:highlight w:val="none"/>
          <w:lang w:val="en-US" w:eastAsia="zh-CN"/>
        </w:rPr>
        <w:t>（附件5）</w:t>
      </w:r>
      <w:r>
        <w:rPr>
          <w:rFonts w:hint="default"/>
          <w:color w:val="auto"/>
          <w:highlight w:val="none"/>
          <w:lang w:val="en-US" w:eastAsia="zh-CN"/>
        </w:rPr>
        <w:t>。</w:t>
      </w:r>
      <w:r>
        <w:rPr>
          <w:rFonts w:hint="eastAsia"/>
          <w:color w:val="auto"/>
          <w:highlight w:val="none"/>
          <w:lang w:val="en-US" w:eastAsia="zh-CN"/>
        </w:rPr>
        <w:t>节能环保技改工程</w:t>
      </w:r>
      <w:r>
        <w:rPr>
          <w:rFonts w:hint="default"/>
          <w:color w:val="auto"/>
          <w:highlight w:val="none"/>
          <w:lang w:val="en-US" w:eastAsia="zh-CN"/>
        </w:rPr>
        <w:t>建成后，益阳市环境保护局于2017年9月19日出具了《益阳市环境保护局关于湖南安化渣滓溪矿业有限公司渣滓溪锑矿</w:t>
      </w:r>
      <w:r>
        <w:rPr>
          <w:rFonts w:hint="eastAsia"/>
          <w:color w:val="auto"/>
          <w:highlight w:val="none"/>
          <w:lang w:val="en-US" w:eastAsia="zh-CN"/>
        </w:rPr>
        <w:t>节能环保技改工程</w:t>
      </w:r>
      <w:r>
        <w:rPr>
          <w:rFonts w:hint="default"/>
          <w:color w:val="auto"/>
          <w:highlight w:val="none"/>
          <w:lang w:val="en-US" w:eastAsia="zh-CN"/>
        </w:rPr>
        <w:t>（采选部分）竣工环境保护验收意见的函》（益环评验〔2017〕50号）</w:t>
      </w:r>
      <w:r>
        <w:rPr>
          <w:rFonts w:hint="eastAsia"/>
          <w:color w:val="auto"/>
          <w:highlight w:val="none"/>
          <w:lang w:val="en-US" w:eastAsia="zh-CN"/>
        </w:rPr>
        <w:t>（附件6）</w:t>
      </w:r>
      <w:r>
        <w:rPr>
          <w:rFonts w:hint="default"/>
          <w:color w:val="auto"/>
          <w:highlight w:val="none"/>
          <w:lang w:val="en-US" w:eastAsia="zh-CN"/>
        </w:rPr>
        <w:t>，湖南省环境保护厅于2018年2月11日出具了《湖南省环境保护厅关于湖南安化渣滓溪矿业有限公司渣滓溪锑矿</w:t>
      </w:r>
      <w:r>
        <w:rPr>
          <w:rFonts w:hint="eastAsia"/>
          <w:color w:val="auto"/>
          <w:highlight w:val="none"/>
          <w:lang w:val="en-US" w:eastAsia="zh-CN"/>
        </w:rPr>
        <w:t>节能环保技改工程</w:t>
      </w:r>
      <w:r>
        <w:rPr>
          <w:rFonts w:hint="default"/>
          <w:color w:val="auto"/>
          <w:highlight w:val="none"/>
          <w:lang w:val="en-US" w:eastAsia="zh-CN"/>
        </w:rPr>
        <w:t>（冶炼部分）环境保护竣工验收的函》（湘环评验〔2018〕7号）</w:t>
      </w:r>
      <w:r>
        <w:rPr>
          <w:rFonts w:hint="eastAsia"/>
          <w:color w:val="auto"/>
          <w:highlight w:val="none"/>
          <w:lang w:val="en-US" w:eastAsia="zh-CN"/>
        </w:rPr>
        <w:t>（附件7）</w:t>
      </w:r>
      <w:r>
        <w:rPr>
          <w:rFonts w:hint="default"/>
          <w:color w:val="auto"/>
          <w:highlight w:val="none"/>
          <w:lang w:val="en-US" w:eastAsia="zh-CN"/>
        </w:rPr>
        <w:t>。渣滓溪矿业现有采矿许可证证号为C1000002009113110046463，准采规模为</w:t>
      </w:r>
      <w:r>
        <w:rPr>
          <w:rFonts w:hint="eastAsia"/>
          <w:color w:val="auto"/>
          <w:highlight w:val="none"/>
          <w:lang w:val="en-US" w:eastAsia="zh-CN"/>
        </w:rPr>
        <w:t>21</w:t>
      </w:r>
      <w:r>
        <w:rPr>
          <w:rFonts w:hint="default"/>
          <w:color w:val="auto"/>
          <w:highlight w:val="none"/>
          <w:lang w:val="en-US" w:eastAsia="zh-CN"/>
        </w:rPr>
        <w:t>万t/a，准采矿种为锑矿、钨矿，有效期限自20</w:t>
      </w:r>
      <w:r>
        <w:rPr>
          <w:rFonts w:hint="eastAsia"/>
          <w:color w:val="auto"/>
          <w:highlight w:val="none"/>
          <w:lang w:val="en-US" w:eastAsia="zh-CN"/>
        </w:rPr>
        <w:t>24</w:t>
      </w:r>
      <w:r>
        <w:rPr>
          <w:rFonts w:hint="default"/>
          <w:color w:val="auto"/>
          <w:highlight w:val="none"/>
          <w:lang w:val="en-US" w:eastAsia="zh-CN"/>
        </w:rPr>
        <w:t>年</w:t>
      </w:r>
      <w:r>
        <w:rPr>
          <w:rFonts w:hint="eastAsia"/>
          <w:color w:val="auto"/>
          <w:highlight w:val="none"/>
          <w:lang w:val="en-US" w:eastAsia="zh-CN"/>
        </w:rPr>
        <w:t>6</w:t>
      </w:r>
      <w:r>
        <w:rPr>
          <w:rFonts w:hint="default"/>
          <w:color w:val="auto"/>
          <w:highlight w:val="none"/>
          <w:lang w:val="en-US" w:eastAsia="zh-CN"/>
        </w:rPr>
        <w:t>月1</w:t>
      </w:r>
      <w:r>
        <w:rPr>
          <w:rFonts w:hint="eastAsia"/>
          <w:color w:val="auto"/>
          <w:highlight w:val="none"/>
          <w:lang w:val="en-US" w:eastAsia="zh-CN"/>
        </w:rPr>
        <w:t>2</w:t>
      </w:r>
      <w:r>
        <w:rPr>
          <w:rFonts w:hint="default"/>
          <w:color w:val="auto"/>
          <w:highlight w:val="none"/>
          <w:lang w:val="en-US" w:eastAsia="zh-CN"/>
        </w:rPr>
        <w:t>日至202</w:t>
      </w:r>
      <w:r>
        <w:rPr>
          <w:rFonts w:hint="eastAsia"/>
          <w:color w:val="auto"/>
          <w:highlight w:val="none"/>
          <w:lang w:val="en-US" w:eastAsia="zh-CN"/>
        </w:rPr>
        <w:t>9</w:t>
      </w:r>
      <w:r>
        <w:rPr>
          <w:rFonts w:hint="default"/>
          <w:color w:val="auto"/>
          <w:highlight w:val="none"/>
          <w:lang w:val="en-US" w:eastAsia="zh-CN"/>
        </w:rPr>
        <w:t>年9月30日</w:t>
      </w:r>
      <w:r>
        <w:rPr>
          <w:rFonts w:hint="eastAsia"/>
          <w:color w:val="auto"/>
          <w:highlight w:val="none"/>
          <w:lang w:val="en-US" w:eastAsia="zh-CN"/>
        </w:rPr>
        <w:t>，详见附件1</w:t>
      </w:r>
      <w:r>
        <w:rPr>
          <w:rFonts w:hint="default"/>
          <w:color w:val="auto"/>
          <w:highlight w:val="none"/>
          <w:lang w:val="en-US" w:eastAsia="zh-CN"/>
        </w:rPr>
        <w:t>。</w:t>
      </w:r>
    </w:p>
    <w:p w14:paraId="445940AD">
      <w:pPr>
        <w:pStyle w:val="2"/>
        <w:rPr>
          <w:rFonts w:hint="default"/>
          <w:color w:val="auto"/>
          <w:highlight w:val="none"/>
          <w:lang w:val="en-US" w:eastAsia="zh-CN"/>
        </w:rPr>
      </w:pPr>
      <w:r>
        <w:rPr>
          <w:rFonts w:hint="default"/>
          <w:color w:val="auto"/>
          <w:highlight w:val="none"/>
          <w:lang w:val="en-US" w:eastAsia="zh-CN"/>
        </w:rPr>
        <w:t>根据原</w:t>
      </w:r>
      <w:r>
        <w:rPr>
          <w:rFonts w:hint="eastAsia"/>
          <w:color w:val="auto"/>
          <w:highlight w:val="none"/>
          <w:lang w:val="en-US" w:eastAsia="zh-CN"/>
        </w:rPr>
        <w:t>节能环保技改工程</w:t>
      </w:r>
      <w:r>
        <w:rPr>
          <w:rFonts w:hint="default"/>
          <w:color w:val="auto"/>
          <w:highlight w:val="none"/>
          <w:lang w:val="en-US" w:eastAsia="zh-CN"/>
        </w:rPr>
        <w:t>环评及验收资料，渣滓溪矿业采选部分的主要建设内容包括：采矿规模为21万t/a（700</w:t>
      </w:r>
      <w:r>
        <w:rPr>
          <w:rFonts w:hint="eastAsia"/>
          <w:color w:val="auto"/>
          <w:highlight w:val="none"/>
          <w:lang w:val="en-US" w:eastAsia="zh-CN"/>
        </w:rPr>
        <w:t>t/d</w:t>
      </w:r>
      <w:r>
        <w:rPr>
          <w:rFonts w:hint="default"/>
          <w:color w:val="auto"/>
          <w:highlight w:val="none"/>
          <w:lang w:val="en-US" w:eastAsia="zh-CN"/>
        </w:rPr>
        <w:t>），开采矿种为锑矿，开采方式为地下开采，采矿方法为浅孔留矿法、分段矿房法、上向水平分层废石胶结充填法；选厂采用手选+浮选的工艺，其中</w:t>
      </w:r>
      <w:r>
        <w:rPr>
          <w:rFonts w:hint="eastAsia"/>
          <w:color w:val="auto"/>
          <w:highlight w:val="none"/>
          <w:lang w:val="en-US" w:eastAsia="zh-CN"/>
        </w:rPr>
        <w:t>手选能力200t/d</w:t>
      </w:r>
      <w:r>
        <w:rPr>
          <w:rFonts w:hint="default"/>
          <w:color w:val="auto"/>
          <w:highlight w:val="none"/>
          <w:lang w:val="en-US" w:eastAsia="zh-CN"/>
        </w:rPr>
        <w:t>，</w:t>
      </w:r>
      <w:r>
        <w:rPr>
          <w:rFonts w:hint="eastAsia"/>
          <w:color w:val="auto"/>
          <w:highlight w:val="none"/>
          <w:lang w:val="en-US" w:eastAsia="zh-CN"/>
        </w:rPr>
        <w:t>浮选处理能力500t/d</w:t>
      </w:r>
      <w:r>
        <w:rPr>
          <w:rFonts w:hint="default"/>
          <w:color w:val="auto"/>
          <w:highlight w:val="none"/>
          <w:lang w:val="en-US" w:eastAsia="zh-CN"/>
        </w:rPr>
        <w:t>；在选厂东面直线距离约1.5km配套建有石板冲尾矿库，总库容442.85万</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；渣滓溪矿业冶炼部分的主要建设内容包括：一条年产精锑5250吨生产线及相关配套设施，原料全部为自产锑矿，主要生产设备包括一座1.8</w:t>
      </w:r>
      <w:r>
        <w:rPr>
          <w:rFonts w:hint="eastAsia"/>
          <w:color w:val="auto"/>
          <w:highlight w:val="none"/>
          <w:lang w:val="en-US" w:eastAsia="zh-CN"/>
        </w:rPr>
        <w:t>m</w:t>
      </w:r>
      <w:r>
        <w:rPr>
          <w:rFonts w:hint="eastAsia"/>
          <w:color w:val="auto"/>
          <w:highlight w:val="none"/>
          <w:vertAlign w:val="superscript"/>
          <w:lang w:val="en-US" w:eastAsia="zh-CN"/>
        </w:rPr>
        <w:t>2</w:t>
      </w:r>
      <w:r>
        <w:rPr>
          <w:rFonts w:hint="default"/>
          <w:color w:val="auto"/>
          <w:highlight w:val="none"/>
          <w:lang w:val="en-US" w:eastAsia="zh-CN"/>
        </w:rPr>
        <w:t>无前床鼓风炉和2座18</w:t>
      </w:r>
      <w:r>
        <w:rPr>
          <w:rFonts w:hint="eastAsia"/>
          <w:color w:val="auto"/>
          <w:highlight w:val="none"/>
          <w:lang w:val="en-US" w:eastAsia="zh-CN"/>
        </w:rPr>
        <w:t>m</w:t>
      </w:r>
      <w:r>
        <w:rPr>
          <w:rFonts w:hint="eastAsia"/>
          <w:color w:val="auto"/>
          <w:highlight w:val="none"/>
          <w:vertAlign w:val="superscript"/>
          <w:lang w:val="en-US" w:eastAsia="zh-CN"/>
        </w:rPr>
        <w:t>2</w:t>
      </w:r>
      <w:r>
        <w:rPr>
          <w:rFonts w:hint="default"/>
          <w:color w:val="auto"/>
          <w:highlight w:val="none"/>
          <w:lang w:val="en-US" w:eastAsia="zh-CN"/>
        </w:rPr>
        <w:t>反射炉。</w:t>
      </w:r>
    </w:p>
    <w:p w14:paraId="4AC470D9">
      <w:pPr>
        <w:pStyle w:val="2"/>
        <w:rPr>
          <w:rFonts w:hint="default"/>
          <w:color w:val="auto"/>
          <w:highlight w:val="none"/>
          <w:lang w:val="en-US" w:eastAsia="zh-CN"/>
        </w:rPr>
      </w:pPr>
      <w:r>
        <w:rPr>
          <w:rFonts w:hint="default"/>
          <w:color w:val="auto"/>
          <w:highlight w:val="none"/>
          <w:lang w:val="en-US" w:eastAsia="zh-CN"/>
        </w:rPr>
        <w:t>自企业“</w:t>
      </w:r>
      <w:r>
        <w:rPr>
          <w:rFonts w:hint="eastAsia"/>
          <w:color w:val="auto"/>
          <w:highlight w:val="none"/>
          <w:lang w:val="en-US" w:eastAsia="zh-CN"/>
        </w:rPr>
        <w:t>节能环保技改工程</w:t>
      </w:r>
      <w:r>
        <w:rPr>
          <w:rFonts w:hint="default"/>
          <w:color w:val="auto"/>
          <w:highlight w:val="none"/>
          <w:lang w:val="en-US" w:eastAsia="zh-CN"/>
        </w:rPr>
        <w:t>（采选部分）”建成后，企业根据矿山生产需求，逐步对矿山生产工艺进行了部分调整，主要包括：</w:t>
      </w:r>
    </w:p>
    <w:p w14:paraId="0AA8C19A">
      <w:pPr>
        <w:pStyle w:val="2"/>
        <w:rPr>
          <w:rFonts w:hint="default"/>
          <w:color w:val="auto"/>
          <w:highlight w:val="none"/>
          <w:lang w:val="en-US" w:eastAsia="zh-CN"/>
        </w:rPr>
      </w:pPr>
      <w:r>
        <w:rPr>
          <w:rFonts w:hint="default"/>
          <w:color w:val="auto"/>
          <w:highlight w:val="none"/>
          <w:lang w:val="en-US" w:eastAsia="zh-CN"/>
        </w:rPr>
        <w:t>（1）充填站建设</w:t>
      </w:r>
    </w:p>
    <w:p w14:paraId="533E24B1">
      <w:pPr>
        <w:pStyle w:val="2"/>
        <w:rPr>
          <w:rFonts w:hint="default"/>
          <w:color w:val="auto"/>
          <w:highlight w:val="none"/>
          <w:lang w:val="en-US" w:eastAsia="zh-CN"/>
        </w:rPr>
      </w:pPr>
      <w:r>
        <w:rPr>
          <w:rFonts w:hint="default"/>
          <w:color w:val="auto"/>
          <w:highlight w:val="none"/>
          <w:lang w:val="en-US" w:eastAsia="zh-CN"/>
        </w:rPr>
        <w:t>2017年6月，渣滓溪矿业委托怀化湘西金矿设计科研有限公司编制了《湖南安化渣滓溪矿业有限公司渣滓溪锑矿节能环保技术改造工程补充设计》，根据该报告：“矿区存在岩爆现象，还需进行充填。”“矿体长时间开采过程中，当开采宽度超过4米时，其顶板易垮落。”，因此，《补充设计》推荐企业采矿方法变更为上向水平分层充填采矿法。2018年，企业在选厂内新建了一座充填站，充填骨料为尾砂，充填能力为120</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/d（3.6万</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/a），采矿工艺变更为上向水平分层全尾砂胶结充填采矿法。</w:t>
      </w:r>
    </w:p>
    <w:p w14:paraId="03FD07F5">
      <w:pPr>
        <w:pStyle w:val="2"/>
        <w:rPr>
          <w:rFonts w:hint="default"/>
          <w:color w:val="auto"/>
          <w:highlight w:val="none"/>
          <w:lang w:val="en-US" w:eastAsia="zh-CN"/>
        </w:rPr>
      </w:pPr>
      <w:r>
        <w:rPr>
          <w:rFonts w:hint="default"/>
          <w:color w:val="auto"/>
          <w:highlight w:val="none"/>
          <w:lang w:val="en-US" w:eastAsia="zh-CN"/>
        </w:rPr>
        <w:t>（2）选矿工艺调整</w:t>
      </w:r>
    </w:p>
    <w:p w14:paraId="3E092CCA">
      <w:pPr>
        <w:pStyle w:val="2"/>
        <w:rPr>
          <w:rFonts w:hint="default"/>
          <w:color w:val="auto"/>
          <w:highlight w:val="none"/>
          <w:lang w:val="en-US" w:eastAsia="zh-CN"/>
        </w:rPr>
      </w:pPr>
      <w:r>
        <w:rPr>
          <w:rFonts w:hint="eastAsia" w:ascii="宋体" w:hAnsi="宋体" w:eastAsia="宋体" w:cs="宋体"/>
          <w:color w:val="auto"/>
          <w:highlight w:val="none"/>
          <w:lang w:val="en-US" w:eastAsia="zh-CN"/>
        </w:rPr>
        <w:t>①新增两套智能分选系统</w:t>
      </w:r>
    </w:p>
    <w:p w14:paraId="3D26B627">
      <w:pPr>
        <w:pStyle w:val="2"/>
        <w:rPr>
          <w:rFonts w:hint="default"/>
          <w:color w:val="auto"/>
          <w:highlight w:val="none"/>
          <w:lang w:val="en-US" w:eastAsia="zh-CN"/>
        </w:rPr>
      </w:pPr>
      <w:r>
        <w:rPr>
          <w:rFonts w:hint="default"/>
          <w:color w:val="auto"/>
          <w:highlight w:val="none"/>
          <w:lang w:val="en-US" w:eastAsia="zh-CN"/>
        </w:rPr>
        <w:t>自2017年“</w:t>
      </w:r>
      <w:r>
        <w:rPr>
          <w:rFonts w:hint="eastAsia"/>
          <w:color w:val="auto"/>
          <w:highlight w:val="none"/>
          <w:lang w:val="en-US" w:eastAsia="zh-CN"/>
        </w:rPr>
        <w:t>节能环保技改工程</w:t>
      </w:r>
      <w:r>
        <w:rPr>
          <w:rFonts w:hint="default"/>
          <w:color w:val="auto"/>
          <w:highlight w:val="none"/>
          <w:lang w:val="en-US" w:eastAsia="zh-CN"/>
        </w:rPr>
        <w:t>（采选部分）”建成后，随着矿山自动化作业要求逐渐提高，2023年12月，企业在选厂内新增两套智能分选系统，设计抛废（废石）6万t/a（200</w:t>
      </w:r>
      <w:r>
        <w:rPr>
          <w:rFonts w:hint="eastAsia"/>
          <w:color w:val="auto"/>
          <w:highlight w:val="none"/>
          <w:lang w:val="en-US" w:eastAsia="zh-CN"/>
        </w:rPr>
        <w:t>t/d</w:t>
      </w:r>
      <w:r>
        <w:rPr>
          <w:rFonts w:hint="default"/>
          <w:color w:val="auto"/>
          <w:highlight w:val="none"/>
          <w:lang w:val="en-US" w:eastAsia="zh-CN"/>
        </w:rPr>
        <w:t>），同时取消了手选工段。</w:t>
      </w:r>
    </w:p>
    <w:p w14:paraId="6BC11718">
      <w:pPr>
        <w:pStyle w:val="2"/>
        <w:rPr>
          <w:rFonts w:hint="default"/>
          <w:color w:val="auto"/>
          <w:highlight w:val="none"/>
          <w:lang w:val="en-US" w:eastAsia="zh-CN"/>
        </w:rPr>
      </w:pPr>
      <w:r>
        <w:rPr>
          <w:rFonts w:hint="eastAsia" w:ascii="宋体" w:hAnsi="宋体" w:eastAsia="宋体" w:cs="宋体"/>
          <w:color w:val="auto"/>
          <w:highlight w:val="none"/>
          <w:lang w:val="en-US" w:eastAsia="zh-CN"/>
        </w:rPr>
        <w:t>②新增备用小球磨机</w:t>
      </w:r>
    </w:p>
    <w:p w14:paraId="3D7991ED">
      <w:pPr>
        <w:pStyle w:val="2"/>
        <w:rPr>
          <w:rFonts w:hint="default"/>
          <w:color w:val="auto"/>
          <w:highlight w:val="none"/>
          <w:lang w:val="en-US" w:eastAsia="zh-CN"/>
        </w:rPr>
      </w:pPr>
      <w:r>
        <w:rPr>
          <w:rFonts w:hint="default"/>
          <w:color w:val="auto"/>
          <w:highlight w:val="none"/>
          <w:lang w:val="en-US" w:eastAsia="zh-CN"/>
        </w:rPr>
        <w:t>选厂内原有一台500</w:t>
      </w:r>
      <w:r>
        <w:rPr>
          <w:rFonts w:hint="eastAsia"/>
          <w:color w:val="auto"/>
          <w:highlight w:val="none"/>
          <w:lang w:val="en-US" w:eastAsia="zh-CN"/>
        </w:rPr>
        <w:t>t/d</w:t>
      </w:r>
      <w:r>
        <w:rPr>
          <w:rFonts w:hint="default"/>
          <w:color w:val="auto"/>
          <w:highlight w:val="none"/>
          <w:lang w:val="en-US" w:eastAsia="zh-CN"/>
        </w:rPr>
        <w:t>球磨机（大球磨机），为了应对采矿产能起伏变化，2019年在选厂内新增一台250</w:t>
      </w:r>
      <w:r>
        <w:rPr>
          <w:rFonts w:hint="eastAsia"/>
          <w:color w:val="auto"/>
          <w:highlight w:val="none"/>
          <w:lang w:val="en-US" w:eastAsia="zh-CN"/>
        </w:rPr>
        <w:t>t/d</w:t>
      </w:r>
      <w:r>
        <w:rPr>
          <w:rFonts w:hint="default"/>
          <w:color w:val="auto"/>
          <w:highlight w:val="none"/>
          <w:lang w:val="en-US" w:eastAsia="zh-CN"/>
        </w:rPr>
        <w:t>球磨机（小球磨机），两台球磨机一备一用，当浮选要求大于250</w:t>
      </w:r>
      <w:r>
        <w:rPr>
          <w:rFonts w:hint="eastAsia"/>
          <w:color w:val="auto"/>
          <w:highlight w:val="none"/>
          <w:lang w:val="en-US" w:eastAsia="zh-CN"/>
        </w:rPr>
        <w:t>t/d</w:t>
      </w:r>
      <w:r>
        <w:rPr>
          <w:rFonts w:hint="default"/>
          <w:color w:val="auto"/>
          <w:highlight w:val="none"/>
          <w:lang w:val="en-US" w:eastAsia="zh-CN"/>
        </w:rPr>
        <w:t>时使用原有大球磨机，当浮选要求小于250</w:t>
      </w:r>
      <w:r>
        <w:rPr>
          <w:rFonts w:hint="eastAsia"/>
          <w:color w:val="auto"/>
          <w:highlight w:val="none"/>
          <w:lang w:val="en-US" w:eastAsia="zh-CN"/>
        </w:rPr>
        <w:t>t/d</w:t>
      </w:r>
      <w:r>
        <w:rPr>
          <w:rFonts w:hint="default"/>
          <w:color w:val="auto"/>
          <w:highlight w:val="none"/>
          <w:lang w:val="en-US" w:eastAsia="zh-CN"/>
        </w:rPr>
        <w:t>时使用小球磨机。</w:t>
      </w:r>
    </w:p>
    <w:p w14:paraId="07D7B7BB">
      <w:pPr>
        <w:pStyle w:val="2"/>
        <w:rPr>
          <w:rFonts w:hint="default"/>
          <w:color w:val="auto"/>
          <w:highlight w:val="none"/>
          <w:lang w:val="en-US" w:eastAsia="zh-CN"/>
        </w:rPr>
      </w:pPr>
      <w:r>
        <w:rPr>
          <w:rFonts w:hint="eastAsia" w:ascii="宋体" w:hAnsi="宋体" w:eastAsia="宋体" w:cs="宋体"/>
          <w:color w:val="auto"/>
          <w:highlight w:val="none"/>
          <w:lang w:val="en-US" w:eastAsia="zh-CN"/>
        </w:rPr>
        <w:t>③</w:t>
      </w:r>
      <w:r>
        <w:rPr>
          <w:rFonts w:hint="default"/>
          <w:color w:val="auto"/>
          <w:highlight w:val="none"/>
          <w:lang w:val="en-US" w:eastAsia="zh-CN"/>
        </w:rPr>
        <w:t>新增高压辊磨机</w:t>
      </w:r>
    </w:p>
    <w:p w14:paraId="5A14305E">
      <w:pPr>
        <w:pStyle w:val="2"/>
        <w:rPr>
          <w:rFonts w:hint="default"/>
          <w:color w:val="auto"/>
          <w:highlight w:val="none"/>
          <w:lang w:val="en-US" w:eastAsia="zh-CN"/>
        </w:rPr>
      </w:pPr>
      <w:r>
        <w:rPr>
          <w:rFonts w:hint="default"/>
          <w:color w:val="auto"/>
          <w:highlight w:val="none"/>
          <w:lang w:val="en-US" w:eastAsia="zh-CN"/>
        </w:rPr>
        <w:t>为改善破碎效果，破碎车间新增一套单传动高压辊磨机，对筛分后的筛上物进一步破碎到6mm及以下，破碎后的矿石进入粉矿仓。</w:t>
      </w:r>
    </w:p>
    <w:p w14:paraId="083DE279">
      <w:pPr>
        <w:pStyle w:val="2"/>
        <w:rPr>
          <w:rFonts w:hint="default"/>
          <w:color w:val="auto"/>
          <w:highlight w:val="none"/>
          <w:lang w:val="en-US" w:eastAsia="zh-CN"/>
        </w:rPr>
      </w:pPr>
      <w:r>
        <w:rPr>
          <w:rFonts w:hint="default"/>
          <w:color w:val="auto"/>
          <w:highlight w:val="none"/>
          <w:lang w:val="en-US" w:eastAsia="zh-CN"/>
        </w:rPr>
        <w:t>除以上已实施的改造内容外，2024年，企业拟对现有采选系统进行部分改造，主要包括：</w:t>
      </w:r>
    </w:p>
    <w:p w14:paraId="4813FC2D">
      <w:pPr>
        <w:pStyle w:val="2"/>
        <w:rPr>
          <w:rFonts w:hint="default"/>
          <w:color w:val="auto"/>
          <w:highlight w:val="none"/>
          <w:lang w:val="en-US" w:eastAsia="zh-CN"/>
        </w:rPr>
      </w:pPr>
      <w:r>
        <w:rPr>
          <w:rFonts w:hint="default"/>
          <w:color w:val="auto"/>
          <w:highlight w:val="none"/>
          <w:lang w:val="en-US" w:eastAsia="zh-CN"/>
        </w:rPr>
        <w:t>（1）扩建充填站</w:t>
      </w:r>
    </w:p>
    <w:p w14:paraId="3EF0EEF3">
      <w:pPr>
        <w:pStyle w:val="2"/>
        <w:rPr>
          <w:rFonts w:hint="default"/>
          <w:color w:val="auto"/>
          <w:highlight w:val="none"/>
          <w:lang w:val="en-US" w:eastAsia="zh-CN"/>
        </w:rPr>
      </w:pPr>
      <w:r>
        <w:rPr>
          <w:rFonts w:hint="default"/>
          <w:color w:val="auto"/>
          <w:highlight w:val="none"/>
          <w:lang w:val="en-US" w:eastAsia="zh-CN"/>
        </w:rPr>
        <w:t>现有充填系统充填效率及能力低、充填质量差，考虑到矿山排尾压力大，井下安全生产要求高，企业拟对原有充填系统进行扩建，设计充填能力由3.6万m³/a提升至10万m³/a。</w:t>
      </w:r>
    </w:p>
    <w:p w14:paraId="61FE55AA">
      <w:pPr>
        <w:pStyle w:val="2"/>
        <w:rPr>
          <w:rFonts w:hint="default"/>
          <w:color w:val="auto"/>
          <w:highlight w:val="none"/>
          <w:lang w:val="en-US" w:eastAsia="zh-CN"/>
        </w:rPr>
      </w:pPr>
      <w:r>
        <w:rPr>
          <w:rFonts w:hint="default"/>
          <w:color w:val="auto"/>
          <w:highlight w:val="none"/>
          <w:lang w:val="en-US" w:eastAsia="zh-CN"/>
        </w:rPr>
        <w:t>（2）水系统改造</w:t>
      </w:r>
    </w:p>
    <w:p w14:paraId="04ABDD89">
      <w:pPr>
        <w:pStyle w:val="2"/>
        <w:rPr>
          <w:rFonts w:hint="default"/>
          <w:color w:val="auto"/>
          <w:highlight w:val="none"/>
          <w:lang w:val="en-US" w:eastAsia="zh-CN"/>
        </w:rPr>
      </w:pPr>
      <w:r>
        <w:rPr>
          <w:rFonts w:hint="default"/>
          <w:color w:val="auto"/>
          <w:highlight w:val="none"/>
          <w:lang w:val="en-US" w:eastAsia="zh-CN"/>
        </w:rPr>
        <w:t>针对渣滓溪矿业周边的渣滓溪、白茅溪等河流超标问题，企业积极发挥主观能动性，认真分析周边水体超标原因，结合自身污水处理能力，提出对全厂水系统进行改造，主要包括：</w:t>
      </w:r>
    </w:p>
    <w:p w14:paraId="20BE4DDB">
      <w:pPr>
        <w:pStyle w:val="2"/>
        <w:rPr>
          <w:rFonts w:hint="default"/>
          <w:color w:val="auto"/>
          <w:highlight w:val="none"/>
          <w:lang w:val="en-US" w:eastAsia="zh-CN"/>
        </w:rPr>
      </w:pPr>
      <w:r>
        <w:rPr>
          <w:rFonts w:hint="default"/>
          <w:color w:val="auto"/>
          <w:highlight w:val="none"/>
          <w:lang w:val="en-US" w:eastAsia="zh-CN"/>
        </w:rPr>
        <w:t>a）对纳污水体渣滓溪进行引流，位于厂区上游的渣滓溪水体通过管道直接引流至企业排污口下游的渣滓溪；</w:t>
      </w:r>
    </w:p>
    <w:p w14:paraId="70462D30">
      <w:pPr>
        <w:pStyle w:val="2"/>
        <w:rPr>
          <w:rFonts w:hint="default"/>
          <w:color w:val="auto"/>
          <w:highlight w:val="none"/>
          <w:lang w:val="en-US" w:eastAsia="zh-CN"/>
        </w:rPr>
      </w:pPr>
      <w:r>
        <w:rPr>
          <w:rFonts w:hint="default"/>
          <w:color w:val="auto"/>
          <w:highlight w:val="none"/>
          <w:lang w:val="en-US" w:eastAsia="zh-CN"/>
        </w:rPr>
        <w:t>b）</w:t>
      </w:r>
      <w:r>
        <w:rPr>
          <w:rFonts w:hint="eastAsia"/>
          <w:color w:val="auto"/>
          <w:highlight w:val="none"/>
          <w:lang w:val="en-US" w:eastAsia="zh-CN"/>
        </w:rPr>
        <w:t>对</w:t>
      </w:r>
      <w:r>
        <w:rPr>
          <w:rFonts w:hint="default"/>
          <w:color w:val="auto"/>
          <w:highlight w:val="none"/>
          <w:lang w:val="en-US" w:eastAsia="zh-CN"/>
        </w:rPr>
        <w:t>生活污水进行集中收集，</w:t>
      </w:r>
      <w:r>
        <w:rPr>
          <w:rFonts w:hint="eastAsia"/>
          <w:color w:val="auto"/>
          <w:highlight w:val="none"/>
          <w:lang w:val="en-US" w:eastAsia="zh-CN"/>
        </w:rPr>
        <w:t>全厂生活污水通过收集系统，排入新建的生活污水处理站，经处理后进入生产废水处理站进一步去除重金属</w:t>
      </w:r>
      <w:r>
        <w:rPr>
          <w:rFonts w:hint="default"/>
          <w:color w:val="auto"/>
          <w:highlight w:val="none"/>
          <w:lang w:val="en-US" w:eastAsia="zh-CN"/>
        </w:rPr>
        <w:t>；</w:t>
      </w:r>
    </w:p>
    <w:p w14:paraId="057A9F78">
      <w:pPr>
        <w:pStyle w:val="2"/>
        <w:rPr>
          <w:rFonts w:hint="default"/>
          <w:color w:val="auto"/>
          <w:highlight w:val="none"/>
          <w:lang w:val="en-US" w:eastAsia="zh-CN"/>
        </w:rPr>
      </w:pPr>
      <w:r>
        <w:rPr>
          <w:rFonts w:hint="default"/>
          <w:color w:val="auto"/>
          <w:highlight w:val="none"/>
          <w:lang w:val="en-US" w:eastAsia="zh-CN"/>
        </w:rPr>
        <w:t>c）利用企业现有富余的污水处理能力，进一步加强对排洪隧洞水的收集和处理；</w:t>
      </w:r>
    </w:p>
    <w:p w14:paraId="122BF619">
      <w:pPr>
        <w:pStyle w:val="2"/>
        <w:rPr>
          <w:rFonts w:hint="default"/>
          <w:color w:val="auto"/>
          <w:highlight w:val="none"/>
          <w:lang w:val="en-US" w:eastAsia="zh-CN"/>
        </w:rPr>
      </w:pPr>
      <w:r>
        <w:rPr>
          <w:rFonts w:hint="eastAsia"/>
          <w:color w:val="auto"/>
          <w:highlight w:val="none"/>
          <w:lang w:val="en-US" w:eastAsia="zh-CN"/>
        </w:rPr>
        <w:t>d</w:t>
      </w:r>
      <w:r>
        <w:rPr>
          <w:rFonts w:hint="default"/>
          <w:color w:val="auto"/>
          <w:highlight w:val="none"/>
          <w:lang w:val="en-US" w:eastAsia="zh-CN"/>
        </w:rPr>
        <w:t>）新建渗滤液收集池主要收集下游河道地下渗水及山体渗水，收集后的水通过潜污泵泵送至废水处理站处理后排放。</w:t>
      </w:r>
    </w:p>
    <w:p w14:paraId="2DB86FE8">
      <w:pPr>
        <w:pStyle w:val="2"/>
        <w:bidi w:val="0"/>
        <w:rPr>
          <w:rFonts w:hint="default"/>
          <w:color w:val="auto"/>
          <w:highlight w:val="none"/>
          <w:lang w:val="en-US" w:eastAsia="zh-CN"/>
        </w:rPr>
      </w:pPr>
      <w:r>
        <w:rPr>
          <w:rFonts w:hint="default"/>
          <w:color w:val="auto"/>
          <w:highlight w:val="none"/>
          <w:lang w:val="en-US" w:eastAsia="zh-CN"/>
        </w:rPr>
        <w:t>202</w:t>
      </w:r>
      <w:r>
        <w:rPr>
          <w:rFonts w:hint="eastAsia"/>
          <w:color w:val="auto"/>
          <w:highlight w:val="none"/>
          <w:lang w:val="en-US" w:eastAsia="zh-CN"/>
        </w:rPr>
        <w:t>4</w:t>
      </w:r>
      <w:r>
        <w:rPr>
          <w:rFonts w:hint="default"/>
          <w:color w:val="auto"/>
          <w:highlight w:val="none"/>
          <w:lang w:val="en-US" w:eastAsia="zh-CN"/>
        </w:rPr>
        <w:t>年</w:t>
      </w:r>
      <w:r>
        <w:rPr>
          <w:rFonts w:hint="eastAsia"/>
          <w:color w:val="auto"/>
          <w:highlight w:val="none"/>
          <w:lang w:val="en-US" w:eastAsia="zh-CN"/>
        </w:rPr>
        <w:t>9月</w:t>
      </w:r>
      <w:r>
        <w:rPr>
          <w:rFonts w:hint="default"/>
          <w:color w:val="auto"/>
          <w:highlight w:val="none"/>
          <w:lang w:val="en-US" w:eastAsia="zh-CN"/>
        </w:rPr>
        <w:t>，公司委托</w:t>
      </w:r>
      <w:r>
        <w:rPr>
          <w:rFonts w:hint="eastAsia"/>
          <w:color w:val="auto"/>
          <w:highlight w:val="none"/>
          <w:lang w:val="en-US" w:eastAsia="zh-CN"/>
        </w:rPr>
        <w:t>湖南葆华环保科技有限公司编制了《安化渣滓溪矿业智能化设备升级改造项目环境影响报告表》</w:t>
      </w:r>
      <w:r>
        <w:rPr>
          <w:rFonts w:hint="default"/>
          <w:color w:val="auto"/>
          <w:highlight w:val="none"/>
          <w:lang w:val="en-US" w:eastAsia="zh-CN"/>
        </w:rPr>
        <w:t>（送审稿）</w:t>
      </w:r>
      <w:r>
        <w:rPr>
          <w:rFonts w:hint="eastAsia"/>
          <w:color w:val="auto"/>
          <w:highlight w:val="none"/>
          <w:lang w:val="en-US" w:eastAsia="zh-CN"/>
        </w:rPr>
        <w:t>。</w:t>
      </w:r>
    </w:p>
    <w:p w14:paraId="49A2DE7B">
      <w:pPr>
        <w:pStyle w:val="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本项目矿坑涌水</w:t>
      </w:r>
      <w:r>
        <w:rPr>
          <w:rFonts w:hint="eastAsia" w:ascii="Times New Roman" w:hAnsi="Times New Roman" w:eastAsia="宋体" w:cs="Times New Roman"/>
          <w:color w:val="auto"/>
          <w:highlight w:val="none"/>
          <w:lang w:val="en-US" w:eastAsia="zh-CN"/>
        </w:rPr>
        <w:t>、尾矿库废水</w:t>
      </w:r>
      <w:r>
        <w:rPr>
          <w:rFonts w:hint="default" w:ascii="Times New Roman" w:hAnsi="Times New Roman" w:eastAsia="宋体" w:cs="Times New Roman"/>
          <w:color w:val="auto"/>
          <w:highlight w:val="none"/>
          <w:lang w:val="en-US" w:eastAsia="zh-CN"/>
        </w:rPr>
        <w:t>除部分回用于外，</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lang w:val="en-US" w:eastAsia="zh-CN"/>
        </w:rPr>
        <w:t>废水处理站处理，总铊达《工业废水铊污染物排放标准》（DB43/968-2021）中的排放限值（0.002mg/L），其余因子达《锡、锑、汞工业污染物排放标准》（GB30770-2014）中直接排放限值，其中锑排放浓度较表</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水污染物排放限值0.3mg/L严格50%执行，即达0.15mg/L 后直接排入</w:t>
      </w:r>
      <w:r>
        <w:rPr>
          <w:rFonts w:hint="eastAsia" w:ascii="Times New Roman" w:hAnsi="Times New Roman" w:eastAsia="宋体" w:cs="Times New Roman"/>
          <w:color w:val="auto"/>
          <w:highlight w:val="none"/>
          <w:lang w:val="en-US" w:eastAsia="zh-CN"/>
        </w:rPr>
        <w:t>渣滓溪</w:t>
      </w:r>
      <w:r>
        <w:rPr>
          <w:rFonts w:hint="default" w:ascii="Times New Roman" w:hAnsi="Times New Roman" w:eastAsia="宋体" w:cs="Times New Roman"/>
          <w:color w:val="auto"/>
          <w:highlight w:val="none"/>
          <w:lang w:val="en-US" w:eastAsia="zh-CN"/>
        </w:rPr>
        <w:t>。</w:t>
      </w:r>
    </w:p>
    <w:p w14:paraId="51F97DCB">
      <w:pPr>
        <w:pStyle w:val="2"/>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根据《中华人民共和国河道管理条例》第</w:t>
      </w:r>
      <w:r>
        <w:rPr>
          <w:rFonts w:hint="default" w:ascii="Times New Roman" w:hAnsi="Times New Roman" w:eastAsia="宋体" w:cs="Times New Roman"/>
          <w:color w:val="auto"/>
          <w:highlight w:val="none"/>
          <w:lang w:val="en-US" w:eastAsia="zh-CN"/>
        </w:rPr>
        <w:t>34</w:t>
      </w:r>
      <w:r>
        <w:rPr>
          <w:rFonts w:hint="eastAsia" w:ascii="Times New Roman" w:hAnsi="Times New Roman" w:eastAsia="宋体" w:cs="Times New Roman"/>
          <w:color w:val="auto"/>
          <w:highlight w:val="none"/>
          <w:lang w:val="en-US" w:eastAsia="zh-CN"/>
        </w:rPr>
        <w:t>条：“向河道、湖泊排污的排污口的设置和扩大，排污单位在向环境保护部门申报之前，应当征得河道主管机关的同意”。</w:t>
      </w:r>
    </w:p>
    <w:p w14:paraId="7EED7A36">
      <w:pPr>
        <w:pStyle w:val="2"/>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根据《入河排污口监督管理办法》（</w:t>
      </w:r>
      <w:r>
        <w:rPr>
          <w:rFonts w:hint="eastAsia" w:cs="Times New Roman"/>
          <w:color w:val="auto"/>
          <w:highlight w:val="none"/>
          <w:lang w:val="en-US" w:eastAsia="zh-CN"/>
        </w:rPr>
        <w:t>生态环境部</w:t>
      </w:r>
      <w:r>
        <w:rPr>
          <w:rFonts w:hint="eastAsia" w:ascii="Times New Roman" w:hAnsi="Times New Roman" w:eastAsia="宋体" w:cs="Times New Roman"/>
          <w:color w:val="auto"/>
          <w:highlight w:val="none"/>
          <w:lang w:val="en-US" w:eastAsia="zh-CN"/>
        </w:rPr>
        <w:t>部令第</w:t>
      </w:r>
      <w:r>
        <w:rPr>
          <w:rFonts w:hint="eastAsia" w:cs="Times New Roman"/>
          <w:color w:val="auto"/>
          <w:highlight w:val="none"/>
          <w:lang w:val="en-US" w:eastAsia="zh-CN"/>
        </w:rPr>
        <w:t>35</w:t>
      </w:r>
      <w:r>
        <w:rPr>
          <w:rFonts w:hint="eastAsia" w:ascii="Times New Roman" w:hAnsi="Times New Roman" w:eastAsia="宋体" w:cs="Times New Roman"/>
          <w:color w:val="auto"/>
          <w:highlight w:val="none"/>
          <w:lang w:val="en-US" w:eastAsia="zh-CN"/>
        </w:rPr>
        <w:t>号）、《湖南省入河排污口监督管理办法》（湘政办发〔</w:t>
      </w:r>
      <w:r>
        <w:rPr>
          <w:rFonts w:hint="default" w:ascii="Times New Roman" w:hAnsi="Times New Roman" w:eastAsia="宋体" w:cs="Times New Roman"/>
          <w:color w:val="auto"/>
          <w:highlight w:val="none"/>
          <w:lang w:val="en-US" w:eastAsia="zh-CN"/>
        </w:rPr>
        <w:t>2018</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44</w:t>
      </w:r>
      <w:r>
        <w:rPr>
          <w:rFonts w:hint="eastAsia" w:ascii="Times New Roman" w:hAnsi="Times New Roman" w:eastAsia="宋体" w:cs="Times New Roman"/>
          <w:color w:val="auto"/>
          <w:highlight w:val="none"/>
          <w:lang w:val="en-US" w:eastAsia="zh-CN"/>
        </w:rPr>
        <w:t>号）、《入河排污口设置论证基本要求（试行）》等有关要求，</w:t>
      </w:r>
      <w:r>
        <w:rPr>
          <w:rFonts w:hint="eastAsia" w:cs="Times New Roman"/>
          <w:color w:val="auto"/>
          <w:highlight w:val="none"/>
          <w:lang w:val="en-US" w:eastAsia="zh-CN"/>
        </w:rPr>
        <w:t>为</w:t>
      </w:r>
      <w:r>
        <w:rPr>
          <w:rFonts w:hint="eastAsia" w:ascii="Times New Roman" w:hAnsi="Times New Roman" w:eastAsia="宋体" w:cs="Times New Roman"/>
          <w:color w:val="auto"/>
          <w:highlight w:val="none"/>
          <w:lang w:val="en-US" w:eastAsia="zh-CN"/>
        </w:rPr>
        <w:t>促进水资源的优化配置，保证水资源可持续利用，保障建设项目的合理排水要求，湖南安化渣滓溪矿业有限公司委托湖南葆华环保科技有限公司编制了《湖南安化渣滓溪矿业有限公司入河排污口设置论证报告》（以下简称“论证报告”）。</w:t>
      </w:r>
    </w:p>
    <w:p w14:paraId="0C3C77D6">
      <w:pPr>
        <w:pStyle w:val="2"/>
        <w:rPr>
          <w:rFonts w:hint="default" w:ascii="Times New Roman" w:hAnsi="Times New Roman" w:eastAsia="宋体" w:cs="Times New Roman"/>
          <w:color w:val="auto"/>
          <w:highlight w:val="none"/>
          <w:lang w:val="en-US" w:eastAsia="zh-CN"/>
        </w:rPr>
      </w:pPr>
    </w:p>
    <w:p w14:paraId="5148EABC">
      <w:pPr>
        <w:pStyle w:val="36"/>
        <w:bidi w:val="0"/>
        <w:rPr>
          <w:rFonts w:hint="default" w:ascii="Times New Roman" w:hAnsi="Times New Roman" w:cs="Times New Roman"/>
          <w:color w:val="auto"/>
          <w:highlight w:val="none"/>
          <w:lang w:val="en-US" w:eastAsia="zh-CN"/>
        </w:rPr>
      </w:pPr>
      <w:bookmarkStart w:id="4" w:name="_Toc1419"/>
      <w:r>
        <w:rPr>
          <w:rFonts w:hint="eastAsia" w:ascii="Times New Roman" w:hAnsi="Times New Roman" w:cs="Times New Roman"/>
          <w:color w:val="auto"/>
          <w:highlight w:val="none"/>
          <w:lang w:val="en-US" w:eastAsia="zh-CN"/>
        </w:rPr>
        <w:t>论证目的</w:t>
      </w:r>
      <w:bookmarkEnd w:id="4"/>
    </w:p>
    <w:p w14:paraId="0572DCD4">
      <w:pPr>
        <w:pStyle w:val="2"/>
        <w:rPr>
          <w:rFonts w:hint="default"/>
          <w:color w:val="auto"/>
          <w:highlight w:val="none"/>
          <w:lang w:val="en-US" w:eastAsia="zh-CN"/>
        </w:rPr>
      </w:pPr>
      <w:r>
        <w:rPr>
          <w:rFonts w:hint="eastAsia"/>
          <w:color w:val="auto"/>
          <w:highlight w:val="none"/>
          <w:lang w:val="en-US" w:eastAsia="zh-CN"/>
        </w:rPr>
        <w:t>通过现场踏勘，收集建设项目前期技术资料和审查意见，</w:t>
      </w:r>
      <w:r>
        <w:rPr>
          <w:rFonts w:hint="default"/>
          <w:color w:val="auto"/>
          <w:highlight w:val="none"/>
        </w:rPr>
        <w:t>分析入河排污口有关信息，在满足水功能区（或水域）保护要求的前提下，论证入河排污口设置对水功能区、水生态和第三者权益的影响，</w:t>
      </w:r>
      <w:r>
        <w:rPr>
          <w:rFonts w:hint="eastAsia"/>
          <w:color w:val="auto"/>
          <w:highlight w:val="none"/>
          <w:lang w:val="en-US" w:eastAsia="zh-CN"/>
        </w:rPr>
        <w:t>以及对区域污染物的削减效果。</w:t>
      </w:r>
      <w:r>
        <w:rPr>
          <w:rFonts w:hint="default"/>
          <w:color w:val="auto"/>
          <w:highlight w:val="none"/>
        </w:rPr>
        <w:t>根据纳污能力、排污总量控制、水生态保护等要求，提出水资源保护措施，优化入河排污口设置方案，为各级水行政主管部门或流域管理机构审批入河排污口以及建设单位合理设置入河排污口提供科学依据，以保障生活、生产和生态用水安全。</w:t>
      </w:r>
    </w:p>
    <w:p w14:paraId="4B146E31">
      <w:pPr>
        <w:pStyle w:val="36"/>
        <w:bidi w:val="0"/>
        <w:rPr>
          <w:rFonts w:hint="eastAsia" w:ascii="Times New Roman" w:hAnsi="Times New Roman" w:cs="Times New Roman"/>
          <w:color w:val="auto"/>
          <w:highlight w:val="none"/>
          <w:lang w:val="en-US" w:eastAsia="zh-CN"/>
        </w:rPr>
      </w:pPr>
      <w:bookmarkStart w:id="5" w:name="_Toc22775"/>
      <w:r>
        <w:rPr>
          <w:rFonts w:hint="eastAsia" w:ascii="Times New Roman" w:hAnsi="Times New Roman" w:cs="Times New Roman"/>
          <w:color w:val="auto"/>
          <w:highlight w:val="none"/>
          <w:lang w:val="en-US" w:eastAsia="zh-CN"/>
        </w:rPr>
        <w:t>论证原则</w:t>
      </w:r>
      <w:bookmarkEnd w:id="5"/>
    </w:p>
    <w:p w14:paraId="5A75259E">
      <w:pPr>
        <w:pStyle w:val="2"/>
        <w:rPr>
          <w:rFonts w:hint="default"/>
          <w:color w:val="auto"/>
          <w:highlight w:val="none"/>
          <w:lang w:val="en-US" w:eastAsia="zh-CN"/>
        </w:rPr>
      </w:pPr>
      <w:r>
        <w:rPr>
          <w:rFonts w:hint="eastAsia"/>
          <w:color w:val="auto"/>
          <w:highlight w:val="none"/>
          <w:lang w:val="en-US" w:eastAsia="zh-CN"/>
        </w:rPr>
        <w:t>（1）以国家法律、法规为依据</w:t>
      </w:r>
    </w:p>
    <w:p w14:paraId="52C59BFC">
      <w:pPr>
        <w:pStyle w:val="2"/>
        <w:rPr>
          <w:rFonts w:hint="default"/>
          <w:color w:val="auto"/>
          <w:highlight w:val="none"/>
          <w:lang w:val="en-US" w:eastAsia="zh-CN"/>
        </w:rPr>
      </w:pPr>
      <w:r>
        <w:rPr>
          <w:rFonts w:hint="eastAsia"/>
          <w:color w:val="auto"/>
          <w:highlight w:val="none"/>
          <w:lang w:val="en-US" w:eastAsia="zh-CN"/>
        </w:rPr>
        <w:t>按照《中华人民共和国水法》、《中华人民共和国水污染防治法》、《中华人民共和国环境保护法》、《水功能区监督管理办法》和《入河排污口监督管理办法》等法律法规的规定，充分考虑水资源的再生能力以及自然环境的承受力，坚持可持续发展的原则，进行科学合理的论证，既要保证本区域和当地居民的用水安全，又不破坏相邻区域和后代人赖以生存的水环境。</w:t>
      </w:r>
    </w:p>
    <w:p w14:paraId="48399D94">
      <w:pPr>
        <w:pStyle w:val="2"/>
        <w:rPr>
          <w:rFonts w:hint="default"/>
          <w:color w:val="auto"/>
          <w:highlight w:val="none"/>
          <w:lang w:val="en-US" w:eastAsia="zh-CN"/>
        </w:rPr>
      </w:pPr>
      <w:r>
        <w:rPr>
          <w:rFonts w:hint="eastAsia"/>
          <w:color w:val="auto"/>
          <w:highlight w:val="none"/>
          <w:lang w:val="en-US" w:eastAsia="zh-CN"/>
        </w:rPr>
        <w:t>（2）以保护水资源功能为目标</w:t>
      </w:r>
    </w:p>
    <w:p w14:paraId="583CBB26">
      <w:pPr>
        <w:pStyle w:val="2"/>
        <w:rPr>
          <w:rFonts w:hint="default"/>
          <w:color w:val="auto"/>
          <w:highlight w:val="none"/>
          <w:lang w:val="en-US" w:eastAsia="zh-CN"/>
        </w:rPr>
      </w:pPr>
      <w:r>
        <w:rPr>
          <w:rFonts w:hint="eastAsia"/>
          <w:color w:val="auto"/>
          <w:highlight w:val="none"/>
          <w:lang w:val="en-US" w:eastAsia="zh-CN"/>
        </w:rPr>
        <w:t>坚持水资源保护与利用并重的原则，严格按照《地表水环境质量标准》(GB3838-2002)、《锡、锑、汞工业污染物排放标准》(GB30770-2014)及其修改单、《湖南省工业废水铊污染物排放标准》(DB43/968-2021)等相关技术标准和规程进行讨论，既要合理利用水体自净能力，又要依据国家和行业有关技术标准，严格遵循水环境保护规律和原理，保障水环境安全。</w:t>
      </w:r>
    </w:p>
    <w:p w14:paraId="0E681C5E">
      <w:pPr>
        <w:pStyle w:val="2"/>
        <w:rPr>
          <w:rFonts w:hint="default"/>
          <w:color w:val="auto"/>
          <w:highlight w:val="none"/>
          <w:lang w:val="en-US" w:eastAsia="zh-CN"/>
        </w:rPr>
      </w:pPr>
      <w:r>
        <w:rPr>
          <w:rFonts w:hint="eastAsia"/>
          <w:color w:val="auto"/>
          <w:highlight w:val="none"/>
          <w:lang w:val="en-US" w:eastAsia="zh-CN"/>
        </w:rPr>
        <w:t>（3）以区域发展规划为基础</w:t>
      </w:r>
    </w:p>
    <w:p w14:paraId="0011F27C">
      <w:pPr>
        <w:pStyle w:val="2"/>
        <w:rPr>
          <w:rFonts w:hint="default"/>
          <w:color w:val="auto"/>
          <w:highlight w:val="none"/>
          <w:lang w:val="en-US" w:eastAsia="zh-CN"/>
        </w:rPr>
      </w:pPr>
      <w:r>
        <w:rPr>
          <w:rFonts w:hint="eastAsia"/>
          <w:color w:val="auto"/>
          <w:highlight w:val="none"/>
          <w:lang w:val="en-US" w:eastAsia="zh-CN"/>
        </w:rPr>
        <w:t>在符合当地资源规划的基础上，结合水资源保护的要求，遵循客观事实，真实反映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14:paraId="713D0F48">
      <w:pPr>
        <w:pStyle w:val="36"/>
        <w:bidi w:val="0"/>
        <w:rPr>
          <w:rFonts w:hint="eastAsia" w:ascii="Times New Roman" w:hAnsi="Times New Roman" w:cs="Times New Roman"/>
          <w:color w:val="auto"/>
          <w:highlight w:val="none"/>
          <w:lang w:val="en-US" w:eastAsia="zh-CN"/>
        </w:rPr>
      </w:pPr>
      <w:bookmarkStart w:id="6" w:name="_Toc8702"/>
      <w:r>
        <w:rPr>
          <w:rFonts w:hint="eastAsia" w:ascii="Times New Roman" w:hAnsi="Times New Roman" w:cs="Times New Roman"/>
          <w:color w:val="auto"/>
          <w:highlight w:val="none"/>
          <w:lang w:val="en-US" w:eastAsia="zh-CN"/>
        </w:rPr>
        <w:t>论证依据</w:t>
      </w:r>
      <w:bookmarkEnd w:id="6"/>
    </w:p>
    <w:p w14:paraId="14FDD682">
      <w:pPr>
        <w:pStyle w:val="37"/>
        <w:bidi w:val="0"/>
        <w:rPr>
          <w:rFonts w:hint="eastAsia" w:ascii="Times New Roman" w:hAnsi="Times New Roman" w:cs="Times New Roman"/>
          <w:color w:val="auto"/>
          <w:highlight w:val="none"/>
          <w:lang w:val="en-US" w:eastAsia="zh-CN"/>
        </w:rPr>
      </w:pPr>
      <w:bookmarkStart w:id="7" w:name="_Toc17845"/>
      <w:bookmarkStart w:id="8" w:name="_Toc7439"/>
      <w:r>
        <w:rPr>
          <w:rFonts w:hint="eastAsia" w:ascii="Times New Roman" w:hAnsi="Times New Roman" w:cs="Times New Roman"/>
          <w:color w:val="auto"/>
          <w:highlight w:val="none"/>
          <w:lang w:val="en-US" w:eastAsia="zh-CN"/>
        </w:rPr>
        <w:t>法律、法规</w:t>
      </w:r>
      <w:bookmarkEnd w:id="7"/>
      <w:bookmarkEnd w:id="8"/>
    </w:p>
    <w:p w14:paraId="62164855">
      <w:pPr>
        <w:pStyle w:val="2"/>
        <w:numPr>
          <w:ilvl w:val="0"/>
          <w:numId w:val="5"/>
        </w:numPr>
        <w:ind w:firstLine="480"/>
        <w:rPr>
          <w:rFonts w:hint="default"/>
          <w:color w:val="auto"/>
          <w:highlight w:val="none"/>
          <w:lang w:val="en-US" w:eastAsia="zh-CN"/>
        </w:rPr>
      </w:pPr>
      <w:r>
        <w:rPr>
          <w:rFonts w:hint="default"/>
          <w:color w:val="auto"/>
          <w:highlight w:val="none"/>
          <w:lang w:val="en-US" w:eastAsia="zh-CN"/>
        </w:rPr>
        <w:t>《中华人民共和国水法》（2016年9月1日实施）；</w:t>
      </w:r>
    </w:p>
    <w:p w14:paraId="7DDA77FA">
      <w:pPr>
        <w:pStyle w:val="2"/>
        <w:numPr>
          <w:ilvl w:val="0"/>
          <w:numId w:val="5"/>
        </w:numPr>
        <w:ind w:firstLine="480"/>
        <w:rPr>
          <w:rFonts w:hint="default"/>
          <w:color w:val="auto"/>
          <w:highlight w:val="none"/>
          <w:lang w:val="en-US" w:eastAsia="zh-CN"/>
        </w:rPr>
      </w:pPr>
      <w:r>
        <w:rPr>
          <w:rFonts w:hint="default"/>
          <w:color w:val="auto"/>
          <w:highlight w:val="none"/>
          <w:lang w:val="en-US" w:eastAsia="zh-CN"/>
        </w:rPr>
        <w:t>《中华人民共和国水污染防治法》（2018年1月1日实施）；</w:t>
      </w:r>
    </w:p>
    <w:p w14:paraId="30665643">
      <w:pPr>
        <w:pStyle w:val="2"/>
        <w:numPr>
          <w:ilvl w:val="0"/>
          <w:numId w:val="5"/>
        </w:numPr>
        <w:ind w:firstLine="480"/>
        <w:rPr>
          <w:rFonts w:hint="default"/>
          <w:color w:val="auto"/>
          <w:highlight w:val="none"/>
          <w:lang w:val="en-US" w:eastAsia="zh-CN"/>
        </w:rPr>
      </w:pPr>
      <w:r>
        <w:rPr>
          <w:rFonts w:hint="default"/>
          <w:color w:val="auto"/>
          <w:highlight w:val="none"/>
          <w:lang w:val="en-US" w:eastAsia="zh-CN"/>
        </w:rPr>
        <w:t>《中华人民共和国水土保持法》（2011年3月1日实施）；</w:t>
      </w:r>
    </w:p>
    <w:p w14:paraId="418E7D69">
      <w:pPr>
        <w:pStyle w:val="2"/>
        <w:numPr>
          <w:ilvl w:val="0"/>
          <w:numId w:val="5"/>
        </w:numPr>
        <w:ind w:firstLine="480"/>
        <w:rPr>
          <w:rFonts w:hint="default"/>
          <w:color w:val="auto"/>
          <w:highlight w:val="none"/>
          <w:lang w:val="en-US" w:eastAsia="zh-CN"/>
        </w:rPr>
      </w:pPr>
      <w:r>
        <w:rPr>
          <w:rFonts w:hint="default"/>
          <w:color w:val="auto"/>
          <w:highlight w:val="none"/>
          <w:lang w:val="en-US" w:eastAsia="zh-CN"/>
        </w:rPr>
        <w:t>《中华人民共和国环境保护法》（2015年1月1日实施）；</w:t>
      </w:r>
    </w:p>
    <w:p w14:paraId="3293A3B3">
      <w:pPr>
        <w:pStyle w:val="2"/>
        <w:numPr>
          <w:ilvl w:val="0"/>
          <w:numId w:val="5"/>
        </w:numPr>
        <w:ind w:firstLine="480"/>
        <w:rPr>
          <w:rFonts w:hint="default"/>
          <w:color w:val="auto"/>
          <w:highlight w:val="none"/>
          <w:lang w:val="en-US" w:eastAsia="zh-CN"/>
        </w:rPr>
      </w:pPr>
      <w:r>
        <w:rPr>
          <w:rFonts w:hint="default"/>
          <w:color w:val="auto"/>
          <w:highlight w:val="none"/>
          <w:lang w:val="en-US" w:eastAsia="zh-CN"/>
        </w:rPr>
        <w:t>《中华人民共和国河道管理条例》（2018年3月19日实施）；</w:t>
      </w:r>
    </w:p>
    <w:p w14:paraId="3F5C3B4F">
      <w:pPr>
        <w:pStyle w:val="2"/>
        <w:numPr>
          <w:ilvl w:val="0"/>
          <w:numId w:val="5"/>
        </w:numPr>
        <w:ind w:firstLine="480"/>
        <w:rPr>
          <w:rFonts w:hint="default"/>
          <w:color w:val="auto"/>
          <w:highlight w:val="none"/>
          <w:lang w:val="en-US" w:eastAsia="zh-CN"/>
        </w:rPr>
      </w:pPr>
      <w:r>
        <w:rPr>
          <w:rFonts w:hint="default"/>
          <w:color w:val="auto"/>
          <w:highlight w:val="none"/>
          <w:lang w:val="en-US" w:eastAsia="zh-CN"/>
        </w:rPr>
        <w:t>《中华人民共和国野生动物保护法》（2018年10月26日实施）；</w:t>
      </w:r>
    </w:p>
    <w:p w14:paraId="19407AAF">
      <w:pPr>
        <w:pStyle w:val="2"/>
        <w:numPr>
          <w:ilvl w:val="0"/>
          <w:numId w:val="5"/>
        </w:numPr>
        <w:ind w:firstLine="480"/>
        <w:rPr>
          <w:rFonts w:hint="default"/>
          <w:color w:val="auto"/>
          <w:highlight w:val="none"/>
          <w:lang w:val="en-US" w:eastAsia="zh-CN"/>
        </w:rPr>
      </w:pPr>
      <w:r>
        <w:rPr>
          <w:rFonts w:hint="default"/>
          <w:color w:val="auto"/>
          <w:highlight w:val="none"/>
          <w:lang w:val="en-US" w:eastAsia="zh-CN"/>
        </w:rPr>
        <w:t>《中华人民共和国渔业法》（2014年3月1日实施）；</w:t>
      </w:r>
    </w:p>
    <w:p w14:paraId="03A1F3CD">
      <w:pPr>
        <w:pStyle w:val="2"/>
        <w:numPr>
          <w:ilvl w:val="0"/>
          <w:numId w:val="5"/>
        </w:numPr>
        <w:ind w:firstLine="480"/>
        <w:rPr>
          <w:rFonts w:hint="default"/>
          <w:color w:val="auto"/>
          <w:highlight w:val="none"/>
          <w:lang w:val="en-US" w:eastAsia="zh-CN"/>
        </w:rPr>
      </w:pPr>
      <w:r>
        <w:rPr>
          <w:rFonts w:hint="default"/>
          <w:color w:val="auto"/>
          <w:highlight w:val="none"/>
          <w:lang w:val="en-US" w:eastAsia="zh-CN"/>
        </w:rPr>
        <w:t>《中华人民共和国防洪法》（2016年7月2日修正）；</w:t>
      </w:r>
    </w:p>
    <w:p w14:paraId="02CEA76E">
      <w:pPr>
        <w:pStyle w:val="2"/>
        <w:numPr>
          <w:ilvl w:val="0"/>
          <w:numId w:val="5"/>
        </w:numPr>
        <w:ind w:firstLine="480"/>
        <w:rPr>
          <w:rFonts w:hint="default"/>
          <w:color w:val="auto"/>
          <w:highlight w:val="none"/>
          <w:lang w:val="en-US" w:eastAsia="zh-CN"/>
        </w:rPr>
      </w:pPr>
      <w:r>
        <w:rPr>
          <w:rFonts w:hint="default"/>
          <w:color w:val="auto"/>
          <w:highlight w:val="none"/>
          <w:lang w:val="en-US" w:eastAsia="zh-CN"/>
        </w:rPr>
        <w:t>《建设项目环境保护管理条例》（国务院令第682号），（2017年10月1日实施）；</w:t>
      </w:r>
    </w:p>
    <w:p w14:paraId="6A546CAD">
      <w:pPr>
        <w:pStyle w:val="2"/>
        <w:numPr>
          <w:ilvl w:val="0"/>
          <w:numId w:val="5"/>
        </w:numPr>
        <w:ind w:firstLine="48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建设项目水资源论证管理办法</w:t>
      </w:r>
      <w:r>
        <w:rPr>
          <w:rFonts w:hint="default"/>
          <w:color w:val="auto"/>
          <w:highlight w:val="none"/>
          <w:lang w:val="en-US" w:eastAsia="zh-CN"/>
        </w:rPr>
        <w:t>》（</w:t>
      </w:r>
      <w:r>
        <w:rPr>
          <w:rFonts w:hint="eastAsia"/>
          <w:color w:val="auto"/>
          <w:highlight w:val="none"/>
          <w:lang w:val="en-US" w:eastAsia="zh-CN"/>
        </w:rPr>
        <w:t>水利部、国家计委第15号令</w:t>
      </w:r>
      <w:r>
        <w:rPr>
          <w:rFonts w:hint="default"/>
          <w:color w:val="auto"/>
          <w:highlight w:val="none"/>
          <w:lang w:val="en-US" w:eastAsia="zh-CN"/>
        </w:rPr>
        <w:t>，20</w:t>
      </w:r>
      <w:r>
        <w:rPr>
          <w:rFonts w:hint="eastAsia"/>
          <w:color w:val="auto"/>
          <w:highlight w:val="none"/>
          <w:lang w:val="en-US" w:eastAsia="zh-CN"/>
        </w:rPr>
        <w:t>02</w:t>
      </w:r>
      <w:r>
        <w:rPr>
          <w:rFonts w:hint="default"/>
          <w:color w:val="auto"/>
          <w:highlight w:val="none"/>
          <w:lang w:val="en-US" w:eastAsia="zh-CN"/>
        </w:rPr>
        <w:t>年</w:t>
      </w:r>
      <w:r>
        <w:rPr>
          <w:rFonts w:hint="eastAsia"/>
          <w:color w:val="auto"/>
          <w:highlight w:val="none"/>
          <w:lang w:val="en-US" w:eastAsia="zh-CN"/>
        </w:rPr>
        <w:t>5</w:t>
      </w:r>
      <w:r>
        <w:rPr>
          <w:rFonts w:hint="default"/>
          <w:color w:val="auto"/>
          <w:highlight w:val="none"/>
          <w:lang w:val="en-US" w:eastAsia="zh-CN"/>
        </w:rPr>
        <w:t>月1日实施）</w:t>
      </w:r>
      <w:r>
        <w:rPr>
          <w:rFonts w:hint="eastAsia"/>
          <w:color w:val="auto"/>
          <w:highlight w:val="none"/>
          <w:lang w:val="en-US" w:eastAsia="zh-CN"/>
        </w:rPr>
        <w:t>；</w:t>
      </w:r>
    </w:p>
    <w:p w14:paraId="34D95CD3">
      <w:pPr>
        <w:pStyle w:val="2"/>
        <w:numPr>
          <w:ilvl w:val="0"/>
          <w:numId w:val="5"/>
        </w:numPr>
        <w:ind w:firstLine="480"/>
        <w:rPr>
          <w:rFonts w:hint="default"/>
          <w:color w:val="auto"/>
          <w:highlight w:val="none"/>
          <w:lang w:val="en-US" w:eastAsia="zh-CN"/>
        </w:rPr>
      </w:pPr>
      <w:r>
        <w:rPr>
          <w:rFonts w:hint="eastAsia"/>
          <w:color w:val="auto"/>
          <w:highlight w:val="none"/>
          <w:lang w:val="en-US" w:eastAsia="zh-CN"/>
        </w:rPr>
        <w:t>《水功能区监督管理办法》</w:t>
      </w:r>
      <w:r>
        <w:rPr>
          <w:rFonts w:hint="default"/>
          <w:color w:val="auto"/>
          <w:highlight w:val="none"/>
          <w:lang w:val="en-US" w:eastAsia="zh-CN"/>
        </w:rPr>
        <w:t>（</w:t>
      </w:r>
      <w:r>
        <w:rPr>
          <w:rFonts w:hint="eastAsia"/>
          <w:color w:val="auto"/>
          <w:highlight w:val="none"/>
          <w:lang w:val="en-US" w:eastAsia="zh-CN"/>
        </w:rPr>
        <w:t>水资源〔2017〕101号</w:t>
      </w:r>
      <w:r>
        <w:rPr>
          <w:rFonts w:hint="default"/>
          <w:color w:val="auto"/>
          <w:highlight w:val="none"/>
          <w:lang w:val="en-US" w:eastAsia="zh-CN"/>
        </w:rPr>
        <w:t>，20</w:t>
      </w:r>
      <w:r>
        <w:rPr>
          <w:rFonts w:hint="eastAsia"/>
          <w:color w:val="auto"/>
          <w:highlight w:val="none"/>
          <w:lang w:val="en-US" w:eastAsia="zh-CN"/>
        </w:rPr>
        <w:t>17</w:t>
      </w:r>
      <w:r>
        <w:rPr>
          <w:rFonts w:hint="default"/>
          <w:color w:val="auto"/>
          <w:highlight w:val="none"/>
          <w:lang w:val="en-US" w:eastAsia="zh-CN"/>
        </w:rPr>
        <w:t>年</w:t>
      </w:r>
      <w:r>
        <w:rPr>
          <w:rFonts w:hint="eastAsia"/>
          <w:color w:val="auto"/>
          <w:highlight w:val="none"/>
          <w:lang w:val="en-US" w:eastAsia="zh-CN"/>
        </w:rPr>
        <w:t>4</w:t>
      </w:r>
      <w:r>
        <w:rPr>
          <w:rFonts w:hint="default"/>
          <w:color w:val="auto"/>
          <w:highlight w:val="none"/>
          <w:lang w:val="en-US" w:eastAsia="zh-CN"/>
        </w:rPr>
        <w:t>月1日实施）</w:t>
      </w:r>
      <w:r>
        <w:rPr>
          <w:rFonts w:hint="eastAsia"/>
          <w:color w:val="auto"/>
          <w:highlight w:val="none"/>
          <w:lang w:val="en-US" w:eastAsia="zh-CN"/>
        </w:rPr>
        <w:t>；</w:t>
      </w:r>
    </w:p>
    <w:p w14:paraId="6D4CF832">
      <w:pPr>
        <w:pStyle w:val="2"/>
        <w:numPr>
          <w:ilvl w:val="0"/>
          <w:numId w:val="5"/>
        </w:numPr>
        <w:ind w:firstLine="480"/>
        <w:rPr>
          <w:rFonts w:hint="default"/>
          <w:color w:val="auto"/>
          <w:highlight w:val="none"/>
          <w:u w:val="single"/>
          <w:lang w:val="en-US" w:eastAsia="zh-CN"/>
        </w:rPr>
      </w:pPr>
      <w:r>
        <w:rPr>
          <w:rFonts w:hint="eastAsia"/>
          <w:color w:val="auto"/>
          <w:highlight w:val="none"/>
          <w:u w:val="single"/>
          <w:lang w:val="en-US" w:eastAsia="zh-CN"/>
        </w:rPr>
        <w:t>《入河排污口监督管理办法》</w:t>
      </w:r>
      <w:r>
        <w:rPr>
          <w:rFonts w:hint="default"/>
          <w:color w:val="auto"/>
          <w:highlight w:val="none"/>
          <w:u w:val="single"/>
          <w:lang w:val="en-US" w:eastAsia="zh-CN"/>
        </w:rPr>
        <w:t>（</w:t>
      </w:r>
      <w:r>
        <w:rPr>
          <w:rFonts w:hint="eastAsia"/>
          <w:color w:val="auto"/>
          <w:highlight w:val="none"/>
          <w:u w:val="single"/>
          <w:lang w:val="en-US" w:eastAsia="zh-CN"/>
        </w:rPr>
        <w:t>生态环境部令第35号</w:t>
      </w:r>
      <w:r>
        <w:rPr>
          <w:rFonts w:hint="default"/>
          <w:color w:val="auto"/>
          <w:highlight w:val="none"/>
          <w:u w:val="single"/>
          <w:lang w:val="en-US" w:eastAsia="zh-CN"/>
        </w:rPr>
        <w:t>，20</w:t>
      </w:r>
      <w:r>
        <w:rPr>
          <w:rFonts w:hint="eastAsia"/>
          <w:color w:val="auto"/>
          <w:highlight w:val="none"/>
          <w:u w:val="single"/>
          <w:lang w:val="en-US" w:eastAsia="zh-CN"/>
        </w:rPr>
        <w:t>25</w:t>
      </w:r>
      <w:r>
        <w:rPr>
          <w:rFonts w:hint="default"/>
          <w:color w:val="auto"/>
          <w:highlight w:val="none"/>
          <w:u w:val="single"/>
          <w:lang w:val="en-US" w:eastAsia="zh-CN"/>
        </w:rPr>
        <w:t>年</w:t>
      </w:r>
      <w:r>
        <w:rPr>
          <w:rFonts w:hint="eastAsia"/>
          <w:color w:val="auto"/>
          <w:highlight w:val="none"/>
          <w:u w:val="single"/>
          <w:lang w:val="en-US" w:eastAsia="zh-CN"/>
        </w:rPr>
        <w:t>1</w:t>
      </w:r>
      <w:r>
        <w:rPr>
          <w:rFonts w:hint="default"/>
          <w:color w:val="auto"/>
          <w:highlight w:val="none"/>
          <w:u w:val="single"/>
          <w:lang w:val="en-US" w:eastAsia="zh-CN"/>
        </w:rPr>
        <w:t>月1日实施）</w:t>
      </w:r>
      <w:r>
        <w:rPr>
          <w:rFonts w:hint="eastAsia"/>
          <w:color w:val="auto"/>
          <w:highlight w:val="none"/>
          <w:u w:val="single"/>
          <w:lang w:val="en-US" w:eastAsia="zh-CN"/>
        </w:rPr>
        <w:t>；</w:t>
      </w:r>
    </w:p>
    <w:p w14:paraId="7298E9F8">
      <w:pPr>
        <w:pStyle w:val="2"/>
        <w:numPr>
          <w:ilvl w:val="0"/>
          <w:numId w:val="5"/>
        </w:numPr>
        <w:ind w:firstLine="480"/>
        <w:rPr>
          <w:rFonts w:hint="default"/>
          <w:color w:val="auto"/>
          <w:highlight w:val="none"/>
          <w:lang w:val="en-US" w:eastAsia="zh-CN"/>
        </w:rPr>
      </w:pPr>
      <w:r>
        <w:rPr>
          <w:rFonts w:hint="eastAsia"/>
          <w:color w:val="auto"/>
          <w:highlight w:val="none"/>
          <w:lang w:val="en-US" w:eastAsia="zh-CN"/>
        </w:rPr>
        <w:t>《湖南省入河排污口监督管理办法》</w:t>
      </w:r>
      <w:r>
        <w:rPr>
          <w:rFonts w:hint="default"/>
          <w:color w:val="auto"/>
          <w:highlight w:val="none"/>
          <w:lang w:val="en-US" w:eastAsia="zh-CN"/>
        </w:rPr>
        <w:t>（</w:t>
      </w:r>
      <w:r>
        <w:rPr>
          <w:rFonts w:hint="eastAsia"/>
          <w:color w:val="auto"/>
          <w:highlight w:val="none"/>
          <w:lang w:val="en-US" w:eastAsia="zh-CN"/>
        </w:rPr>
        <w:t>湘政办发〔2018〕44号</w:t>
      </w:r>
      <w:r>
        <w:rPr>
          <w:rFonts w:hint="default"/>
          <w:color w:val="auto"/>
          <w:highlight w:val="none"/>
          <w:lang w:val="en-US" w:eastAsia="zh-CN"/>
        </w:rPr>
        <w:t>，20</w:t>
      </w:r>
      <w:r>
        <w:rPr>
          <w:rFonts w:hint="eastAsia"/>
          <w:color w:val="auto"/>
          <w:highlight w:val="none"/>
          <w:lang w:val="en-US" w:eastAsia="zh-CN"/>
        </w:rPr>
        <w:t>18</w:t>
      </w:r>
      <w:r>
        <w:rPr>
          <w:rFonts w:hint="default"/>
          <w:color w:val="auto"/>
          <w:highlight w:val="none"/>
          <w:lang w:val="en-US" w:eastAsia="zh-CN"/>
        </w:rPr>
        <w:t>年</w:t>
      </w:r>
      <w:r>
        <w:rPr>
          <w:rFonts w:hint="eastAsia"/>
          <w:color w:val="auto"/>
          <w:highlight w:val="none"/>
          <w:lang w:val="en-US" w:eastAsia="zh-CN"/>
        </w:rPr>
        <w:t>7</w:t>
      </w:r>
      <w:r>
        <w:rPr>
          <w:rFonts w:hint="default"/>
          <w:color w:val="auto"/>
          <w:highlight w:val="none"/>
          <w:lang w:val="en-US" w:eastAsia="zh-CN"/>
        </w:rPr>
        <w:t>月1</w:t>
      </w:r>
      <w:r>
        <w:rPr>
          <w:rFonts w:hint="eastAsia"/>
          <w:color w:val="auto"/>
          <w:highlight w:val="none"/>
          <w:lang w:val="en-US" w:eastAsia="zh-CN"/>
        </w:rPr>
        <w:t>2</w:t>
      </w:r>
      <w:r>
        <w:rPr>
          <w:rFonts w:hint="default"/>
          <w:color w:val="auto"/>
          <w:highlight w:val="none"/>
          <w:lang w:val="en-US" w:eastAsia="zh-CN"/>
        </w:rPr>
        <w:t>日实施）</w:t>
      </w:r>
      <w:r>
        <w:rPr>
          <w:rFonts w:hint="eastAsia"/>
          <w:color w:val="auto"/>
          <w:highlight w:val="none"/>
          <w:lang w:val="en-US" w:eastAsia="zh-CN"/>
        </w:rPr>
        <w:t>；</w:t>
      </w:r>
    </w:p>
    <w:p w14:paraId="78F975C8">
      <w:pPr>
        <w:pStyle w:val="2"/>
        <w:numPr>
          <w:ilvl w:val="0"/>
          <w:numId w:val="5"/>
        </w:numPr>
        <w:ind w:firstLine="480"/>
        <w:rPr>
          <w:rFonts w:hint="default"/>
          <w:color w:val="auto"/>
          <w:highlight w:val="none"/>
          <w:u w:val="single"/>
          <w:lang w:val="en-US" w:eastAsia="zh-CN"/>
        </w:rPr>
      </w:pPr>
      <w:r>
        <w:rPr>
          <w:rFonts w:hint="eastAsia"/>
          <w:color w:val="auto"/>
          <w:highlight w:val="none"/>
          <w:u w:val="single"/>
          <w:lang w:val="en-US" w:eastAsia="zh-CN"/>
        </w:rPr>
        <w:t>《关于做好入河排污口和水功能区划相关工作的通知》环办水体〔2019〕36号；</w:t>
      </w:r>
    </w:p>
    <w:p w14:paraId="2F6C92D5">
      <w:pPr>
        <w:pStyle w:val="2"/>
        <w:numPr>
          <w:ilvl w:val="0"/>
          <w:numId w:val="5"/>
        </w:numPr>
        <w:ind w:firstLine="480"/>
        <w:rPr>
          <w:rFonts w:hint="eastAsia"/>
          <w:color w:val="auto"/>
          <w:highlight w:val="none"/>
          <w:lang w:val="en-US" w:eastAsia="zh-CN"/>
        </w:rPr>
      </w:pPr>
    </w:p>
    <w:p w14:paraId="509C9970">
      <w:pPr>
        <w:pStyle w:val="2"/>
        <w:numPr>
          <w:ilvl w:val="0"/>
          <w:numId w:val="5"/>
        </w:numPr>
        <w:ind w:firstLine="480"/>
        <w:rPr>
          <w:rFonts w:hint="default"/>
          <w:color w:val="auto"/>
          <w:highlight w:val="none"/>
          <w:lang w:val="en-US" w:eastAsia="zh-CN"/>
        </w:rPr>
      </w:pPr>
      <w:r>
        <w:rPr>
          <w:rFonts w:hint="eastAsia"/>
          <w:color w:val="auto"/>
          <w:highlight w:val="none"/>
          <w:lang w:val="en-US" w:eastAsia="zh-CN"/>
        </w:rPr>
        <w:t>《湖南省生态环境厅关于划分（调整或撤销）益阳市部分集中式饮用水水源保护区的复函》</w:t>
      </w:r>
      <w:r>
        <w:rPr>
          <w:rFonts w:hint="default"/>
          <w:color w:val="auto"/>
          <w:highlight w:val="none"/>
          <w:lang w:val="en-US" w:eastAsia="zh-CN"/>
        </w:rPr>
        <w:t>（</w:t>
      </w:r>
      <w:r>
        <w:rPr>
          <w:rFonts w:hint="eastAsia"/>
          <w:color w:val="auto"/>
          <w:highlight w:val="none"/>
          <w:lang w:val="en-US" w:eastAsia="zh-CN"/>
        </w:rPr>
        <w:t>湘政函〔2021〕33号</w:t>
      </w:r>
      <w:r>
        <w:rPr>
          <w:rFonts w:hint="default"/>
          <w:color w:val="auto"/>
          <w:highlight w:val="none"/>
          <w:lang w:val="en-US" w:eastAsia="zh-CN"/>
        </w:rPr>
        <w:t>）</w:t>
      </w:r>
      <w:r>
        <w:rPr>
          <w:rFonts w:hint="eastAsia"/>
          <w:color w:val="auto"/>
          <w:highlight w:val="none"/>
          <w:lang w:val="en-US" w:eastAsia="zh-CN"/>
        </w:rPr>
        <w:t>；</w:t>
      </w:r>
    </w:p>
    <w:p w14:paraId="7C64F991">
      <w:pPr>
        <w:pStyle w:val="2"/>
        <w:numPr>
          <w:ilvl w:val="0"/>
          <w:numId w:val="5"/>
        </w:numPr>
        <w:ind w:firstLine="480"/>
        <w:rPr>
          <w:rFonts w:hint="default"/>
          <w:color w:val="auto"/>
          <w:highlight w:val="none"/>
          <w:lang w:val="en-US" w:eastAsia="zh-CN"/>
        </w:rPr>
      </w:pPr>
      <w:r>
        <w:rPr>
          <w:rFonts w:hint="eastAsia"/>
          <w:color w:val="auto"/>
          <w:highlight w:val="none"/>
          <w:lang w:val="en-US" w:eastAsia="zh-CN"/>
        </w:rPr>
        <w:t>《益阳市“十四五”生态环境保护规划》</w:t>
      </w:r>
      <w:r>
        <w:rPr>
          <w:rFonts w:hint="default"/>
          <w:color w:val="auto"/>
          <w:highlight w:val="none"/>
          <w:lang w:val="en-US" w:eastAsia="zh-CN"/>
        </w:rPr>
        <w:t>（</w:t>
      </w:r>
      <w:r>
        <w:rPr>
          <w:rFonts w:hint="eastAsia"/>
          <w:color w:val="auto"/>
          <w:highlight w:val="none"/>
          <w:lang w:val="en-US" w:eastAsia="zh-CN"/>
        </w:rPr>
        <w:t>益政办发〔2021〕19号</w:t>
      </w:r>
      <w:r>
        <w:rPr>
          <w:rFonts w:hint="default"/>
          <w:color w:val="auto"/>
          <w:highlight w:val="none"/>
          <w:lang w:val="en-US" w:eastAsia="zh-CN"/>
        </w:rPr>
        <w:t>）</w:t>
      </w:r>
      <w:r>
        <w:rPr>
          <w:rFonts w:hint="eastAsia"/>
          <w:color w:val="auto"/>
          <w:highlight w:val="none"/>
          <w:lang w:val="en-US" w:eastAsia="zh-CN"/>
        </w:rPr>
        <w:t>；</w:t>
      </w:r>
    </w:p>
    <w:p w14:paraId="4B0B50DE">
      <w:pPr>
        <w:pStyle w:val="2"/>
        <w:numPr>
          <w:ilvl w:val="0"/>
          <w:numId w:val="5"/>
        </w:numPr>
        <w:ind w:firstLine="480"/>
        <w:rPr>
          <w:rFonts w:hint="default"/>
          <w:color w:val="auto"/>
          <w:highlight w:val="none"/>
          <w:lang w:val="en-US" w:eastAsia="zh-CN"/>
        </w:rPr>
      </w:pPr>
      <w:r>
        <w:rPr>
          <w:rFonts w:hint="eastAsia"/>
          <w:color w:val="auto"/>
          <w:highlight w:val="none"/>
          <w:lang w:val="en-US" w:eastAsia="zh-CN"/>
        </w:rPr>
        <w:t>《益阳市资江保护条例》</w:t>
      </w:r>
      <w:r>
        <w:rPr>
          <w:rFonts w:hint="default"/>
          <w:color w:val="auto"/>
          <w:highlight w:val="none"/>
          <w:lang w:val="en-US" w:eastAsia="zh-CN"/>
        </w:rPr>
        <w:t>（20</w:t>
      </w:r>
      <w:r>
        <w:rPr>
          <w:rFonts w:hint="eastAsia"/>
          <w:color w:val="auto"/>
          <w:highlight w:val="none"/>
          <w:lang w:val="en-US" w:eastAsia="zh-CN"/>
        </w:rPr>
        <w:t>22</w:t>
      </w:r>
      <w:r>
        <w:rPr>
          <w:rFonts w:hint="default"/>
          <w:color w:val="auto"/>
          <w:highlight w:val="none"/>
          <w:lang w:val="en-US" w:eastAsia="zh-CN"/>
        </w:rPr>
        <w:t>年</w:t>
      </w:r>
      <w:r>
        <w:rPr>
          <w:rFonts w:hint="eastAsia"/>
          <w:color w:val="auto"/>
          <w:highlight w:val="none"/>
          <w:lang w:val="en-US" w:eastAsia="zh-CN"/>
        </w:rPr>
        <w:t>3</w:t>
      </w:r>
      <w:r>
        <w:rPr>
          <w:rFonts w:hint="default"/>
          <w:color w:val="auto"/>
          <w:highlight w:val="none"/>
          <w:lang w:val="en-US" w:eastAsia="zh-CN"/>
        </w:rPr>
        <w:t>月1日</w:t>
      </w:r>
      <w:r>
        <w:rPr>
          <w:rFonts w:hint="eastAsia"/>
          <w:color w:val="auto"/>
          <w:highlight w:val="none"/>
          <w:lang w:val="en-US" w:eastAsia="zh-CN"/>
        </w:rPr>
        <w:t>施行</w:t>
      </w:r>
      <w:r>
        <w:rPr>
          <w:rFonts w:hint="default"/>
          <w:color w:val="auto"/>
          <w:highlight w:val="none"/>
          <w:lang w:val="en-US" w:eastAsia="zh-CN"/>
        </w:rPr>
        <w:t>）</w:t>
      </w:r>
      <w:r>
        <w:rPr>
          <w:rFonts w:hint="eastAsia"/>
          <w:color w:val="auto"/>
          <w:highlight w:val="none"/>
          <w:lang w:val="en-US" w:eastAsia="zh-CN"/>
        </w:rPr>
        <w:t>；</w:t>
      </w:r>
    </w:p>
    <w:p w14:paraId="29992F24">
      <w:pPr>
        <w:pStyle w:val="2"/>
        <w:numPr>
          <w:ilvl w:val="0"/>
          <w:numId w:val="5"/>
        </w:numPr>
        <w:ind w:firstLine="480"/>
        <w:rPr>
          <w:rFonts w:hint="default"/>
          <w:color w:val="auto"/>
          <w:highlight w:val="none"/>
          <w:lang w:val="en-US" w:eastAsia="zh-CN"/>
        </w:rPr>
      </w:pPr>
      <w:r>
        <w:rPr>
          <w:rFonts w:hint="eastAsia"/>
          <w:color w:val="auto"/>
          <w:highlight w:val="none"/>
          <w:lang w:val="en-US" w:eastAsia="zh-CN"/>
        </w:rPr>
        <w:t>《益阳市“十四五”生态环境保护规划》</w:t>
      </w:r>
      <w:r>
        <w:rPr>
          <w:rFonts w:hint="default"/>
          <w:color w:val="auto"/>
          <w:highlight w:val="none"/>
          <w:lang w:val="en-US" w:eastAsia="zh-CN"/>
        </w:rPr>
        <w:t>（</w:t>
      </w:r>
      <w:r>
        <w:rPr>
          <w:rFonts w:hint="eastAsia"/>
          <w:color w:val="auto"/>
          <w:highlight w:val="none"/>
          <w:lang w:val="en-US" w:eastAsia="zh-CN"/>
        </w:rPr>
        <w:t>益政办发〔2021〕19号</w:t>
      </w:r>
      <w:r>
        <w:rPr>
          <w:rFonts w:hint="default"/>
          <w:color w:val="auto"/>
          <w:highlight w:val="none"/>
          <w:lang w:val="en-US" w:eastAsia="zh-CN"/>
        </w:rPr>
        <w:t>）。</w:t>
      </w:r>
    </w:p>
    <w:p w14:paraId="675BA07F">
      <w:pPr>
        <w:pStyle w:val="37"/>
        <w:bidi w:val="0"/>
        <w:rPr>
          <w:rFonts w:hint="eastAsia" w:ascii="Times New Roman" w:hAnsi="Times New Roman" w:cs="Times New Roman"/>
          <w:color w:val="auto"/>
          <w:highlight w:val="none"/>
          <w:lang w:val="en-US" w:eastAsia="zh-CN"/>
        </w:rPr>
      </w:pPr>
      <w:bookmarkStart w:id="9" w:name="_Toc14551"/>
      <w:bookmarkStart w:id="10" w:name="_Toc27119"/>
      <w:r>
        <w:rPr>
          <w:rFonts w:hint="eastAsia" w:ascii="Times New Roman" w:hAnsi="Times New Roman" w:cs="Times New Roman"/>
          <w:color w:val="auto"/>
          <w:highlight w:val="none"/>
          <w:lang w:val="en-US" w:eastAsia="zh-CN"/>
        </w:rPr>
        <w:t>技术标准、规范、规程</w:t>
      </w:r>
      <w:bookmarkEnd w:id="9"/>
      <w:bookmarkEnd w:id="10"/>
    </w:p>
    <w:p w14:paraId="0A8B0B45">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《入河排污口管理技术导则》（SL532-2011）；</w:t>
      </w:r>
    </w:p>
    <w:p w14:paraId="243DFD19">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《入河排污口设置论证基本要求》（试行）；</w:t>
      </w:r>
    </w:p>
    <w:p w14:paraId="78D834F9">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《水域纳污能力计算规程》（GB/T25173-2010）；</w:t>
      </w:r>
    </w:p>
    <w:p w14:paraId="0BDCC113">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《饮用水水源保护区划分技术规范》（HJ/T338-2018）；</w:t>
      </w:r>
    </w:p>
    <w:p w14:paraId="5156BC75">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《环境影响评价技术导则  地表水环境》（HJ2.3-2018）；</w:t>
      </w:r>
    </w:p>
    <w:p w14:paraId="79C44932">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《水环境监测规范》（SL219-2018）；</w:t>
      </w:r>
    </w:p>
    <w:p w14:paraId="7F912F23">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《地表水水资源质量评价技术规程》（SL395-2007）；</w:t>
      </w:r>
    </w:p>
    <w:p w14:paraId="4C26B012">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《水资源评价导则》（SL/T238-1999）；</w:t>
      </w:r>
    </w:p>
    <w:p w14:paraId="3DAF3102">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《水利工程水利计算规范》（SL104-2015）；</w:t>
      </w:r>
    </w:p>
    <w:p w14:paraId="5A5070A8">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《水文调查规范》（SL196-2015）；</w:t>
      </w:r>
    </w:p>
    <w:p w14:paraId="32801568">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《水利水电工程水文计算规范》（SL/T278-2020）；</w:t>
      </w:r>
    </w:p>
    <w:p w14:paraId="3CF2966F">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《排污许可证申请与核发技术规范水处理（试行）》（HJ 978-2018）；</w:t>
      </w:r>
    </w:p>
    <w:p w14:paraId="077ECAA7">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《地表水环境质量标准》（GB3838-2002）；</w:t>
      </w:r>
    </w:p>
    <w:p w14:paraId="34797584">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《地下水质量标准》（GB/T14848-2017）；</w:t>
      </w:r>
    </w:p>
    <w:p w14:paraId="6EC0F806">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w:t>
      </w:r>
      <w:r>
        <w:rPr>
          <w:rFonts w:hint="eastAsia"/>
          <w:color w:val="auto"/>
          <w:highlight w:val="none"/>
          <w:lang w:val="en-US" w:eastAsia="zh-CN"/>
        </w:rPr>
        <w:fldChar w:fldCharType="begin"/>
      </w:r>
      <w:r>
        <w:rPr>
          <w:rFonts w:hint="eastAsia"/>
          <w:color w:val="auto"/>
          <w:highlight w:val="none"/>
          <w:lang w:val="en-US" w:eastAsia="zh-CN"/>
        </w:rPr>
        <w:instrText xml:space="preserve"> HYPERLINK "https://www.mee.gov.cn/ywgz/fgbz/bz/bzwb/dqhjbh/dqgdwrywrwpfbz/201405/W020140530533213253195.pdf" </w:instrText>
      </w:r>
      <w:r>
        <w:rPr>
          <w:rFonts w:hint="eastAsia"/>
          <w:color w:val="auto"/>
          <w:highlight w:val="none"/>
          <w:lang w:val="en-US" w:eastAsia="zh-CN"/>
        </w:rPr>
        <w:fldChar w:fldCharType="separate"/>
      </w:r>
      <w:r>
        <w:rPr>
          <w:rFonts w:hint="eastAsia"/>
          <w:color w:val="auto"/>
          <w:highlight w:val="none"/>
          <w:lang w:val="en-US" w:eastAsia="zh-CN"/>
        </w:rPr>
        <w:t>锡、锑、汞工业污染物排放标准》（GB 30770-2014）</w:t>
      </w:r>
      <w:r>
        <w:rPr>
          <w:rFonts w:hint="eastAsia"/>
          <w:color w:val="auto"/>
          <w:highlight w:val="none"/>
          <w:lang w:val="en-US" w:eastAsia="zh-CN"/>
        </w:rPr>
        <w:fldChar w:fldCharType="end"/>
      </w:r>
      <w:r>
        <w:rPr>
          <w:rFonts w:hint="eastAsia"/>
          <w:color w:val="auto"/>
          <w:highlight w:val="none"/>
          <w:lang w:val="en-US" w:eastAsia="zh-CN"/>
        </w:rPr>
        <w:t>及其修改单（生态环境部公告 2020年68号）；</w:t>
      </w:r>
    </w:p>
    <w:p w14:paraId="1F4CBBB4">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《工业废水铊污染物排放标准》（DB43/968-2021）；</w:t>
      </w:r>
    </w:p>
    <w:p w14:paraId="32EBA9BD">
      <w:pPr>
        <w:pStyle w:val="2"/>
        <w:numPr>
          <w:ilvl w:val="0"/>
          <w:numId w:val="6"/>
        </w:numPr>
        <w:ind w:firstLine="480"/>
        <w:rPr>
          <w:rFonts w:hint="eastAsia"/>
          <w:color w:val="auto"/>
          <w:highlight w:val="none"/>
          <w:lang w:val="en-US" w:eastAsia="zh-CN"/>
        </w:rPr>
      </w:pPr>
      <w:r>
        <w:rPr>
          <w:rFonts w:hint="eastAsia"/>
          <w:color w:val="auto"/>
          <w:highlight w:val="none"/>
          <w:lang w:val="en-US" w:eastAsia="zh-CN"/>
        </w:rPr>
        <w:t>《湖南省工业废水铊污染物排放标准》（BB43/968-2021）；</w:t>
      </w:r>
    </w:p>
    <w:p w14:paraId="16BEDBBD">
      <w:pPr>
        <w:pStyle w:val="2"/>
        <w:numPr>
          <w:ilvl w:val="0"/>
          <w:numId w:val="6"/>
        </w:numPr>
        <w:ind w:firstLine="480"/>
        <w:rPr>
          <w:rFonts w:hint="eastAsia"/>
          <w:color w:val="auto"/>
          <w:highlight w:val="none"/>
          <w:u w:val="single"/>
          <w:lang w:val="en-US" w:eastAsia="zh-CN"/>
        </w:rPr>
      </w:pPr>
      <w:r>
        <w:rPr>
          <w:rFonts w:hint="eastAsia"/>
          <w:color w:val="auto"/>
          <w:highlight w:val="none"/>
          <w:u w:val="single"/>
          <w:lang w:val="en-US" w:eastAsia="zh-CN"/>
        </w:rPr>
        <w:t>《入河（海）排污口命名与编码规则》（HJ 1235—2021）；</w:t>
      </w:r>
    </w:p>
    <w:p w14:paraId="6656209A">
      <w:pPr>
        <w:pStyle w:val="2"/>
        <w:numPr>
          <w:ilvl w:val="0"/>
          <w:numId w:val="6"/>
        </w:numPr>
        <w:ind w:firstLine="480"/>
        <w:rPr>
          <w:rFonts w:hint="eastAsia"/>
          <w:color w:val="auto"/>
          <w:highlight w:val="none"/>
          <w:u w:val="single"/>
          <w:lang w:val="en-US" w:eastAsia="zh-CN"/>
        </w:rPr>
      </w:pPr>
      <w:r>
        <w:rPr>
          <w:rFonts w:hint="eastAsia"/>
          <w:color w:val="auto"/>
          <w:highlight w:val="none"/>
          <w:u w:val="single"/>
          <w:lang w:val="en-US" w:eastAsia="zh-CN"/>
        </w:rPr>
        <w:t>《入河入海排污口监督管理技术指南 整治总则》（HJ 1308—2023）；</w:t>
      </w:r>
    </w:p>
    <w:p w14:paraId="0F3E5905">
      <w:pPr>
        <w:pStyle w:val="2"/>
        <w:numPr>
          <w:ilvl w:val="0"/>
          <w:numId w:val="6"/>
        </w:numPr>
        <w:ind w:firstLine="480"/>
        <w:rPr>
          <w:rFonts w:hint="eastAsia"/>
          <w:color w:val="auto"/>
          <w:highlight w:val="none"/>
          <w:u w:val="single"/>
          <w:lang w:val="en-US" w:eastAsia="zh-CN"/>
        </w:rPr>
      </w:pPr>
      <w:r>
        <w:rPr>
          <w:rFonts w:hint="eastAsia"/>
          <w:color w:val="auto"/>
          <w:highlight w:val="none"/>
          <w:u w:val="single"/>
          <w:lang w:val="en-US" w:eastAsia="zh-CN"/>
        </w:rPr>
        <w:t>《入河入海排污口监督管理技术指南 入河排污口规范化建设》（HJ 1309—2023）；</w:t>
      </w:r>
    </w:p>
    <w:p w14:paraId="16F81EFF">
      <w:pPr>
        <w:pStyle w:val="2"/>
        <w:numPr>
          <w:ilvl w:val="0"/>
          <w:numId w:val="6"/>
        </w:numPr>
        <w:ind w:firstLine="480"/>
        <w:rPr>
          <w:rFonts w:hint="eastAsia"/>
          <w:color w:val="auto"/>
          <w:highlight w:val="none"/>
          <w:u w:val="single"/>
          <w:lang w:val="en-US" w:eastAsia="zh-CN"/>
        </w:rPr>
      </w:pPr>
      <w:r>
        <w:rPr>
          <w:rFonts w:hint="eastAsia"/>
          <w:color w:val="auto"/>
          <w:highlight w:val="none"/>
          <w:u w:val="single"/>
          <w:lang w:val="en-US" w:eastAsia="zh-CN"/>
        </w:rPr>
        <w:t>《入河入海排污口监督管理技术指南 名词术语》（HJ 1310—2023）；</w:t>
      </w:r>
    </w:p>
    <w:p w14:paraId="385EE1F6">
      <w:pPr>
        <w:pStyle w:val="2"/>
        <w:numPr>
          <w:ilvl w:val="0"/>
          <w:numId w:val="6"/>
        </w:numPr>
        <w:ind w:firstLine="480"/>
        <w:rPr>
          <w:rFonts w:hint="eastAsia"/>
          <w:color w:val="auto"/>
          <w:highlight w:val="none"/>
          <w:u w:val="single"/>
          <w:lang w:val="en-US" w:eastAsia="zh-CN"/>
        </w:rPr>
      </w:pPr>
      <w:r>
        <w:rPr>
          <w:rFonts w:hint="eastAsia"/>
          <w:color w:val="auto"/>
          <w:highlight w:val="none"/>
          <w:u w:val="single"/>
          <w:lang w:val="en-US" w:eastAsia="zh-CN"/>
        </w:rPr>
        <w:t>《入河入海排污口监督管理技术指南 排污口分类》（HJ 1312—2023）；</w:t>
      </w:r>
    </w:p>
    <w:p w14:paraId="05D77D1B">
      <w:pPr>
        <w:pStyle w:val="2"/>
        <w:numPr>
          <w:ilvl w:val="0"/>
          <w:numId w:val="6"/>
        </w:numPr>
        <w:ind w:firstLine="480"/>
        <w:rPr>
          <w:rFonts w:hint="eastAsia"/>
          <w:color w:val="auto"/>
          <w:highlight w:val="none"/>
          <w:u w:val="single"/>
          <w:lang w:val="en-US" w:eastAsia="zh-CN"/>
        </w:rPr>
      </w:pPr>
      <w:r>
        <w:rPr>
          <w:rFonts w:hint="eastAsia"/>
          <w:color w:val="auto"/>
          <w:highlight w:val="none"/>
          <w:u w:val="single"/>
          <w:lang w:val="en-US" w:eastAsia="zh-CN"/>
        </w:rPr>
        <w:t>《入河入海排污口监督管理技术指南 溯源总则》（HJ 1313—2023）；</w:t>
      </w:r>
    </w:p>
    <w:p w14:paraId="22C45784">
      <w:pPr>
        <w:pStyle w:val="2"/>
        <w:numPr>
          <w:ilvl w:val="0"/>
          <w:numId w:val="6"/>
        </w:numPr>
        <w:ind w:firstLine="480"/>
        <w:rPr>
          <w:rFonts w:hint="eastAsia"/>
          <w:color w:val="auto"/>
          <w:highlight w:val="none"/>
          <w:u w:val="single"/>
          <w:lang w:val="en-US" w:eastAsia="zh-CN"/>
        </w:rPr>
      </w:pPr>
      <w:r>
        <w:rPr>
          <w:rFonts w:hint="eastAsia"/>
          <w:color w:val="auto"/>
          <w:highlight w:val="none"/>
          <w:u w:val="single"/>
          <w:lang w:val="en-US" w:eastAsia="zh-CN"/>
        </w:rPr>
        <w:t>《入河入海排污口监督管理技术指南 信息采集与交换》（HJ 1314—2023）；</w:t>
      </w:r>
    </w:p>
    <w:p w14:paraId="779A3DF7">
      <w:pPr>
        <w:pStyle w:val="2"/>
        <w:numPr>
          <w:ilvl w:val="0"/>
          <w:numId w:val="6"/>
        </w:numPr>
        <w:ind w:firstLine="480"/>
        <w:rPr>
          <w:rFonts w:hint="eastAsia"/>
          <w:color w:val="auto"/>
          <w:highlight w:val="none"/>
          <w:u w:val="single"/>
          <w:lang w:val="en-US" w:eastAsia="zh-CN"/>
        </w:rPr>
      </w:pPr>
      <w:r>
        <w:rPr>
          <w:rFonts w:hint="eastAsia"/>
          <w:color w:val="auto"/>
          <w:highlight w:val="none"/>
          <w:u w:val="single"/>
          <w:lang w:val="en-US" w:eastAsia="zh-CN"/>
        </w:rPr>
        <w:t>《</w:t>
      </w:r>
      <w:r>
        <w:rPr>
          <w:rFonts w:hint="eastAsia"/>
          <w:color w:val="auto"/>
          <w:highlight w:val="none"/>
          <w:u w:val="single"/>
          <w:lang w:val="en-US" w:eastAsia="zh-CN"/>
        </w:rPr>
        <w:fldChar w:fldCharType="begin"/>
      </w:r>
      <w:r>
        <w:rPr>
          <w:rFonts w:hint="eastAsia"/>
          <w:color w:val="auto"/>
          <w:highlight w:val="none"/>
          <w:u w:val="single"/>
          <w:lang w:val="en-US" w:eastAsia="zh-CN"/>
        </w:rPr>
        <w:instrText xml:space="preserve"> HYPERLINK "https://www.mee.gov.cn/ywgz/fgbz/bz/bzwb/jcffbz/202309/W020230908524767523458.pdf" </w:instrText>
      </w:r>
      <w:r>
        <w:rPr>
          <w:rFonts w:hint="eastAsia"/>
          <w:color w:val="auto"/>
          <w:highlight w:val="none"/>
          <w:u w:val="single"/>
          <w:lang w:val="en-US" w:eastAsia="zh-CN"/>
        </w:rPr>
        <w:fldChar w:fldCharType="separate"/>
      </w:r>
      <w:r>
        <w:rPr>
          <w:rFonts w:hint="eastAsia"/>
          <w:color w:val="auto"/>
          <w:highlight w:val="none"/>
          <w:u w:val="single"/>
          <w:lang w:val="en-US" w:eastAsia="zh-CN"/>
        </w:rPr>
        <w:t>入河入海排污口监督管理技术指南 入河排污口规范化建设</w:t>
      </w:r>
      <w:r>
        <w:rPr>
          <w:rFonts w:hint="eastAsia"/>
          <w:color w:val="auto"/>
          <w:highlight w:val="none"/>
          <w:u w:val="single"/>
          <w:lang w:val="en-US" w:eastAsia="zh-CN"/>
        </w:rPr>
        <w:fldChar w:fldCharType="end"/>
      </w:r>
      <w:r>
        <w:rPr>
          <w:rFonts w:hint="eastAsia"/>
          <w:color w:val="auto"/>
          <w:highlight w:val="none"/>
          <w:u w:val="single"/>
          <w:lang w:val="en-US" w:eastAsia="zh-CN"/>
        </w:rPr>
        <w:t>》</w:t>
      </w:r>
      <w:r>
        <w:rPr>
          <w:rFonts w:hint="eastAsia"/>
          <w:color w:val="auto"/>
          <w:highlight w:val="none"/>
          <w:u w:val="single"/>
          <w:lang w:val="en-US" w:eastAsia="zh-CN"/>
        </w:rPr>
        <w:fldChar w:fldCharType="begin"/>
      </w:r>
      <w:r>
        <w:rPr>
          <w:rFonts w:hint="eastAsia"/>
          <w:color w:val="auto"/>
          <w:highlight w:val="none"/>
          <w:u w:val="single"/>
          <w:lang w:val="en-US" w:eastAsia="zh-CN"/>
        </w:rPr>
        <w:instrText xml:space="preserve"> HYPERLINK "https://www.mee.gov.cn/ywgz/fgbz/bz/bzwb/jcffbz/202309/W020230908524767523458.pdf" </w:instrText>
      </w:r>
      <w:r>
        <w:rPr>
          <w:rFonts w:hint="eastAsia"/>
          <w:color w:val="auto"/>
          <w:highlight w:val="none"/>
          <w:u w:val="single"/>
          <w:lang w:val="en-US" w:eastAsia="zh-CN"/>
        </w:rPr>
        <w:fldChar w:fldCharType="separate"/>
      </w:r>
      <w:r>
        <w:rPr>
          <w:rFonts w:hint="eastAsia"/>
          <w:color w:val="auto"/>
          <w:highlight w:val="none"/>
          <w:u w:val="single"/>
          <w:lang w:val="en-US" w:eastAsia="zh-CN"/>
        </w:rPr>
        <w:t>（HJ 1309-2023）</w:t>
      </w:r>
      <w:r>
        <w:rPr>
          <w:rFonts w:hint="eastAsia"/>
          <w:color w:val="auto"/>
          <w:highlight w:val="none"/>
          <w:u w:val="single"/>
          <w:lang w:val="en-US" w:eastAsia="zh-CN"/>
        </w:rPr>
        <w:fldChar w:fldCharType="end"/>
      </w:r>
      <w:r>
        <w:rPr>
          <w:rFonts w:hint="eastAsia"/>
          <w:color w:val="auto"/>
          <w:highlight w:val="none"/>
          <w:u w:val="single"/>
          <w:lang w:val="en-US" w:eastAsia="zh-CN"/>
        </w:rPr>
        <w:t>；</w:t>
      </w:r>
    </w:p>
    <w:p w14:paraId="65181BA9">
      <w:pPr>
        <w:pStyle w:val="2"/>
        <w:numPr>
          <w:ilvl w:val="0"/>
          <w:numId w:val="6"/>
        </w:numPr>
        <w:ind w:firstLine="480"/>
        <w:rPr>
          <w:rFonts w:hint="eastAsia"/>
          <w:color w:val="auto"/>
          <w:highlight w:val="none"/>
          <w:u w:val="single"/>
          <w:lang w:val="en-US" w:eastAsia="zh-CN"/>
        </w:rPr>
      </w:pPr>
      <w:r>
        <w:rPr>
          <w:rFonts w:hint="eastAsia"/>
          <w:color w:val="auto"/>
          <w:highlight w:val="none"/>
          <w:u w:val="single"/>
          <w:lang w:val="en-US" w:eastAsia="zh-CN"/>
        </w:rPr>
        <w:t>《入河排污口监督管理技术指南 设置审核》</w:t>
      </w:r>
      <w:r>
        <w:rPr>
          <w:rFonts w:hint="eastAsia"/>
          <w:color w:val="auto"/>
          <w:highlight w:val="none"/>
          <w:u w:val="single"/>
          <w:lang w:val="en-US" w:eastAsia="zh-CN"/>
        </w:rPr>
        <w:fldChar w:fldCharType="begin"/>
      </w:r>
      <w:r>
        <w:rPr>
          <w:rFonts w:hint="eastAsia"/>
          <w:color w:val="auto"/>
          <w:highlight w:val="none"/>
          <w:u w:val="single"/>
          <w:lang w:val="en-US" w:eastAsia="zh-CN"/>
        </w:rPr>
        <w:instrText xml:space="preserve"> HYPERLINK "https://www.mee.gov.cn/xxgk2018/xxgk/xxgk06/202201/W020220130592428468695.pdf" </w:instrText>
      </w:r>
      <w:r>
        <w:rPr>
          <w:rFonts w:hint="eastAsia"/>
          <w:color w:val="auto"/>
          <w:highlight w:val="none"/>
          <w:u w:val="single"/>
          <w:lang w:val="en-US" w:eastAsia="zh-CN"/>
        </w:rPr>
        <w:fldChar w:fldCharType="separate"/>
      </w:r>
      <w:r>
        <w:rPr>
          <w:rFonts w:hint="eastAsia"/>
          <w:color w:val="auto"/>
          <w:highlight w:val="none"/>
          <w:u w:val="single"/>
          <w:lang w:val="en-US" w:eastAsia="zh-CN"/>
        </w:rPr>
        <w:t>（征求意见稿）</w:t>
      </w:r>
      <w:r>
        <w:rPr>
          <w:rFonts w:hint="eastAsia"/>
          <w:color w:val="auto"/>
          <w:highlight w:val="none"/>
          <w:u w:val="single"/>
          <w:lang w:val="en-US" w:eastAsia="zh-CN"/>
        </w:rPr>
        <w:fldChar w:fldCharType="end"/>
      </w:r>
      <w:r>
        <w:rPr>
          <w:rFonts w:hint="eastAsia"/>
          <w:color w:val="auto"/>
          <w:highlight w:val="none"/>
          <w:u w:val="single"/>
          <w:lang w:val="en-US" w:eastAsia="zh-CN"/>
        </w:rPr>
        <w:t>。</w:t>
      </w:r>
    </w:p>
    <w:p w14:paraId="3BEEB506">
      <w:pPr>
        <w:pStyle w:val="37"/>
        <w:bidi w:val="0"/>
        <w:rPr>
          <w:rFonts w:hint="eastAsia" w:ascii="Times New Roman" w:hAnsi="Times New Roman" w:cs="Times New Roman"/>
          <w:color w:val="auto"/>
          <w:highlight w:val="none"/>
          <w:lang w:val="en-US" w:eastAsia="zh-CN"/>
        </w:rPr>
      </w:pPr>
      <w:bookmarkStart w:id="11" w:name="_Toc23499"/>
      <w:bookmarkStart w:id="12" w:name="_Toc9841"/>
      <w:r>
        <w:rPr>
          <w:rFonts w:hint="eastAsia" w:ascii="Times New Roman" w:hAnsi="Times New Roman" w:cs="Times New Roman"/>
          <w:color w:val="auto"/>
          <w:highlight w:val="none"/>
          <w:lang w:val="en-US" w:eastAsia="zh-CN"/>
        </w:rPr>
        <w:t>其他资料</w:t>
      </w:r>
      <w:bookmarkEnd w:id="11"/>
      <w:bookmarkEnd w:id="12"/>
    </w:p>
    <w:p w14:paraId="328704CD">
      <w:pPr>
        <w:pStyle w:val="2"/>
        <w:numPr>
          <w:ilvl w:val="0"/>
          <w:numId w:val="7"/>
        </w:numPr>
        <w:ind w:firstLine="480"/>
        <w:rPr>
          <w:rFonts w:hint="eastAsia"/>
          <w:color w:val="auto"/>
          <w:highlight w:val="none"/>
          <w:lang w:val="en-US" w:eastAsia="zh-CN"/>
        </w:rPr>
      </w:pPr>
      <w:r>
        <w:rPr>
          <w:rFonts w:hint="eastAsia"/>
          <w:color w:val="auto"/>
          <w:highlight w:val="none"/>
          <w:lang w:val="en-US" w:eastAsia="zh-CN"/>
        </w:rPr>
        <w:t>《湖南省水功能区划》（修编）（湘政函〔2014〕183号）；</w:t>
      </w:r>
    </w:p>
    <w:p w14:paraId="713D17EC">
      <w:pPr>
        <w:pStyle w:val="2"/>
        <w:numPr>
          <w:ilvl w:val="0"/>
          <w:numId w:val="7"/>
        </w:numPr>
        <w:ind w:firstLine="480"/>
        <w:rPr>
          <w:rFonts w:hint="eastAsia"/>
          <w:color w:val="auto"/>
          <w:highlight w:val="none"/>
          <w:lang w:val="en-US" w:eastAsia="zh-CN"/>
        </w:rPr>
      </w:pPr>
      <w:r>
        <w:rPr>
          <w:rFonts w:hint="eastAsia"/>
          <w:color w:val="auto"/>
          <w:highlight w:val="none"/>
          <w:lang w:val="en-US" w:eastAsia="zh-CN"/>
        </w:rPr>
        <w:t>《益阳市水功能区划》（2012年）；</w:t>
      </w:r>
    </w:p>
    <w:p w14:paraId="162E3FEF">
      <w:pPr>
        <w:pStyle w:val="36"/>
        <w:bidi w:val="0"/>
        <w:rPr>
          <w:rFonts w:hint="eastAsia" w:ascii="Times New Roman" w:hAnsi="Times New Roman" w:cs="Times New Roman"/>
          <w:color w:val="auto"/>
          <w:highlight w:val="none"/>
          <w:lang w:val="en-US" w:eastAsia="zh-CN"/>
        </w:rPr>
      </w:pPr>
      <w:bookmarkStart w:id="13" w:name="_Toc15539"/>
      <w:r>
        <w:rPr>
          <w:rFonts w:hint="eastAsia" w:ascii="Times New Roman" w:hAnsi="Times New Roman" w:cs="Times New Roman"/>
          <w:color w:val="auto"/>
          <w:highlight w:val="none"/>
          <w:lang w:val="en-US" w:eastAsia="zh-CN"/>
        </w:rPr>
        <w:t>论证范围</w:t>
      </w:r>
      <w:bookmarkEnd w:id="13"/>
    </w:p>
    <w:p w14:paraId="260D8702">
      <w:pPr>
        <w:pStyle w:val="2"/>
        <w:rPr>
          <w:rFonts w:hint="default"/>
          <w:color w:val="auto"/>
          <w:highlight w:val="none"/>
          <w:lang w:val="en-US" w:eastAsia="zh-CN"/>
        </w:rPr>
      </w:pPr>
      <w:r>
        <w:rPr>
          <w:rFonts w:hint="eastAsia"/>
          <w:color w:val="auto"/>
          <w:highlight w:val="none"/>
          <w:lang w:val="en-US" w:eastAsia="zh-CN"/>
        </w:rPr>
        <w:t>根据《入河排污口管理技术导则》（SL532-2011）的规定，“入河排污口设置论证范围应根据其影响范围和程度确定。受入河排污口设置影响的主要水域和其影响范围内的第三方取、用水用户原则上应纳入论证范围。对地表水的影响论证应以水功能区为基础单元，论证重点区域为入河排污口所在水功能区和可能受到影响的周边水功能区；涉及鱼卵产卵场等生态敏感点的，论证范围可不限于上述水功能区。未划分水功能区的水域，入河排污口排污影响范围内的水域都应为论证范围。对地下水的影响论证应以影响区的水文地质单元为重点区域。”</w:t>
      </w:r>
    </w:p>
    <w:p w14:paraId="55F4C212">
      <w:pPr>
        <w:pStyle w:val="2"/>
        <w:bidi w:val="0"/>
        <w:rPr>
          <w:rFonts w:hint="default"/>
          <w:color w:val="auto"/>
          <w:highlight w:val="none"/>
          <w:lang w:val="en-US" w:eastAsia="zh-CN"/>
        </w:rPr>
      </w:pPr>
      <w:r>
        <w:rPr>
          <w:rFonts w:hint="eastAsia"/>
          <w:color w:val="auto"/>
          <w:highlight w:val="none"/>
          <w:lang w:val="en-US" w:eastAsia="zh-CN"/>
        </w:rPr>
        <w:t>湖南安化渣滓溪矿业有限公司入河排污口位于安化县奎溪镇白羊居委会，排污口纳污河道为渣滓溪，排放口坐标为</w:t>
      </w:r>
      <w:r>
        <w:rPr>
          <w:rFonts w:hint="default"/>
          <w:color w:val="auto"/>
          <w:highlight w:val="none"/>
          <w:lang w:val="en-US" w:eastAsia="zh-CN"/>
        </w:rPr>
        <w:t>E110°49′56.90791″，N28°15′15.91420″</w:t>
      </w:r>
      <w:r>
        <w:rPr>
          <w:rFonts w:hint="eastAsia"/>
          <w:color w:val="auto"/>
          <w:highlight w:val="none"/>
          <w:lang w:val="en-US" w:eastAsia="zh-CN"/>
        </w:rPr>
        <w:t>。本入河排污口受纳水体为渣滓溪，后汇入白茅溪，再依次汇入奎溪、洋溪，最后汇入资江。</w:t>
      </w:r>
    </w:p>
    <w:p w14:paraId="1CC6C806">
      <w:pPr>
        <w:pStyle w:val="2"/>
        <w:rPr>
          <w:rFonts w:hint="eastAsia"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根据《益阳市水功能区划》（益阳市水利局，2012年12月），</w:t>
      </w:r>
      <w:r>
        <w:rPr>
          <w:rFonts w:hint="eastAsia" w:cs="Times New Roman"/>
          <w:color w:val="auto"/>
          <w:highlight w:val="none"/>
          <w:u w:val="single"/>
          <w:lang w:val="en-US" w:eastAsia="zh-CN"/>
        </w:rPr>
        <w:t>本项目入河排污口直接受纳水体渣滓溪暂未划分水功能区划。渣滓溪下游955m汇入白茅溪，白茅溪下游3500m汇入奎溪，奎溪下游8800m汇入洋溪，洋溪下游28km汇入资江。渣滓溪、白茅溪、奎溪目前开发利用程度较低、仅有少量农田灌溉且取用水量较小，参照执行《地表水环境质量标准》（GB3838-2002）中Ⅲ类水域标准；本项目下游洋溪段属洋溪安化奎溪镇-马路镇保留区，执行《地表水环境质量标准》（GB3838-2002）中Ⅲ类水域标准；本项目下游资江段，在安化县自来水公司二水厂上1000m的上游，属资水安化保留区，执行《地表水环境质量标准》（GB3838-2002）中Ⅲ类水域标准。</w:t>
      </w:r>
    </w:p>
    <w:p w14:paraId="12249243">
      <w:pPr>
        <w:pStyle w:val="2"/>
        <w:rPr>
          <w:rFonts w:hint="default"/>
          <w:color w:val="auto"/>
          <w:highlight w:val="none"/>
          <w:u w:val="single"/>
          <w:lang w:val="en-US" w:eastAsia="zh-CN"/>
        </w:rPr>
      </w:pPr>
      <w:r>
        <w:rPr>
          <w:rFonts w:hint="eastAsia"/>
          <w:color w:val="auto"/>
          <w:highlight w:val="none"/>
          <w:u w:val="single"/>
          <w:lang w:val="en-US" w:eastAsia="zh-CN"/>
        </w:rPr>
        <w:t>根据入河排污口所在水域水质现状，渣滓溪、白茅溪、奎溪、洋溪的锑因子均超标，洋溪汇入资江口的洋溪断面、资江上下游断面的锑因子达标。</w:t>
      </w:r>
    </w:p>
    <w:p w14:paraId="5A9D5657">
      <w:pPr>
        <w:pStyle w:val="2"/>
        <w:rPr>
          <w:rFonts w:hint="default"/>
          <w:color w:val="auto"/>
          <w:highlight w:val="none"/>
          <w:u w:val="single"/>
          <w:lang w:val="en-US" w:eastAsia="zh-CN"/>
        </w:rPr>
      </w:pPr>
      <w:r>
        <w:rPr>
          <w:rFonts w:hint="eastAsia"/>
          <w:color w:val="auto"/>
          <w:highlight w:val="none"/>
          <w:u w:val="single"/>
          <w:lang w:val="en-US" w:eastAsia="zh-CN"/>
        </w:rPr>
        <w:t>根据本项目污水排放情况，结合项目水环境影响评价等级以及纳污水域（渣滓溪、白茅溪、奎溪、洋溪、资江）水环境特点，本项目废水排放主要对排放口所在水域可能产生影响，选择排放口下游所在水功能区为论证范围。</w:t>
      </w:r>
    </w:p>
    <w:p w14:paraId="6001389E">
      <w:pPr>
        <w:pStyle w:val="2"/>
        <w:rPr>
          <w:rFonts w:hint="eastAsia" w:cs="Times New Roman"/>
          <w:color w:val="auto"/>
          <w:highlight w:val="none"/>
          <w:u w:val="single"/>
          <w:lang w:val="en-US" w:eastAsia="zh-CN"/>
        </w:rPr>
      </w:pPr>
      <w:r>
        <w:rPr>
          <w:rFonts w:hint="eastAsia"/>
          <w:color w:val="auto"/>
          <w:highlight w:val="none"/>
          <w:u w:val="single"/>
          <w:lang w:val="en-US" w:eastAsia="zh-CN"/>
        </w:rPr>
        <w:t>根据现场调查，</w:t>
      </w:r>
      <w:r>
        <w:rPr>
          <w:rFonts w:hint="eastAsia" w:ascii="Times New Roman" w:hAnsi="Times New Roman" w:cs="Times New Roman"/>
          <w:color w:val="auto"/>
          <w:highlight w:val="none"/>
          <w:u w:val="single"/>
          <w:lang w:val="en-US" w:eastAsia="zh-CN"/>
        </w:rPr>
        <w:t>本排污口下游</w:t>
      </w:r>
      <w:r>
        <w:rPr>
          <w:rFonts w:hint="eastAsia" w:cs="Times New Roman"/>
          <w:color w:val="auto"/>
          <w:highlight w:val="none"/>
          <w:u w:val="single"/>
          <w:lang w:val="en-US" w:eastAsia="zh-CN"/>
        </w:rPr>
        <w:t>41</w:t>
      </w:r>
      <w:r>
        <w:rPr>
          <w:rFonts w:hint="eastAsia" w:ascii="Times New Roman" w:hAnsi="Times New Roman" w:cs="Times New Roman"/>
          <w:color w:val="auto"/>
          <w:highlight w:val="none"/>
          <w:u w:val="single"/>
          <w:lang w:val="en-US" w:eastAsia="zh-CN"/>
        </w:rPr>
        <w:t>.25</w:t>
      </w:r>
      <w:r>
        <w:rPr>
          <w:rFonts w:hint="eastAsia" w:cs="Times New Roman"/>
          <w:color w:val="auto"/>
          <w:highlight w:val="none"/>
          <w:u w:val="single"/>
          <w:lang w:val="en-US" w:eastAsia="zh-CN"/>
        </w:rPr>
        <w:t>5</w:t>
      </w:r>
      <w:r>
        <w:rPr>
          <w:rFonts w:hint="eastAsia" w:ascii="Times New Roman" w:hAnsi="Times New Roman" w:cs="Times New Roman"/>
          <w:color w:val="auto"/>
          <w:highlight w:val="none"/>
          <w:u w:val="single"/>
          <w:lang w:val="en-US" w:eastAsia="zh-CN"/>
        </w:rPr>
        <w:t>km</w:t>
      </w:r>
      <w:r>
        <w:rPr>
          <w:rFonts w:hint="eastAsia" w:cs="Times New Roman"/>
          <w:color w:val="auto"/>
          <w:highlight w:val="none"/>
          <w:u w:val="single"/>
          <w:lang w:val="en-US" w:eastAsia="zh-CN"/>
        </w:rPr>
        <w:t>（至洋溪汇入资江口处）</w:t>
      </w:r>
      <w:r>
        <w:rPr>
          <w:rFonts w:hint="eastAsia" w:ascii="Times New Roman" w:hAnsi="Times New Roman" w:cs="Times New Roman"/>
          <w:color w:val="auto"/>
          <w:highlight w:val="none"/>
          <w:u w:val="single"/>
          <w:lang w:val="en-US" w:eastAsia="zh-CN"/>
        </w:rPr>
        <w:t>范围内</w:t>
      </w:r>
      <w:r>
        <w:rPr>
          <w:rFonts w:hint="eastAsia" w:cs="Times New Roman"/>
          <w:color w:val="auto"/>
          <w:highlight w:val="none"/>
          <w:u w:val="single"/>
          <w:lang w:val="en-US" w:eastAsia="zh-CN"/>
        </w:rPr>
        <w:t>有湖南雪峰湖国家湿地自然公园，位于洋溪上，排污口下游约27.325km，奎溪汇入洋溪口下游14.07km。</w:t>
      </w:r>
    </w:p>
    <w:p w14:paraId="0EC698D3">
      <w:pPr>
        <w:pStyle w:val="2"/>
        <w:rPr>
          <w:rFonts w:hint="default" w:ascii="Times New Roman" w:hAnsi="Times New Roman" w:cs="Times New Roman"/>
          <w:color w:val="auto"/>
          <w:highlight w:val="none"/>
          <w:u w:val="single"/>
          <w:lang w:val="en-US" w:eastAsia="zh-CN"/>
        </w:rPr>
      </w:pPr>
      <w:r>
        <w:rPr>
          <w:rFonts w:hint="eastAsia"/>
          <w:color w:val="auto"/>
          <w:highlight w:val="none"/>
          <w:u w:val="single"/>
          <w:lang w:val="en-US" w:eastAsia="zh-CN"/>
        </w:rPr>
        <w:t>根据现场调查，</w:t>
      </w:r>
      <w:r>
        <w:rPr>
          <w:rFonts w:hint="eastAsia" w:ascii="Times New Roman" w:hAnsi="Times New Roman" w:cs="Times New Roman"/>
          <w:color w:val="auto"/>
          <w:highlight w:val="none"/>
          <w:u w:val="single"/>
          <w:lang w:val="en-US" w:eastAsia="zh-CN"/>
        </w:rPr>
        <w:t>本排污口下游</w:t>
      </w:r>
      <w:r>
        <w:rPr>
          <w:rFonts w:hint="eastAsia" w:cs="Times New Roman"/>
          <w:color w:val="auto"/>
          <w:highlight w:val="none"/>
          <w:u w:val="single"/>
          <w:lang w:val="en-US" w:eastAsia="zh-CN"/>
        </w:rPr>
        <w:t>41</w:t>
      </w:r>
      <w:r>
        <w:rPr>
          <w:rFonts w:hint="eastAsia" w:ascii="Times New Roman" w:hAnsi="Times New Roman" w:cs="Times New Roman"/>
          <w:color w:val="auto"/>
          <w:highlight w:val="none"/>
          <w:u w:val="single"/>
          <w:lang w:val="en-US" w:eastAsia="zh-CN"/>
        </w:rPr>
        <w:t>.25</w:t>
      </w:r>
      <w:r>
        <w:rPr>
          <w:rFonts w:hint="eastAsia" w:cs="Times New Roman"/>
          <w:color w:val="auto"/>
          <w:highlight w:val="none"/>
          <w:u w:val="single"/>
          <w:lang w:val="en-US" w:eastAsia="zh-CN"/>
        </w:rPr>
        <w:t>5</w:t>
      </w:r>
      <w:r>
        <w:rPr>
          <w:rFonts w:hint="eastAsia" w:ascii="Times New Roman" w:hAnsi="Times New Roman" w:cs="Times New Roman"/>
          <w:color w:val="auto"/>
          <w:highlight w:val="none"/>
          <w:u w:val="single"/>
          <w:lang w:val="en-US" w:eastAsia="zh-CN"/>
        </w:rPr>
        <w:t>km</w:t>
      </w:r>
      <w:r>
        <w:rPr>
          <w:rFonts w:hint="eastAsia" w:cs="Times New Roman"/>
          <w:color w:val="auto"/>
          <w:highlight w:val="none"/>
          <w:u w:val="single"/>
          <w:lang w:val="en-US" w:eastAsia="zh-CN"/>
        </w:rPr>
        <w:t>（至洋溪汇入资江口处）</w:t>
      </w:r>
      <w:r>
        <w:rPr>
          <w:rFonts w:hint="eastAsia" w:ascii="Times New Roman" w:hAnsi="Times New Roman" w:cs="Times New Roman"/>
          <w:color w:val="auto"/>
          <w:highlight w:val="none"/>
          <w:u w:val="single"/>
          <w:lang w:val="en-US" w:eastAsia="zh-CN"/>
        </w:rPr>
        <w:t>范围内无饮用水源取水口，无其它集中生活用水和工业用水取水口</w:t>
      </w:r>
      <w:r>
        <w:rPr>
          <w:rFonts w:hint="eastAsia"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无现状养殖或规划养殖区</w:t>
      </w:r>
      <w:r>
        <w:rPr>
          <w:rFonts w:hint="eastAsia" w:cs="Times New Roman"/>
          <w:color w:val="auto"/>
          <w:highlight w:val="none"/>
          <w:u w:val="single"/>
          <w:lang w:val="en-US" w:eastAsia="zh-CN"/>
        </w:rPr>
        <w:t>，不涉及重要水生生物的自然产卵场、越冬场和洄游通道</w:t>
      </w:r>
      <w:r>
        <w:rPr>
          <w:rFonts w:hint="eastAsia" w:ascii="Times New Roman" w:hAnsi="Times New Roman" w:cs="Times New Roman"/>
          <w:color w:val="auto"/>
          <w:highlight w:val="none"/>
          <w:u w:val="single"/>
          <w:lang w:val="en-US" w:eastAsia="zh-CN"/>
        </w:rPr>
        <w:t>。</w:t>
      </w:r>
      <w:r>
        <w:rPr>
          <w:rFonts w:hint="eastAsia" w:cs="Times New Roman"/>
          <w:color w:val="auto"/>
          <w:highlight w:val="none"/>
          <w:u w:val="single"/>
          <w:lang w:val="en-US" w:eastAsia="zh-CN"/>
        </w:rPr>
        <w:t>本</w:t>
      </w:r>
      <w:r>
        <w:rPr>
          <w:rFonts w:hint="eastAsia" w:ascii="Times New Roman" w:hAnsi="Times New Roman" w:cs="Times New Roman"/>
          <w:color w:val="auto"/>
          <w:highlight w:val="none"/>
          <w:u w:val="single"/>
          <w:lang w:val="en-US" w:eastAsia="zh-CN"/>
        </w:rPr>
        <w:t>排污口</w:t>
      </w:r>
      <w:r>
        <w:rPr>
          <w:rFonts w:hint="eastAsia" w:cs="Times New Roman"/>
          <w:color w:val="auto"/>
          <w:highlight w:val="none"/>
          <w:u w:val="single"/>
          <w:lang w:val="en-US" w:eastAsia="zh-CN"/>
        </w:rPr>
        <w:t>下游最近一个饮用水水源保护区是位于资江上的“桃江县马迹塘镇资江饮用水水源保护区”，距离本排污口有121公里。</w:t>
      </w:r>
    </w:p>
    <w:p w14:paraId="0B7A188C">
      <w:pPr>
        <w:pStyle w:val="2"/>
        <w:rPr>
          <w:rFonts w:hint="default"/>
          <w:color w:val="auto"/>
          <w:highlight w:val="none"/>
          <w:u w:val="single"/>
          <w:lang w:val="en-US" w:eastAsia="zh-CN"/>
        </w:rPr>
      </w:pPr>
      <w:r>
        <w:rPr>
          <w:rFonts w:hint="eastAsia" w:cs="Times New Roman"/>
          <w:color w:val="auto"/>
          <w:highlight w:val="none"/>
          <w:u w:val="single"/>
          <w:lang w:val="en-US" w:eastAsia="zh-CN"/>
        </w:rPr>
        <w:t>目前</w:t>
      </w:r>
      <w:r>
        <w:rPr>
          <w:rFonts w:hint="eastAsia" w:ascii="Times New Roman" w:hAnsi="Times New Roman" w:cs="Times New Roman"/>
          <w:color w:val="auto"/>
          <w:highlight w:val="none"/>
          <w:u w:val="single"/>
          <w:lang w:val="en-US" w:eastAsia="zh-CN"/>
        </w:rPr>
        <w:t>奎溪镇区居民生活用水通过奎溪镇水厂供给，取水口</w:t>
      </w:r>
      <w:r>
        <w:rPr>
          <w:rFonts w:hint="eastAsia" w:cs="Times New Roman"/>
          <w:color w:val="auto"/>
          <w:highlight w:val="none"/>
          <w:u w:val="single"/>
          <w:lang w:val="en-US" w:eastAsia="zh-CN"/>
        </w:rPr>
        <w:t>在</w:t>
      </w:r>
      <w:r>
        <w:rPr>
          <w:rFonts w:hint="eastAsia" w:ascii="Times New Roman" w:hAnsi="Times New Roman" w:cs="Times New Roman"/>
          <w:color w:val="auto"/>
          <w:highlight w:val="none"/>
          <w:u w:val="single"/>
          <w:lang w:val="en-US" w:eastAsia="zh-CN"/>
        </w:rPr>
        <w:t>白茅溪，位于渣滓溪汇入白茅溪上游约1.3km。</w:t>
      </w:r>
    </w:p>
    <w:p w14:paraId="0EE91EF4">
      <w:pPr>
        <w:pStyle w:val="2"/>
        <w:rPr>
          <w:rFonts w:hint="eastAsia" w:eastAsia="宋体"/>
          <w:color w:val="auto"/>
          <w:highlight w:val="none"/>
          <w:u w:val="single"/>
          <w:lang w:val="en-US" w:eastAsia="zh-CN"/>
        </w:rPr>
      </w:pPr>
      <w:r>
        <w:rPr>
          <w:rFonts w:hint="eastAsia"/>
          <w:color w:val="auto"/>
          <w:highlight w:val="none"/>
          <w:u w:val="single"/>
          <w:lang w:val="en-US" w:eastAsia="zh-CN"/>
        </w:rPr>
        <w:t>综上所述，本项目的论证范围为排污口上游0.5km至排污口下游41.255km洋溪汇入资江口处，总长41.755</w:t>
      </w:r>
      <w:r>
        <w:rPr>
          <w:rFonts w:hint="eastAsia" w:ascii="Times New Roman" w:hAnsi="Times New Roman" w:cs="Times New Roman"/>
          <w:color w:val="auto"/>
          <w:highlight w:val="none"/>
          <w:u w:val="single"/>
          <w:lang w:val="en-US" w:eastAsia="zh-CN"/>
        </w:rPr>
        <w:t>km</w:t>
      </w:r>
      <w:r>
        <w:rPr>
          <w:rFonts w:hint="eastAsia" w:cs="Times New Roman"/>
          <w:color w:val="auto"/>
          <w:highlight w:val="none"/>
          <w:u w:val="single"/>
          <w:lang w:val="en-US" w:eastAsia="zh-CN"/>
        </w:rPr>
        <w:t>，排污论证范围见附图</w:t>
      </w:r>
      <w:r>
        <w:rPr>
          <w:rFonts w:hint="eastAsia"/>
          <w:color w:val="auto"/>
          <w:highlight w:val="none"/>
          <w:u w:val="single"/>
          <w:lang w:val="en-US" w:eastAsia="zh-CN"/>
        </w:rPr>
        <w:t>3</w:t>
      </w:r>
      <w:r>
        <w:rPr>
          <w:rFonts w:hint="eastAsia"/>
          <w:color w:val="auto"/>
          <w:highlight w:val="none"/>
          <w:u w:val="single"/>
          <w:lang w:eastAsia="zh-CN"/>
        </w:rPr>
        <w:t>。</w:t>
      </w:r>
    </w:p>
    <w:p w14:paraId="0DB3C1D8">
      <w:pPr>
        <w:pStyle w:val="36"/>
        <w:bidi w:val="0"/>
        <w:rPr>
          <w:rFonts w:hint="eastAsia" w:ascii="Times New Roman" w:hAnsi="Times New Roman" w:cs="Times New Roman"/>
          <w:color w:val="auto"/>
          <w:highlight w:val="none"/>
          <w:lang w:val="en-US" w:eastAsia="zh-CN"/>
        </w:rPr>
      </w:pPr>
      <w:bookmarkStart w:id="14" w:name="_Toc3107"/>
      <w:r>
        <w:rPr>
          <w:rFonts w:hint="eastAsia" w:ascii="Times New Roman" w:hAnsi="Times New Roman" w:cs="Times New Roman"/>
          <w:color w:val="auto"/>
          <w:highlight w:val="none"/>
          <w:lang w:val="en-US" w:eastAsia="zh-CN"/>
        </w:rPr>
        <w:t>论证工作程序</w:t>
      </w:r>
      <w:bookmarkEnd w:id="14"/>
    </w:p>
    <w:p w14:paraId="7D4AF407">
      <w:pPr>
        <w:pStyle w:val="2"/>
        <w:rPr>
          <w:rFonts w:hint="default"/>
          <w:color w:val="auto"/>
          <w:highlight w:val="none"/>
          <w:lang w:val="en-US" w:eastAsia="zh-CN"/>
        </w:rPr>
      </w:pPr>
      <w:r>
        <w:rPr>
          <w:rFonts w:hint="eastAsia"/>
          <w:color w:val="auto"/>
          <w:highlight w:val="none"/>
          <w:lang w:val="en-US" w:eastAsia="zh-CN"/>
        </w:rPr>
        <w:t>论证在现场查勘、调查和收集建设项目及相关区域基本资料和补充监测的基础上，充分考虑入河排污口设置的初步方案，采用数学模型模拟的方法，预测入河废污水在设计水文条件下对水功能区（水域）的影响及范围，论证入河排污口设置的合理性，提出设置入河排污口的建议。工作程序见</w:t>
      </w:r>
      <w:r>
        <w:rPr>
          <w:rFonts w:hint="eastAsia"/>
          <w:color w:val="auto"/>
          <w:highlight w:val="none"/>
          <w:lang w:val="en-US" w:eastAsia="zh-CN"/>
        </w:rPr>
        <w:fldChar w:fldCharType="begin"/>
      </w:r>
      <w:r>
        <w:rPr>
          <w:rFonts w:hint="eastAsia"/>
          <w:color w:val="auto"/>
          <w:highlight w:val="none"/>
          <w:lang w:val="en-US" w:eastAsia="zh-CN"/>
        </w:rPr>
        <w:instrText xml:space="preserve"> REF _Ref12359 \h </w:instrText>
      </w:r>
      <w:r>
        <w:rPr>
          <w:rFonts w:hint="eastAsia"/>
          <w:color w:val="auto"/>
          <w:highlight w:val="none"/>
          <w:lang w:val="en-US" w:eastAsia="zh-CN"/>
        </w:rPr>
        <w:fldChar w:fldCharType="separate"/>
      </w:r>
      <w:r>
        <w:rPr>
          <w:rFonts w:hint="default"/>
          <w:color w:val="auto"/>
          <w:highlight w:val="none"/>
          <w:lang w:val="en-US" w:eastAsia="zh-CN"/>
        </w:rPr>
        <w:t>图</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1.6</w:t>
      </w:r>
      <w:r>
        <w:rPr>
          <w:rFonts w:hint="default"/>
          <w:color w:val="auto"/>
          <w:highlight w:val="none"/>
          <w:lang w:val="en-US" w:eastAsia="zh-CN"/>
        </w:rPr>
        <w:fldChar w:fldCharType="end"/>
      </w:r>
      <w:r>
        <w:rPr>
          <w:rFonts w:hint="default"/>
          <w:color w:val="auto"/>
          <w:highlight w:val="none"/>
          <w:lang w:val="en-US" w:eastAsia="zh-CN"/>
        </w:rPr>
        <w:t>–1</w:t>
      </w:r>
      <w:r>
        <w:rPr>
          <w:rFonts w:hint="eastAsia"/>
          <w:color w:val="auto"/>
          <w:highlight w:val="none"/>
          <w:lang w:val="en-US" w:eastAsia="zh-CN"/>
        </w:rPr>
        <w:fldChar w:fldCharType="end"/>
      </w:r>
      <w:r>
        <w:rPr>
          <w:rFonts w:hint="eastAsia"/>
          <w:color w:val="auto"/>
          <w:highlight w:val="none"/>
          <w:lang w:val="en-US" w:eastAsia="zh-CN"/>
        </w:rPr>
        <w:t>。</w:t>
      </w:r>
    </w:p>
    <w:p w14:paraId="2C824CA2">
      <w:pPr>
        <w:pStyle w:val="2"/>
        <w:rPr>
          <w:rFonts w:hint="eastAsia"/>
          <w:color w:val="auto"/>
          <w:highlight w:val="none"/>
          <w:lang w:val="en-US" w:eastAsia="zh-CN"/>
        </w:rPr>
      </w:pPr>
      <w:r>
        <w:rPr>
          <w:color w:val="auto"/>
          <w:highlight w:val="none"/>
        </w:rPr>
        <w:drawing>
          <wp:inline distT="0" distB="0" distL="114300" distR="114300">
            <wp:extent cx="4130040" cy="5829300"/>
            <wp:effectExtent l="0" t="0" r="381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7"/>
                    <a:stretch>
                      <a:fillRect/>
                    </a:stretch>
                  </pic:blipFill>
                  <pic:spPr>
                    <a:xfrm>
                      <a:off x="0" y="0"/>
                      <a:ext cx="4130040" cy="5829300"/>
                    </a:xfrm>
                    <a:prstGeom prst="rect">
                      <a:avLst/>
                    </a:prstGeom>
                    <a:noFill/>
                    <a:ln>
                      <a:noFill/>
                    </a:ln>
                  </pic:spPr>
                </pic:pic>
              </a:graphicData>
            </a:graphic>
          </wp:inline>
        </w:drawing>
      </w:r>
    </w:p>
    <w:p w14:paraId="2EE641D3">
      <w:pPr>
        <w:pStyle w:val="40"/>
        <w:rPr>
          <w:rFonts w:hint="default"/>
          <w:color w:val="auto"/>
          <w:highlight w:val="none"/>
          <w:lang w:val="en-US" w:eastAsia="zh-CN"/>
        </w:rPr>
      </w:pPr>
      <w:bookmarkStart w:id="15" w:name="_Ref12359"/>
      <w:r>
        <w:rPr>
          <w:rFonts w:hint="default"/>
          <w:color w:val="auto"/>
          <w:highlight w:val="none"/>
          <w:lang w:val="en-US" w:eastAsia="zh-CN"/>
        </w:rPr>
        <w:t>图</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1.6</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图 \* ARABIC \s 2 </w:instrText>
      </w:r>
      <w:r>
        <w:rPr>
          <w:rFonts w:hint="default"/>
          <w:color w:val="auto"/>
          <w:highlight w:val="none"/>
          <w:lang w:val="en-US" w:eastAsia="zh-CN"/>
        </w:rPr>
        <w:fldChar w:fldCharType="separate"/>
      </w:r>
      <w:r>
        <w:rPr>
          <w:rFonts w:hint="default"/>
          <w:color w:val="auto"/>
          <w:highlight w:val="none"/>
          <w:lang w:val="en-US" w:eastAsia="zh-CN"/>
        </w:rPr>
        <w:t>1</w:t>
      </w:r>
      <w:r>
        <w:rPr>
          <w:rFonts w:hint="default"/>
          <w:color w:val="auto"/>
          <w:highlight w:val="none"/>
          <w:lang w:val="en-US" w:eastAsia="zh-CN"/>
        </w:rPr>
        <w:fldChar w:fldCharType="end"/>
      </w:r>
      <w:bookmarkEnd w:id="15"/>
      <w:r>
        <w:rPr>
          <w:rFonts w:hint="default"/>
          <w:color w:val="auto"/>
          <w:highlight w:val="none"/>
          <w:lang w:val="en-US" w:eastAsia="zh-CN"/>
        </w:rPr>
        <w:t xml:space="preserve">  入河排污口论证工作程序框图</w:t>
      </w:r>
    </w:p>
    <w:p w14:paraId="538589AE">
      <w:pPr>
        <w:pStyle w:val="36"/>
        <w:bidi w:val="0"/>
        <w:rPr>
          <w:rFonts w:hint="eastAsia" w:ascii="Times New Roman" w:hAnsi="Times New Roman" w:cs="Times New Roman"/>
          <w:color w:val="auto"/>
          <w:highlight w:val="none"/>
          <w:lang w:val="en-US" w:eastAsia="zh-CN"/>
        </w:rPr>
      </w:pPr>
      <w:bookmarkStart w:id="16" w:name="_Toc31835"/>
      <w:r>
        <w:rPr>
          <w:rFonts w:hint="eastAsia" w:ascii="Times New Roman" w:hAnsi="Times New Roman" w:cs="Times New Roman"/>
          <w:color w:val="auto"/>
          <w:highlight w:val="none"/>
          <w:lang w:val="en-US" w:eastAsia="zh-CN"/>
        </w:rPr>
        <w:t>论证的主要内容</w:t>
      </w:r>
      <w:bookmarkEnd w:id="16"/>
    </w:p>
    <w:p w14:paraId="3C28605A">
      <w:pPr>
        <w:pStyle w:val="2"/>
        <w:numPr>
          <w:ilvl w:val="0"/>
          <w:numId w:val="8"/>
        </w:numPr>
        <w:ind w:firstLine="480"/>
        <w:rPr>
          <w:rFonts w:hint="eastAsia"/>
          <w:color w:val="auto"/>
          <w:highlight w:val="none"/>
          <w:lang w:val="en-US" w:eastAsia="zh-CN"/>
        </w:rPr>
      </w:pPr>
      <w:r>
        <w:rPr>
          <w:rFonts w:hint="eastAsia"/>
          <w:color w:val="auto"/>
          <w:highlight w:val="none"/>
          <w:lang w:val="en-US" w:eastAsia="zh-CN"/>
        </w:rPr>
        <w:t>建设项目基本情况；</w:t>
      </w:r>
    </w:p>
    <w:p w14:paraId="3908FC46">
      <w:pPr>
        <w:pStyle w:val="2"/>
        <w:numPr>
          <w:ilvl w:val="0"/>
          <w:numId w:val="8"/>
        </w:numPr>
        <w:ind w:firstLine="480"/>
        <w:rPr>
          <w:rFonts w:hint="eastAsia"/>
          <w:color w:val="auto"/>
          <w:highlight w:val="none"/>
          <w:lang w:val="en-US" w:eastAsia="zh-CN"/>
        </w:rPr>
      </w:pPr>
      <w:r>
        <w:rPr>
          <w:rFonts w:hint="eastAsia"/>
          <w:color w:val="auto"/>
          <w:highlight w:val="none"/>
          <w:lang w:val="en-US" w:eastAsia="zh-CN"/>
        </w:rPr>
        <w:t>水功能区（水域）管理要求和现状取排水情况；</w:t>
      </w:r>
    </w:p>
    <w:p w14:paraId="1F3360F8">
      <w:pPr>
        <w:pStyle w:val="2"/>
        <w:numPr>
          <w:ilvl w:val="0"/>
          <w:numId w:val="8"/>
        </w:numPr>
        <w:ind w:firstLine="480"/>
        <w:rPr>
          <w:rFonts w:hint="eastAsia"/>
          <w:color w:val="auto"/>
          <w:highlight w:val="none"/>
          <w:lang w:val="en-US" w:eastAsia="zh-CN"/>
        </w:rPr>
      </w:pPr>
      <w:r>
        <w:rPr>
          <w:rFonts w:hint="eastAsia"/>
          <w:color w:val="auto"/>
          <w:highlight w:val="none"/>
          <w:lang w:val="en-US" w:eastAsia="zh-CN"/>
        </w:rPr>
        <w:t>入河排污口所在水功能区（水域）水质及纳污现状分析；</w:t>
      </w:r>
    </w:p>
    <w:p w14:paraId="528C9887">
      <w:pPr>
        <w:pStyle w:val="2"/>
        <w:numPr>
          <w:ilvl w:val="0"/>
          <w:numId w:val="8"/>
        </w:numPr>
        <w:ind w:firstLine="480"/>
        <w:rPr>
          <w:rFonts w:hint="eastAsia"/>
          <w:color w:val="auto"/>
          <w:highlight w:val="none"/>
          <w:lang w:val="en-US" w:eastAsia="zh-CN"/>
        </w:rPr>
      </w:pPr>
      <w:r>
        <w:rPr>
          <w:rFonts w:hint="eastAsia"/>
          <w:color w:val="auto"/>
          <w:highlight w:val="none"/>
          <w:lang w:val="en-US" w:eastAsia="zh-CN"/>
        </w:rPr>
        <w:t>入河排污口设置可行性分析论证及入河排污口设置方案；</w:t>
      </w:r>
    </w:p>
    <w:p w14:paraId="09D5CD46">
      <w:pPr>
        <w:pStyle w:val="2"/>
        <w:numPr>
          <w:ilvl w:val="0"/>
          <w:numId w:val="8"/>
        </w:numPr>
        <w:ind w:firstLine="480"/>
        <w:rPr>
          <w:rFonts w:hint="eastAsia"/>
          <w:color w:val="auto"/>
          <w:highlight w:val="none"/>
          <w:lang w:val="en-US" w:eastAsia="zh-CN"/>
        </w:rPr>
      </w:pPr>
      <w:r>
        <w:rPr>
          <w:rFonts w:hint="eastAsia"/>
          <w:color w:val="auto"/>
          <w:highlight w:val="none"/>
          <w:lang w:val="en-US" w:eastAsia="zh-CN"/>
        </w:rPr>
        <w:t>入河排污口设置对水功能区（水域）水质影响分析；</w:t>
      </w:r>
    </w:p>
    <w:p w14:paraId="1EECB03F">
      <w:pPr>
        <w:pStyle w:val="2"/>
        <w:numPr>
          <w:ilvl w:val="0"/>
          <w:numId w:val="8"/>
        </w:numPr>
        <w:ind w:firstLine="480"/>
        <w:rPr>
          <w:rFonts w:hint="eastAsia"/>
          <w:color w:val="auto"/>
          <w:highlight w:val="none"/>
          <w:lang w:val="en-US" w:eastAsia="zh-CN"/>
        </w:rPr>
      </w:pPr>
      <w:r>
        <w:rPr>
          <w:rFonts w:hint="eastAsia"/>
          <w:color w:val="auto"/>
          <w:highlight w:val="none"/>
          <w:lang w:val="en-US" w:eastAsia="zh-CN"/>
        </w:rPr>
        <w:t>入河排污口设置对水功能区（水域）水生态影响分析；</w:t>
      </w:r>
    </w:p>
    <w:p w14:paraId="2789B6D3">
      <w:pPr>
        <w:pStyle w:val="2"/>
        <w:numPr>
          <w:ilvl w:val="0"/>
          <w:numId w:val="8"/>
        </w:numPr>
        <w:ind w:firstLine="480"/>
        <w:rPr>
          <w:rFonts w:hint="eastAsia"/>
          <w:color w:val="auto"/>
          <w:highlight w:val="none"/>
          <w:lang w:val="en-US" w:eastAsia="zh-CN"/>
        </w:rPr>
      </w:pPr>
      <w:r>
        <w:rPr>
          <w:rFonts w:hint="eastAsia"/>
          <w:color w:val="auto"/>
          <w:highlight w:val="none"/>
          <w:lang w:val="en-US" w:eastAsia="zh-CN"/>
        </w:rPr>
        <w:t>入河排污口设置对地下水影响分析；</w:t>
      </w:r>
    </w:p>
    <w:p w14:paraId="7EAE0E2D">
      <w:pPr>
        <w:pStyle w:val="2"/>
        <w:numPr>
          <w:ilvl w:val="0"/>
          <w:numId w:val="8"/>
        </w:numPr>
        <w:ind w:firstLine="480"/>
        <w:rPr>
          <w:rFonts w:hint="eastAsia"/>
          <w:color w:val="auto"/>
          <w:highlight w:val="none"/>
          <w:lang w:val="en-US" w:eastAsia="zh-CN"/>
        </w:rPr>
      </w:pPr>
      <w:r>
        <w:rPr>
          <w:rFonts w:hint="eastAsia"/>
          <w:color w:val="auto"/>
          <w:highlight w:val="none"/>
          <w:lang w:val="en-US" w:eastAsia="zh-CN"/>
        </w:rPr>
        <w:t>入河排污口设置对有利害关系第三方权益的影响分析；</w:t>
      </w:r>
    </w:p>
    <w:p w14:paraId="0BDDC88E">
      <w:pPr>
        <w:pStyle w:val="2"/>
        <w:numPr>
          <w:ilvl w:val="0"/>
          <w:numId w:val="8"/>
        </w:numPr>
        <w:ind w:firstLine="480"/>
        <w:rPr>
          <w:rFonts w:hint="eastAsia"/>
          <w:color w:val="auto"/>
          <w:highlight w:val="none"/>
          <w:lang w:val="en-US" w:eastAsia="zh-CN"/>
        </w:rPr>
      </w:pPr>
      <w:r>
        <w:rPr>
          <w:rFonts w:hint="eastAsia"/>
          <w:color w:val="auto"/>
          <w:highlight w:val="none"/>
          <w:lang w:val="en-US" w:eastAsia="zh-CN"/>
        </w:rPr>
        <w:t>入河排污口设置合理性分析；</w:t>
      </w:r>
    </w:p>
    <w:p w14:paraId="2CDFF4CE">
      <w:pPr>
        <w:pStyle w:val="2"/>
        <w:numPr>
          <w:ilvl w:val="0"/>
          <w:numId w:val="8"/>
        </w:numPr>
        <w:ind w:firstLine="480"/>
        <w:rPr>
          <w:rFonts w:hint="eastAsia"/>
          <w:color w:val="auto"/>
          <w:highlight w:val="none"/>
          <w:lang w:val="en-US" w:eastAsia="zh-CN"/>
        </w:rPr>
      </w:pPr>
      <w:r>
        <w:rPr>
          <w:rFonts w:hint="eastAsia"/>
          <w:color w:val="auto"/>
          <w:highlight w:val="none"/>
          <w:lang w:val="en-US" w:eastAsia="zh-CN"/>
        </w:rPr>
        <w:t>结论与建议。</w:t>
      </w:r>
    </w:p>
    <w:p w14:paraId="706F2E76">
      <w:pPr>
        <w:pStyle w:val="36"/>
        <w:bidi w:val="0"/>
        <w:rPr>
          <w:rFonts w:hint="eastAsia" w:ascii="Times New Roman" w:hAnsi="Times New Roman" w:cs="Times New Roman"/>
          <w:color w:val="auto"/>
          <w:highlight w:val="none"/>
          <w:lang w:val="en-US" w:eastAsia="zh-CN"/>
        </w:rPr>
      </w:pPr>
      <w:bookmarkStart w:id="17" w:name="_Toc6285"/>
      <w:r>
        <w:rPr>
          <w:rFonts w:hint="eastAsia" w:ascii="Times New Roman" w:hAnsi="Times New Roman" w:cs="Times New Roman"/>
          <w:color w:val="auto"/>
          <w:highlight w:val="none"/>
          <w:lang w:val="en-US" w:eastAsia="zh-CN"/>
        </w:rPr>
        <w:t>论证水平年、规模及论证等级</w:t>
      </w:r>
      <w:bookmarkEnd w:id="17"/>
    </w:p>
    <w:p w14:paraId="3BA0D11A">
      <w:pPr>
        <w:pStyle w:val="37"/>
        <w:bidi w:val="0"/>
        <w:rPr>
          <w:rFonts w:hint="eastAsia" w:ascii="Times New Roman" w:hAnsi="Times New Roman" w:cs="Times New Roman"/>
          <w:color w:val="auto"/>
          <w:highlight w:val="none"/>
          <w:lang w:val="en-US" w:eastAsia="zh-CN"/>
        </w:rPr>
      </w:pPr>
      <w:bookmarkStart w:id="18" w:name="_Toc9148"/>
      <w:bookmarkStart w:id="19" w:name="_Toc30846"/>
      <w:r>
        <w:rPr>
          <w:rFonts w:hint="eastAsia" w:ascii="Times New Roman" w:hAnsi="Times New Roman" w:cs="Times New Roman"/>
          <w:color w:val="auto"/>
          <w:highlight w:val="none"/>
          <w:lang w:val="en-US" w:eastAsia="zh-CN"/>
        </w:rPr>
        <w:t>论证水平年</w:t>
      </w:r>
      <w:bookmarkEnd w:id="18"/>
      <w:bookmarkEnd w:id="19"/>
      <w:bookmarkStart w:id="20" w:name="_Toc10682"/>
      <w:bookmarkStart w:id="21" w:name="_Toc21214"/>
    </w:p>
    <w:p w14:paraId="0426987A">
      <w:pPr>
        <w:pStyle w:val="2"/>
        <w:rPr>
          <w:rFonts w:hint="eastAsia"/>
          <w:color w:val="auto"/>
          <w:highlight w:val="none"/>
          <w:lang w:val="en-US" w:eastAsia="zh-CN"/>
        </w:rPr>
      </w:pPr>
      <w:r>
        <w:rPr>
          <w:rFonts w:hint="eastAsia"/>
          <w:color w:val="auto"/>
          <w:highlight w:val="none"/>
          <w:lang w:val="en-US" w:eastAsia="zh-CN"/>
        </w:rPr>
        <w:t>入河排污口设置论证水平年的确定尽量与国民经济和社会发展规划、流域或区域水资源规划等有关规划水平年相协调。</w:t>
      </w:r>
    </w:p>
    <w:p w14:paraId="71EA282B">
      <w:pPr>
        <w:pStyle w:val="2"/>
        <w:rPr>
          <w:rFonts w:hint="eastAsia"/>
          <w:color w:val="auto"/>
          <w:highlight w:val="none"/>
          <w:lang w:val="en-US" w:eastAsia="zh-CN"/>
        </w:rPr>
      </w:pPr>
      <w:r>
        <w:rPr>
          <w:rFonts w:hint="eastAsia"/>
          <w:color w:val="auto"/>
          <w:highlight w:val="none"/>
          <w:lang w:val="en-US" w:eastAsia="zh-CN"/>
        </w:rPr>
        <w:t>现状水平年应选取最近具有代表性的年份，并考虑经济社会发展和资料条件确定。</w:t>
      </w:r>
    </w:p>
    <w:p w14:paraId="6A69173D">
      <w:pPr>
        <w:pStyle w:val="2"/>
        <w:rPr>
          <w:rFonts w:hint="eastAsia"/>
          <w:color w:val="auto"/>
          <w:highlight w:val="none"/>
          <w:lang w:val="en-US" w:eastAsia="zh-CN"/>
        </w:rPr>
      </w:pPr>
      <w:r>
        <w:rPr>
          <w:rFonts w:hint="eastAsia"/>
          <w:color w:val="auto"/>
          <w:highlight w:val="none"/>
          <w:lang w:val="en-US" w:eastAsia="zh-CN"/>
        </w:rPr>
        <w:t>规划水平年应主要考虑建设项目的建设计划，以项目建成排污年作为近期规划水平年。对于需要扩建的项目，以规划确定的建成年作为远期规划水平年。</w:t>
      </w:r>
    </w:p>
    <w:p w14:paraId="38D9A4FB">
      <w:pPr>
        <w:pStyle w:val="2"/>
        <w:rPr>
          <w:rFonts w:hint="default"/>
          <w:color w:val="auto"/>
          <w:highlight w:val="none"/>
          <w:lang w:val="en-US" w:eastAsia="zh-CN"/>
        </w:rPr>
      </w:pPr>
      <w:r>
        <w:rPr>
          <w:rFonts w:hint="eastAsia"/>
          <w:color w:val="auto"/>
          <w:highlight w:val="none"/>
          <w:lang w:val="en-US" w:eastAsia="zh-CN"/>
        </w:rPr>
        <w:t>本次论证选取2023年为现状水平年；考虑到湖南安化渣滓溪矿业有限公司渣滓溪锑矿采选调整工程内容于2025年建成投产，设计水平年近期定为2025年。</w:t>
      </w:r>
    </w:p>
    <w:p w14:paraId="77892B19">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论证规模</w:t>
      </w:r>
      <w:bookmarkEnd w:id="20"/>
      <w:bookmarkEnd w:id="21"/>
    </w:p>
    <w:p w14:paraId="06625FAD">
      <w:pPr>
        <w:pStyle w:val="2"/>
        <w:rPr>
          <w:rFonts w:hint="eastAsia"/>
          <w:color w:val="auto"/>
          <w:highlight w:val="none"/>
          <w:lang w:val="en-US" w:eastAsia="zh-CN"/>
        </w:rPr>
      </w:pPr>
      <w:r>
        <w:rPr>
          <w:rFonts w:hint="eastAsia"/>
          <w:color w:val="auto"/>
          <w:highlight w:val="none"/>
          <w:lang w:val="en-US" w:eastAsia="zh-CN"/>
        </w:rPr>
        <w:t>渣滓溪矿业废水处理站处理规模为140t/h（3360m</w:t>
      </w:r>
      <w:r>
        <w:rPr>
          <w:rFonts w:hint="eastAsia"/>
          <w:color w:val="auto"/>
          <w:highlight w:val="none"/>
          <w:vertAlign w:val="superscript"/>
          <w:lang w:val="en-US" w:eastAsia="zh-CN"/>
        </w:rPr>
        <w:t>3</w:t>
      </w:r>
      <w:r>
        <w:rPr>
          <w:rFonts w:hint="eastAsia"/>
          <w:color w:val="auto"/>
          <w:highlight w:val="none"/>
          <w:lang w:val="en-US" w:eastAsia="zh-CN"/>
        </w:rPr>
        <w:t>/d），主要包括矿山井下生产废水、选矿废水、尾矿库溢流水、废石场淋溶水以及矿区排洪隧洞水。</w:t>
      </w:r>
    </w:p>
    <w:p w14:paraId="0DD1FD46">
      <w:pPr>
        <w:pStyle w:val="2"/>
        <w:rPr>
          <w:rFonts w:hint="default"/>
          <w:color w:val="auto"/>
          <w:highlight w:val="none"/>
          <w:lang w:val="en-US" w:eastAsia="zh-CN"/>
        </w:rPr>
      </w:pPr>
      <w:r>
        <w:rPr>
          <w:rFonts w:hint="default"/>
          <w:color w:val="auto"/>
          <w:highlight w:val="none"/>
          <w:lang w:val="en-US" w:eastAsia="zh-CN"/>
        </w:rPr>
        <w:t>本次入河排污口设置论证规模为</w:t>
      </w:r>
      <w:r>
        <w:rPr>
          <w:rFonts w:hint="eastAsia"/>
          <w:color w:val="auto"/>
          <w:highlight w:val="none"/>
          <w:lang w:val="en-US" w:eastAsia="zh-CN"/>
        </w:rPr>
        <w:t>3360m</w:t>
      </w:r>
      <w:r>
        <w:rPr>
          <w:rFonts w:hint="eastAsia"/>
          <w:color w:val="auto"/>
          <w:highlight w:val="none"/>
          <w:vertAlign w:val="superscript"/>
          <w:lang w:val="en-US" w:eastAsia="zh-CN"/>
        </w:rPr>
        <w:t>3</w:t>
      </w:r>
      <w:r>
        <w:rPr>
          <w:rFonts w:hint="default"/>
          <w:color w:val="auto"/>
          <w:highlight w:val="none"/>
          <w:lang w:val="en-US" w:eastAsia="zh-CN"/>
        </w:rPr>
        <w:t>/d。</w:t>
      </w:r>
    </w:p>
    <w:p w14:paraId="59818515">
      <w:pPr>
        <w:pStyle w:val="37"/>
        <w:bidi w:val="0"/>
        <w:rPr>
          <w:rFonts w:hint="eastAsia" w:ascii="Times New Roman" w:hAnsi="Times New Roman" w:cs="Times New Roman"/>
          <w:color w:val="auto"/>
          <w:highlight w:val="none"/>
          <w:lang w:val="en-US" w:eastAsia="zh-CN"/>
        </w:rPr>
      </w:pPr>
      <w:bookmarkStart w:id="22" w:name="_Toc9642"/>
      <w:bookmarkStart w:id="23" w:name="_Toc29333"/>
      <w:r>
        <w:rPr>
          <w:rFonts w:hint="eastAsia" w:ascii="Times New Roman" w:hAnsi="Times New Roman" w:cs="Times New Roman"/>
          <w:color w:val="auto"/>
          <w:highlight w:val="none"/>
          <w:lang w:val="en-US" w:eastAsia="zh-CN"/>
        </w:rPr>
        <w:t>论证等级</w:t>
      </w:r>
      <w:bookmarkEnd w:id="22"/>
      <w:bookmarkEnd w:id="23"/>
    </w:p>
    <w:p w14:paraId="44C4D1B2">
      <w:pPr>
        <w:pStyle w:val="2"/>
        <w:rPr>
          <w:rFonts w:hint="eastAsia"/>
          <w:color w:val="auto"/>
          <w:highlight w:val="none"/>
          <w:lang w:val="en-US" w:eastAsia="zh-CN"/>
        </w:rPr>
      </w:pPr>
      <w:r>
        <w:rPr>
          <w:rFonts w:hint="eastAsia"/>
          <w:color w:val="auto"/>
          <w:highlight w:val="none"/>
          <w:lang w:val="en-US" w:eastAsia="zh-CN"/>
        </w:rPr>
        <w:t>入河排污口设置论证工作等级由各分类指标等级的最高级别确定，分类等级由地区水资源与水生态状况、水资源利用状况、水域管理要求、污染物排放类型、废污水排放量等分类指标的最高级别确定。入河排污口设置论证分类分级指标见下表。</w:t>
      </w:r>
    </w:p>
    <w:p w14:paraId="26D3E36C">
      <w:pPr>
        <w:pStyle w:val="28"/>
        <w:rPr>
          <w:rFonts w:hint="eastAsia"/>
          <w:color w:val="auto"/>
          <w:highlight w:val="none"/>
          <w:lang w:val="en-US" w:eastAsia="zh-CN"/>
        </w:rPr>
      </w:pPr>
      <w:r>
        <w:rPr>
          <w:rFonts w:hint="default" w:ascii="Times New Roman" w:hAnsi="Times New Roman" w:eastAsia="黑体" w:cs="Times New Roman"/>
          <w:color w:val="auto"/>
          <w:kern w:val="2"/>
          <w:sz w:val="24"/>
          <w:highlight w:val="none"/>
          <w:u w:val="none"/>
          <w:lang w:val="en-US" w:eastAsia="zh-CN" w:bidi="ar-SA"/>
        </w:rPr>
        <w:t>表</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1.8</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1</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 xml:space="preserve">  </w:t>
      </w:r>
      <w:r>
        <w:rPr>
          <w:rFonts w:hint="eastAsia"/>
          <w:color w:val="auto"/>
          <w:highlight w:val="none"/>
          <w:lang w:val="en-US" w:eastAsia="zh-CN"/>
        </w:rPr>
        <w:t>入河排污口设置论证分类分级指标</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2364"/>
        <w:gridCol w:w="1857"/>
        <w:gridCol w:w="1730"/>
        <w:gridCol w:w="1581"/>
        <w:gridCol w:w="308"/>
      </w:tblGrid>
      <w:tr w14:paraId="23D6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 w:hRule="atLeast"/>
        </w:trPr>
        <w:tc>
          <w:tcPr>
            <w:tcW w:w="0" w:type="auto"/>
            <w:vMerge w:val="restart"/>
            <w:noWrap w:val="0"/>
            <w:vAlign w:val="center"/>
          </w:tcPr>
          <w:p w14:paraId="07BD5D4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分类指标</w:t>
            </w:r>
          </w:p>
        </w:tc>
        <w:tc>
          <w:tcPr>
            <w:tcW w:w="0" w:type="auto"/>
            <w:gridSpan w:val="3"/>
            <w:noWrap w:val="0"/>
            <w:tcMar>
              <w:left w:w="28" w:type="dxa"/>
              <w:right w:w="28" w:type="dxa"/>
            </w:tcMar>
            <w:vAlign w:val="center"/>
          </w:tcPr>
          <w:p w14:paraId="202817D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等级</w:t>
            </w:r>
          </w:p>
        </w:tc>
        <w:tc>
          <w:tcPr>
            <w:tcW w:w="0" w:type="auto"/>
            <w:vMerge w:val="restart"/>
            <w:noWrap w:val="0"/>
            <w:tcMar>
              <w:left w:w="28" w:type="dxa"/>
              <w:right w:w="28" w:type="dxa"/>
            </w:tcMar>
            <w:vAlign w:val="center"/>
          </w:tcPr>
          <w:p w14:paraId="163A8B7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本项目</w:t>
            </w:r>
          </w:p>
        </w:tc>
        <w:tc>
          <w:tcPr>
            <w:tcW w:w="0" w:type="auto"/>
            <w:vMerge w:val="restart"/>
            <w:noWrap w:val="0"/>
            <w:tcMar>
              <w:left w:w="28" w:type="dxa"/>
              <w:right w:w="28" w:type="dxa"/>
            </w:tcMar>
            <w:vAlign w:val="center"/>
          </w:tcPr>
          <w:p w14:paraId="4F939AB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等级</w:t>
            </w:r>
          </w:p>
        </w:tc>
      </w:tr>
      <w:tr w14:paraId="5B76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0" w:type="auto"/>
            <w:vMerge w:val="continue"/>
            <w:noWrap w:val="0"/>
            <w:vAlign w:val="center"/>
          </w:tcPr>
          <w:p w14:paraId="641E5178">
            <w:pPr>
              <w:pStyle w:val="26"/>
              <w:keepNext w:val="0"/>
              <w:keepLines w:val="0"/>
              <w:suppressLineNumbers w:val="0"/>
              <w:spacing w:before="0" w:beforeAutospacing="0" w:after="0" w:afterAutospacing="0"/>
              <w:ind w:left="0" w:right="0"/>
              <w:rPr>
                <w:rFonts w:hint="eastAsia"/>
                <w:color w:val="auto"/>
                <w:highlight w:val="none"/>
                <w:lang w:val="en-US" w:eastAsia="zh-CN"/>
              </w:rPr>
            </w:pPr>
          </w:p>
        </w:tc>
        <w:tc>
          <w:tcPr>
            <w:tcW w:w="0" w:type="auto"/>
            <w:noWrap w:val="0"/>
            <w:tcMar>
              <w:left w:w="28" w:type="dxa"/>
              <w:right w:w="28" w:type="dxa"/>
            </w:tcMar>
            <w:vAlign w:val="center"/>
          </w:tcPr>
          <w:p w14:paraId="66448632">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一级</w:t>
            </w:r>
          </w:p>
        </w:tc>
        <w:tc>
          <w:tcPr>
            <w:tcW w:w="0" w:type="auto"/>
            <w:noWrap w:val="0"/>
            <w:tcMar>
              <w:left w:w="28" w:type="dxa"/>
              <w:right w:w="28" w:type="dxa"/>
            </w:tcMar>
            <w:vAlign w:val="center"/>
          </w:tcPr>
          <w:p w14:paraId="4A4A096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二级</w:t>
            </w:r>
          </w:p>
        </w:tc>
        <w:tc>
          <w:tcPr>
            <w:tcW w:w="0" w:type="auto"/>
            <w:noWrap w:val="0"/>
            <w:tcMar>
              <w:left w:w="28" w:type="dxa"/>
              <w:right w:w="28" w:type="dxa"/>
            </w:tcMar>
            <w:vAlign w:val="center"/>
          </w:tcPr>
          <w:p w14:paraId="2A48D54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三级</w:t>
            </w:r>
          </w:p>
        </w:tc>
        <w:tc>
          <w:tcPr>
            <w:tcW w:w="0" w:type="auto"/>
            <w:vMerge w:val="continue"/>
            <w:noWrap w:val="0"/>
            <w:tcMar>
              <w:left w:w="28" w:type="dxa"/>
              <w:right w:w="28" w:type="dxa"/>
            </w:tcMar>
            <w:vAlign w:val="center"/>
          </w:tcPr>
          <w:p w14:paraId="3D780F3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0" w:type="auto"/>
            <w:vMerge w:val="continue"/>
            <w:noWrap w:val="0"/>
            <w:tcMar>
              <w:left w:w="28" w:type="dxa"/>
              <w:right w:w="28" w:type="dxa"/>
            </w:tcMar>
            <w:vAlign w:val="center"/>
          </w:tcPr>
          <w:p w14:paraId="77DDA493">
            <w:pPr>
              <w:pStyle w:val="26"/>
              <w:keepNext w:val="0"/>
              <w:keepLines w:val="0"/>
              <w:suppressLineNumbers w:val="0"/>
              <w:spacing w:before="0" w:beforeAutospacing="0" w:after="0" w:afterAutospacing="0"/>
              <w:ind w:left="0" w:right="0"/>
              <w:rPr>
                <w:rFonts w:hint="eastAsia"/>
                <w:color w:val="auto"/>
                <w:highlight w:val="none"/>
                <w:lang w:val="en-US" w:eastAsia="zh-CN"/>
              </w:rPr>
            </w:pPr>
          </w:p>
        </w:tc>
      </w:tr>
      <w:tr w14:paraId="35DF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0" w:type="auto"/>
            <w:noWrap w:val="0"/>
            <w:vAlign w:val="center"/>
          </w:tcPr>
          <w:p w14:paraId="5C48C4D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水功能区管理要求</w:t>
            </w:r>
          </w:p>
        </w:tc>
        <w:tc>
          <w:tcPr>
            <w:tcW w:w="0" w:type="auto"/>
            <w:noWrap w:val="0"/>
            <w:tcMar>
              <w:left w:w="28" w:type="dxa"/>
              <w:right w:w="28" w:type="dxa"/>
            </w:tcMar>
            <w:vAlign w:val="center"/>
          </w:tcPr>
          <w:p w14:paraId="50695D7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涉及一级水功能区中的保护区、保留区、缓冲区及二级水功能区中饮用水水源区</w:t>
            </w:r>
          </w:p>
        </w:tc>
        <w:tc>
          <w:tcPr>
            <w:tcW w:w="0" w:type="auto"/>
            <w:noWrap w:val="0"/>
            <w:tcMar>
              <w:left w:w="28" w:type="dxa"/>
              <w:right w:w="28" w:type="dxa"/>
            </w:tcMar>
            <w:vAlign w:val="center"/>
          </w:tcPr>
          <w:p w14:paraId="7022C8B4">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涉及二级水功能区中的工业、农业、渔业、景观娱乐用水区</w:t>
            </w:r>
          </w:p>
        </w:tc>
        <w:tc>
          <w:tcPr>
            <w:tcW w:w="0" w:type="auto"/>
            <w:noWrap w:val="0"/>
            <w:tcMar>
              <w:left w:w="28" w:type="dxa"/>
              <w:right w:w="28" w:type="dxa"/>
            </w:tcMar>
            <w:vAlign w:val="center"/>
          </w:tcPr>
          <w:p w14:paraId="44DD18D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涉及二级水功能区中的排污控制区和过渡区</w:t>
            </w:r>
          </w:p>
        </w:tc>
        <w:tc>
          <w:tcPr>
            <w:tcW w:w="0" w:type="auto"/>
            <w:noWrap w:val="0"/>
            <w:tcMar>
              <w:left w:w="28" w:type="dxa"/>
              <w:right w:w="28" w:type="dxa"/>
            </w:tcMar>
            <w:vAlign w:val="center"/>
          </w:tcPr>
          <w:p w14:paraId="664583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本项目直接受纳水体渣滓溪暂未划分水功能区划</w:t>
            </w:r>
          </w:p>
        </w:tc>
        <w:tc>
          <w:tcPr>
            <w:tcW w:w="0" w:type="auto"/>
            <w:noWrap w:val="0"/>
            <w:tcMar>
              <w:left w:w="28" w:type="dxa"/>
              <w:right w:w="28" w:type="dxa"/>
            </w:tcMar>
            <w:vAlign w:val="center"/>
          </w:tcPr>
          <w:p w14:paraId="2F50B1A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A04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rPr>
        <w:tc>
          <w:tcPr>
            <w:tcW w:w="0" w:type="auto"/>
            <w:noWrap w:val="0"/>
            <w:tcMar>
              <w:left w:w="28" w:type="dxa"/>
              <w:right w:w="28" w:type="dxa"/>
            </w:tcMar>
            <w:vAlign w:val="center"/>
          </w:tcPr>
          <w:p w14:paraId="33A02705">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水功能区水域纳污现状</w:t>
            </w:r>
          </w:p>
        </w:tc>
        <w:tc>
          <w:tcPr>
            <w:tcW w:w="0" w:type="auto"/>
            <w:noWrap w:val="0"/>
            <w:tcMar>
              <w:left w:w="28" w:type="dxa"/>
              <w:right w:w="28" w:type="dxa"/>
            </w:tcMar>
            <w:vAlign w:val="center"/>
          </w:tcPr>
          <w:p w14:paraId="6E91741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现状污染物入河量超出水功能区水域纳污能力</w:t>
            </w:r>
          </w:p>
        </w:tc>
        <w:tc>
          <w:tcPr>
            <w:tcW w:w="0" w:type="auto"/>
            <w:noWrap w:val="0"/>
            <w:tcMar>
              <w:left w:w="28" w:type="dxa"/>
              <w:right w:w="28" w:type="dxa"/>
            </w:tcMar>
            <w:vAlign w:val="center"/>
          </w:tcPr>
          <w:p w14:paraId="121B1A4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现状污染物入河量接近水功能区水域纳污能力</w:t>
            </w:r>
          </w:p>
        </w:tc>
        <w:tc>
          <w:tcPr>
            <w:tcW w:w="0" w:type="auto"/>
            <w:noWrap w:val="0"/>
            <w:tcMar>
              <w:left w:w="28" w:type="dxa"/>
              <w:right w:w="28" w:type="dxa"/>
            </w:tcMar>
            <w:vAlign w:val="center"/>
          </w:tcPr>
          <w:p w14:paraId="079AA1F3">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现状污染物入河量远小于水功能区水域纳污能力</w:t>
            </w:r>
          </w:p>
        </w:tc>
        <w:tc>
          <w:tcPr>
            <w:tcW w:w="0" w:type="auto"/>
            <w:noWrap w:val="0"/>
            <w:tcMar>
              <w:left w:w="28" w:type="dxa"/>
              <w:right w:w="28" w:type="dxa"/>
            </w:tcMar>
            <w:vAlign w:val="center"/>
          </w:tcPr>
          <w:p w14:paraId="40A043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现状污染物入河量超出水功能区水域纳污能力</w:t>
            </w:r>
          </w:p>
        </w:tc>
        <w:tc>
          <w:tcPr>
            <w:tcW w:w="0" w:type="auto"/>
            <w:noWrap w:val="0"/>
            <w:tcMar>
              <w:left w:w="28" w:type="dxa"/>
              <w:right w:w="28" w:type="dxa"/>
            </w:tcMar>
            <w:vAlign w:val="center"/>
          </w:tcPr>
          <w:p w14:paraId="6867F8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一级</w:t>
            </w:r>
          </w:p>
        </w:tc>
      </w:tr>
      <w:tr w14:paraId="3D05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0" w:type="auto"/>
            <w:noWrap w:val="0"/>
            <w:tcMar>
              <w:left w:w="28" w:type="dxa"/>
              <w:right w:w="28" w:type="dxa"/>
            </w:tcMar>
            <w:vAlign w:val="center"/>
          </w:tcPr>
          <w:p w14:paraId="365871C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水生态现状</w:t>
            </w:r>
          </w:p>
        </w:tc>
        <w:tc>
          <w:tcPr>
            <w:tcW w:w="0" w:type="auto"/>
            <w:noWrap w:val="0"/>
            <w:tcMar>
              <w:left w:w="28" w:type="dxa"/>
              <w:right w:w="28" w:type="dxa"/>
            </w:tcMar>
            <w:vAlign w:val="center"/>
          </w:tcPr>
          <w:p w14:paraId="26DEFB1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现状生态问题敏感；相关水域现状排污对水文情势和水生态环境产生明显影响，同时存在水温或水体富营养化影响问题</w:t>
            </w:r>
          </w:p>
        </w:tc>
        <w:tc>
          <w:tcPr>
            <w:tcW w:w="0" w:type="auto"/>
            <w:noWrap w:val="0"/>
            <w:tcMar>
              <w:left w:w="28" w:type="dxa"/>
              <w:right w:w="28" w:type="dxa"/>
            </w:tcMar>
            <w:vAlign w:val="center"/>
          </w:tcPr>
          <w:p w14:paraId="3931375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现状生态问题较为敏感；相关水域现状排污对水文情势和水生态环境产生一定影响</w:t>
            </w:r>
          </w:p>
        </w:tc>
        <w:tc>
          <w:tcPr>
            <w:tcW w:w="0" w:type="auto"/>
            <w:noWrap w:val="0"/>
            <w:tcMar>
              <w:left w:w="28" w:type="dxa"/>
              <w:right w:w="28" w:type="dxa"/>
            </w:tcMar>
            <w:vAlign w:val="center"/>
          </w:tcPr>
          <w:p w14:paraId="482ABB7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现状无敏感生态问题；相关水域现状排污对水生态环境无影响或影响轻微</w:t>
            </w:r>
          </w:p>
        </w:tc>
        <w:tc>
          <w:tcPr>
            <w:tcW w:w="0" w:type="auto"/>
            <w:noWrap w:val="0"/>
            <w:tcMar>
              <w:left w:w="28" w:type="dxa"/>
              <w:right w:w="28" w:type="dxa"/>
            </w:tcMar>
            <w:vAlign w:val="center"/>
          </w:tcPr>
          <w:p w14:paraId="3A7BE658">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现状无敏感生态问题；相关水域现状排污对水生态环境影响轻微</w:t>
            </w:r>
          </w:p>
        </w:tc>
        <w:tc>
          <w:tcPr>
            <w:tcW w:w="0" w:type="auto"/>
            <w:noWrap w:val="0"/>
            <w:tcMar>
              <w:left w:w="28" w:type="dxa"/>
              <w:right w:w="28" w:type="dxa"/>
            </w:tcMar>
            <w:vAlign w:val="center"/>
          </w:tcPr>
          <w:p w14:paraId="1518DA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三级</w:t>
            </w:r>
          </w:p>
        </w:tc>
      </w:tr>
      <w:tr w14:paraId="00A2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trPr>
        <w:tc>
          <w:tcPr>
            <w:tcW w:w="0" w:type="auto"/>
            <w:noWrap w:val="0"/>
            <w:tcMar>
              <w:left w:w="28" w:type="dxa"/>
              <w:right w:w="28" w:type="dxa"/>
            </w:tcMar>
            <w:vAlign w:val="center"/>
          </w:tcPr>
          <w:p w14:paraId="66972227">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污染物排放种类</w:t>
            </w:r>
          </w:p>
        </w:tc>
        <w:tc>
          <w:tcPr>
            <w:tcW w:w="0" w:type="auto"/>
            <w:noWrap w:val="0"/>
            <w:tcMar>
              <w:left w:w="28" w:type="dxa"/>
              <w:right w:w="28" w:type="dxa"/>
            </w:tcMar>
            <w:vAlign w:val="center"/>
          </w:tcPr>
          <w:p w14:paraId="3BB07992">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所排放废污水含有毒有机物、重金属、放射性或持久性化学污染物</w:t>
            </w:r>
          </w:p>
        </w:tc>
        <w:tc>
          <w:tcPr>
            <w:tcW w:w="0" w:type="auto"/>
            <w:noWrap w:val="0"/>
            <w:tcMar>
              <w:left w:w="28" w:type="dxa"/>
              <w:right w:w="28" w:type="dxa"/>
            </w:tcMar>
            <w:vAlign w:val="center"/>
          </w:tcPr>
          <w:p w14:paraId="6970E41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所排放废污水含有多种可降解化学污染物</w:t>
            </w:r>
          </w:p>
        </w:tc>
        <w:tc>
          <w:tcPr>
            <w:tcW w:w="0" w:type="auto"/>
            <w:noWrap w:val="0"/>
            <w:tcMar>
              <w:left w:w="28" w:type="dxa"/>
              <w:right w:w="28" w:type="dxa"/>
            </w:tcMar>
            <w:vAlign w:val="center"/>
          </w:tcPr>
          <w:p w14:paraId="4550C712">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所排放废污水含有少量可降解的污染物</w:t>
            </w:r>
          </w:p>
        </w:tc>
        <w:tc>
          <w:tcPr>
            <w:tcW w:w="0" w:type="auto"/>
            <w:noWrap w:val="0"/>
            <w:tcMar>
              <w:left w:w="28" w:type="dxa"/>
              <w:right w:w="28" w:type="dxa"/>
            </w:tcMar>
            <w:vAlign w:val="center"/>
          </w:tcPr>
          <w:p w14:paraId="402404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所排放废污水含有重金属</w:t>
            </w:r>
          </w:p>
        </w:tc>
        <w:tc>
          <w:tcPr>
            <w:tcW w:w="0" w:type="auto"/>
            <w:noWrap w:val="0"/>
            <w:tcMar>
              <w:left w:w="28" w:type="dxa"/>
              <w:right w:w="28" w:type="dxa"/>
            </w:tcMar>
            <w:vAlign w:val="center"/>
          </w:tcPr>
          <w:p w14:paraId="3779F73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一级</w:t>
            </w:r>
          </w:p>
        </w:tc>
      </w:tr>
      <w:tr w14:paraId="164D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trPr>
        <w:tc>
          <w:tcPr>
            <w:tcW w:w="0" w:type="auto"/>
            <w:noWrap w:val="0"/>
            <w:tcMar>
              <w:left w:w="28" w:type="dxa"/>
              <w:right w:w="28" w:type="dxa"/>
            </w:tcMar>
            <w:vAlign w:val="center"/>
          </w:tcPr>
          <w:p w14:paraId="176E5C1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废污水排放流量（缺水地区）（m</w:t>
            </w:r>
            <w:r>
              <w:rPr>
                <w:rFonts w:hint="eastAsia"/>
                <w:color w:val="auto"/>
                <w:highlight w:val="none"/>
                <w:vertAlign w:val="superscript"/>
                <w:lang w:val="en-US" w:eastAsia="zh-CN"/>
              </w:rPr>
              <w:t>3</w:t>
            </w:r>
            <w:r>
              <w:rPr>
                <w:rFonts w:hint="eastAsia"/>
                <w:color w:val="auto"/>
                <w:highlight w:val="none"/>
                <w:lang w:val="en-US" w:eastAsia="zh-CN"/>
              </w:rPr>
              <w:t>/h）</w:t>
            </w:r>
          </w:p>
        </w:tc>
        <w:tc>
          <w:tcPr>
            <w:tcW w:w="0" w:type="auto"/>
            <w:noWrap w:val="0"/>
            <w:tcMar>
              <w:left w:w="28" w:type="dxa"/>
              <w:right w:w="28" w:type="dxa"/>
            </w:tcMar>
            <w:vAlign w:val="center"/>
          </w:tcPr>
          <w:p w14:paraId="6075BB27">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≥1000（300）</w:t>
            </w:r>
          </w:p>
        </w:tc>
        <w:tc>
          <w:tcPr>
            <w:tcW w:w="0" w:type="auto"/>
            <w:noWrap w:val="0"/>
            <w:tcMar>
              <w:left w:w="28" w:type="dxa"/>
              <w:right w:w="28" w:type="dxa"/>
            </w:tcMar>
            <w:vAlign w:val="center"/>
          </w:tcPr>
          <w:p w14:paraId="2FE2819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1000～500（300～100）</w:t>
            </w:r>
          </w:p>
        </w:tc>
        <w:tc>
          <w:tcPr>
            <w:tcW w:w="0" w:type="auto"/>
            <w:noWrap w:val="0"/>
            <w:tcMar>
              <w:left w:w="28" w:type="dxa"/>
              <w:right w:w="28" w:type="dxa"/>
            </w:tcMar>
            <w:vAlign w:val="center"/>
          </w:tcPr>
          <w:p w14:paraId="0090EFA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≤500（100）</w:t>
            </w:r>
          </w:p>
        </w:tc>
        <w:tc>
          <w:tcPr>
            <w:tcW w:w="0" w:type="auto"/>
            <w:noWrap w:val="0"/>
            <w:tcMar>
              <w:left w:w="28" w:type="dxa"/>
              <w:right w:w="28" w:type="dxa"/>
            </w:tcMar>
            <w:vAlign w:val="center"/>
          </w:tcPr>
          <w:p w14:paraId="7F56E58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奎溪镇不属于缺水地区，废水排放流量最大为140m</w:t>
            </w:r>
            <w:r>
              <w:rPr>
                <w:rFonts w:hint="eastAsia"/>
                <w:color w:val="auto"/>
                <w:highlight w:val="none"/>
                <w:vertAlign w:val="superscript"/>
                <w:lang w:val="en-US" w:eastAsia="zh-CN"/>
              </w:rPr>
              <w:t>3</w:t>
            </w:r>
            <w:r>
              <w:rPr>
                <w:rFonts w:hint="eastAsia"/>
                <w:color w:val="auto"/>
                <w:highlight w:val="none"/>
                <w:lang w:val="en-US" w:eastAsia="zh-CN"/>
              </w:rPr>
              <w:t>/h</w:t>
            </w:r>
          </w:p>
        </w:tc>
        <w:tc>
          <w:tcPr>
            <w:tcW w:w="0" w:type="auto"/>
            <w:noWrap w:val="0"/>
            <w:tcMar>
              <w:left w:w="28" w:type="dxa"/>
              <w:right w:w="28" w:type="dxa"/>
            </w:tcMar>
            <w:vAlign w:val="center"/>
          </w:tcPr>
          <w:p w14:paraId="602915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三级</w:t>
            </w:r>
          </w:p>
        </w:tc>
      </w:tr>
      <w:tr w14:paraId="4BE0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trPr>
        <w:tc>
          <w:tcPr>
            <w:tcW w:w="0" w:type="auto"/>
            <w:noWrap w:val="0"/>
            <w:tcMar>
              <w:left w:w="28" w:type="dxa"/>
              <w:right w:w="28" w:type="dxa"/>
            </w:tcMar>
            <w:vAlign w:val="center"/>
          </w:tcPr>
          <w:p w14:paraId="0FC44F7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年度废污水排放量</w:t>
            </w:r>
          </w:p>
        </w:tc>
        <w:tc>
          <w:tcPr>
            <w:tcW w:w="0" w:type="auto"/>
            <w:noWrap w:val="0"/>
            <w:tcMar>
              <w:left w:w="28" w:type="dxa"/>
              <w:right w:w="28" w:type="dxa"/>
            </w:tcMar>
            <w:vAlign w:val="center"/>
          </w:tcPr>
          <w:p w14:paraId="48691E1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大于200万吨</w:t>
            </w:r>
          </w:p>
        </w:tc>
        <w:tc>
          <w:tcPr>
            <w:tcW w:w="0" w:type="auto"/>
            <w:noWrap w:val="0"/>
            <w:tcMar>
              <w:left w:w="28" w:type="dxa"/>
              <w:right w:w="28" w:type="dxa"/>
            </w:tcMar>
            <w:vAlign w:val="center"/>
          </w:tcPr>
          <w:p w14:paraId="6F0FAC8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20～200万吨</w:t>
            </w:r>
          </w:p>
        </w:tc>
        <w:tc>
          <w:tcPr>
            <w:tcW w:w="0" w:type="auto"/>
            <w:noWrap w:val="0"/>
            <w:tcMar>
              <w:left w:w="28" w:type="dxa"/>
              <w:right w:w="28" w:type="dxa"/>
            </w:tcMar>
            <w:vAlign w:val="center"/>
          </w:tcPr>
          <w:p w14:paraId="4193210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小于20万吨</w:t>
            </w:r>
          </w:p>
        </w:tc>
        <w:tc>
          <w:tcPr>
            <w:tcW w:w="0" w:type="auto"/>
            <w:noWrap w:val="0"/>
            <w:tcMar>
              <w:left w:w="28" w:type="dxa"/>
              <w:right w:w="28" w:type="dxa"/>
            </w:tcMar>
            <w:vAlign w:val="center"/>
          </w:tcPr>
          <w:p w14:paraId="0CB6EBD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20～200万吨</w:t>
            </w:r>
          </w:p>
        </w:tc>
        <w:tc>
          <w:tcPr>
            <w:tcW w:w="0" w:type="auto"/>
            <w:noWrap w:val="0"/>
            <w:tcMar>
              <w:left w:w="28" w:type="dxa"/>
              <w:right w:w="28" w:type="dxa"/>
            </w:tcMar>
            <w:vAlign w:val="center"/>
          </w:tcPr>
          <w:p w14:paraId="28CD67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二级</w:t>
            </w:r>
          </w:p>
        </w:tc>
      </w:tr>
      <w:tr w14:paraId="355D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0" w:type="auto"/>
            <w:noWrap w:val="0"/>
            <w:vAlign w:val="center"/>
          </w:tcPr>
          <w:p w14:paraId="4CC48644">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区域水资源状况</w:t>
            </w:r>
          </w:p>
        </w:tc>
        <w:tc>
          <w:tcPr>
            <w:tcW w:w="0" w:type="auto"/>
            <w:noWrap w:val="0"/>
            <w:tcMar>
              <w:left w:w="28" w:type="dxa"/>
              <w:right w:w="28" w:type="dxa"/>
            </w:tcMar>
            <w:vAlign w:val="center"/>
          </w:tcPr>
          <w:p w14:paraId="475FA0B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用水紧缺，取用水量达到或超出所分配用水指标</w:t>
            </w:r>
          </w:p>
        </w:tc>
        <w:tc>
          <w:tcPr>
            <w:tcW w:w="0" w:type="auto"/>
            <w:noWrap w:val="0"/>
            <w:tcMar>
              <w:left w:w="28" w:type="dxa"/>
              <w:right w:w="28" w:type="dxa"/>
            </w:tcMar>
            <w:vAlign w:val="center"/>
          </w:tcPr>
          <w:p w14:paraId="18A2096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水资源量一般，取用水量小于或接近所分配用水指标</w:t>
            </w:r>
          </w:p>
        </w:tc>
        <w:tc>
          <w:tcPr>
            <w:tcW w:w="0" w:type="auto"/>
            <w:noWrap w:val="0"/>
            <w:tcMar>
              <w:left w:w="28" w:type="dxa"/>
              <w:right w:w="28" w:type="dxa"/>
            </w:tcMar>
            <w:vAlign w:val="center"/>
          </w:tcPr>
          <w:p w14:paraId="1B84E80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水资源丰沛，取用水量远小于所分配用水指标</w:t>
            </w:r>
          </w:p>
        </w:tc>
        <w:tc>
          <w:tcPr>
            <w:tcW w:w="0" w:type="auto"/>
            <w:noWrap w:val="0"/>
            <w:tcMar>
              <w:left w:w="28" w:type="dxa"/>
              <w:right w:w="28" w:type="dxa"/>
            </w:tcMar>
            <w:vAlign w:val="center"/>
          </w:tcPr>
          <w:p w14:paraId="669750B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水资源丰沛，取用水量远小于所分配用水指标</w:t>
            </w:r>
          </w:p>
        </w:tc>
        <w:tc>
          <w:tcPr>
            <w:tcW w:w="0" w:type="auto"/>
            <w:noWrap w:val="0"/>
            <w:tcMar>
              <w:left w:w="28" w:type="dxa"/>
              <w:right w:w="28" w:type="dxa"/>
            </w:tcMar>
            <w:vAlign w:val="center"/>
          </w:tcPr>
          <w:p w14:paraId="13FBD0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三级</w:t>
            </w:r>
          </w:p>
        </w:tc>
      </w:tr>
    </w:tbl>
    <w:p w14:paraId="4EE4C529">
      <w:pPr>
        <w:pStyle w:val="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综上分析，湖南安化渣滓溪矿业有限公司入河排污口设置论证等级为一级。</w:t>
      </w:r>
    </w:p>
    <w:p w14:paraId="15C7A7FE">
      <w:pPr>
        <w:pStyle w:val="2"/>
        <w:rPr>
          <w:rFonts w:hint="eastAsia" w:ascii="Times New Roman" w:hAnsi="Times New Roman" w:cs="Times New Roman"/>
          <w:color w:val="auto"/>
          <w:highlight w:val="none"/>
          <w:lang w:val="en-US" w:eastAsia="zh-CN"/>
        </w:rPr>
      </w:pPr>
    </w:p>
    <w:p w14:paraId="437714E2">
      <w:pPr>
        <w:pStyle w:val="35"/>
        <w:bidi w:val="0"/>
        <w:rPr>
          <w:rFonts w:hint="eastAsia" w:ascii="Times New Roman" w:hAnsi="Times New Roman" w:cs="Times New Roman"/>
          <w:color w:val="auto"/>
          <w:highlight w:val="none"/>
          <w:lang w:val="en-US" w:eastAsia="zh-CN"/>
        </w:rPr>
      </w:pPr>
      <w:bookmarkStart w:id="24" w:name="_Toc9239"/>
      <w:r>
        <w:rPr>
          <w:rFonts w:hint="eastAsia" w:ascii="Times New Roman" w:hAnsi="Times New Roman" w:cs="Times New Roman"/>
          <w:color w:val="auto"/>
          <w:highlight w:val="none"/>
          <w:lang w:val="en-US" w:eastAsia="zh-CN"/>
        </w:rPr>
        <w:t>项目概况</w:t>
      </w:r>
      <w:bookmarkEnd w:id="24"/>
    </w:p>
    <w:p w14:paraId="661D3371">
      <w:pPr>
        <w:pStyle w:val="36"/>
        <w:bidi w:val="0"/>
        <w:rPr>
          <w:rFonts w:hint="eastAsia" w:ascii="Times New Roman" w:hAnsi="Times New Roman" w:cs="Times New Roman"/>
          <w:color w:val="auto"/>
          <w:highlight w:val="none"/>
          <w:lang w:val="en-US" w:eastAsia="zh-CN"/>
        </w:rPr>
      </w:pPr>
      <w:bookmarkStart w:id="25" w:name="_Toc11523"/>
      <w:r>
        <w:rPr>
          <w:rFonts w:hint="eastAsia" w:ascii="Times New Roman" w:hAnsi="Times New Roman" w:cs="Times New Roman"/>
          <w:color w:val="auto"/>
          <w:highlight w:val="none"/>
          <w:lang w:val="en-US" w:eastAsia="zh-CN"/>
        </w:rPr>
        <w:t>项目基本情况</w:t>
      </w:r>
      <w:bookmarkEnd w:id="25"/>
    </w:p>
    <w:p w14:paraId="5F4C6F2E">
      <w:pPr>
        <w:pStyle w:val="37"/>
        <w:bidi w:val="0"/>
        <w:rPr>
          <w:rFonts w:hint="default"/>
          <w:color w:val="auto"/>
          <w:highlight w:val="none"/>
          <w:lang w:val="en-US" w:eastAsia="zh-CN"/>
        </w:rPr>
      </w:pPr>
      <w:r>
        <w:rPr>
          <w:rFonts w:hint="eastAsia"/>
          <w:color w:val="auto"/>
          <w:highlight w:val="none"/>
          <w:lang w:val="en-US" w:eastAsia="zh-CN"/>
        </w:rPr>
        <w:t>采选</w:t>
      </w:r>
      <w:r>
        <w:rPr>
          <w:rFonts w:hint="default"/>
          <w:color w:val="auto"/>
          <w:highlight w:val="none"/>
          <w:lang w:val="en-US" w:eastAsia="zh-CN"/>
        </w:rPr>
        <w:t>工程概述</w:t>
      </w:r>
    </w:p>
    <w:p w14:paraId="2F1AE8C2">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bookmarkStart w:id="26" w:name="_Toc11243"/>
      <w:r>
        <w:rPr>
          <w:rFonts w:hint="eastAsia" w:ascii="Times New Roman" w:hAnsi="Times New Roman" w:eastAsia="宋体" w:cs="Times New Roman"/>
          <w:color w:val="auto"/>
          <w:kern w:val="2"/>
          <w:sz w:val="24"/>
          <w:highlight w:val="none"/>
          <w:lang w:val="en-US" w:eastAsia="zh-CN" w:bidi="ar-SA"/>
        </w:rPr>
        <w:t>渣滓溪锑矿始采于1906年，1950年设立渣滓溪锑矿，1984年以前开采锑矿，兼采钨矿，1985年起专门开采锑矿，现采矿权人为湖南安化渣滓溪矿业有限公司。渣滓溪锑矿采矿许可证编号为C1000002009113110046463，有效期自2015年1月16日至2024年9月30日，准采规模为7.5万t/a（设计开采规模为21万t/a，实际开采规模为21万t/a，环评及验收规模为21万t.a），准采矿种为锑矿、钨矿（实际开采矿种仅为锑矿），采矿范围及标高见下表。</w:t>
      </w:r>
      <w:bookmarkEnd w:id="26"/>
    </w:p>
    <w:p w14:paraId="42F38C0E">
      <w:pPr>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w:t>
      </w:r>
      <w:r>
        <w:rPr>
          <w:rFonts w:hint="eastAsia" w:ascii="Times New Roman" w:hAnsi="Times New Roman" w:eastAsia="黑体" w:cs="Times New Roman"/>
          <w:color w:val="auto"/>
          <w:kern w:val="2"/>
          <w:sz w:val="24"/>
          <w:highlight w:val="none"/>
          <w:lang w:val="en-US" w:eastAsia="zh-CN" w:bidi="ar-SA"/>
        </w:rPr>
        <w:t>采矿范围拐点坐标表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883"/>
        <w:gridCol w:w="1649"/>
        <w:gridCol w:w="1890"/>
        <w:gridCol w:w="1045"/>
        <w:gridCol w:w="1886"/>
        <w:gridCol w:w="1699"/>
      </w:tblGrid>
      <w:tr w14:paraId="3771F3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8" w:hRule="atLeast"/>
        </w:trPr>
        <w:tc>
          <w:tcPr>
            <w:tcW w:w="488" w:type="pct"/>
            <w:vMerge w:val="restart"/>
            <w:tcBorders>
              <w:bottom w:val="single" w:color="000000" w:sz="4" w:space="0"/>
              <w:right w:val="single" w:color="000000" w:sz="4" w:space="0"/>
            </w:tcBorders>
            <w:noWrap w:val="0"/>
            <w:vAlign w:val="center"/>
          </w:tcPr>
          <w:p w14:paraId="3C55BF3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拐点号</w:t>
            </w:r>
          </w:p>
        </w:tc>
        <w:tc>
          <w:tcPr>
            <w:tcW w:w="1955" w:type="pct"/>
            <w:gridSpan w:val="2"/>
            <w:tcBorders>
              <w:left w:val="single" w:color="000000" w:sz="4" w:space="0"/>
              <w:bottom w:val="single" w:color="000000" w:sz="4" w:space="0"/>
              <w:right w:val="single" w:color="000000" w:sz="4" w:space="0"/>
            </w:tcBorders>
            <w:noWrap w:val="0"/>
            <w:vAlign w:val="center"/>
          </w:tcPr>
          <w:p w14:paraId="5BC1744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坐标</w:t>
            </w:r>
          </w:p>
        </w:tc>
        <w:tc>
          <w:tcPr>
            <w:tcW w:w="577" w:type="pct"/>
            <w:vMerge w:val="restart"/>
            <w:tcBorders>
              <w:left w:val="single" w:color="000000" w:sz="4" w:space="0"/>
              <w:bottom w:val="single" w:color="000000" w:sz="4" w:space="0"/>
              <w:right w:val="single" w:color="000000" w:sz="4" w:space="0"/>
            </w:tcBorders>
            <w:noWrap w:val="0"/>
            <w:vAlign w:val="center"/>
          </w:tcPr>
          <w:p w14:paraId="7A7E2A1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拐点号</w:t>
            </w:r>
          </w:p>
        </w:tc>
        <w:tc>
          <w:tcPr>
            <w:tcW w:w="1979" w:type="pct"/>
            <w:gridSpan w:val="2"/>
            <w:tcBorders>
              <w:left w:val="single" w:color="000000" w:sz="4" w:space="0"/>
              <w:bottom w:val="single" w:color="000000" w:sz="4" w:space="0"/>
            </w:tcBorders>
            <w:noWrap w:val="0"/>
            <w:vAlign w:val="center"/>
          </w:tcPr>
          <w:p w14:paraId="15B3DBF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坐标</w:t>
            </w:r>
          </w:p>
        </w:tc>
      </w:tr>
      <w:tr w14:paraId="020BF8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6" w:hRule="atLeast"/>
        </w:trPr>
        <w:tc>
          <w:tcPr>
            <w:tcW w:w="488" w:type="pct"/>
            <w:vMerge w:val="continue"/>
            <w:tcBorders>
              <w:top w:val="nil"/>
              <w:bottom w:val="single" w:color="000000" w:sz="4" w:space="0"/>
              <w:right w:val="single" w:color="000000" w:sz="4" w:space="0"/>
            </w:tcBorders>
            <w:noWrap w:val="0"/>
            <w:vAlign w:val="center"/>
          </w:tcPr>
          <w:p w14:paraId="0B6E68D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911" w:type="pct"/>
            <w:tcBorders>
              <w:top w:val="single" w:color="000000" w:sz="4" w:space="0"/>
              <w:left w:val="single" w:color="000000" w:sz="4" w:space="0"/>
              <w:bottom w:val="single" w:color="000000" w:sz="4" w:space="0"/>
              <w:right w:val="single" w:color="000000" w:sz="4" w:space="0"/>
            </w:tcBorders>
            <w:noWrap w:val="0"/>
            <w:vAlign w:val="center"/>
          </w:tcPr>
          <w:p w14:paraId="0D4498B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X</w:t>
            </w:r>
          </w:p>
        </w:tc>
        <w:tc>
          <w:tcPr>
            <w:tcW w:w="1043" w:type="pct"/>
            <w:tcBorders>
              <w:top w:val="single" w:color="000000" w:sz="4" w:space="0"/>
              <w:left w:val="single" w:color="000000" w:sz="4" w:space="0"/>
              <w:bottom w:val="single" w:color="000000" w:sz="4" w:space="0"/>
              <w:right w:val="single" w:color="000000" w:sz="4" w:space="0"/>
            </w:tcBorders>
            <w:noWrap w:val="0"/>
            <w:vAlign w:val="center"/>
          </w:tcPr>
          <w:p w14:paraId="271D99A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Y</w:t>
            </w:r>
          </w:p>
        </w:tc>
        <w:tc>
          <w:tcPr>
            <w:tcW w:w="577" w:type="pct"/>
            <w:vMerge w:val="continue"/>
            <w:tcBorders>
              <w:top w:val="nil"/>
              <w:left w:val="single" w:color="000000" w:sz="4" w:space="0"/>
              <w:bottom w:val="single" w:color="000000" w:sz="4" w:space="0"/>
              <w:right w:val="single" w:color="000000" w:sz="4" w:space="0"/>
            </w:tcBorders>
            <w:noWrap w:val="0"/>
            <w:vAlign w:val="center"/>
          </w:tcPr>
          <w:p w14:paraId="558BE5D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042" w:type="pct"/>
            <w:tcBorders>
              <w:top w:val="single" w:color="000000" w:sz="4" w:space="0"/>
              <w:left w:val="single" w:color="000000" w:sz="4" w:space="0"/>
              <w:bottom w:val="single" w:color="000000" w:sz="4" w:space="0"/>
              <w:right w:val="single" w:color="000000" w:sz="4" w:space="0"/>
            </w:tcBorders>
            <w:noWrap w:val="0"/>
            <w:vAlign w:val="center"/>
          </w:tcPr>
          <w:p w14:paraId="575CDBB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X</w:t>
            </w:r>
          </w:p>
        </w:tc>
        <w:tc>
          <w:tcPr>
            <w:tcW w:w="936" w:type="pct"/>
            <w:tcBorders>
              <w:top w:val="single" w:color="000000" w:sz="4" w:space="0"/>
              <w:left w:val="single" w:color="000000" w:sz="4" w:space="0"/>
              <w:bottom w:val="single" w:color="000000" w:sz="4" w:space="0"/>
            </w:tcBorders>
            <w:noWrap w:val="0"/>
            <w:vAlign w:val="center"/>
          </w:tcPr>
          <w:p w14:paraId="0B0F832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Y</w:t>
            </w:r>
          </w:p>
        </w:tc>
      </w:tr>
      <w:tr w14:paraId="74657A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trPr>
        <w:tc>
          <w:tcPr>
            <w:tcW w:w="488" w:type="pct"/>
            <w:tcBorders>
              <w:top w:val="single" w:color="000000" w:sz="4" w:space="0"/>
              <w:bottom w:val="single" w:color="000000" w:sz="4" w:space="0"/>
              <w:right w:val="single" w:color="000000" w:sz="4" w:space="0"/>
            </w:tcBorders>
            <w:noWrap w:val="0"/>
            <w:vAlign w:val="center"/>
          </w:tcPr>
          <w:p w14:paraId="63274A8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1</w:t>
            </w:r>
          </w:p>
        </w:tc>
        <w:tc>
          <w:tcPr>
            <w:tcW w:w="911" w:type="pct"/>
            <w:tcBorders>
              <w:top w:val="single" w:color="000000" w:sz="4" w:space="0"/>
              <w:left w:val="single" w:color="000000" w:sz="4" w:space="0"/>
              <w:bottom w:val="single" w:color="000000" w:sz="4" w:space="0"/>
              <w:right w:val="single" w:color="000000" w:sz="4" w:space="0"/>
            </w:tcBorders>
            <w:noWrap w:val="0"/>
            <w:vAlign w:val="center"/>
          </w:tcPr>
          <w:p w14:paraId="51D0724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3127744.53</w:t>
            </w:r>
          </w:p>
        </w:tc>
        <w:tc>
          <w:tcPr>
            <w:tcW w:w="1043" w:type="pct"/>
            <w:tcBorders>
              <w:top w:val="single" w:color="000000" w:sz="4" w:space="0"/>
              <w:left w:val="single" w:color="000000" w:sz="4" w:space="0"/>
              <w:bottom w:val="single" w:color="000000" w:sz="4" w:space="0"/>
              <w:right w:val="single" w:color="000000" w:sz="4" w:space="0"/>
            </w:tcBorders>
            <w:noWrap w:val="0"/>
            <w:vAlign w:val="center"/>
          </w:tcPr>
          <w:p w14:paraId="29E1F53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37483334.43</w:t>
            </w:r>
          </w:p>
        </w:tc>
        <w:tc>
          <w:tcPr>
            <w:tcW w:w="577" w:type="pct"/>
            <w:tcBorders>
              <w:top w:val="single" w:color="000000" w:sz="4" w:space="0"/>
              <w:left w:val="single" w:color="000000" w:sz="4" w:space="0"/>
              <w:bottom w:val="single" w:color="000000" w:sz="4" w:space="0"/>
              <w:right w:val="single" w:color="000000" w:sz="4" w:space="0"/>
            </w:tcBorders>
            <w:noWrap w:val="0"/>
            <w:vAlign w:val="center"/>
          </w:tcPr>
          <w:p w14:paraId="145250D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5</w:t>
            </w:r>
          </w:p>
        </w:tc>
        <w:tc>
          <w:tcPr>
            <w:tcW w:w="1042" w:type="pct"/>
            <w:tcBorders>
              <w:top w:val="single" w:color="000000" w:sz="4" w:space="0"/>
              <w:left w:val="single" w:color="000000" w:sz="4" w:space="0"/>
              <w:bottom w:val="single" w:color="000000" w:sz="4" w:space="0"/>
              <w:right w:val="single" w:color="000000" w:sz="4" w:space="0"/>
            </w:tcBorders>
            <w:noWrap w:val="0"/>
            <w:vAlign w:val="center"/>
          </w:tcPr>
          <w:p w14:paraId="7BB8245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3128344.54</w:t>
            </w:r>
          </w:p>
        </w:tc>
        <w:tc>
          <w:tcPr>
            <w:tcW w:w="936" w:type="pct"/>
            <w:tcBorders>
              <w:top w:val="single" w:color="000000" w:sz="4" w:space="0"/>
              <w:left w:val="single" w:color="000000" w:sz="4" w:space="0"/>
              <w:bottom w:val="single" w:color="000000" w:sz="4" w:space="0"/>
            </w:tcBorders>
            <w:noWrap w:val="0"/>
            <w:vAlign w:val="center"/>
          </w:tcPr>
          <w:p w14:paraId="7DC670F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37484334.44</w:t>
            </w:r>
          </w:p>
        </w:tc>
      </w:tr>
      <w:tr w14:paraId="017A6D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trPr>
        <w:tc>
          <w:tcPr>
            <w:tcW w:w="488" w:type="pct"/>
            <w:tcBorders>
              <w:top w:val="single" w:color="000000" w:sz="4" w:space="0"/>
              <w:bottom w:val="single" w:color="000000" w:sz="4" w:space="0"/>
              <w:right w:val="single" w:color="000000" w:sz="4" w:space="0"/>
            </w:tcBorders>
            <w:noWrap w:val="0"/>
            <w:vAlign w:val="center"/>
          </w:tcPr>
          <w:p w14:paraId="63D71B4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2</w:t>
            </w:r>
          </w:p>
        </w:tc>
        <w:tc>
          <w:tcPr>
            <w:tcW w:w="911" w:type="pct"/>
            <w:tcBorders>
              <w:top w:val="single" w:color="000000" w:sz="4" w:space="0"/>
              <w:left w:val="single" w:color="000000" w:sz="4" w:space="0"/>
              <w:bottom w:val="single" w:color="000000" w:sz="4" w:space="0"/>
              <w:right w:val="single" w:color="000000" w:sz="4" w:space="0"/>
            </w:tcBorders>
            <w:noWrap w:val="0"/>
            <w:vAlign w:val="center"/>
          </w:tcPr>
          <w:p w14:paraId="693C2CB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3127944.53</w:t>
            </w:r>
          </w:p>
        </w:tc>
        <w:tc>
          <w:tcPr>
            <w:tcW w:w="1043" w:type="pct"/>
            <w:tcBorders>
              <w:top w:val="single" w:color="000000" w:sz="4" w:space="0"/>
              <w:left w:val="single" w:color="000000" w:sz="4" w:space="0"/>
              <w:bottom w:val="single" w:color="000000" w:sz="4" w:space="0"/>
              <w:right w:val="single" w:color="000000" w:sz="4" w:space="0"/>
            </w:tcBorders>
            <w:noWrap w:val="0"/>
            <w:vAlign w:val="center"/>
          </w:tcPr>
          <w:p w14:paraId="254633F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37483234.43</w:t>
            </w:r>
          </w:p>
        </w:tc>
        <w:tc>
          <w:tcPr>
            <w:tcW w:w="577" w:type="pct"/>
            <w:tcBorders>
              <w:top w:val="single" w:color="000000" w:sz="4" w:space="0"/>
              <w:left w:val="single" w:color="000000" w:sz="4" w:space="0"/>
              <w:bottom w:val="single" w:color="000000" w:sz="4" w:space="0"/>
              <w:right w:val="single" w:color="000000" w:sz="4" w:space="0"/>
            </w:tcBorders>
            <w:noWrap w:val="0"/>
            <w:vAlign w:val="center"/>
          </w:tcPr>
          <w:p w14:paraId="0950DB4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w:t>
            </w:r>
          </w:p>
        </w:tc>
        <w:tc>
          <w:tcPr>
            <w:tcW w:w="1042" w:type="pct"/>
            <w:tcBorders>
              <w:top w:val="single" w:color="000000" w:sz="4" w:space="0"/>
              <w:left w:val="single" w:color="000000" w:sz="4" w:space="0"/>
              <w:bottom w:val="single" w:color="000000" w:sz="4" w:space="0"/>
              <w:right w:val="single" w:color="000000" w:sz="4" w:space="0"/>
            </w:tcBorders>
            <w:noWrap w:val="0"/>
            <w:vAlign w:val="center"/>
          </w:tcPr>
          <w:p w14:paraId="19A8FF3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3128094.54</w:t>
            </w:r>
          </w:p>
        </w:tc>
        <w:tc>
          <w:tcPr>
            <w:tcW w:w="936" w:type="pct"/>
            <w:tcBorders>
              <w:top w:val="single" w:color="000000" w:sz="4" w:space="0"/>
              <w:left w:val="single" w:color="000000" w:sz="4" w:space="0"/>
              <w:bottom w:val="single" w:color="000000" w:sz="4" w:space="0"/>
            </w:tcBorders>
            <w:noWrap w:val="0"/>
            <w:vAlign w:val="center"/>
          </w:tcPr>
          <w:p w14:paraId="60352B0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37484584.44</w:t>
            </w:r>
          </w:p>
        </w:tc>
      </w:tr>
      <w:tr w14:paraId="48E0F7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trPr>
        <w:tc>
          <w:tcPr>
            <w:tcW w:w="488" w:type="pct"/>
            <w:tcBorders>
              <w:top w:val="single" w:color="000000" w:sz="4" w:space="0"/>
              <w:bottom w:val="single" w:color="000000" w:sz="4" w:space="0"/>
              <w:right w:val="single" w:color="000000" w:sz="4" w:space="0"/>
            </w:tcBorders>
            <w:noWrap w:val="0"/>
            <w:vAlign w:val="center"/>
          </w:tcPr>
          <w:p w14:paraId="1E6BD33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w:t>
            </w:r>
          </w:p>
        </w:tc>
        <w:tc>
          <w:tcPr>
            <w:tcW w:w="911" w:type="pct"/>
            <w:tcBorders>
              <w:top w:val="single" w:color="000000" w:sz="4" w:space="0"/>
              <w:left w:val="single" w:color="000000" w:sz="4" w:space="0"/>
              <w:bottom w:val="single" w:color="000000" w:sz="4" w:space="0"/>
              <w:right w:val="single" w:color="000000" w:sz="4" w:space="0"/>
            </w:tcBorders>
            <w:noWrap w:val="0"/>
            <w:vAlign w:val="center"/>
          </w:tcPr>
          <w:p w14:paraId="5DDA279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3128144.53</w:t>
            </w:r>
          </w:p>
        </w:tc>
        <w:tc>
          <w:tcPr>
            <w:tcW w:w="1043" w:type="pct"/>
            <w:tcBorders>
              <w:top w:val="single" w:color="000000" w:sz="4" w:space="0"/>
              <w:left w:val="single" w:color="000000" w:sz="4" w:space="0"/>
              <w:bottom w:val="single" w:color="000000" w:sz="4" w:space="0"/>
              <w:right w:val="single" w:color="000000" w:sz="4" w:space="0"/>
            </w:tcBorders>
            <w:noWrap w:val="0"/>
            <w:vAlign w:val="center"/>
          </w:tcPr>
          <w:p w14:paraId="5655E8A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37483334.43</w:t>
            </w:r>
          </w:p>
        </w:tc>
        <w:tc>
          <w:tcPr>
            <w:tcW w:w="577" w:type="pct"/>
            <w:tcBorders>
              <w:top w:val="single" w:color="000000" w:sz="4" w:space="0"/>
              <w:left w:val="single" w:color="000000" w:sz="4" w:space="0"/>
              <w:bottom w:val="single" w:color="000000" w:sz="4" w:space="0"/>
              <w:right w:val="single" w:color="000000" w:sz="4" w:space="0"/>
            </w:tcBorders>
            <w:noWrap w:val="0"/>
            <w:vAlign w:val="center"/>
          </w:tcPr>
          <w:p w14:paraId="1FDB5FB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7</w:t>
            </w:r>
          </w:p>
        </w:tc>
        <w:tc>
          <w:tcPr>
            <w:tcW w:w="1042" w:type="pct"/>
            <w:tcBorders>
              <w:top w:val="single" w:color="000000" w:sz="4" w:space="0"/>
              <w:left w:val="single" w:color="000000" w:sz="4" w:space="0"/>
              <w:bottom w:val="single" w:color="000000" w:sz="4" w:space="0"/>
              <w:right w:val="single" w:color="000000" w:sz="4" w:space="0"/>
            </w:tcBorders>
            <w:noWrap w:val="0"/>
            <w:vAlign w:val="center"/>
          </w:tcPr>
          <w:p w14:paraId="1A9F4DB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3127444.53</w:t>
            </w:r>
          </w:p>
        </w:tc>
        <w:tc>
          <w:tcPr>
            <w:tcW w:w="936" w:type="pct"/>
            <w:tcBorders>
              <w:top w:val="single" w:color="000000" w:sz="4" w:space="0"/>
              <w:left w:val="single" w:color="000000" w:sz="4" w:space="0"/>
              <w:bottom w:val="single" w:color="000000" w:sz="4" w:space="0"/>
            </w:tcBorders>
            <w:noWrap w:val="0"/>
            <w:vAlign w:val="center"/>
          </w:tcPr>
          <w:p w14:paraId="277F8E7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37483934.43</w:t>
            </w:r>
          </w:p>
        </w:tc>
      </w:tr>
      <w:tr w14:paraId="691CF5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trPr>
        <w:tc>
          <w:tcPr>
            <w:tcW w:w="488" w:type="pct"/>
            <w:tcBorders>
              <w:top w:val="single" w:color="000000" w:sz="4" w:space="0"/>
              <w:bottom w:val="single" w:color="000000" w:sz="4" w:space="0"/>
              <w:right w:val="single" w:color="000000" w:sz="4" w:space="0"/>
            </w:tcBorders>
            <w:noWrap w:val="0"/>
            <w:vAlign w:val="center"/>
          </w:tcPr>
          <w:p w14:paraId="44376FC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4</w:t>
            </w:r>
          </w:p>
        </w:tc>
        <w:tc>
          <w:tcPr>
            <w:tcW w:w="911" w:type="pct"/>
            <w:tcBorders>
              <w:top w:val="single" w:color="000000" w:sz="4" w:space="0"/>
              <w:left w:val="single" w:color="000000" w:sz="4" w:space="0"/>
              <w:bottom w:val="single" w:color="000000" w:sz="4" w:space="0"/>
              <w:right w:val="single" w:color="000000" w:sz="4" w:space="0"/>
            </w:tcBorders>
            <w:noWrap w:val="0"/>
            <w:vAlign w:val="center"/>
          </w:tcPr>
          <w:p w14:paraId="3C61322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3128344.54</w:t>
            </w:r>
          </w:p>
        </w:tc>
        <w:tc>
          <w:tcPr>
            <w:tcW w:w="1043" w:type="pct"/>
            <w:tcBorders>
              <w:top w:val="single" w:color="000000" w:sz="4" w:space="0"/>
              <w:left w:val="single" w:color="000000" w:sz="4" w:space="0"/>
              <w:bottom w:val="single" w:color="000000" w:sz="4" w:space="0"/>
              <w:right w:val="single" w:color="000000" w:sz="4" w:space="0"/>
            </w:tcBorders>
            <w:noWrap w:val="0"/>
            <w:vAlign w:val="center"/>
          </w:tcPr>
          <w:p w14:paraId="739AA7C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37483734.43</w:t>
            </w:r>
          </w:p>
        </w:tc>
        <w:tc>
          <w:tcPr>
            <w:tcW w:w="577" w:type="pct"/>
            <w:tcBorders>
              <w:top w:val="single" w:color="000000" w:sz="4" w:space="0"/>
              <w:left w:val="single" w:color="000000" w:sz="4" w:space="0"/>
              <w:bottom w:val="single" w:color="000000" w:sz="4" w:space="0"/>
              <w:right w:val="single" w:color="000000" w:sz="4" w:space="0"/>
            </w:tcBorders>
            <w:noWrap w:val="0"/>
            <w:vAlign w:val="center"/>
          </w:tcPr>
          <w:p w14:paraId="7EC8F97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8</w:t>
            </w:r>
          </w:p>
        </w:tc>
        <w:tc>
          <w:tcPr>
            <w:tcW w:w="1042" w:type="pct"/>
            <w:tcBorders>
              <w:top w:val="single" w:color="000000" w:sz="4" w:space="0"/>
              <w:left w:val="single" w:color="000000" w:sz="4" w:space="0"/>
              <w:bottom w:val="single" w:color="000000" w:sz="4" w:space="0"/>
              <w:right w:val="single" w:color="000000" w:sz="4" w:space="0"/>
            </w:tcBorders>
            <w:noWrap w:val="0"/>
            <w:vAlign w:val="center"/>
          </w:tcPr>
          <w:p w14:paraId="21FAB6B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3127544.54</w:t>
            </w:r>
          </w:p>
        </w:tc>
        <w:tc>
          <w:tcPr>
            <w:tcW w:w="936" w:type="pct"/>
            <w:tcBorders>
              <w:top w:val="single" w:color="000000" w:sz="4" w:space="0"/>
              <w:left w:val="single" w:color="000000" w:sz="4" w:space="0"/>
              <w:bottom w:val="single" w:color="000000" w:sz="4" w:space="0"/>
            </w:tcBorders>
            <w:noWrap w:val="0"/>
            <w:vAlign w:val="center"/>
          </w:tcPr>
          <w:p w14:paraId="50810EA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37483634.43</w:t>
            </w:r>
          </w:p>
        </w:tc>
      </w:tr>
      <w:tr w14:paraId="5F14EF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6" w:hRule="atLeast"/>
        </w:trPr>
        <w:tc>
          <w:tcPr>
            <w:tcW w:w="5000" w:type="pct"/>
            <w:gridSpan w:val="6"/>
            <w:tcBorders>
              <w:top w:val="single" w:color="000000" w:sz="4" w:space="0"/>
              <w:bottom w:val="single" w:color="000000" w:sz="4" w:space="0"/>
            </w:tcBorders>
            <w:noWrap w:val="0"/>
            <w:vAlign w:val="center"/>
          </w:tcPr>
          <w:p w14:paraId="04FA3FD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矿山面积：0.7875（k</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2</w:t>
            </w:r>
            <w:r>
              <w:rPr>
                <w:rFonts w:hint="default" w:ascii="Times New Roman" w:hAnsi="Times New Roman" w:eastAsia="宋体" w:cs="Times New Roman"/>
                <w:color w:val="auto"/>
                <w:kern w:val="2"/>
                <w:sz w:val="22"/>
                <w:szCs w:val="22"/>
                <w:highlight w:val="none"/>
                <w:lang w:val="en-US" w:eastAsia="zh-CN" w:bidi="ar-SA"/>
              </w:rPr>
              <w:t>）</w:t>
            </w:r>
          </w:p>
        </w:tc>
      </w:tr>
      <w:tr w14:paraId="668521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5" w:hRule="atLeast"/>
        </w:trPr>
        <w:tc>
          <w:tcPr>
            <w:tcW w:w="5000" w:type="pct"/>
            <w:gridSpan w:val="6"/>
            <w:tcBorders>
              <w:top w:val="single" w:color="000000" w:sz="4" w:space="0"/>
            </w:tcBorders>
            <w:noWrap w:val="0"/>
            <w:vAlign w:val="center"/>
          </w:tcPr>
          <w:p w14:paraId="51E3892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准采标高</w:t>
            </w:r>
            <w:r>
              <w:rPr>
                <w:rFonts w:hint="eastAsia" w:ascii="Times New Roman" w:hAnsi="Times New Roman" w:eastAsia="宋体" w:cs="Times New Roman"/>
                <w:color w:val="auto"/>
                <w:kern w:val="2"/>
                <w:sz w:val="22"/>
                <w:szCs w:val="22"/>
                <w:highlight w:val="none"/>
                <w:lang w:val="en-US" w:eastAsia="zh-CN" w:bidi="ar-SA"/>
              </w:rPr>
              <w:t>：</w:t>
            </w:r>
            <w:r>
              <w:rPr>
                <w:rFonts w:hint="default" w:ascii="Times New Roman" w:hAnsi="Times New Roman" w:eastAsia="宋体" w:cs="Times New Roman"/>
                <w:color w:val="auto"/>
                <w:kern w:val="2"/>
                <w:sz w:val="22"/>
                <w:szCs w:val="22"/>
                <w:highlight w:val="none"/>
                <w:lang w:val="en-US" w:eastAsia="zh-CN" w:bidi="ar-SA"/>
              </w:rPr>
              <w:t>454m～–340m</w:t>
            </w:r>
          </w:p>
        </w:tc>
      </w:tr>
    </w:tbl>
    <w:p w14:paraId="36AB8838">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渣滓溪锑</w:t>
      </w:r>
      <w:r>
        <w:rPr>
          <w:rFonts w:hint="default" w:ascii="Times New Roman" w:hAnsi="Times New Roman" w:eastAsia="宋体" w:cs="Times New Roman"/>
          <w:color w:val="auto"/>
          <w:kern w:val="2"/>
          <w:sz w:val="24"/>
          <w:highlight w:val="none"/>
          <w:lang w:val="en-US" w:eastAsia="zh-CN" w:bidi="ar-SA"/>
        </w:rPr>
        <w:t>矿现有</w:t>
      </w:r>
      <w:r>
        <w:rPr>
          <w:rFonts w:hint="eastAsia" w:ascii="Times New Roman" w:hAnsi="Times New Roman" w:eastAsia="宋体" w:cs="Times New Roman"/>
          <w:color w:val="auto"/>
          <w:kern w:val="2"/>
          <w:sz w:val="24"/>
          <w:highlight w:val="none"/>
          <w:lang w:val="en-US" w:eastAsia="zh-CN" w:bidi="ar-SA"/>
        </w:rPr>
        <w:t>采选工程</w:t>
      </w:r>
      <w:r>
        <w:rPr>
          <w:rFonts w:hint="default" w:ascii="Times New Roman" w:hAnsi="Times New Roman" w:eastAsia="宋体" w:cs="Times New Roman"/>
          <w:color w:val="auto"/>
          <w:kern w:val="2"/>
          <w:sz w:val="24"/>
          <w:highlight w:val="none"/>
          <w:lang w:val="en-US" w:eastAsia="zh-CN" w:bidi="ar-SA"/>
        </w:rPr>
        <w:t>主要建设内容如下：</w:t>
      </w:r>
    </w:p>
    <w:p w14:paraId="5E8E91E2">
      <w:pPr>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渣滓溪现有</w:t>
      </w:r>
      <w:r>
        <w:rPr>
          <w:rFonts w:hint="eastAsia" w:ascii="Times New Roman" w:hAnsi="Times New Roman" w:eastAsia="黑体" w:cs="Times New Roman"/>
          <w:color w:val="auto"/>
          <w:kern w:val="2"/>
          <w:sz w:val="24"/>
          <w:highlight w:val="none"/>
          <w:lang w:val="en-US" w:eastAsia="zh-CN" w:bidi="ar-SA"/>
        </w:rPr>
        <w:t>采选</w:t>
      </w:r>
      <w:r>
        <w:rPr>
          <w:rFonts w:hint="default" w:ascii="Times New Roman" w:hAnsi="Times New Roman" w:eastAsia="黑体" w:cs="Times New Roman"/>
          <w:color w:val="auto"/>
          <w:kern w:val="2"/>
          <w:sz w:val="24"/>
          <w:highlight w:val="none"/>
          <w:lang w:val="en-US" w:eastAsia="zh-CN" w:bidi="ar-SA"/>
        </w:rPr>
        <w:t>工程建设内容一览表</w:t>
      </w:r>
    </w:p>
    <w:tbl>
      <w:tblPr>
        <w:tblStyle w:val="21"/>
        <w:tblW w:w="8884" w:type="dxa"/>
        <w:tblInd w:w="5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527"/>
        <w:gridCol w:w="332"/>
        <w:gridCol w:w="957"/>
        <w:gridCol w:w="2"/>
        <w:gridCol w:w="7066"/>
      </w:tblGrid>
      <w:tr w14:paraId="089A6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tcBorders>
              <w:top w:val="single" w:color="auto" w:sz="12" w:space="0"/>
              <w:left w:val="single" w:color="auto" w:sz="12" w:space="0"/>
              <w:bottom w:val="single" w:color="auto" w:sz="4" w:space="0"/>
              <w:right w:val="single" w:color="auto" w:sz="4" w:space="0"/>
            </w:tcBorders>
            <w:noWrap w:val="0"/>
            <w:vAlign w:val="center"/>
          </w:tcPr>
          <w:p w14:paraId="7CAB6F4D">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类别</w:t>
            </w:r>
          </w:p>
        </w:tc>
        <w:tc>
          <w:tcPr>
            <w:tcW w:w="726" w:type="pct"/>
            <w:gridSpan w:val="3"/>
            <w:tcBorders>
              <w:top w:val="single" w:color="auto" w:sz="12" w:space="0"/>
              <w:left w:val="single" w:color="auto" w:sz="4" w:space="0"/>
              <w:bottom w:val="single" w:color="auto" w:sz="4" w:space="0"/>
              <w:right w:val="single" w:color="auto" w:sz="4" w:space="0"/>
            </w:tcBorders>
            <w:noWrap w:val="0"/>
            <w:vAlign w:val="center"/>
          </w:tcPr>
          <w:p w14:paraId="69BC799A">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单项工程</w:t>
            </w:r>
          </w:p>
        </w:tc>
        <w:tc>
          <w:tcPr>
            <w:tcW w:w="3976" w:type="pct"/>
            <w:tcBorders>
              <w:top w:val="single" w:color="auto" w:sz="12" w:space="0"/>
              <w:left w:val="single" w:color="auto" w:sz="4" w:space="0"/>
              <w:bottom w:val="single" w:color="auto" w:sz="4" w:space="0"/>
              <w:right w:val="single" w:color="auto" w:sz="12" w:space="0"/>
            </w:tcBorders>
            <w:noWrap w:val="0"/>
            <w:vAlign w:val="center"/>
          </w:tcPr>
          <w:p w14:paraId="7953E27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工程内容及规模</w:t>
            </w:r>
          </w:p>
        </w:tc>
      </w:tr>
      <w:tr w14:paraId="13FACD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restart"/>
            <w:tcBorders>
              <w:top w:val="single" w:color="auto" w:sz="4" w:space="0"/>
              <w:left w:val="single" w:color="auto" w:sz="12" w:space="0"/>
              <w:bottom w:val="single" w:color="auto" w:sz="4" w:space="0"/>
              <w:right w:val="single" w:color="auto" w:sz="4" w:space="0"/>
            </w:tcBorders>
            <w:noWrap w:val="0"/>
            <w:vAlign w:val="center"/>
          </w:tcPr>
          <w:p w14:paraId="09FF52F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采矿工程</w:t>
            </w: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71D150F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建设规模</w:t>
            </w:r>
          </w:p>
        </w:tc>
        <w:tc>
          <w:tcPr>
            <w:tcW w:w="3976" w:type="pct"/>
            <w:tcBorders>
              <w:top w:val="single" w:color="auto" w:sz="4" w:space="0"/>
              <w:left w:val="single" w:color="auto" w:sz="4" w:space="0"/>
              <w:bottom w:val="single" w:color="auto" w:sz="4" w:space="0"/>
              <w:right w:val="single" w:color="auto" w:sz="12" w:space="0"/>
            </w:tcBorders>
            <w:noWrap w:val="0"/>
            <w:vAlign w:val="center"/>
          </w:tcPr>
          <w:p w14:paraId="05DA7E53">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采矿规模21万t/a。</w:t>
            </w:r>
          </w:p>
        </w:tc>
      </w:tr>
      <w:tr w14:paraId="78C23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2B09135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637B5BA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服务年限</w:t>
            </w:r>
          </w:p>
        </w:tc>
        <w:tc>
          <w:tcPr>
            <w:tcW w:w="3976" w:type="pct"/>
            <w:tcBorders>
              <w:top w:val="single" w:color="auto" w:sz="4" w:space="0"/>
              <w:left w:val="single" w:color="auto" w:sz="4" w:space="0"/>
              <w:bottom w:val="single" w:color="auto" w:sz="4" w:space="0"/>
              <w:right w:val="single" w:color="auto" w:sz="12" w:space="0"/>
            </w:tcBorders>
            <w:noWrap w:val="0"/>
            <w:vAlign w:val="center"/>
          </w:tcPr>
          <w:p w14:paraId="2EFD5193">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原设计服务年限18.74年。</w:t>
            </w:r>
          </w:p>
        </w:tc>
      </w:tr>
      <w:tr w14:paraId="4483C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1BD77933">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062D314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产品方案</w:t>
            </w:r>
          </w:p>
        </w:tc>
        <w:tc>
          <w:tcPr>
            <w:tcW w:w="3976" w:type="pct"/>
            <w:tcBorders>
              <w:top w:val="single" w:color="auto" w:sz="4" w:space="0"/>
              <w:left w:val="single" w:color="auto" w:sz="4" w:space="0"/>
              <w:bottom w:val="single" w:color="auto" w:sz="4" w:space="0"/>
              <w:right w:val="single" w:color="auto" w:sz="12" w:space="0"/>
            </w:tcBorders>
            <w:noWrap w:val="0"/>
            <w:vAlign w:val="center"/>
          </w:tcPr>
          <w:p w14:paraId="6C998C54">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锑矿原矿</w:t>
            </w:r>
          </w:p>
        </w:tc>
      </w:tr>
      <w:tr w14:paraId="66E28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0B7390D7">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289E49AB">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开采方式</w:t>
            </w:r>
          </w:p>
        </w:tc>
        <w:tc>
          <w:tcPr>
            <w:tcW w:w="3976" w:type="pct"/>
            <w:tcBorders>
              <w:top w:val="single" w:color="auto" w:sz="4" w:space="0"/>
              <w:left w:val="single" w:color="auto" w:sz="4" w:space="0"/>
              <w:bottom w:val="single" w:color="auto" w:sz="4" w:space="0"/>
              <w:right w:val="single" w:color="auto" w:sz="12" w:space="0"/>
            </w:tcBorders>
            <w:noWrap w:val="0"/>
            <w:vAlign w:val="center"/>
          </w:tcPr>
          <w:p w14:paraId="5DD2AD8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地下开采</w:t>
            </w:r>
          </w:p>
        </w:tc>
      </w:tr>
      <w:tr w14:paraId="0D066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6E848C07">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767F84A1">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开拓方式</w:t>
            </w:r>
          </w:p>
        </w:tc>
        <w:tc>
          <w:tcPr>
            <w:tcW w:w="3976" w:type="pct"/>
            <w:tcBorders>
              <w:top w:val="single" w:color="auto" w:sz="4" w:space="0"/>
              <w:left w:val="single" w:color="auto" w:sz="4" w:space="0"/>
              <w:bottom w:val="single" w:color="auto" w:sz="4" w:space="0"/>
              <w:right w:val="single" w:color="auto" w:sz="12" w:space="0"/>
            </w:tcBorders>
            <w:noWrap w:val="0"/>
            <w:vAlign w:val="center"/>
          </w:tcPr>
          <w:p w14:paraId="5CF0A2BE">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明斜井+盲斜井联合开拓</w:t>
            </w:r>
          </w:p>
        </w:tc>
      </w:tr>
      <w:tr w14:paraId="42DEA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4D515F31">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13B9ECA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开采工艺</w:t>
            </w:r>
          </w:p>
        </w:tc>
        <w:tc>
          <w:tcPr>
            <w:tcW w:w="3976" w:type="pct"/>
            <w:tcBorders>
              <w:top w:val="single" w:color="auto" w:sz="4" w:space="0"/>
              <w:left w:val="single" w:color="auto" w:sz="4" w:space="0"/>
              <w:bottom w:val="single" w:color="auto" w:sz="4" w:space="0"/>
              <w:right w:val="single" w:color="auto" w:sz="12" w:space="0"/>
            </w:tcBorders>
            <w:noWrap w:val="0"/>
            <w:vAlign w:val="center"/>
          </w:tcPr>
          <w:p w14:paraId="609B88ED">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
                <w:color w:val="auto"/>
                <w:sz w:val="22"/>
                <w:szCs w:val="22"/>
                <w:highlight w:val="none"/>
              </w:rPr>
              <w:t>原环评及验收阶段：</w:t>
            </w:r>
            <w:r>
              <w:rPr>
                <w:rFonts w:hint="default" w:ascii="Times New Roman" w:hAnsi="Times New Roman" w:eastAsia="宋体" w:cs="Times New Roman"/>
                <w:color w:val="auto"/>
                <w:sz w:val="22"/>
                <w:szCs w:val="22"/>
                <w:highlight w:val="none"/>
              </w:rPr>
              <w:t>浅孔留矿法、分段矿房法和上向水平分层充填采矿法（采用废石充填）</w:t>
            </w:r>
          </w:p>
          <w:p w14:paraId="4829CA12">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
                <w:color w:val="auto"/>
                <w:sz w:val="22"/>
                <w:szCs w:val="22"/>
                <w:highlight w:val="none"/>
              </w:rPr>
              <w:t>现阶段：</w:t>
            </w:r>
            <w:r>
              <w:rPr>
                <w:rFonts w:hint="default" w:ascii="Times New Roman" w:hAnsi="Times New Roman" w:eastAsia="宋体" w:cs="Times New Roman"/>
                <w:color w:val="auto"/>
                <w:sz w:val="22"/>
                <w:szCs w:val="22"/>
                <w:highlight w:val="none"/>
              </w:rPr>
              <w:t>2018年建设充填站后，采矿方法调整为上向水平分层充填采矿法（采用尾砂胶结充填）</w:t>
            </w:r>
          </w:p>
        </w:tc>
      </w:tr>
      <w:tr w14:paraId="69BD70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1DA31C9C">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1AC1B7E4">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主井</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4600E614">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井口标高+380m，提升能力为700t/d，位于选厂内；</w:t>
            </w:r>
          </w:p>
        </w:tc>
      </w:tr>
      <w:tr w14:paraId="7A64E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0FC500D7">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4AB3499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副井</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75B51F8C">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32平硐为副井，井口标高+325m</w:t>
            </w:r>
          </w:p>
        </w:tc>
      </w:tr>
      <w:tr w14:paraId="271859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08037CB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0C1DE347">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通风</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794F0FB5">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单翼对角抽出式。新鲜风流由主提升井、阶段运输平巷、一侧天井、天井联络道进入采场工作面，污风经另一侧天井联络道、天井、回风巷道到回风井。</w:t>
            </w:r>
          </w:p>
        </w:tc>
      </w:tr>
      <w:tr w14:paraId="1F775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1C6265A1">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7FC60290">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中段设置</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1888CB5D">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中段高度：45m。现阶段生产中段为-115～-250m中段</w:t>
            </w:r>
          </w:p>
        </w:tc>
      </w:tr>
      <w:tr w14:paraId="2871C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7DEF351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6636E587">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充填站</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226929B1">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原环评及验收阶段：</w:t>
            </w:r>
            <w:r>
              <w:rPr>
                <w:rFonts w:hint="default" w:ascii="Times New Roman" w:hAnsi="Times New Roman" w:eastAsia="宋体" w:cs="Times New Roman"/>
                <w:color w:val="auto"/>
                <w:sz w:val="22"/>
                <w:szCs w:val="22"/>
                <w:highlight w:val="none"/>
              </w:rPr>
              <w:t>未设计建设</w:t>
            </w:r>
          </w:p>
          <w:p w14:paraId="2B95C77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
                <w:color w:val="auto"/>
                <w:sz w:val="22"/>
                <w:szCs w:val="22"/>
                <w:highlight w:val="none"/>
              </w:rPr>
              <w:t>现阶段：</w:t>
            </w:r>
            <w:r>
              <w:rPr>
                <w:rFonts w:hint="default" w:ascii="Times New Roman" w:hAnsi="Times New Roman" w:eastAsia="宋体" w:cs="Times New Roman"/>
                <w:color w:val="auto"/>
                <w:sz w:val="22"/>
                <w:szCs w:val="22"/>
                <w:highlight w:val="none"/>
              </w:rPr>
              <w:t>2018年建设，位于选厂内东北侧，设计充填能力为3.6万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/a</w:t>
            </w:r>
          </w:p>
        </w:tc>
      </w:tr>
      <w:tr w14:paraId="22F70F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278E8D13">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7856C2AC">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采矿工业场地</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58C282D6">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color w:val="auto"/>
                <w:sz w:val="22"/>
                <w:szCs w:val="22"/>
                <w:highlight w:val="none"/>
              </w:rPr>
              <w:t>位于副井井口，占地0.94h</w:t>
            </w:r>
            <w:r>
              <w:rPr>
                <w:rFonts w:hint="eastAsia" w:cs="Times New Roman"/>
                <w:color w:val="auto"/>
                <w:sz w:val="22"/>
                <w:szCs w:val="22"/>
                <w:highlight w:val="none"/>
                <w:lang w:eastAsia="zh-CN"/>
              </w:rPr>
              <w:t>m</w:t>
            </w:r>
            <w:r>
              <w:rPr>
                <w:rFonts w:hint="eastAsia" w:cs="Times New Roman"/>
                <w:color w:val="auto"/>
                <w:sz w:val="22"/>
                <w:szCs w:val="22"/>
                <w:highlight w:val="none"/>
                <w:vertAlign w:val="superscript"/>
                <w:lang w:eastAsia="zh-CN"/>
              </w:rPr>
              <w:t>2</w:t>
            </w:r>
            <w:r>
              <w:rPr>
                <w:rFonts w:hint="default" w:ascii="Times New Roman" w:hAnsi="Times New Roman" w:eastAsia="宋体" w:cs="Times New Roman"/>
                <w:color w:val="auto"/>
                <w:sz w:val="22"/>
                <w:szCs w:val="22"/>
                <w:highlight w:val="none"/>
              </w:rPr>
              <w:t>，主要建有采矿办公楼、废石转运站、480井口循环水池（井下涌水收集池）、食堂、宿舍等。</w:t>
            </w:r>
          </w:p>
        </w:tc>
      </w:tr>
      <w:tr w14:paraId="0D5932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restart"/>
            <w:tcBorders>
              <w:top w:val="single" w:color="auto" w:sz="4" w:space="0"/>
              <w:left w:val="single" w:color="auto" w:sz="12" w:space="0"/>
              <w:bottom w:val="single" w:color="auto" w:sz="4" w:space="0"/>
              <w:right w:val="single" w:color="auto" w:sz="4" w:space="0"/>
            </w:tcBorders>
            <w:noWrap w:val="0"/>
            <w:vAlign w:val="center"/>
          </w:tcPr>
          <w:p w14:paraId="7FE2958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选矿工程</w:t>
            </w: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09F71D82">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选矿规模</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0AF9F66A">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破碎700t/d，手选规模200t/d，浮选规模500t/d</w:t>
            </w:r>
          </w:p>
        </w:tc>
      </w:tr>
      <w:tr w14:paraId="4C0745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13CCAFED">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0423CA5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选矿工艺</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62CAC6A8">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原</w:t>
            </w:r>
            <w:r>
              <w:rPr>
                <w:rFonts w:hint="eastAsia" w:cs="Times New Roman"/>
                <w:color w:val="auto"/>
                <w:sz w:val="22"/>
                <w:szCs w:val="22"/>
                <w:highlight w:val="none"/>
                <w:lang w:val="en-US" w:eastAsia="zh-CN"/>
              </w:rPr>
              <w:t>节能</w:t>
            </w:r>
            <w:r>
              <w:rPr>
                <w:rFonts w:hint="default" w:ascii="Times New Roman" w:hAnsi="Times New Roman" w:eastAsia="宋体" w:cs="Times New Roman"/>
                <w:color w:val="auto"/>
                <w:sz w:val="22"/>
                <w:szCs w:val="22"/>
                <w:highlight w:val="none"/>
              </w:rPr>
              <w:t>技改工程选矿工艺为：粗碎-手选-细碎-筛分-磨矿-浮选工艺；</w:t>
            </w:r>
          </w:p>
          <w:p w14:paraId="00AF5732">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
                <w:color w:val="auto"/>
                <w:sz w:val="22"/>
                <w:szCs w:val="22"/>
                <w:highlight w:val="none"/>
              </w:rPr>
              <w:t>2023年12月新增智能分选系统，2024年8月增加高压辊磨机，选矿工艺变为：粗碎-中细碎-筛分-手选（原矿）+智能分选（废石）-高压辊磨-磨矿-浮选工艺；</w:t>
            </w:r>
          </w:p>
        </w:tc>
      </w:tr>
      <w:tr w14:paraId="13D0AB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2F5C3DEA">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30BEB6E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产品方案</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473D862E">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color w:val="auto"/>
                <w:sz w:val="22"/>
                <w:szCs w:val="22"/>
                <w:highlight w:val="none"/>
              </w:rPr>
              <w:t>锑块矿10t/d，锑精矿26.32t/d。</w:t>
            </w:r>
          </w:p>
        </w:tc>
      </w:tr>
      <w:tr w14:paraId="2F9DC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1DABE73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77F0FA1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主要构筑物</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11C0C2D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color w:val="auto"/>
                <w:sz w:val="22"/>
                <w:szCs w:val="22"/>
                <w:highlight w:val="none"/>
              </w:rPr>
              <w:t>破碎车间、筛分车间、磨浮车间、皮带廊、砂泵房、配电房、危废间、等。（智能分选机位于破碎车间内）。</w:t>
            </w:r>
          </w:p>
        </w:tc>
      </w:tr>
      <w:tr w14:paraId="3AEB8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restart"/>
            <w:tcBorders>
              <w:top w:val="single" w:color="auto" w:sz="4" w:space="0"/>
              <w:left w:val="single" w:color="auto" w:sz="12" w:space="0"/>
              <w:bottom w:val="single" w:color="auto" w:sz="4" w:space="0"/>
              <w:right w:val="single" w:color="auto" w:sz="4" w:space="0"/>
            </w:tcBorders>
            <w:noWrap w:val="0"/>
            <w:vAlign w:val="center"/>
          </w:tcPr>
          <w:p w14:paraId="0A0C0A3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尾矿库</w:t>
            </w:r>
          </w:p>
        </w:tc>
        <w:tc>
          <w:tcPr>
            <w:tcW w:w="4703" w:type="pct"/>
            <w:gridSpan w:val="4"/>
            <w:tcBorders>
              <w:top w:val="single" w:color="auto" w:sz="4" w:space="0"/>
              <w:left w:val="single" w:color="auto" w:sz="4" w:space="0"/>
              <w:bottom w:val="single" w:color="auto" w:sz="4" w:space="0"/>
              <w:right w:val="single" w:color="auto" w:sz="12" w:space="0"/>
            </w:tcBorders>
            <w:noWrap w:val="0"/>
            <w:vAlign w:val="center"/>
          </w:tcPr>
          <w:p w14:paraId="466E02E3">
            <w:pPr>
              <w:pStyle w:val="3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石板冲尾矿库</w:t>
            </w:r>
          </w:p>
        </w:tc>
      </w:tr>
      <w:tr w14:paraId="7F967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253C6681">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5F699C2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选址</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2C1D12A8">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选厂东面直线距离约1.5km的石板冲，总占地17.9h</w:t>
            </w:r>
            <w:r>
              <w:rPr>
                <w:rFonts w:hint="eastAsia" w:cs="Times New Roman"/>
                <w:color w:val="auto"/>
                <w:sz w:val="22"/>
                <w:szCs w:val="22"/>
                <w:highlight w:val="none"/>
                <w:lang w:eastAsia="zh-CN"/>
              </w:rPr>
              <w:t>m</w:t>
            </w:r>
            <w:r>
              <w:rPr>
                <w:rFonts w:hint="eastAsia" w:cs="Times New Roman"/>
                <w:color w:val="auto"/>
                <w:sz w:val="22"/>
                <w:szCs w:val="22"/>
                <w:highlight w:val="none"/>
                <w:vertAlign w:val="superscript"/>
                <w:lang w:eastAsia="zh-CN"/>
              </w:rPr>
              <w:t>2</w:t>
            </w:r>
            <w:r>
              <w:rPr>
                <w:rFonts w:hint="default" w:ascii="Times New Roman" w:hAnsi="Times New Roman" w:eastAsia="宋体" w:cs="Times New Roman"/>
                <w:color w:val="auto"/>
                <w:sz w:val="22"/>
                <w:szCs w:val="22"/>
                <w:highlight w:val="none"/>
              </w:rPr>
              <w:t>。</w:t>
            </w:r>
          </w:p>
        </w:tc>
      </w:tr>
      <w:tr w14:paraId="249A23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6432C34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39AE5110">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坝高及库容</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24725D2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尾矿库初期坝坝底标高295m，坝高35m，库容29.40万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。后期坝分两期建设：一期堆积坝顶标高370m，总坝高75m，总库容228.65万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，服务年限25.75年；二期堆积坝顶标高391m，即最终堆积标高，总坝高96m，总库容442.85万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w:t>
            </w:r>
          </w:p>
          <w:p w14:paraId="7F48B8C4">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尾矿库现状堆积标高352.5m，坝高57.5m，已用库容113万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，剩余库容329.85万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w:t>
            </w:r>
          </w:p>
        </w:tc>
      </w:tr>
      <w:tr w14:paraId="409CA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6565F57C">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377F20F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服务年限</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671E043E">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设计服务年限49.86年</w:t>
            </w:r>
          </w:p>
        </w:tc>
      </w:tr>
      <w:tr w14:paraId="28A871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6FC801A9">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50402B52">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等别</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37FA214F">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Ⅲ等库。</w:t>
            </w:r>
          </w:p>
        </w:tc>
      </w:tr>
      <w:tr w14:paraId="62014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5B741F8A">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58C7977C">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放矿工艺</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153A0FE8">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上游法</w:t>
            </w:r>
          </w:p>
        </w:tc>
      </w:tr>
      <w:tr w14:paraId="31C41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59CFF139">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026A80B0">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排洪系统</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7891D9C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排水竖井-排洪隧洞；分为库外排洪及库内排洪系统。</w:t>
            </w:r>
          </w:p>
        </w:tc>
      </w:tr>
      <w:tr w14:paraId="6E7A6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02C6255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5655E4B7">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防渗系统</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09A88FF9">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由下至上结构为：地基整平夯实+细粒土（0.2m厚）+1.5mmHDPE膜+过渡层、保护层</w:t>
            </w:r>
          </w:p>
        </w:tc>
      </w:tr>
      <w:tr w14:paraId="3DFDE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15FCFDA2">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5A2C59AB">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回水方案</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12EAB666">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排洪隧洞出口建有一座400</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澄清水池，收集尾矿库溢流水及渗滤液。回水路线为澄清水池-基础坝+375平硐-管道自流+325平巷-480井口循环水池。</w:t>
            </w:r>
          </w:p>
        </w:tc>
      </w:tr>
      <w:tr w14:paraId="089EE5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5167F161">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4703" w:type="pct"/>
            <w:gridSpan w:val="4"/>
            <w:tcBorders>
              <w:top w:val="single" w:color="auto" w:sz="4" w:space="0"/>
              <w:left w:val="single" w:color="auto" w:sz="4" w:space="0"/>
              <w:bottom w:val="single" w:color="auto" w:sz="4" w:space="0"/>
              <w:right w:val="single" w:color="auto" w:sz="12" w:space="0"/>
            </w:tcBorders>
            <w:noWrap w:val="0"/>
            <w:vAlign w:val="center"/>
          </w:tcPr>
          <w:p w14:paraId="30686322">
            <w:pPr>
              <w:pStyle w:val="3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老尾矿库</w:t>
            </w:r>
          </w:p>
        </w:tc>
      </w:tr>
      <w:tr w14:paraId="63122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658926CA">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4703" w:type="pct"/>
            <w:gridSpan w:val="4"/>
            <w:tcBorders>
              <w:top w:val="single" w:color="auto" w:sz="4" w:space="0"/>
              <w:left w:val="single" w:color="auto" w:sz="4" w:space="0"/>
              <w:bottom w:val="single" w:color="auto" w:sz="4" w:space="0"/>
              <w:right w:val="single" w:color="auto" w:sz="12" w:space="0"/>
            </w:tcBorders>
            <w:noWrap w:val="0"/>
            <w:vAlign w:val="center"/>
          </w:tcPr>
          <w:p w14:paraId="68DB987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位于厂区中南部。已按要求于2018年进行了闭库。尾矿库渗滤液排入生产废水处理站处理。</w:t>
            </w:r>
          </w:p>
        </w:tc>
      </w:tr>
      <w:tr w14:paraId="1FE827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tcBorders>
              <w:top w:val="single" w:color="auto" w:sz="4" w:space="0"/>
              <w:left w:val="single" w:color="auto" w:sz="12" w:space="0"/>
              <w:bottom w:val="single" w:color="auto" w:sz="4" w:space="0"/>
              <w:right w:val="single" w:color="auto" w:sz="4" w:space="0"/>
            </w:tcBorders>
            <w:noWrap w:val="0"/>
            <w:vAlign w:val="center"/>
          </w:tcPr>
          <w:p w14:paraId="6D960304">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辅助工程</w:t>
            </w: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47D8C4B4">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办公生活</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6F29133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采矿工业广场设有矿部和宿舍；选厂设有办公楼和食堂、浴室等；</w:t>
            </w:r>
          </w:p>
          <w:p w14:paraId="22EEF4C5">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厂区中部设有2座办公楼及宿舍15栋。</w:t>
            </w:r>
          </w:p>
        </w:tc>
      </w:tr>
      <w:tr w14:paraId="56190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restart"/>
            <w:tcBorders>
              <w:top w:val="single" w:color="auto" w:sz="4" w:space="0"/>
              <w:left w:val="single" w:color="auto" w:sz="12" w:space="0"/>
              <w:bottom w:val="single" w:color="auto" w:sz="4" w:space="0"/>
              <w:right w:val="single" w:color="auto" w:sz="4" w:space="0"/>
            </w:tcBorders>
            <w:noWrap w:val="0"/>
            <w:vAlign w:val="center"/>
          </w:tcPr>
          <w:p w14:paraId="1DF479D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储运工程</w:t>
            </w: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1FEDBDB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废石场</w:t>
            </w:r>
          </w:p>
        </w:tc>
        <w:tc>
          <w:tcPr>
            <w:tcW w:w="3976" w:type="pct"/>
            <w:tcBorders>
              <w:top w:val="single" w:color="auto" w:sz="4" w:space="0"/>
              <w:left w:val="single" w:color="auto" w:sz="4" w:space="0"/>
              <w:bottom w:val="single" w:color="auto" w:sz="4" w:space="0"/>
              <w:right w:val="single" w:color="auto" w:sz="12" w:space="0"/>
            </w:tcBorders>
            <w:noWrap w:val="0"/>
            <w:vAlign w:val="center"/>
          </w:tcPr>
          <w:p w14:paraId="34C7DE5E">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位于厂区中部，占地</w:t>
            </w:r>
            <w:r>
              <w:rPr>
                <w:rFonts w:hint="eastAsia" w:cs="Times New Roman"/>
                <w:color w:val="auto"/>
                <w:sz w:val="22"/>
                <w:szCs w:val="22"/>
                <w:highlight w:val="none"/>
                <w:lang w:val="en-US" w:eastAsia="zh-CN"/>
              </w:rPr>
              <w:t>10160</w:t>
            </w:r>
            <w:r>
              <w:rPr>
                <w:rFonts w:hint="eastAsia" w:cs="Times New Roman"/>
                <w:color w:val="auto"/>
                <w:sz w:val="22"/>
                <w:szCs w:val="22"/>
                <w:highlight w:val="none"/>
                <w:lang w:eastAsia="zh-CN"/>
              </w:rPr>
              <w:t>m</w:t>
            </w:r>
            <w:r>
              <w:rPr>
                <w:rFonts w:hint="eastAsia" w:cs="Times New Roman"/>
                <w:color w:val="auto"/>
                <w:sz w:val="22"/>
                <w:szCs w:val="22"/>
                <w:highlight w:val="none"/>
                <w:vertAlign w:val="superscript"/>
                <w:lang w:eastAsia="zh-CN"/>
              </w:rPr>
              <w:t>2</w:t>
            </w:r>
            <w:r>
              <w:rPr>
                <w:rFonts w:hint="default" w:ascii="Times New Roman" w:hAnsi="Times New Roman" w:eastAsia="宋体" w:cs="Times New Roman"/>
                <w:color w:val="auto"/>
                <w:sz w:val="22"/>
                <w:szCs w:val="22"/>
                <w:highlight w:val="none"/>
              </w:rPr>
              <w:t>，废石来自井下生产和选厂智能分选系统，临时堆存后用于井下充填。</w:t>
            </w:r>
          </w:p>
        </w:tc>
      </w:tr>
      <w:tr w14:paraId="1626D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75AA8D32">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3E23F0D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炸药库</w:t>
            </w:r>
          </w:p>
        </w:tc>
        <w:tc>
          <w:tcPr>
            <w:tcW w:w="3976" w:type="pct"/>
            <w:tcBorders>
              <w:top w:val="single" w:color="auto" w:sz="4" w:space="0"/>
              <w:left w:val="single" w:color="auto" w:sz="4" w:space="0"/>
              <w:bottom w:val="single" w:color="auto" w:sz="4" w:space="0"/>
              <w:right w:val="single" w:color="auto" w:sz="12" w:space="0"/>
            </w:tcBorders>
            <w:noWrap w:val="0"/>
            <w:vAlign w:val="center"/>
          </w:tcPr>
          <w:p w14:paraId="3786E87A">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工业广场南侧300m，分别建有值班室、雷管库（8000发）和炸药库（TNT2吨）。</w:t>
            </w:r>
          </w:p>
        </w:tc>
      </w:tr>
      <w:tr w14:paraId="532F8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141C5E9E">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1B5837D2">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运输工程</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65812EDF">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矿石运输采用“U”型翻斗矿车，轻便铁轨，机车运输。运输路线为：采场出矿——中段运输平巷——溜井——斜井提升——地表矿仓。</w:t>
            </w:r>
          </w:p>
          <w:p w14:paraId="422980CC">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锑精矿泵送至冶炼厂压滤车间。</w:t>
            </w:r>
          </w:p>
        </w:tc>
      </w:tr>
      <w:tr w14:paraId="24196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restart"/>
            <w:tcBorders>
              <w:top w:val="single" w:color="auto" w:sz="4" w:space="0"/>
              <w:left w:val="single" w:color="auto" w:sz="12" w:space="0"/>
              <w:bottom w:val="single" w:color="auto" w:sz="4" w:space="0"/>
              <w:right w:val="single" w:color="auto" w:sz="4" w:space="0"/>
            </w:tcBorders>
            <w:noWrap w:val="0"/>
            <w:vAlign w:val="center"/>
          </w:tcPr>
          <w:p w14:paraId="3523225C">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公用工程</w:t>
            </w: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768A0023">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供水</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2FD0EA1C">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全厂生活水源为木榴村水源地；</w:t>
            </w:r>
          </w:p>
          <w:p w14:paraId="1D6A3144">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采选生产用水主要是井下涌水和尾矿库溢流水，枯水期通过排洪隧洞口水源地（渣滓溪）补充。</w:t>
            </w:r>
          </w:p>
        </w:tc>
      </w:tr>
      <w:tr w14:paraId="08532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7B4A0F10">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7D954ADD">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排水</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21F8569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井下生产废水和井下涌水通过井下水仓收集后排入480井口循环水池；</w:t>
            </w:r>
          </w:p>
          <w:p w14:paraId="3D018331">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尾矿库溢流水和渗滤液通过坝下澄清水池收集后排入480井口循环水池；</w:t>
            </w:r>
          </w:p>
          <w:p w14:paraId="20160660">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480井口循环水池供应选厂、冶炼厂用水，多余的，同老尾矿库渗滤液一起，排入生产废水处理站，处理后达标排放。</w:t>
            </w:r>
          </w:p>
          <w:p w14:paraId="303F9BD0">
            <w:pPr>
              <w:pStyle w:val="39"/>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2"/>
                <w:szCs w:val="22"/>
                <w:highlight w:val="none"/>
              </w:rPr>
            </w:pPr>
            <w:r>
              <w:rPr>
                <w:rFonts w:hint="default" w:ascii="Times New Roman" w:hAnsi="Times New Roman" w:eastAsia="宋体" w:cs="Times New Roman"/>
                <w:color w:val="auto"/>
                <w:sz w:val="22"/>
                <w:szCs w:val="22"/>
                <w:highlight w:val="none"/>
              </w:rPr>
              <w:t>生产废水处理站主要处理矿山生产废水、经处理后的生活污水以及部分企业周边的山体渗水，处理能力为140t/h。</w:t>
            </w:r>
          </w:p>
        </w:tc>
      </w:tr>
      <w:tr w14:paraId="43B74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63DB2593">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62132F4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3976" w:type="pct"/>
            <w:tcBorders>
              <w:top w:val="single" w:color="auto" w:sz="4" w:space="0"/>
              <w:left w:val="single" w:color="auto" w:sz="4" w:space="0"/>
              <w:bottom w:val="single" w:color="auto" w:sz="4" w:space="0"/>
              <w:right w:val="single" w:color="auto" w:sz="12" w:space="0"/>
            </w:tcBorders>
            <w:noWrap w:val="0"/>
            <w:vAlign w:val="top"/>
          </w:tcPr>
          <w:p w14:paraId="270278B4">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生活污水无统一的收集和处理系统，通过化粪池处理后就近排入排洪隧洞，部分进入生产废水处理站与生产废水一同处理后排入渣滓溪，部分直接排放。</w:t>
            </w:r>
          </w:p>
          <w:p w14:paraId="070D7948">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本次拟“以新带老”，新建生活污水处理站及相关管道，对生活污水进行集中收集和处理，处理后的生活污水送厂内生产废水进一步去除重金属。</w:t>
            </w:r>
          </w:p>
        </w:tc>
      </w:tr>
      <w:tr w14:paraId="0A9C95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043F3227">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345158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3976" w:type="pct"/>
            <w:tcBorders>
              <w:top w:val="single" w:color="auto" w:sz="4" w:space="0"/>
              <w:left w:val="single" w:color="auto" w:sz="4" w:space="0"/>
              <w:bottom w:val="single" w:color="auto" w:sz="4" w:space="0"/>
              <w:right w:val="single" w:color="auto" w:sz="12" w:space="0"/>
            </w:tcBorders>
            <w:noWrap w:val="0"/>
            <w:vAlign w:val="top"/>
          </w:tcPr>
          <w:p w14:paraId="2B055CD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选厂内设置了截排水沟；选矿厂在地势最低点设置了一个10</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容积的初期雨水抽提井，并在雨水抽提井周围建设了积水围堰，用于收集初期雨水，初期雨水抽提至选矿车间内应急池，回用于选矿。选厂后期雨水通过管道排入了排洪隧洞。</w:t>
            </w:r>
          </w:p>
          <w:p w14:paraId="34F420E1">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渣滓溪矿业位于一山谷内，内有一条小溪名为渣滓溪。厂区内贯穿一条地下排洪隧洞，入口位于厂区北侧，出口位于厂区南侧污水处理站下游，用于排泄渣滓溪河水。</w:t>
            </w:r>
          </w:p>
        </w:tc>
      </w:tr>
      <w:tr w14:paraId="48D80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1BF13B99">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tcBorders>
              <w:top w:val="single" w:color="auto" w:sz="4" w:space="0"/>
              <w:left w:val="single" w:color="auto" w:sz="4" w:space="0"/>
              <w:bottom w:val="single" w:color="auto" w:sz="4" w:space="0"/>
              <w:right w:val="single" w:color="auto" w:sz="4" w:space="0"/>
            </w:tcBorders>
            <w:noWrap w:val="0"/>
            <w:vAlign w:val="center"/>
          </w:tcPr>
          <w:p w14:paraId="7BF40909">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供电</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6EF68984">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35KV变电站1座，各分厂或车间分别设置配电室</w:t>
            </w:r>
          </w:p>
        </w:tc>
      </w:tr>
      <w:tr w14:paraId="66F279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restart"/>
            <w:tcBorders>
              <w:top w:val="single" w:color="auto" w:sz="4" w:space="0"/>
              <w:left w:val="single" w:color="auto" w:sz="12" w:space="0"/>
              <w:bottom w:val="single" w:color="auto" w:sz="4" w:space="0"/>
              <w:right w:val="single" w:color="auto" w:sz="4" w:space="0"/>
            </w:tcBorders>
            <w:noWrap w:val="0"/>
            <w:vAlign w:val="center"/>
          </w:tcPr>
          <w:p w14:paraId="5D07FFD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环保工程</w:t>
            </w:r>
          </w:p>
        </w:tc>
        <w:tc>
          <w:tcPr>
            <w:tcW w:w="726"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49D41679">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废气治理</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3A14D11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井下采取湿式凿岩、喷雾洒水、洗壁等降尘措施，采用机械通风对地下采场进行通风换气。</w:t>
            </w:r>
          </w:p>
        </w:tc>
      </w:tr>
      <w:tr w14:paraId="36D53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5689F94E">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1BB1F353">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3976" w:type="pct"/>
            <w:tcBorders>
              <w:top w:val="single" w:color="auto" w:sz="4" w:space="0"/>
              <w:left w:val="single" w:color="auto" w:sz="4" w:space="0"/>
              <w:bottom w:val="single" w:color="auto" w:sz="4" w:space="0"/>
              <w:right w:val="single" w:color="auto" w:sz="12" w:space="0"/>
            </w:tcBorders>
            <w:noWrap w:val="0"/>
            <w:vAlign w:val="top"/>
          </w:tcPr>
          <w:p w14:paraId="22C3FA54">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选厂矿石破碎、筛分将粉尘，主要是通过洒水抑尘处理。</w:t>
            </w:r>
          </w:p>
        </w:tc>
      </w:tr>
      <w:tr w14:paraId="7A7E3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693D19F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restart"/>
            <w:tcBorders>
              <w:top w:val="single" w:color="auto" w:sz="4" w:space="0"/>
              <w:left w:val="single" w:color="auto" w:sz="4" w:space="0"/>
              <w:bottom w:val="single" w:color="auto" w:sz="4" w:space="0"/>
              <w:right w:val="single" w:color="auto" w:sz="4" w:space="0"/>
            </w:tcBorders>
            <w:noWrap w:val="0"/>
            <w:vAlign w:val="center"/>
          </w:tcPr>
          <w:p w14:paraId="374A99B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废水治理</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188B896C">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选矿废水</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53A89F88">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选矿废水主要包括各类浓密水、选厂冲洗水，全部回用于选矿生产；</w:t>
            </w:r>
          </w:p>
        </w:tc>
      </w:tr>
      <w:tr w14:paraId="6DE2E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6AAFE3C1">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continue"/>
            <w:tcBorders>
              <w:top w:val="single" w:color="auto" w:sz="4" w:space="0"/>
              <w:left w:val="single" w:color="auto" w:sz="4" w:space="0"/>
              <w:bottom w:val="single" w:color="auto" w:sz="4" w:space="0"/>
              <w:right w:val="single" w:color="auto" w:sz="4" w:space="0"/>
            </w:tcBorders>
            <w:noWrap w:val="0"/>
            <w:vAlign w:val="center"/>
          </w:tcPr>
          <w:p w14:paraId="342F1740">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538" w:type="pct"/>
            <w:tcBorders>
              <w:top w:val="single" w:color="auto" w:sz="4" w:space="0"/>
              <w:left w:val="single" w:color="auto" w:sz="4" w:space="0"/>
              <w:bottom w:val="single" w:color="auto" w:sz="4" w:space="0"/>
              <w:right w:val="single" w:color="auto" w:sz="4" w:space="0"/>
            </w:tcBorders>
            <w:noWrap w:val="0"/>
            <w:vAlign w:val="center"/>
          </w:tcPr>
          <w:p w14:paraId="41B7EC63">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采矿废水</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6C81FCF2">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井下生产废水和井下涌水通过井下水仓收集后排入480井口循环水池，用于选矿和冶炼，多余的排入废水处理站；</w:t>
            </w:r>
          </w:p>
        </w:tc>
      </w:tr>
      <w:tr w14:paraId="5D3C3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584A51F3">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continue"/>
            <w:tcBorders>
              <w:top w:val="single" w:color="auto" w:sz="4" w:space="0"/>
              <w:left w:val="single" w:color="auto" w:sz="4" w:space="0"/>
              <w:bottom w:val="single" w:color="auto" w:sz="4" w:space="0"/>
              <w:right w:val="single" w:color="auto" w:sz="4" w:space="0"/>
            </w:tcBorders>
            <w:noWrap w:val="0"/>
            <w:vAlign w:val="center"/>
          </w:tcPr>
          <w:p w14:paraId="043C9CB7">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538" w:type="pct"/>
            <w:tcBorders>
              <w:top w:val="single" w:color="auto" w:sz="4" w:space="0"/>
              <w:left w:val="single" w:color="auto" w:sz="4" w:space="0"/>
              <w:bottom w:val="single" w:color="auto" w:sz="4" w:space="0"/>
              <w:right w:val="single" w:color="auto" w:sz="4" w:space="0"/>
            </w:tcBorders>
            <w:noWrap w:val="0"/>
            <w:vAlign w:val="center"/>
          </w:tcPr>
          <w:p w14:paraId="060F0AE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尾矿库废水</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38084EA0">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矿库溢流水和渗滤液通过坝下澄清水池收集后排入480井口循环水池，用于选矿和冶炼，多余的排入废水处理站；</w:t>
            </w:r>
          </w:p>
        </w:tc>
      </w:tr>
      <w:tr w14:paraId="1DB26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6139E7A2">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continue"/>
            <w:tcBorders>
              <w:top w:val="single" w:color="auto" w:sz="4" w:space="0"/>
              <w:left w:val="single" w:color="auto" w:sz="4" w:space="0"/>
              <w:bottom w:val="single" w:color="auto" w:sz="4" w:space="0"/>
              <w:right w:val="single" w:color="auto" w:sz="4" w:space="0"/>
            </w:tcBorders>
            <w:noWrap w:val="0"/>
            <w:vAlign w:val="center"/>
          </w:tcPr>
          <w:p w14:paraId="26C748D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538" w:type="pct"/>
            <w:tcBorders>
              <w:top w:val="single" w:color="auto" w:sz="4" w:space="0"/>
              <w:left w:val="single" w:color="auto" w:sz="4" w:space="0"/>
              <w:bottom w:val="single" w:color="auto" w:sz="4" w:space="0"/>
              <w:right w:val="single" w:color="auto" w:sz="4" w:space="0"/>
            </w:tcBorders>
            <w:noWrap w:val="0"/>
            <w:vAlign w:val="center"/>
          </w:tcPr>
          <w:p w14:paraId="333C147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排洪隧洞水</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0CE28105">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排洪隧洞内有山体渗水，随溪水排放至下游。在隧洞口，部分进入生产废水处理站与生产废水一同处理后排入渣滓溪，部分直接排放。</w:t>
            </w:r>
          </w:p>
        </w:tc>
      </w:tr>
      <w:tr w14:paraId="2C6E15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5366AA5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continue"/>
            <w:tcBorders>
              <w:top w:val="single" w:color="auto" w:sz="4" w:space="0"/>
              <w:left w:val="single" w:color="auto" w:sz="4" w:space="0"/>
              <w:bottom w:val="single" w:color="auto" w:sz="4" w:space="0"/>
              <w:right w:val="single" w:color="auto" w:sz="4" w:space="0"/>
            </w:tcBorders>
            <w:noWrap w:val="0"/>
            <w:vAlign w:val="center"/>
          </w:tcPr>
          <w:p w14:paraId="2AF26639">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538" w:type="pct"/>
            <w:tcBorders>
              <w:top w:val="single" w:color="auto" w:sz="4" w:space="0"/>
              <w:left w:val="single" w:color="auto" w:sz="4" w:space="0"/>
              <w:bottom w:val="single" w:color="auto" w:sz="4" w:space="0"/>
              <w:right w:val="single" w:color="auto" w:sz="4" w:space="0"/>
            </w:tcBorders>
            <w:noWrap w:val="0"/>
            <w:vAlign w:val="center"/>
          </w:tcPr>
          <w:p w14:paraId="342F9B9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生产废水处理站</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29083C48">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老尾矿库下游建有企业生产废水处理站，处理能力为140</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/h，采用混凝沉淀工艺，处理后达标排放至渣滓溪。</w:t>
            </w:r>
          </w:p>
        </w:tc>
      </w:tr>
      <w:tr w14:paraId="0DD6A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519CE460">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continue"/>
            <w:tcBorders>
              <w:top w:val="single" w:color="auto" w:sz="4" w:space="0"/>
              <w:left w:val="single" w:color="auto" w:sz="4" w:space="0"/>
              <w:bottom w:val="single" w:color="auto" w:sz="4" w:space="0"/>
              <w:right w:val="single" w:color="auto" w:sz="4" w:space="0"/>
            </w:tcBorders>
            <w:noWrap w:val="0"/>
            <w:vAlign w:val="center"/>
          </w:tcPr>
          <w:p w14:paraId="6771BF3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538" w:type="pct"/>
            <w:tcBorders>
              <w:top w:val="single" w:color="auto" w:sz="4" w:space="0"/>
              <w:left w:val="single" w:color="auto" w:sz="4" w:space="0"/>
              <w:bottom w:val="single" w:color="auto" w:sz="4" w:space="0"/>
              <w:right w:val="single" w:color="auto" w:sz="4" w:space="0"/>
            </w:tcBorders>
            <w:noWrap w:val="0"/>
            <w:vAlign w:val="center"/>
          </w:tcPr>
          <w:p w14:paraId="1EF2EA9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生活污水</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5160B349">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目前，生活污水未集中收集，各区域生活污水通过化粪池处理，排入排洪隧洞，后经废水处理站处理后达标排放。本次拟“以新带老”，新建生活污水处理站及相关管道，对生活污水进行集中收集和处理，处理后的生活污水送厂内生产废水进一步去除重金属。</w:t>
            </w:r>
          </w:p>
        </w:tc>
      </w:tr>
      <w:tr w14:paraId="09641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067AF25D">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restart"/>
            <w:tcBorders>
              <w:top w:val="single" w:color="auto" w:sz="4" w:space="0"/>
              <w:left w:val="single" w:color="auto" w:sz="4" w:space="0"/>
              <w:bottom w:val="single" w:color="auto" w:sz="4" w:space="0"/>
              <w:right w:val="single" w:color="auto" w:sz="4" w:space="0"/>
            </w:tcBorders>
            <w:noWrap w:val="0"/>
            <w:vAlign w:val="center"/>
          </w:tcPr>
          <w:p w14:paraId="448CEF22">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固废处理</w:t>
            </w:r>
          </w:p>
        </w:tc>
        <w:tc>
          <w:tcPr>
            <w:tcW w:w="538" w:type="pct"/>
            <w:tcBorders>
              <w:top w:val="single" w:color="auto" w:sz="4" w:space="0"/>
              <w:left w:val="single" w:color="auto" w:sz="4" w:space="0"/>
              <w:bottom w:val="single" w:color="auto" w:sz="4" w:space="0"/>
              <w:right w:val="single" w:color="auto" w:sz="4" w:space="0"/>
            </w:tcBorders>
            <w:noWrap w:val="0"/>
            <w:vAlign w:val="center"/>
          </w:tcPr>
          <w:p w14:paraId="4FC2477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尾砂</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0426FE14">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
                <w:color w:val="auto"/>
                <w:sz w:val="22"/>
                <w:szCs w:val="22"/>
                <w:highlight w:val="none"/>
              </w:rPr>
              <w:t>原环评及验收阶段</w:t>
            </w:r>
            <w:r>
              <w:rPr>
                <w:rFonts w:hint="default" w:ascii="Times New Roman" w:hAnsi="Times New Roman" w:eastAsia="宋体" w:cs="Times New Roman"/>
                <w:color w:val="auto"/>
                <w:sz w:val="22"/>
                <w:szCs w:val="22"/>
                <w:highlight w:val="none"/>
              </w:rPr>
              <w:t>：尾砂产生量为473.68t/d，全部堆存至尾矿库。</w:t>
            </w:r>
          </w:p>
          <w:p w14:paraId="36EFB322">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
                <w:color w:val="auto"/>
                <w:sz w:val="22"/>
                <w:szCs w:val="22"/>
                <w:highlight w:val="none"/>
              </w:rPr>
              <w:t>现阶段：</w:t>
            </w:r>
            <w:r>
              <w:rPr>
                <w:rFonts w:hint="default" w:ascii="Times New Roman" w:hAnsi="Times New Roman" w:eastAsia="宋体" w:cs="Times New Roman"/>
                <w:color w:val="auto"/>
                <w:sz w:val="22"/>
                <w:szCs w:val="22"/>
                <w:highlight w:val="none"/>
              </w:rPr>
              <w:t>2018年建设充填站后，尾砂产生量为473.68t/d，其中154.56t/d尾砂用于井下充填，剩余319.12t/d尾砂排放至尾矿库。</w:t>
            </w:r>
          </w:p>
        </w:tc>
      </w:tr>
      <w:tr w14:paraId="55EB96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38F13192">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continue"/>
            <w:tcBorders>
              <w:top w:val="single" w:color="auto" w:sz="4" w:space="0"/>
              <w:left w:val="single" w:color="auto" w:sz="4" w:space="0"/>
              <w:bottom w:val="single" w:color="auto" w:sz="4" w:space="0"/>
              <w:right w:val="single" w:color="auto" w:sz="4" w:space="0"/>
            </w:tcBorders>
            <w:noWrap w:val="0"/>
            <w:vAlign w:val="center"/>
          </w:tcPr>
          <w:p w14:paraId="6F6EF42A">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538" w:type="pct"/>
            <w:tcBorders>
              <w:top w:val="single" w:color="auto" w:sz="4" w:space="0"/>
              <w:left w:val="single" w:color="auto" w:sz="4" w:space="0"/>
              <w:bottom w:val="single" w:color="auto" w:sz="4" w:space="0"/>
              <w:right w:val="single" w:color="auto" w:sz="4" w:space="0"/>
            </w:tcBorders>
            <w:noWrap w:val="0"/>
            <w:vAlign w:val="center"/>
          </w:tcPr>
          <w:p w14:paraId="3576F4CB">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采矿废石</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574A003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cs="Times New Roman"/>
                <w:color w:val="auto"/>
                <w:sz w:val="22"/>
                <w:szCs w:val="22"/>
                <w:highlight w:val="none"/>
                <w:lang w:val="en-US" w:eastAsia="zh-CN"/>
              </w:rPr>
              <w:t>采矿废石产生量为105t/a，</w:t>
            </w:r>
            <w:r>
              <w:rPr>
                <w:rFonts w:hint="default" w:ascii="Times New Roman" w:hAnsi="Times New Roman" w:eastAsia="宋体" w:cs="Times New Roman"/>
                <w:color w:val="auto"/>
                <w:sz w:val="22"/>
                <w:szCs w:val="22"/>
                <w:highlight w:val="none"/>
              </w:rPr>
              <w:t>90%不出井，剩余10%采矿废石和选厂废石临时堆存至废石堆场，随后用于井下充填，剩余的外售做建材。</w:t>
            </w:r>
          </w:p>
        </w:tc>
      </w:tr>
      <w:tr w14:paraId="00FA62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026EC82D">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continue"/>
            <w:tcBorders>
              <w:top w:val="single" w:color="auto" w:sz="4" w:space="0"/>
              <w:left w:val="single" w:color="auto" w:sz="4" w:space="0"/>
              <w:bottom w:val="single" w:color="auto" w:sz="4" w:space="0"/>
              <w:right w:val="single" w:color="auto" w:sz="4" w:space="0"/>
            </w:tcBorders>
            <w:noWrap w:val="0"/>
            <w:vAlign w:val="center"/>
          </w:tcPr>
          <w:p w14:paraId="38F6153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538" w:type="pct"/>
            <w:tcBorders>
              <w:top w:val="single" w:color="auto" w:sz="4" w:space="0"/>
              <w:left w:val="single" w:color="auto" w:sz="4" w:space="0"/>
              <w:bottom w:val="single" w:color="auto" w:sz="4" w:space="0"/>
              <w:right w:val="single" w:color="auto" w:sz="4" w:space="0"/>
            </w:tcBorders>
            <w:noWrap w:val="0"/>
            <w:vAlign w:val="center"/>
          </w:tcPr>
          <w:p w14:paraId="41BAE6DC">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选矿废石</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600AC1DE">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原环评及验收阶段：</w:t>
            </w:r>
            <w:r>
              <w:rPr>
                <w:rFonts w:hint="default" w:ascii="Times New Roman" w:hAnsi="Times New Roman" w:cs="Times New Roman"/>
                <w:b/>
                <w:color w:val="auto"/>
                <w:sz w:val="22"/>
                <w:szCs w:val="22"/>
                <w:highlight w:val="none"/>
                <w:lang w:val="en-US" w:eastAsia="zh-CN"/>
              </w:rPr>
              <w:t>手选</w:t>
            </w:r>
            <w:r>
              <w:rPr>
                <w:rFonts w:hint="default" w:ascii="Times New Roman" w:hAnsi="Times New Roman" w:eastAsia="宋体" w:cs="Times New Roman"/>
                <w:color w:val="auto"/>
                <w:sz w:val="22"/>
                <w:szCs w:val="22"/>
                <w:highlight w:val="none"/>
              </w:rPr>
              <w:t>产生量为190t/d，临时堆存于废石场，后用于井下充填。</w:t>
            </w:r>
          </w:p>
          <w:p w14:paraId="243C4A55">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现阶段：</w:t>
            </w:r>
            <w:r>
              <w:rPr>
                <w:rFonts w:hint="default" w:ascii="Times New Roman" w:hAnsi="Times New Roman" w:cs="Times New Roman"/>
                <w:b/>
                <w:color w:val="auto"/>
                <w:sz w:val="22"/>
                <w:szCs w:val="22"/>
                <w:highlight w:val="none"/>
                <w:lang w:val="en-US" w:eastAsia="zh-CN"/>
              </w:rPr>
              <w:t>智能分选机废石</w:t>
            </w:r>
            <w:r>
              <w:rPr>
                <w:rFonts w:hint="default" w:ascii="Times New Roman" w:hAnsi="Times New Roman" w:eastAsia="宋体" w:cs="Times New Roman"/>
                <w:color w:val="auto"/>
                <w:sz w:val="22"/>
                <w:szCs w:val="22"/>
                <w:highlight w:val="none"/>
              </w:rPr>
              <w:t>产生量为</w:t>
            </w:r>
            <w:r>
              <w:rPr>
                <w:rFonts w:hint="default" w:ascii="Times New Roman" w:hAnsi="Times New Roman" w:cs="Times New Roman"/>
                <w:color w:val="auto"/>
                <w:sz w:val="22"/>
                <w:szCs w:val="22"/>
                <w:highlight w:val="none"/>
                <w:lang w:val="en-US" w:eastAsia="zh-CN"/>
              </w:rPr>
              <w:t>19</w:t>
            </w:r>
            <w:r>
              <w:rPr>
                <w:rFonts w:hint="default" w:ascii="Times New Roman" w:hAnsi="Times New Roman" w:eastAsia="宋体" w:cs="Times New Roman"/>
                <w:color w:val="auto"/>
                <w:sz w:val="22"/>
                <w:szCs w:val="22"/>
                <w:highlight w:val="none"/>
              </w:rPr>
              <w:t>0t/d，临时堆存于废石场，部分用于井下充填，剩余的外售做建材。</w:t>
            </w:r>
          </w:p>
        </w:tc>
      </w:tr>
      <w:tr w14:paraId="55D775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2B106D61">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continue"/>
            <w:tcBorders>
              <w:top w:val="single" w:color="auto" w:sz="4" w:space="0"/>
              <w:left w:val="single" w:color="auto" w:sz="4" w:space="0"/>
              <w:bottom w:val="single" w:color="auto" w:sz="4" w:space="0"/>
              <w:right w:val="single" w:color="auto" w:sz="4" w:space="0"/>
            </w:tcBorders>
            <w:noWrap w:val="0"/>
            <w:vAlign w:val="center"/>
          </w:tcPr>
          <w:p w14:paraId="10E11891">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538" w:type="pct"/>
            <w:tcBorders>
              <w:top w:val="single" w:color="auto" w:sz="4" w:space="0"/>
              <w:left w:val="single" w:color="auto" w:sz="4" w:space="0"/>
              <w:bottom w:val="single" w:color="auto" w:sz="4" w:space="0"/>
              <w:right w:val="single" w:color="auto" w:sz="4" w:space="0"/>
            </w:tcBorders>
            <w:noWrap w:val="0"/>
            <w:vAlign w:val="center"/>
          </w:tcPr>
          <w:p w14:paraId="714D626D">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生活垃圾</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51050BB5">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在厂内收集，定期交由乡镇环卫部门处理。</w:t>
            </w:r>
          </w:p>
        </w:tc>
      </w:tr>
      <w:tr w14:paraId="53060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2CE5422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continue"/>
            <w:tcBorders>
              <w:top w:val="single" w:color="auto" w:sz="4" w:space="0"/>
              <w:left w:val="single" w:color="auto" w:sz="4" w:space="0"/>
              <w:bottom w:val="single" w:color="auto" w:sz="4" w:space="0"/>
              <w:right w:val="single" w:color="auto" w:sz="4" w:space="0"/>
            </w:tcBorders>
            <w:noWrap w:val="0"/>
            <w:vAlign w:val="center"/>
          </w:tcPr>
          <w:p w14:paraId="6BB783D1">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538" w:type="pct"/>
            <w:tcBorders>
              <w:top w:val="single" w:color="auto" w:sz="4" w:space="0"/>
              <w:left w:val="single" w:color="auto" w:sz="4" w:space="0"/>
              <w:bottom w:val="single" w:color="auto" w:sz="4" w:space="0"/>
              <w:right w:val="single" w:color="auto" w:sz="4" w:space="0"/>
            </w:tcBorders>
            <w:noWrap w:val="0"/>
            <w:vAlign w:val="center"/>
          </w:tcPr>
          <w:p w14:paraId="1C6AF92A">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废水处理站污泥</w:t>
            </w:r>
          </w:p>
        </w:tc>
        <w:tc>
          <w:tcPr>
            <w:tcW w:w="3977" w:type="pct"/>
            <w:gridSpan w:val="2"/>
            <w:tcBorders>
              <w:top w:val="single" w:color="auto" w:sz="4" w:space="0"/>
              <w:left w:val="single" w:color="auto" w:sz="4" w:space="0"/>
              <w:bottom w:val="single" w:color="auto" w:sz="4" w:space="0"/>
              <w:right w:val="single" w:color="auto" w:sz="12" w:space="0"/>
            </w:tcBorders>
            <w:noWrap w:val="0"/>
            <w:vAlign w:val="center"/>
          </w:tcPr>
          <w:p w14:paraId="003AF68A">
            <w:pPr>
              <w:pStyle w:val="39"/>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排放至尾矿库。</w:t>
            </w:r>
          </w:p>
        </w:tc>
      </w:tr>
      <w:tr w14:paraId="6C699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3AE15B5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186" w:type="pct"/>
            <w:vMerge w:val="continue"/>
            <w:tcBorders>
              <w:top w:val="single" w:color="auto" w:sz="4" w:space="0"/>
              <w:left w:val="single" w:color="auto" w:sz="4" w:space="0"/>
              <w:bottom w:val="single" w:color="auto" w:sz="4" w:space="0"/>
              <w:right w:val="single" w:color="auto" w:sz="4" w:space="0"/>
            </w:tcBorders>
            <w:noWrap w:val="0"/>
            <w:vAlign w:val="center"/>
          </w:tcPr>
          <w:p w14:paraId="777AD2B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538" w:type="pct"/>
            <w:tcBorders>
              <w:top w:val="single" w:color="auto" w:sz="4" w:space="0"/>
              <w:left w:val="single" w:color="auto" w:sz="4" w:space="0"/>
              <w:bottom w:val="single" w:color="auto" w:sz="4" w:space="0"/>
              <w:right w:val="single" w:color="auto" w:sz="4" w:space="0"/>
            </w:tcBorders>
            <w:noWrap w:val="0"/>
            <w:vAlign w:val="center"/>
          </w:tcPr>
          <w:p w14:paraId="18DE6A7E">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危险废物</w:t>
            </w:r>
          </w:p>
        </w:tc>
        <w:tc>
          <w:tcPr>
            <w:tcW w:w="3977" w:type="pct"/>
            <w:gridSpan w:val="2"/>
            <w:tcBorders>
              <w:top w:val="single" w:color="auto" w:sz="4" w:space="0"/>
              <w:left w:val="single" w:color="auto" w:sz="4" w:space="0"/>
              <w:bottom w:val="single" w:color="auto" w:sz="4" w:space="0"/>
              <w:right w:val="single" w:color="auto" w:sz="12" w:space="0"/>
            </w:tcBorders>
            <w:noWrap w:val="0"/>
            <w:vAlign w:val="top"/>
          </w:tcPr>
          <w:p w14:paraId="661682F4">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采选危险废物主要是采选过程中产生的危险废物主要是废机油、空油桶。储存在选厂危废临时储存点内，废机油复用于采矿设备润滑，空油桶等交由益阳鑫诚环境科技有限公司处置。</w:t>
            </w:r>
          </w:p>
        </w:tc>
      </w:tr>
      <w:tr w14:paraId="724566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7EE60B41">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1A7EA0E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地下水污染防治</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5081706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选厂地面全部使用混凝土硬化；尾矿库采用采用HDPE膜防渗；选厂事故池、尾矿库渗滤液回水池、各循环水池、污水处理站等均进行了防渗。</w:t>
            </w:r>
          </w:p>
        </w:tc>
      </w:tr>
      <w:tr w14:paraId="6C20F6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090F1C4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2186E1D4">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3976" w:type="pct"/>
            <w:tcBorders>
              <w:top w:val="single" w:color="auto" w:sz="4" w:space="0"/>
              <w:left w:val="single" w:color="auto" w:sz="4" w:space="0"/>
              <w:bottom w:val="single" w:color="auto" w:sz="4" w:space="0"/>
              <w:right w:val="single" w:color="auto" w:sz="12" w:space="0"/>
            </w:tcBorders>
            <w:noWrap w:val="0"/>
            <w:vAlign w:val="top"/>
          </w:tcPr>
          <w:p w14:paraId="6AE2BBD3">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厂区内共设置了5座地下水监控井。</w:t>
            </w:r>
          </w:p>
        </w:tc>
      </w:tr>
      <w:tr w14:paraId="61866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4" w:space="0"/>
              <w:right w:val="single" w:color="auto" w:sz="4" w:space="0"/>
            </w:tcBorders>
            <w:noWrap w:val="0"/>
            <w:vAlign w:val="center"/>
          </w:tcPr>
          <w:p w14:paraId="0C046435">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60D8767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环境风险管控</w:t>
            </w:r>
          </w:p>
        </w:tc>
        <w:tc>
          <w:tcPr>
            <w:tcW w:w="3976" w:type="pct"/>
            <w:tcBorders>
              <w:top w:val="single" w:color="auto" w:sz="4" w:space="0"/>
              <w:left w:val="single" w:color="auto" w:sz="4" w:space="0"/>
              <w:bottom w:val="single" w:color="auto" w:sz="4" w:space="0"/>
              <w:right w:val="single" w:color="auto" w:sz="12" w:space="0"/>
            </w:tcBorders>
            <w:noWrap w:val="0"/>
            <w:vAlign w:val="top"/>
          </w:tcPr>
          <w:p w14:paraId="13D8D701">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企业按要求编制了突发环境事件应急预案，最近一次修编为2021年.</w:t>
            </w:r>
          </w:p>
        </w:tc>
      </w:tr>
      <w:tr w14:paraId="1C12E7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6" w:type="pct"/>
            <w:vMerge w:val="continue"/>
            <w:tcBorders>
              <w:top w:val="single" w:color="auto" w:sz="4" w:space="0"/>
              <w:left w:val="single" w:color="auto" w:sz="12" w:space="0"/>
              <w:bottom w:val="single" w:color="auto" w:sz="12" w:space="0"/>
              <w:right w:val="single" w:color="auto" w:sz="4" w:space="0"/>
            </w:tcBorders>
            <w:noWrap w:val="0"/>
            <w:vAlign w:val="center"/>
          </w:tcPr>
          <w:p w14:paraId="168DAC79">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726" w:type="pct"/>
            <w:gridSpan w:val="3"/>
            <w:vMerge w:val="continue"/>
            <w:tcBorders>
              <w:top w:val="single" w:color="auto" w:sz="4" w:space="0"/>
              <w:left w:val="single" w:color="auto" w:sz="4" w:space="0"/>
              <w:bottom w:val="single" w:color="auto" w:sz="12" w:space="0"/>
              <w:right w:val="single" w:color="auto" w:sz="4" w:space="0"/>
            </w:tcBorders>
            <w:noWrap w:val="0"/>
            <w:vAlign w:val="center"/>
          </w:tcPr>
          <w:p w14:paraId="563C027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3976" w:type="pct"/>
            <w:tcBorders>
              <w:top w:val="single" w:color="auto" w:sz="4" w:space="0"/>
              <w:left w:val="single" w:color="auto" w:sz="4" w:space="0"/>
              <w:bottom w:val="single" w:color="auto" w:sz="12" w:space="0"/>
              <w:right w:val="single" w:color="auto" w:sz="12" w:space="0"/>
            </w:tcBorders>
            <w:noWrap w:val="0"/>
            <w:vAlign w:val="top"/>
          </w:tcPr>
          <w:p w14:paraId="2D9C65DD">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企业按要求编制了《湖南安化渣滓溪矿业有限公司土壤污染隐患排查报告》，最近一次修编为2022年。</w:t>
            </w:r>
          </w:p>
        </w:tc>
      </w:tr>
    </w:tbl>
    <w:p w14:paraId="41C1B300">
      <w:pPr>
        <w:widowControl w:val="0"/>
        <w:pBdr>
          <w:top w:val="none" w:color="auto" w:sz="0" w:space="1"/>
          <w:left w:val="none" w:color="auto" w:sz="0" w:space="4"/>
          <w:bottom w:val="none" w:color="auto" w:sz="0" w:space="1"/>
          <w:right w:val="none" w:color="auto" w:sz="0" w:space="4"/>
        </w:pBdr>
        <w:bidi w:val="0"/>
        <w:jc w:val="center"/>
        <w:rPr>
          <w:rFonts w:hint="default" w:ascii="Times New Roman" w:hAnsi="Times New Roman" w:eastAsia="宋体" w:cs="Times New Roman"/>
          <w:color w:val="auto"/>
          <w:kern w:val="2"/>
          <w:sz w:val="22"/>
          <w:szCs w:val="22"/>
          <w:highlight w:val="none"/>
          <w:lang w:val="en-US" w:eastAsia="zh-CN" w:bidi="ar-SA"/>
        </w:rPr>
      </w:pPr>
    </w:p>
    <w:p w14:paraId="37DA36EC">
      <w:pPr>
        <w:keepNext/>
        <w:keepLines/>
        <w:widowControl w:val="0"/>
        <w:numPr>
          <w:ilvl w:val="3"/>
          <w:numId w:val="2"/>
        </w:numPr>
        <w:bidi w:val="0"/>
        <w:spacing w:before="20" w:after="20" w:line="360" w:lineRule="auto"/>
        <w:ind w:firstLine="200" w:firstLineChars="0"/>
        <w:jc w:val="left"/>
        <w:outlineLvl w:val="3"/>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开拓</w:t>
      </w:r>
      <w:r>
        <w:rPr>
          <w:rFonts w:hint="eastAsia" w:ascii="Times New Roman" w:hAnsi="Times New Roman" w:eastAsia="宋体" w:cs="Times New Roman"/>
          <w:b/>
          <w:bCs/>
          <w:color w:val="auto"/>
          <w:kern w:val="2"/>
          <w:sz w:val="24"/>
          <w:szCs w:val="24"/>
          <w:highlight w:val="none"/>
          <w:lang w:val="en-US" w:eastAsia="zh-CN" w:bidi="ar-SA"/>
        </w:rPr>
        <w:t>运输</w:t>
      </w:r>
      <w:r>
        <w:rPr>
          <w:rFonts w:hint="default" w:ascii="Times New Roman" w:hAnsi="Times New Roman" w:eastAsia="宋体" w:cs="Times New Roman"/>
          <w:b/>
          <w:bCs/>
          <w:color w:val="auto"/>
          <w:kern w:val="2"/>
          <w:sz w:val="24"/>
          <w:szCs w:val="24"/>
          <w:highlight w:val="none"/>
          <w:lang w:val="en-US" w:eastAsia="zh-CN" w:bidi="ar-SA"/>
        </w:rPr>
        <w:t>系统</w:t>
      </w:r>
    </w:p>
    <w:p w14:paraId="38E86507">
      <w:pPr>
        <w:widowControl w:val="0"/>
        <w:spacing w:line="360" w:lineRule="auto"/>
        <w:ind w:firstLine="482" w:firstLineChars="200"/>
        <w:jc w:val="both"/>
        <w:rPr>
          <w:rFonts w:hint="default"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一、开拓系统</w:t>
      </w:r>
    </w:p>
    <w:p w14:paraId="73AC90AC">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目前，企业已形成开拓井口</w:t>
      </w:r>
      <w:r>
        <w:rPr>
          <w:rFonts w:hint="eastAsia" w:ascii="Times New Roman" w:hAnsi="Times New Roman" w:eastAsia="宋体" w:cs="Times New Roman"/>
          <w:color w:val="auto"/>
          <w:kern w:val="2"/>
          <w:sz w:val="24"/>
          <w:highlight w:val="none"/>
          <w:lang w:val="en-US" w:eastAsia="zh-CN" w:bidi="ar-SA"/>
        </w:rPr>
        <w:t>3</w:t>
      </w:r>
      <w:r>
        <w:rPr>
          <w:rFonts w:hint="default" w:ascii="Times New Roman" w:hAnsi="Times New Roman" w:eastAsia="宋体" w:cs="Times New Roman"/>
          <w:color w:val="auto"/>
          <w:kern w:val="2"/>
          <w:sz w:val="24"/>
          <w:highlight w:val="none"/>
          <w:lang w:val="en-US" w:eastAsia="zh-CN" w:bidi="ar-SA"/>
        </w:rPr>
        <w:t>处</w:t>
      </w:r>
      <w:r>
        <w:rPr>
          <w:rFonts w:hint="eastAsia" w:ascii="Times New Roman" w:hAnsi="Times New Roman" w:eastAsia="宋体" w:cs="Times New Roman"/>
          <w:color w:val="auto"/>
          <w:kern w:val="2"/>
          <w:sz w:val="24"/>
          <w:highlight w:val="none"/>
          <w:lang w:val="en-US" w:eastAsia="zh-CN" w:bidi="ar-SA"/>
        </w:rPr>
        <w:t>，分别为主井、风井、325平硐（副井）。渣滓溪锑矿主要井筒基本信息如下：</w:t>
      </w:r>
    </w:p>
    <w:p w14:paraId="117B7C2D">
      <w:pPr>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3</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渣滓溪锑矿主要</w:t>
      </w:r>
      <w:r>
        <w:rPr>
          <w:rFonts w:hint="eastAsia" w:ascii="Times New Roman" w:hAnsi="Times New Roman" w:eastAsia="黑体" w:cs="Times New Roman"/>
          <w:color w:val="auto"/>
          <w:kern w:val="2"/>
          <w:sz w:val="24"/>
          <w:highlight w:val="none"/>
          <w:lang w:val="en-US" w:eastAsia="zh-CN" w:bidi="ar-SA"/>
        </w:rPr>
        <w:t>井筒</w:t>
      </w:r>
      <w:r>
        <w:rPr>
          <w:rFonts w:hint="default" w:ascii="Times New Roman" w:hAnsi="Times New Roman" w:eastAsia="黑体" w:cs="Times New Roman"/>
          <w:color w:val="auto"/>
          <w:kern w:val="2"/>
          <w:sz w:val="24"/>
          <w:highlight w:val="none"/>
          <w:lang w:val="en-US" w:eastAsia="zh-CN" w:bidi="ar-SA"/>
        </w:rPr>
        <w:t>信息一览表</w:t>
      </w:r>
    </w:p>
    <w:tbl>
      <w:tblPr>
        <w:tblStyle w:val="5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63"/>
        <w:gridCol w:w="2108"/>
        <w:gridCol w:w="2302"/>
        <w:gridCol w:w="1264"/>
        <w:gridCol w:w="816"/>
        <w:gridCol w:w="999"/>
      </w:tblGrid>
      <w:tr w14:paraId="4EC28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63" w:type="pct"/>
            <w:vMerge w:val="restart"/>
            <w:tcBorders>
              <w:tl2br w:val="nil"/>
              <w:tr2bl w:val="nil"/>
            </w:tcBorders>
            <w:vAlign w:val="top"/>
          </w:tcPr>
          <w:p w14:paraId="4A106605">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名称</w:t>
            </w:r>
          </w:p>
        </w:tc>
        <w:tc>
          <w:tcPr>
            <w:tcW w:w="2435" w:type="pct"/>
            <w:gridSpan w:val="2"/>
            <w:tcBorders>
              <w:tl2br w:val="nil"/>
              <w:tr2bl w:val="nil"/>
            </w:tcBorders>
            <w:vAlign w:val="top"/>
          </w:tcPr>
          <w:p w14:paraId="6BC23951">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井口坐标</w:t>
            </w:r>
          </w:p>
        </w:tc>
        <w:tc>
          <w:tcPr>
            <w:tcW w:w="698" w:type="pct"/>
            <w:vMerge w:val="restart"/>
            <w:tcBorders>
              <w:tl2br w:val="nil"/>
              <w:tr2bl w:val="nil"/>
            </w:tcBorders>
            <w:vAlign w:val="top"/>
          </w:tcPr>
          <w:p w14:paraId="41ABDC7F">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H</w:t>
            </w:r>
          </w:p>
        </w:tc>
        <w:tc>
          <w:tcPr>
            <w:tcW w:w="450" w:type="pct"/>
            <w:vMerge w:val="restart"/>
            <w:tcBorders>
              <w:tl2br w:val="nil"/>
              <w:tr2bl w:val="nil"/>
            </w:tcBorders>
            <w:vAlign w:val="top"/>
          </w:tcPr>
          <w:p w14:paraId="292217C7">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α</w:t>
            </w:r>
          </w:p>
        </w:tc>
        <w:tc>
          <w:tcPr>
            <w:tcW w:w="551" w:type="pct"/>
            <w:vMerge w:val="restart"/>
            <w:tcBorders>
              <w:tl2br w:val="nil"/>
              <w:tr2bl w:val="nil"/>
            </w:tcBorders>
            <w:vAlign w:val="top"/>
          </w:tcPr>
          <w:p w14:paraId="1AB8530F">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β</w:t>
            </w:r>
          </w:p>
        </w:tc>
      </w:tr>
      <w:tr w14:paraId="533753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63" w:type="pct"/>
            <w:vMerge w:val="continue"/>
            <w:tcBorders>
              <w:tl2br w:val="nil"/>
              <w:tr2bl w:val="nil"/>
            </w:tcBorders>
            <w:vAlign w:val="top"/>
          </w:tcPr>
          <w:p w14:paraId="01F668D0">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p>
        </w:tc>
        <w:tc>
          <w:tcPr>
            <w:tcW w:w="1164" w:type="pct"/>
            <w:tcBorders>
              <w:tl2br w:val="nil"/>
              <w:tr2bl w:val="nil"/>
            </w:tcBorders>
            <w:vAlign w:val="top"/>
          </w:tcPr>
          <w:p w14:paraId="683AF1C3">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X</w:t>
            </w:r>
          </w:p>
        </w:tc>
        <w:tc>
          <w:tcPr>
            <w:tcW w:w="1271" w:type="pct"/>
            <w:tcBorders>
              <w:tl2br w:val="nil"/>
              <w:tr2bl w:val="nil"/>
            </w:tcBorders>
            <w:vAlign w:val="top"/>
          </w:tcPr>
          <w:p w14:paraId="02048777">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Y</w:t>
            </w:r>
          </w:p>
        </w:tc>
        <w:tc>
          <w:tcPr>
            <w:tcW w:w="698" w:type="pct"/>
            <w:vMerge w:val="continue"/>
            <w:tcBorders>
              <w:tl2br w:val="nil"/>
              <w:tr2bl w:val="nil"/>
            </w:tcBorders>
            <w:vAlign w:val="top"/>
          </w:tcPr>
          <w:p w14:paraId="78673D9A">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p>
        </w:tc>
        <w:tc>
          <w:tcPr>
            <w:tcW w:w="450" w:type="pct"/>
            <w:vMerge w:val="continue"/>
            <w:tcBorders>
              <w:tl2br w:val="nil"/>
              <w:tr2bl w:val="nil"/>
            </w:tcBorders>
            <w:vAlign w:val="top"/>
          </w:tcPr>
          <w:p w14:paraId="4E11BAE5">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p>
        </w:tc>
        <w:tc>
          <w:tcPr>
            <w:tcW w:w="551" w:type="pct"/>
            <w:vMerge w:val="continue"/>
            <w:tcBorders>
              <w:tl2br w:val="nil"/>
              <w:tr2bl w:val="nil"/>
            </w:tcBorders>
            <w:vAlign w:val="top"/>
          </w:tcPr>
          <w:p w14:paraId="0211CF33">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p>
        </w:tc>
      </w:tr>
      <w:tr w14:paraId="2FCAB1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63" w:type="pct"/>
            <w:tcBorders>
              <w:tl2br w:val="nil"/>
              <w:tr2bl w:val="nil"/>
            </w:tcBorders>
            <w:vAlign w:val="top"/>
          </w:tcPr>
          <w:p w14:paraId="0B758309">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主井</w:t>
            </w:r>
          </w:p>
        </w:tc>
        <w:tc>
          <w:tcPr>
            <w:tcW w:w="1164" w:type="pct"/>
            <w:tcBorders>
              <w:tl2br w:val="nil"/>
              <w:tr2bl w:val="nil"/>
            </w:tcBorders>
            <w:vAlign w:val="top"/>
          </w:tcPr>
          <w:p w14:paraId="342E61C5">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hint="eastAsia" w:ascii="Times New Roman" w:hAnsi="Times New Roman" w:eastAsia="宋体" w:cs="Times New Roman"/>
                <w:color w:val="auto"/>
                <w:kern w:val="2"/>
                <w:sz w:val="22"/>
                <w:szCs w:val="22"/>
                <w:highlight w:val="none"/>
                <w:lang w:val="en-US" w:eastAsia="en-US" w:bidi="ar-SA"/>
              </w:rPr>
              <w:t>110.83429562</w:t>
            </w:r>
          </w:p>
        </w:tc>
        <w:tc>
          <w:tcPr>
            <w:tcW w:w="1271" w:type="pct"/>
            <w:tcBorders>
              <w:tl2br w:val="nil"/>
              <w:tr2bl w:val="nil"/>
            </w:tcBorders>
            <w:vAlign w:val="top"/>
          </w:tcPr>
          <w:p w14:paraId="73A74FBA">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hint="eastAsia" w:ascii="Times New Roman" w:hAnsi="Times New Roman" w:eastAsia="宋体" w:cs="Times New Roman"/>
                <w:color w:val="auto"/>
                <w:kern w:val="2"/>
                <w:sz w:val="22"/>
                <w:szCs w:val="22"/>
                <w:highlight w:val="none"/>
                <w:lang w:val="en-US" w:eastAsia="en-US" w:bidi="ar-SA"/>
              </w:rPr>
              <w:t>28.26204275</w:t>
            </w:r>
          </w:p>
        </w:tc>
        <w:tc>
          <w:tcPr>
            <w:tcW w:w="698" w:type="pct"/>
            <w:tcBorders>
              <w:tl2br w:val="nil"/>
              <w:tr2bl w:val="nil"/>
            </w:tcBorders>
            <w:vAlign w:val="top"/>
          </w:tcPr>
          <w:p w14:paraId="571FD281">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354.430</w:t>
            </w:r>
          </w:p>
        </w:tc>
        <w:tc>
          <w:tcPr>
            <w:tcW w:w="450" w:type="pct"/>
            <w:tcBorders>
              <w:tl2br w:val="nil"/>
              <w:tr2bl w:val="nil"/>
            </w:tcBorders>
            <w:vAlign w:val="top"/>
          </w:tcPr>
          <w:p w14:paraId="66D5E58C">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35 °</w:t>
            </w:r>
          </w:p>
        </w:tc>
        <w:tc>
          <w:tcPr>
            <w:tcW w:w="551" w:type="pct"/>
            <w:tcBorders>
              <w:tl2br w:val="nil"/>
              <w:tr2bl w:val="nil"/>
            </w:tcBorders>
            <w:vAlign w:val="top"/>
          </w:tcPr>
          <w:p w14:paraId="47D102FE">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85 °</w:t>
            </w:r>
          </w:p>
        </w:tc>
      </w:tr>
      <w:tr w14:paraId="1A53A8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63" w:type="pct"/>
            <w:tcBorders>
              <w:tl2br w:val="nil"/>
              <w:tr2bl w:val="nil"/>
            </w:tcBorders>
            <w:vAlign w:val="top"/>
          </w:tcPr>
          <w:p w14:paraId="256A78FE">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+325平硐</w:t>
            </w:r>
          </w:p>
        </w:tc>
        <w:tc>
          <w:tcPr>
            <w:tcW w:w="1164" w:type="pct"/>
            <w:tcBorders>
              <w:tl2br w:val="nil"/>
              <w:tr2bl w:val="nil"/>
            </w:tcBorders>
            <w:vAlign w:val="top"/>
          </w:tcPr>
          <w:p w14:paraId="115AB0B1">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hint="default" w:ascii="Times New Roman" w:hAnsi="Times New Roman" w:eastAsia="宋体" w:cs="Times New Roman"/>
                <w:color w:val="auto"/>
                <w:kern w:val="2"/>
                <w:sz w:val="22"/>
                <w:szCs w:val="22"/>
                <w:highlight w:val="none"/>
                <w:lang w:val="en-US" w:eastAsia="zh-CN" w:bidi="ar-SA"/>
              </w:rPr>
              <w:t>3127767.735</w:t>
            </w:r>
          </w:p>
        </w:tc>
        <w:tc>
          <w:tcPr>
            <w:tcW w:w="1271" w:type="pct"/>
            <w:tcBorders>
              <w:tl2br w:val="nil"/>
              <w:tr2bl w:val="nil"/>
            </w:tcBorders>
            <w:vAlign w:val="top"/>
          </w:tcPr>
          <w:p w14:paraId="2EE418CA">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hint="default" w:ascii="Times New Roman" w:hAnsi="Times New Roman" w:eastAsia="宋体" w:cs="Times New Roman"/>
                <w:color w:val="auto"/>
                <w:kern w:val="2"/>
                <w:sz w:val="22"/>
                <w:szCs w:val="22"/>
                <w:highlight w:val="none"/>
                <w:lang w:val="en-US" w:eastAsia="zh-CN" w:bidi="ar-SA"/>
              </w:rPr>
              <w:t>37483997.212</w:t>
            </w:r>
          </w:p>
        </w:tc>
        <w:tc>
          <w:tcPr>
            <w:tcW w:w="698" w:type="pct"/>
            <w:tcBorders>
              <w:tl2br w:val="nil"/>
              <w:tr2bl w:val="nil"/>
            </w:tcBorders>
            <w:vAlign w:val="top"/>
          </w:tcPr>
          <w:p w14:paraId="2082FA67">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325.510</w:t>
            </w:r>
          </w:p>
        </w:tc>
        <w:tc>
          <w:tcPr>
            <w:tcW w:w="450" w:type="pct"/>
            <w:tcBorders>
              <w:tl2br w:val="nil"/>
              <w:tr2bl w:val="nil"/>
            </w:tcBorders>
            <w:vAlign w:val="top"/>
          </w:tcPr>
          <w:p w14:paraId="65083E00">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p>
        </w:tc>
        <w:tc>
          <w:tcPr>
            <w:tcW w:w="551" w:type="pct"/>
            <w:tcBorders>
              <w:tl2br w:val="nil"/>
              <w:tr2bl w:val="nil"/>
            </w:tcBorders>
            <w:vAlign w:val="top"/>
          </w:tcPr>
          <w:p w14:paraId="5F88A55D">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223 °</w:t>
            </w:r>
          </w:p>
        </w:tc>
      </w:tr>
      <w:tr w14:paraId="6180F5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63" w:type="pct"/>
            <w:tcBorders>
              <w:tl2br w:val="nil"/>
              <w:tr2bl w:val="nil"/>
            </w:tcBorders>
            <w:vAlign w:val="top"/>
          </w:tcPr>
          <w:p w14:paraId="7DEC5F34">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风井</w:t>
            </w:r>
          </w:p>
        </w:tc>
        <w:tc>
          <w:tcPr>
            <w:tcW w:w="1164" w:type="pct"/>
            <w:tcBorders>
              <w:tl2br w:val="nil"/>
              <w:tr2bl w:val="nil"/>
            </w:tcBorders>
            <w:vAlign w:val="top"/>
          </w:tcPr>
          <w:p w14:paraId="293464C1">
            <w:pPr>
              <w:widowControl w:val="0"/>
              <w:pBdr>
                <w:top w:val="none" w:color="auto" w:sz="0" w:space="1"/>
                <w:left w:val="none" w:color="auto" w:sz="0" w:space="4"/>
                <w:bottom w:val="none" w:color="auto" w:sz="0" w:space="1"/>
                <w:right w:val="none" w:color="auto" w:sz="0" w:space="4"/>
              </w:pBdr>
              <w:bidi w:val="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7526.013</w:t>
            </w:r>
          </w:p>
        </w:tc>
        <w:tc>
          <w:tcPr>
            <w:tcW w:w="1271" w:type="pct"/>
            <w:tcBorders>
              <w:tl2br w:val="nil"/>
              <w:tr2bl w:val="nil"/>
            </w:tcBorders>
            <w:vAlign w:val="top"/>
          </w:tcPr>
          <w:p w14:paraId="73773383">
            <w:pPr>
              <w:widowControl w:val="0"/>
              <w:pBdr>
                <w:top w:val="none" w:color="auto" w:sz="0" w:space="1"/>
                <w:left w:val="none" w:color="auto" w:sz="0" w:space="4"/>
                <w:bottom w:val="none" w:color="auto" w:sz="0" w:space="1"/>
                <w:right w:val="none" w:color="auto" w:sz="0" w:space="4"/>
              </w:pBdr>
              <w:bidi w:val="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4107.440</w:t>
            </w:r>
          </w:p>
        </w:tc>
        <w:tc>
          <w:tcPr>
            <w:tcW w:w="698" w:type="pct"/>
            <w:tcBorders>
              <w:tl2br w:val="nil"/>
              <w:tr2bl w:val="nil"/>
            </w:tcBorders>
            <w:vAlign w:val="top"/>
          </w:tcPr>
          <w:p w14:paraId="023A0158">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379.958</w:t>
            </w:r>
          </w:p>
        </w:tc>
        <w:tc>
          <w:tcPr>
            <w:tcW w:w="450" w:type="pct"/>
            <w:tcBorders>
              <w:tl2br w:val="nil"/>
              <w:tr2bl w:val="nil"/>
            </w:tcBorders>
            <w:vAlign w:val="top"/>
          </w:tcPr>
          <w:p w14:paraId="02C4E8FF">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35 °</w:t>
            </w:r>
          </w:p>
        </w:tc>
        <w:tc>
          <w:tcPr>
            <w:tcW w:w="551" w:type="pct"/>
            <w:tcBorders>
              <w:tl2br w:val="nil"/>
              <w:tr2bl w:val="nil"/>
            </w:tcBorders>
            <w:vAlign w:val="top"/>
          </w:tcPr>
          <w:p w14:paraId="3097614A">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317 °</w:t>
            </w:r>
          </w:p>
        </w:tc>
      </w:tr>
    </w:tbl>
    <w:p w14:paraId="1B2188E4">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矿井开拓运输系统方案为明斜井+盲斜井联合开拓，井口采用平车场串车提升的方式与总图运输等工程配套。</w:t>
      </w:r>
    </w:p>
    <w:p w14:paraId="4572C074">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矿山开拓系统采用明斜井+盲斜井联合开拓</w:t>
      </w:r>
      <w:r>
        <w:rPr>
          <w:rFonts w:hint="eastAsia" w:ascii="Times New Roman" w:hAnsi="Times New Roman" w:eastAsia="宋体" w:cs="Times New Roman"/>
          <w:color w:val="auto"/>
          <w:kern w:val="2"/>
          <w:sz w:val="24"/>
          <w:highlight w:val="none"/>
          <w:lang w:val="en-US" w:eastAsia="zh-CN" w:bidi="ar-SA"/>
        </w:rPr>
        <w:t>。380主斜井提升矿石；</w:t>
      </w:r>
      <w:r>
        <w:rPr>
          <w:rFonts w:hint="default" w:ascii="Times New Roman" w:hAnsi="Times New Roman" w:eastAsia="宋体" w:cs="Times New Roman"/>
          <w:color w:val="auto"/>
          <w:kern w:val="2"/>
          <w:sz w:val="24"/>
          <w:highlight w:val="none"/>
          <w:lang w:val="en-US" w:eastAsia="zh-CN" w:bidi="ar-SA"/>
        </w:rPr>
        <w:t>以32</w:t>
      </w:r>
      <w:r>
        <w:rPr>
          <w:rFonts w:hint="eastAsia" w:ascii="Times New Roman" w:hAnsi="Times New Roman" w:eastAsia="宋体" w:cs="Times New Roman"/>
          <w:color w:val="auto"/>
          <w:kern w:val="2"/>
          <w:sz w:val="24"/>
          <w:highlight w:val="none"/>
          <w:lang w:val="en-US" w:eastAsia="zh-CN" w:bidi="ar-SA"/>
        </w:rPr>
        <w:t>5</w:t>
      </w:r>
      <w:r>
        <w:rPr>
          <w:rFonts w:hint="default" w:ascii="Times New Roman" w:hAnsi="Times New Roman" w:eastAsia="宋体" w:cs="Times New Roman"/>
          <w:color w:val="auto"/>
          <w:kern w:val="2"/>
          <w:sz w:val="24"/>
          <w:highlight w:val="none"/>
          <w:lang w:val="en-US" w:eastAsia="zh-CN" w:bidi="ar-SA"/>
        </w:rPr>
        <w:t>平硐为副井，副井井口标高+325m，井下为三段盲斜井联合提升，主要下放人员、材料、设备，另担负废石提升。</w:t>
      </w:r>
    </w:p>
    <w:p w14:paraId="34819C09">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矿区中段高程为45m。目前，矿山开拓有18个中段，400～110m标高之间有6个中段，采矿高程27～58m不等，承担残矿回收。110～-115m标高之间有6个中段，采矿高程统一为45m，-115～-250m为主要回采中段。生产探矿已延伸至-340中段。保有储量赋存标高为-115m</w:t>
      </w:r>
      <w:r>
        <w:rPr>
          <w:rFonts w:hint="eastAsia" w:ascii="Times New Roman" w:hAnsi="Times New Roman" w:eastAsia="宋体" w:cs="Times New Roman"/>
          <w:color w:val="auto"/>
          <w:kern w:val="2"/>
          <w:sz w:val="24"/>
          <w:highlight w:val="none"/>
          <w:lang w:val="en-US" w:eastAsia="zh-CN" w:bidi="ar-SA"/>
        </w:rPr>
        <w:t>~</w:t>
      </w:r>
      <w:r>
        <w:rPr>
          <w:rFonts w:hint="default" w:ascii="Times New Roman" w:hAnsi="Times New Roman" w:eastAsia="宋体" w:cs="Times New Roman"/>
          <w:color w:val="auto"/>
          <w:kern w:val="2"/>
          <w:sz w:val="24"/>
          <w:highlight w:val="none"/>
          <w:lang w:val="en-US" w:eastAsia="zh-CN" w:bidi="ar-SA"/>
        </w:rPr>
        <w:t>-340m，保有矿体走向长约620m。</w:t>
      </w:r>
    </w:p>
    <w:p w14:paraId="371EFBE4">
      <w:pPr>
        <w:widowControl w:val="0"/>
        <w:spacing w:line="360" w:lineRule="auto"/>
        <w:ind w:firstLine="482" w:firstLineChars="200"/>
        <w:jc w:val="both"/>
        <w:rPr>
          <w:rFonts w:hint="default"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二、</w:t>
      </w:r>
      <w:r>
        <w:rPr>
          <w:rFonts w:hint="default" w:ascii="Times New Roman" w:hAnsi="Times New Roman" w:eastAsia="宋体" w:cs="Times New Roman"/>
          <w:b/>
          <w:bCs/>
          <w:color w:val="auto"/>
          <w:kern w:val="2"/>
          <w:sz w:val="24"/>
          <w:highlight w:val="none"/>
          <w:lang w:val="en-US" w:eastAsia="zh-CN" w:bidi="ar-SA"/>
        </w:rPr>
        <w:t>中段运输</w:t>
      </w:r>
    </w:p>
    <w:p w14:paraId="378F7345">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主要中段运输采用蓄电池电机车运输，矿车为0.7m³翻斗式矿车，轨距600mm，12kg/m轨道运输。主要运输平巷双轨规格3.4×2.6m，单轨平巷规格为2.2×2.3m，平巷均采用1/3三心拱。运输路线为：采场出矿——中段运输平巷——溜井——斜井提升——地表矿仓。</w:t>
      </w:r>
    </w:p>
    <w:p w14:paraId="2E0FE016">
      <w:pPr>
        <w:keepNext/>
        <w:keepLines/>
        <w:widowControl w:val="0"/>
        <w:numPr>
          <w:ilvl w:val="3"/>
          <w:numId w:val="2"/>
        </w:numPr>
        <w:bidi w:val="0"/>
        <w:spacing w:before="20" w:after="20" w:line="360" w:lineRule="auto"/>
        <w:ind w:firstLine="200" w:firstLineChars="0"/>
        <w:jc w:val="left"/>
        <w:outlineLvl w:val="3"/>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采矿方法</w:t>
      </w:r>
    </w:p>
    <w:p w14:paraId="07E4E01F">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矿山采用</w:t>
      </w:r>
      <w:r>
        <w:rPr>
          <w:rFonts w:hint="default" w:ascii="Times New Roman" w:hAnsi="Times New Roman" w:eastAsia="宋体" w:cs="Times New Roman"/>
          <w:color w:val="auto"/>
          <w:kern w:val="2"/>
          <w:sz w:val="24"/>
          <w:highlight w:val="none"/>
          <w:lang w:val="en-US" w:eastAsia="zh-CN" w:bidi="ar-SA"/>
        </w:rPr>
        <w:t>上向水平分层尾砂胶结充填采矿法</w:t>
      </w:r>
      <w:r>
        <w:rPr>
          <w:rFonts w:hint="eastAsia" w:ascii="Times New Roman" w:hAnsi="Times New Roman" w:eastAsia="宋体" w:cs="Times New Roman"/>
          <w:color w:val="auto"/>
          <w:kern w:val="2"/>
          <w:sz w:val="24"/>
          <w:highlight w:val="none"/>
          <w:lang w:val="en-US" w:eastAsia="zh-CN" w:bidi="ar-SA"/>
        </w:rPr>
        <w:t>。</w:t>
      </w:r>
    </w:p>
    <w:p w14:paraId="2C105DBA">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在矿体按每45m高度划分为中段基础上，矿块高45m，长为矿体40m～60m，宽等于矿体。采用人工假底结构。采准工程包括运输横巷(2.2m×2.3m)、沿脉平巷(2.2m×2.3m)、采准天井(2m×1.8m)、充填天井(脉内2m×2m)等。切割工作主要是拉底平巷(脉内2m×2m)和放矿斗口斗颈(1.8m×1.6m)。分层高3.5m，分条宽4m垂直走向布置，顶柱高5m，无底柱。底柱高5m，不留顶柱。</w:t>
      </w:r>
    </w:p>
    <w:p w14:paraId="3199A232">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采切工作施工顺序，由脉外运输巷掘进运输横巷至矿体顶板，在矿体顶板位置拉开沿脉巷道，然后施工采准天井，同时可从沿脉巷道掘进铲运机联络道至拉底巷道高度，同样在顶板位置沿脉拉开拉底巷道，掘进拉底巷道的同时可施工斗口斗颈。溜井采用铁皮筒顺路架设，周边采用胶结充填。</w:t>
      </w:r>
    </w:p>
    <w:p w14:paraId="2E7A2558">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采切工作完成后，垂直矿脉布置分条，分条断面为4m×3.5m，由矿体的两端向中部分段联络道后退式回采，直至一个分层回采完毕。凿岩采用7655钻机，两台钻同时作业，电耙出矿。</w:t>
      </w:r>
    </w:p>
    <w:p w14:paraId="0129379C">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分条回采作业完后，封闭分条，留渗水孔，再由架设在一端天井内的尾砂充填</w:t>
      </w:r>
      <w:r>
        <w:rPr>
          <w:rFonts w:hint="eastAsia" w:ascii="Times New Roman" w:hAnsi="Times New Roman" w:eastAsia="宋体" w:cs="Times New Roman"/>
          <w:color w:val="auto"/>
          <w:kern w:val="2"/>
          <w:sz w:val="24"/>
          <w:highlight w:val="none"/>
          <w:lang w:val="en-US" w:eastAsia="zh-CN" w:bidi="ar-SA"/>
        </w:rPr>
        <w:t>管道</w:t>
      </w:r>
      <w:r>
        <w:rPr>
          <w:rFonts w:hint="default" w:ascii="Times New Roman" w:hAnsi="Times New Roman" w:eastAsia="宋体" w:cs="Times New Roman"/>
          <w:color w:val="auto"/>
          <w:kern w:val="2"/>
          <w:sz w:val="24"/>
          <w:highlight w:val="none"/>
          <w:lang w:val="en-US" w:eastAsia="zh-CN" w:bidi="ar-SA"/>
        </w:rPr>
        <w:t>进行充填。</w:t>
      </w:r>
    </w:p>
    <w:p w14:paraId="2FC3D63B">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管路进行高浓度尾砂充填，最后在尾砂充填体上部(距离上一分层0.8m的时)采用尾砂胶结充填。矿体两端分条交替作业。</w:t>
      </w:r>
    </w:p>
    <w:p w14:paraId="3BAF02CD">
      <w:pPr>
        <w:keepNext/>
        <w:keepLines/>
        <w:widowControl w:val="0"/>
        <w:numPr>
          <w:ilvl w:val="3"/>
          <w:numId w:val="2"/>
        </w:numPr>
        <w:bidi w:val="0"/>
        <w:spacing w:before="20" w:after="20" w:line="360" w:lineRule="auto"/>
        <w:ind w:firstLine="200" w:firstLineChars="0"/>
        <w:jc w:val="left"/>
        <w:outlineLvl w:val="3"/>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通风系统</w:t>
      </w:r>
    </w:p>
    <w:p w14:paraId="3CD0F39C">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矿井通风系统为单翼对角抽出式</w:t>
      </w:r>
      <w:r>
        <w:rPr>
          <w:rFonts w:hint="eastAsia" w:ascii="Times New Roman" w:hAnsi="Times New Roman" w:eastAsia="宋体" w:cs="Times New Roman"/>
          <w:color w:val="auto"/>
          <w:kern w:val="2"/>
          <w:sz w:val="24"/>
          <w:highlight w:val="none"/>
          <w:lang w:val="en-US" w:eastAsia="zh-CN" w:bidi="ar-SA"/>
        </w:rPr>
        <w:t>。</w:t>
      </w:r>
      <w:r>
        <w:rPr>
          <w:rFonts w:hint="default" w:ascii="Times New Roman" w:hAnsi="Times New Roman" w:eastAsia="宋体" w:cs="Times New Roman"/>
          <w:color w:val="auto"/>
          <w:kern w:val="2"/>
          <w:sz w:val="24"/>
          <w:highlight w:val="none"/>
          <w:lang w:val="en-US" w:eastAsia="zh-CN" w:bidi="ar-SA"/>
        </w:rPr>
        <w:t>新鲜风流由主提升井、阶段运输平巷、一侧天井、天井联络道进入采场工作面，污风经另一侧天井联络道、天井、回风巷道到回风井。采场通风应辅以局扇进行。</w:t>
      </w:r>
    </w:p>
    <w:p w14:paraId="446CC3A9">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坑内采用湿式凿岩捕尘；独头工作面掘进时，用局扇通风排尘；装岩矿时往矿堆上洒水降尘；装矿闸门溜子口及卸矿口安装喷雾器降尘；对巷道进行清壁处理；井下工人佩戴防尘口罩。</w:t>
      </w:r>
    </w:p>
    <w:p w14:paraId="371A4F47">
      <w:pPr>
        <w:keepNext/>
        <w:keepLines/>
        <w:widowControl w:val="0"/>
        <w:numPr>
          <w:ilvl w:val="3"/>
          <w:numId w:val="2"/>
        </w:numPr>
        <w:bidi w:val="0"/>
        <w:spacing w:before="20" w:after="20" w:line="360" w:lineRule="auto"/>
        <w:ind w:firstLine="200" w:firstLineChars="0"/>
        <w:jc w:val="left"/>
        <w:outlineLvl w:val="3"/>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充填站</w:t>
      </w:r>
    </w:p>
    <w:p w14:paraId="754B9D4F">
      <w:pPr>
        <w:widowControl w:val="0"/>
        <w:spacing w:line="360" w:lineRule="auto"/>
        <w:ind w:firstLine="482" w:firstLineChars="200"/>
        <w:jc w:val="both"/>
        <w:rPr>
          <w:rFonts w:hint="default"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原</w:t>
      </w:r>
      <w:r>
        <w:rPr>
          <w:rFonts w:hint="eastAsia" w:cs="Times New Roman"/>
          <w:b/>
          <w:bCs/>
          <w:color w:val="auto"/>
          <w:kern w:val="2"/>
          <w:sz w:val="24"/>
          <w:highlight w:val="none"/>
          <w:lang w:val="en-US" w:eastAsia="zh-CN" w:bidi="ar-SA"/>
        </w:rPr>
        <w:t>节能技改</w:t>
      </w:r>
      <w:r>
        <w:rPr>
          <w:rFonts w:hint="eastAsia" w:ascii="Times New Roman" w:hAnsi="Times New Roman" w:eastAsia="宋体" w:cs="Times New Roman"/>
          <w:b/>
          <w:bCs/>
          <w:color w:val="auto"/>
          <w:kern w:val="2"/>
          <w:sz w:val="24"/>
          <w:highlight w:val="none"/>
          <w:lang w:val="en-US" w:eastAsia="zh-CN" w:bidi="ar-SA"/>
        </w:rPr>
        <w:t>工程未设计充填站。</w:t>
      </w:r>
    </w:p>
    <w:p w14:paraId="3BBE7FF2">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20</w:t>
      </w:r>
      <w:r>
        <w:rPr>
          <w:rFonts w:hint="eastAsia" w:ascii="Times New Roman" w:hAnsi="Times New Roman" w:eastAsia="宋体" w:cs="Times New Roman"/>
          <w:color w:val="auto"/>
          <w:kern w:val="2"/>
          <w:sz w:val="24"/>
          <w:highlight w:val="none"/>
          <w:lang w:val="en-US" w:eastAsia="zh-CN" w:bidi="ar-SA"/>
        </w:rPr>
        <w:t>18</w:t>
      </w:r>
      <w:r>
        <w:rPr>
          <w:rFonts w:hint="default" w:ascii="Times New Roman" w:hAnsi="Times New Roman" w:eastAsia="宋体" w:cs="Times New Roman"/>
          <w:color w:val="auto"/>
          <w:kern w:val="2"/>
          <w:sz w:val="24"/>
          <w:highlight w:val="none"/>
          <w:lang w:val="en-US" w:eastAsia="zh-CN" w:bidi="ar-SA"/>
        </w:rPr>
        <w:t>年，企业在选厂内新建了一座充填站，生产能力</w:t>
      </w:r>
      <w:r>
        <w:rPr>
          <w:rFonts w:hint="eastAsia" w:ascii="Times New Roman" w:hAnsi="Times New Roman" w:eastAsia="宋体" w:cs="Times New Roman"/>
          <w:color w:val="auto"/>
          <w:kern w:val="2"/>
          <w:sz w:val="24"/>
          <w:highlight w:val="none"/>
          <w:lang w:val="en-US" w:eastAsia="zh-CN" w:bidi="ar-SA"/>
        </w:rPr>
        <w:t>为</w:t>
      </w:r>
      <w:r>
        <w:rPr>
          <w:rFonts w:hint="default" w:ascii="Times New Roman" w:hAnsi="Times New Roman" w:eastAsia="宋体" w:cs="Times New Roman"/>
          <w:color w:val="auto"/>
          <w:kern w:val="2"/>
          <w:sz w:val="24"/>
          <w:highlight w:val="none"/>
          <w:lang w:val="en-US" w:eastAsia="zh-CN" w:bidi="ar-SA"/>
        </w:rPr>
        <w:t>60m³/h</w:t>
      </w:r>
      <w:r>
        <w:rPr>
          <w:rFonts w:hint="eastAsia" w:ascii="Times New Roman" w:hAnsi="Times New Roman" w:eastAsia="宋体" w:cs="Times New Roman"/>
          <w:color w:val="auto"/>
          <w:kern w:val="2"/>
          <w:sz w:val="24"/>
          <w:highlight w:val="none"/>
          <w:lang w:val="en-US" w:eastAsia="zh-CN" w:bidi="ar-SA"/>
        </w:rPr>
        <w:t>（3.6万</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ascii="Times New Roman" w:hAnsi="Times New Roman" w:eastAsia="宋体" w:cs="Times New Roman"/>
          <w:color w:val="auto"/>
          <w:kern w:val="2"/>
          <w:sz w:val="24"/>
          <w:highlight w:val="none"/>
          <w:lang w:val="en-US" w:eastAsia="zh-CN" w:bidi="ar-SA"/>
        </w:rPr>
        <w:t>/a）。</w:t>
      </w:r>
    </w:p>
    <w:p w14:paraId="545C6225">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（1）主要设备</w:t>
      </w:r>
    </w:p>
    <w:p w14:paraId="641E7106">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主要建设内容包括：160m³立式砂仓、60m³/h高浓度搅拌桶、50t散装水泥仓。</w:t>
      </w:r>
    </w:p>
    <w:p w14:paraId="39911460">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（2）主要原料及消耗</w:t>
      </w:r>
    </w:p>
    <w:p w14:paraId="20851729">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充填站所用原料为尾砂、水泥和水。</w:t>
      </w:r>
    </w:p>
    <w:p w14:paraId="1182DBCC">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干尾砂密度约为2.9吨/立方米，由选厂渣浆泵泵入浓缩系统后浓缩至72%左右，年用量约4.6万t；水泥为渣滓溪当地散装普通325水泥，水泥供给为由散装水泥仓按需求供给，年用量约2.3t；充填膏体用水来自尾矿含水，用量为1.89万t，另充填管道设备冲洗用水水量为1.5万t。</w:t>
      </w:r>
    </w:p>
    <w:p w14:paraId="0B3691DE">
      <w:pPr>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w:t>
      </w:r>
      <w:r>
        <w:rPr>
          <w:rFonts w:hint="eastAsia" w:ascii="Times New Roman" w:hAnsi="Times New Roman" w:eastAsia="黑体" w:cs="Times New Roman"/>
          <w:color w:val="auto"/>
          <w:kern w:val="2"/>
          <w:sz w:val="24"/>
          <w:highlight w:val="none"/>
          <w:lang w:val="en-US" w:eastAsia="zh-CN" w:bidi="ar-SA"/>
        </w:rPr>
        <w:t>充填站物资消耗量表</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2103"/>
        <w:gridCol w:w="1802"/>
        <w:gridCol w:w="1059"/>
        <w:gridCol w:w="978"/>
        <w:gridCol w:w="1200"/>
        <w:gridCol w:w="1200"/>
      </w:tblGrid>
      <w:tr w14:paraId="6C03E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5" w:type="pct"/>
            <w:vMerge w:val="restart"/>
            <w:tcBorders>
              <w:tl2br w:val="nil"/>
              <w:tr2bl w:val="nil"/>
            </w:tcBorders>
          </w:tcPr>
          <w:p w14:paraId="4E3B689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序号</w:t>
            </w:r>
          </w:p>
        </w:tc>
        <w:tc>
          <w:tcPr>
            <w:tcW w:w="1138" w:type="pct"/>
            <w:vMerge w:val="restart"/>
            <w:tcBorders>
              <w:tl2br w:val="nil"/>
              <w:tr2bl w:val="nil"/>
            </w:tcBorders>
          </w:tcPr>
          <w:p w14:paraId="4897435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项目</w:t>
            </w:r>
          </w:p>
        </w:tc>
        <w:tc>
          <w:tcPr>
            <w:tcW w:w="975" w:type="pct"/>
            <w:vMerge w:val="restart"/>
            <w:tcBorders>
              <w:tl2br w:val="nil"/>
              <w:tr2bl w:val="nil"/>
            </w:tcBorders>
          </w:tcPr>
          <w:p w14:paraId="7DC47BA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充填体密度</w:t>
            </w:r>
          </w:p>
        </w:tc>
        <w:tc>
          <w:tcPr>
            <w:tcW w:w="1102" w:type="pct"/>
            <w:gridSpan w:val="2"/>
            <w:tcBorders>
              <w:tl2br w:val="nil"/>
              <w:tr2bl w:val="nil"/>
            </w:tcBorders>
          </w:tcPr>
          <w:p w14:paraId="258E8CC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每</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eastAsia" w:ascii="Times New Roman" w:hAnsi="Times New Roman" w:eastAsia="宋体" w:cs="Times New Roman"/>
                <w:color w:val="auto"/>
                <w:kern w:val="2"/>
                <w:sz w:val="22"/>
                <w:szCs w:val="22"/>
                <w:highlight w:val="none"/>
                <w:lang w:val="en-US" w:eastAsia="zh-CN" w:bidi="ar-SA"/>
              </w:rPr>
              <w:t>消耗量</w:t>
            </w:r>
          </w:p>
        </w:tc>
        <w:tc>
          <w:tcPr>
            <w:tcW w:w="649" w:type="pct"/>
            <w:tcBorders>
              <w:tl2br w:val="nil"/>
              <w:tr2bl w:val="nil"/>
            </w:tcBorders>
          </w:tcPr>
          <w:p w14:paraId="12B2053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日消耗</w:t>
            </w:r>
          </w:p>
        </w:tc>
        <w:tc>
          <w:tcPr>
            <w:tcW w:w="649" w:type="pct"/>
            <w:tcBorders>
              <w:tl2br w:val="nil"/>
              <w:tr2bl w:val="nil"/>
            </w:tcBorders>
          </w:tcPr>
          <w:p w14:paraId="5B39A74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年消耗</w:t>
            </w:r>
          </w:p>
        </w:tc>
      </w:tr>
      <w:tr w14:paraId="6083D1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5" w:type="pct"/>
            <w:vMerge w:val="continue"/>
            <w:tcBorders>
              <w:tl2br w:val="nil"/>
              <w:tr2bl w:val="nil"/>
            </w:tcBorders>
          </w:tcPr>
          <w:p w14:paraId="6EB67DA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1138" w:type="pct"/>
            <w:vMerge w:val="continue"/>
            <w:tcBorders>
              <w:tl2br w:val="nil"/>
              <w:tr2bl w:val="nil"/>
            </w:tcBorders>
          </w:tcPr>
          <w:p w14:paraId="5C546A6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975" w:type="pct"/>
            <w:vMerge w:val="continue"/>
            <w:tcBorders>
              <w:tl2br w:val="nil"/>
              <w:tr2bl w:val="nil"/>
            </w:tcBorders>
          </w:tcPr>
          <w:p w14:paraId="444903D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573" w:type="pct"/>
            <w:tcBorders>
              <w:tl2br w:val="nil"/>
              <w:tr2bl w:val="nil"/>
            </w:tcBorders>
          </w:tcPr>
          <w:p w14:paraId="3C70B9A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m³</w:t>
            </w:r>
          </w:p>
        </w:tc>
        <w:tc>
          <w:tcPr>
            <w:tcW w:w="529" w:type="pct"/>
            <w:tcBorders>
              <w:tl2br w:val="nil"/>
              <w:tr2bl w:val="nil"/>
            </w:tcBorders>
          </w:tcPr>
          <w:p w14:paraId="73D3CA4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kg</w:t>
            </w:r>
          </w:p>
        </w:tc>
        <w:tc>
          <w:tcPr>
            <w:tcW w:w="649" w:type="pct"/>
            <w:tcBorders>
              <w:tl2br w:val="nil"/>
              <w:tr2bl w:val="nil"/>
            </w:tcBorders>
          </w:tcPr>
          <w:p w14:paraId="600B0F5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eastAsia" w:cs="Times New Roman"/>
                <w:color w:val="auto"/>
                <w:kern w:val="2"/>
                <w:sz w:val="22"/>
                <w:szCs w:val="22"/>
                <w:highlight w:val="none"/>
                <w:lang w:val="en-US" w:eastAsia="zh-CN" w:bidi="ar-SA"/>
              </w:rPr>
              <w:t>/d</w:t>
            </w:r>
          </w:p>
        </w:tc>
        <w:tc>
          <w:tcPr>
            <w:tcW w:w="649" w:type="pct"/>
            <w:tcBorders>
              <w:tl2br w:val="nil"/>
              <w:tr2bl w:val="nil"/>
            </w:tcBorders>
          </w:tcPr>
          <w:p w14:paraId="126B00E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t/a</w:t>
            </w:r>
          </w:p>
        </w:tc>
      </w:tr>
      <w:tr w14:paraId="71263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5" w:type="pct"/>
            <w:tcBorders>
              <w:tl2br w:val="nil"/>
              <w:tr2bl w:val="nil"/>
            </w:tcBorders>
          </w:tcPr>
          <w:p w14:paraId="47020FB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138" w:type="pct"/>
            <w:tcBorders>
              <w:tl2br w:val="nil"/>
              <w:tr2bl w:val="nil"/>
            </w:tcBorders>
          </w:tcPr>
          <w:p w14:paraId="195CC19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尾砂（干）</w:t>
            </w:r>
          </w:p>
        </w:tc>
        <w:tc>
          <w:tcPr>
            <w:tcW w:w="975" w:type="pct"/>
            <w:vMerge w:val="restart"/>
            <w:tcBorders>
              <w:tl2br w:val="nil"/>
              <w:tr2bl w:val="nil"/>
            </w:tcBorders>
            <w:vAlign w:val="center"/>
          </w:tcPr>
          <w:p w14:paraId="7B6BAA4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1.876t/m³</w:t>
            </w:r>
          </w:p>
        </w:tc>
        <w:tc>
          <w:tcPr>
            <w:tcW w:w="573" w:type="pct"/>
            <w:tcBorders>
              <w:tl2br w:val="nil"/>
              <w:tr2bl w:val="nil"/>
            </w:tcBorders>
            <w:vAlign w:val="top"/>
          </w:tcPr>
          <w:p w14:paraId="5E3ED57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en-US" w:bidi="ar-SA"/>
              </w:rPr>
            </w:pPr>
            <w:r>
              <w:rPr>
                <w:rFonts w:hint="default" w:ascii="Times New Roman" w:hAnsi="Times New Roman" w:eastAsia="宋体" w:cs="Times New Roman"/>
                <w:color w:val="auto"/>
                <w:kern w:val="2"/>
                <w:sz w:val="22"/>
                <w:szCs w:val="22"/>
                <w:highlight w:val="none"/>
                <w:lang w:val="en-US" w:eastAsia="en-US" w:bidi="ar-SA"/>
              </w:rPr>
              <w:t>0.422</w:t>
            </w:r>
          </w:p>
        </w:tc>
        <w:tc>
          <w:tcPr>
            <w:tcW w:w="529" w:type="pct"/>
            <w:tcBorders>
              <w:tl2br w:val="nil"/>
              <w:tr2bl w:val="nil"/>
            </w:tcBorders>
            <w:vAlign w:val="top"/>
          </w:tcPr>
          <w:p w14:paraId="6A62CF7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en-US" w:bidi="ar-SA"/>
              </w:rPr>
              <w:t>12</w:t>
            </w:r>
            <w:r>
              <w:rPr>
                <w:rFonts w:hint="eastAsia" w:ascii="Times New Roman" w:hAnsi="Times New Roman" w:eastAsia="宋体" w:cs="Times New Roman"/>
                <w:color w:val="auto"/>
                <w:kern w:val="2"/>
                <w:sz w:val="22"/>
                <w:szCs w:val="22"/>
                <w:highlight w:val="none"/>
                <w:lang w:val="en-US" w:eastAsia="zh-CN" w:bidi="ar-SA"/>
              </w:rPr>
              <w:t>88</w:t>
            </w:r>
          </w:p>
        </w:tc>
        <w:tc>
          <w:tcPr>
            <w:tcW w:w="1200" w:type="dxa"/>
            <w:tcBorders>
              <w:tl2br w:val="nil"/>
              <w:tr2bl w:val="nil"/>
            </w:tcBorders>
            <w:vAlign w:val="top"/>
          </w:tcPr>
          <w:p w14:paraId="17C8C6C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154.56</w:t>
            </w:r>
          </w:p>
        </w:tc>
        <w:tc>
          <w:tcPr>
            <w:tcW w:w="1200" w:type="dxa"/>
            <w:tcBorders>
              <w:tl2br w:val="nil"/>
              <w:tr2bl w:val="nil"/>
            </w:tcBorders>
            <w:vAlign w:val="top"/>
          </w:tcPr>
          <w:p w14:paraId="5F82D7F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46368</w:t>
            </w:r>
          </w:p>
        </w:tc>
      </w:tr>
      <w:tr w14:paraId="759E5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5" w:type="pct"/>
            <w:tcBorders>
              <w:tl2br w:val="nil"/>
              <w:tr2bl w:val="nil"/>
            </w:tcBorders>
          </w:tcPr>
          <w:p w14:paraId="4AB6851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w:t>
            </w:r>
          </w:p>
        </w:tc>
        <w:tc>
          <w:tcPr>
            <w:tcW w:w="1138" w:type="pct"/>
            <w:tcBorders>
              <w:tl2br w:val="nil"/>
              <w:tr2bl w:val="nil"/>
            </w:tcBorders>
          </w:tcPr>
          <w:p w14:paraId="3CFB84A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水泥</w:t>
            </w:r>
          </w:p>
        </w:tc>
        <w:tc>
          <w:tcPr>
            <w:tcW w:w="975" w:type="pct"/>
            <w:vMerge w:val="continue"/>
            <w:tcBorders>
              <w:tl2br w:val="nil"/>
              <w:tr2bl w:val="nil"/>
            </w:tcBorders>
            <w:vAlign w:val="top"/>
          </w:tcPr>
          <w:p w14:paraId="4B43ADD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573" w:type="pct"/>
            <w:tcBorders>
              <w:tl2br w:val="nil"/>
              <w:tr2bl w:val="nil"/>
            </w:tcBorders>
            <w:vAlign w:val="top"/>
          </w:tcPr>
          <w:p w14:paraId="58DB58B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en-US" w:bidi="ar-SA"/>
              </w:rPr>
            </w:pPr>
            <w:r>
              <w:rPr>
                <w:rFonts w:hint="default" w:ascii="Times New Roman" w:hAnsi="Times New Roman" w:eastAsia="宋体" w:cs="Times New Roman"/>
                <w:color w:val="auto"/>
                <w:kern w:val="2"/>
                <w:sz w:val="22"/>
                <w:szCs w:val="22"/>
                <w:highlight w:val="none"/>
                <w:lang w:val="en-US" w:eastAsia="en-US" w:bidi="ar-SA"/>
              </w:rPr>
              <w:t>0.021</w:t>
            </w:r>
          </w:p>
        </w:tc>
        <w:tc>
          <w:tcPr>
            <w:tcW w:w="529" w:type="pct"/>
            <w:tcBorders>
              <w:tl2br w:val="nil"/>
              <w:tr2bl w:val="nil"/>
            </w:tcBorders>
            <w:vAlign w:val="top"/>
          </w:tcPr>
          <w:p w14:paraId="539911F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en-US" w:bidi="ar-SA"/>
              </w:rPr>
            </w:pPr>
            <w:r>
              <w:rPr>
                <w:rFonts w:hint="default" w:ascii="Times New Roman" w:hAnsi="Times New Roman" w:eastAsia="宋体" w:cs="Times New Roman"/>
                <w:color w:val="auto"/>
                <w:kern w:val="2"/>
                <w:sz w:val="22"/>
                <w:szCs w:val="22"/>
                <w:highlight w:val="none"/>
                <w:lang w:val="en-US" w:eastAsia="en-US" w:bidi="ar-SA"/>
              </w:rPr>
              <w:t>63</w:t>
            </w:r>
          </w:p>
        </w:tc>
        <w:tc>
          <w:tcPr>
            <w:tcW w:w="1200" w:type="dxa"/>
            <w:tcBorders>
              <w:tl2br w:val="nil"/>
              <w:tr2bl w:val="nil"/>
            </w:tcBorders>
            <w:vAlign w:val="top"/>
          </w:tcPr>
          <w:p w14:paraId="6B22B02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7.56</w:t>
            </w:r>
          </w:p>
        </w:tc>
        <w:tc>
          <w:tcPr>
            <w:tcW w:w="1200" w:type="dxa"/>
            <w:tcBorders>
              <w:tl2br w:val="nil"/>
              <w:tr2bl w:val="nil"/>
            </w:tcBorders>
            <w:vAlign w:val="top"/>
          </w:tcPr>
          <w:p w14:paraId="7C3F871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2268</w:t>
            </w:r>
          </w:p>
        </w:tc>
      </w:tr>
      <w:tr w14:paraId="6625D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5" w:type="pct"/>
            <w:tcBorders>
              <w:tl2br w:val="nil"/>
              <w:tr2bl w:val="nil"/>
            </w:tcBorders>
          </w:tcPr>
          <w:p w14:paraId="125A44D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w:t>
            </w:r>
          </w:p>
        </w:tc>
        <w:tc>
          <w:tcPr>
            <w:tcW w:w="1138" w:type="pct"/>
            <w:tcBorders>
              <w:tl2br w:val="nil"/>
              <w:tr2bl w:val="nil"/>
            </w:tcBorders>
          </w:tcPr>
          <w:p w14:paraId="6F257E6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水（充填体）</w:t>
            </w:r>
          </w:p>
        </w:tc>
        <w:tc>
          <w:tcPr>
            <w:tcW w:w="975" w:type="pct"/>
            <w:vMerge w:val="continue"/>
            <w:tcBorders>
              <w:tl2br w:val="nil"/>
              <w:tr2bl w:val="nil"/>
            </w:tcBorders>
            <w:vAlign w:val="top"/>
          </w:tcPr>
          <w:p w14:paraId="729DDDB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573" w:type="pct"/>
            <w:tcBorders>
              <w:tl2br w:val="nil"/>
              <w:tr2bl w:val="nil"/>
            </w:tcBorders>
            <w:vAlign w:val="top"/>
          </w:tcPr>
          <w:p w14:paraId="6B1FC4F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en-US" w:bidi="ar-SA"/>
              </w:rPr>
            </w:pPr>
            <w:r>
              <w:rPr>
                <w:rFonts w:hint="default" w:ascii="Times New Roman" w:hAnsi="Times New Roman" w:eastAsia="宋体" w:cs="Times New Roman"/>
                <w:color w:val="auto"/>
                <w:kern w:val="2"/>
                <w:sz w:val="22"/>
                <w:szCs w:val="22"/>
                <w:highlight w:val="none"/>
                <w:lang w:val="en-US" w:eastAsia="en-US" w:bidi="ar-SA"/>
              </w:rPr>
              <w:t>0.525</w:t>
            </w:r>
          </w:p>
        </w:tc>
        <w:tc>
          <w:tcPr>
            <w:tcW w:w="529" w:type="pct"/>
            <w:tcBorders>
              <w:tl2br w:val="nil"/>
              <w:tr2bl w:val="nil"/>
            </w:tcBorders>
            <w:vAlign w:val="top"/>
          </w:tcPr>
          <w:p w14:paraId="3DB5B52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en-US" w:bidi="ar-SA"/>
              </w:rPr>
            </w:pPr>
            <w:r>
              <w:rPr>
                <w:rFonts w:hint="default" w:ascii="Times New Roman" w:hAnsi="Times New Roman" w:eastAsia="宋体" w:cs="Times New Roman"/>
                <w:color w:val="auto"/>
                <w:kern w:val="2"/>
                <w:sz w:val="22"/>
                <w:szCs w:val="22"/>
                <w:highlight w:val="none"/>
                <w:lang w:val="en-US" w:eastAsia="en-US" w:bidi="ar-SA"/>
              </w:rPr>
              <w:t>525</w:t>
            </w:r>
          </w:p>
        </w:tc>
        <w:tc>
          <w:tcPr>
            <w:tcW w:w="1200" w:type="dxa"/>
            <w:tcBorders>
              <w:tl2br w:val="nil"/>
              <w:tr2bl w:val="nil"/>
            </w:tcBorders>
            <w:vAlign w:val="top"/>
          </w:tcPr>
          <w:p w14:paraId="3493E91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63</w:t>
            </w:r>
          </w:p>
        </w:tc>
        <w:tc>
          <w:tcPr>
            <w:tcW w:w="1200" w:type="dxa"/>
            <w:tcBorders>
              <w:tl2br w:val="nil"/>
              <w:tr2bl w:val="nil"/>
            </w:tcBorders>
            <w:vAlign w:val="top"/>
          </w:tcPr>
          <w:p w14:paraId="26C15B7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18900</w:t>
            </w:r>
          </w:p>
        </w:tc>
      </w:tr>
      <w:tr w14:paraId="407CA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5" w:type="pct"/>
            <w:tcBorders>
              <w:tl2br w:val="nil"/>
              <w:tr2bl w:val="nil"/>
            </w:tcBorders>
          </w:tcPr>
          <w:p w14:paraId="16E9BD1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w:t>
            </w:r>
          </w:p>
        </w:tc>
        <w:tc>
          <w:tcPr>
            <w:tcW w:w="1138" w:type="pct"/>
            <w:tcBorders>
              <w:tl2br w:val="nil"/>
              <w:tr2bl w:val="nil"/>
            </w:tcBorders>
          </w:tcPr>
          <w:p w14:paraId="0428061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水（冲洗）</w:t>
            </w:r>
          </w:p>
        </w:tc>
        <w:tc>
          <w:tcPr>
            <w:tcW w:w="975" w:type="pct"/>
            <w:tcBorders>
              <w:tl2br w:val="nil"/>
              <w:tr2bl w:val="nil"/>
            </w:tcBorders>
          </w:tcPr>
          <w:p w14:paraId="360CF24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573" w:type="pct"/>
            <w:tcBorders>
              <w:tl2br w:val="nil"/>
              <w:tr2bl w:val="nil"/>
            </w:tcBorders>
          </w:tcPr>
          <w:p w14:paraId="3454A8D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529" w:type="pct"/>
            <w:tcBorders>
              <w:tl2br w:val="nil"/>
              <w:tr2bl w:val="nil"/>
            </w:tcBorders>
          </w:tcPr>
          <w:p w14:paraId="125DB2B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649" w:type="pct"/>
            <w:tcBorders>
              <w:tl2br w:val="nil"/>
              <w:tr2bl w:val="nil"/>
            </w:tcBorders>
          </w:tcPr>
          <w:p w14:paraId="44F9F3A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50</w:t>
            </w:r>
          </w:p>
        </w:tc>
        <w:tc>
          <w:tcPr>
            <w:tcW w:w="649" w:type="pct"/>
            <w:tcBorders>
              <w:tl2br w:val="nil"/>
              <w:tr2bl w:val="nil"/>
            </w:tcBorders>
          </w:tcPr>
          <w:p w14:paraId="2B086AA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15000</w:t>
            </w:r>
          </w:p>
        </w:tc>
      </w:tr>
    </w:tbl>
    <w:p w14:paraId="2D22B46B">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p>
    <w:p w14:paraId="18F4F907">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矿</w:t>
      </w:r>
      <w:r>
        <w:rPr>
          <w:rFonts w:hint="eastAsia" w:ascii="Times New Roman" w:hAnsi="Times New Roman" w:eastAsia="宋体" w:cs="Times New Roman"/>
          <w:color w:val="auto"/>
          <w:kern w:val="2"/>
          <w:sz w:val="22"/>
          <w:szCs w:val="22"/>
          <w:highlight w:val="none"/>
          <w:lang w:val="en-US" w:eastAsia="zh-CN" w:bidi="ar-SA"/>
        </w:rPr>
        <w:t>山</w:t>
      </w:r>
      <w:r>
        <w:rPr>
          <w:rFonts w:ascii="Times New Roman" w:hAnsi="Times New Roman" w:eastAsia="宋体" w:cs="Times New Roman"/>
          <w:color w:val="auto"/>
          <w:kern w:val="2"/>
          <w:sz w:val="22"/>
          <w:szCs w:val="22"/>
          <w:highlight w:val="none"/>
          <w:lang w:val="en-US" w:eastAsia="en-US" w:bidi="ar-SA"/>
        </w:rPr>
        <w:t>近3年充填量见</w:t>
      </w:r>
      <w:r>
        <w:rPr>
          <w:rFonts w:hint="eastAsia" w:ascii="Times New Roman" w:hAnsi="Times New Roman" w:eastAsia="宋体" w:cs="Times New Roman"/>
          <w:color w:val="auto"/>
          <w:kern w:val="2"/>
          <w:sz w:val="22"/>
          <w:szCs w:val="22"/>
          <w:highlight w:val="none"/>
          <w:lang w:val="en-US" w:eastAsia="zh-CN" w:bidi="ar-SA"/>
        </w:rPr>
        <w:t>下表</w:t>
      </w:r>
      <w:r>
        <w:rPr>
          <w:rFonts w:ascii="Times New Roman" w:hAnsi="Times New Roman" w:eastAsia="宋体" w:cs="Times New Roman"/>
          <w:color w:val="auto"/>
          <w:kern w:val="2"/>
          <w:sz w:val="22"/>
          <w:szCs w:val="22"/>
          <w:highlight w:val="none"/>
          <w:lang w:val="en-US" w:eastAsia="en-US" w:bidi="ar-SA"/>
        </w:rPr>
        <w:t>，近3年累计尾砂充填量为112280</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ascii="Times New Roman" w:hAnsi="Times New Roman" w:eastAsia="宋体" w:cs="Times New Roman"/>
          <w:color w:val="auto"/>
          <w:kern w:val="2"/>
          <w:sz w:val="22"/>
          <w:szCs w:val="22"/>
          <w:highlight w:val="none"/>
          <w:lang w:val="en-US" w:eastAsia="en-US" w:bidi="ar-SA"/>
        </w:rPr>
        <w:t>，</w:t>
      </w:r>
      <w:r>
        <w:rPr>
          <w:rFonts w:hint="eastAsia" w:ascii="Times New Roman" w:hAnsi="Times New Roman" w:eastAsia="宋体" w:cs="Times New Roman"/>
          <w:color w:val="auto"/>
          <w:kern w:val="2"/>
          <w:sz w:val="22"/>
          <w:szCs w:val="22"/>
          <w:highlight w:val="none"/>
          <w:lang w:val="en-US" w:eastAsia="zh-CN" w:bidi="ar-SA"/>
        </w:rPr>
        <w:t>平均</w:t>
      </w:r>
      <w:r>
        <w:rPr>
          <w:rFonts w:ascii="Times New Roman" w:hAnsi="Times New Roman" w:eastAsia="宋体" w:cs="Times New Roman"/>
          <w:color w:val="auto"/>
          <w:kern w:val="2"/>
          <w:sz w:val="22"/>
          <w:szCs w:val="22"/>
          <w:highlight w:val="none"/>
          <w:lang w:val="en-US" w:eastAsia="en-US" w:bidi="ar-SA"/>
        </w:rPr>
        <w:t>每年尾砂充填37427</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ascii="Times New Roman" w:hAnsi="Times New Roman" w:eastAsia="宋体" w:cs="Times New Roman"/>
          <w:color w:val="auto"/>
          <w:kern w:val="2"/>
          <w:sz w:val="22"/>
          <w:szCs w:val="22"/>
          <w:highlight w:val="none"/>
          <w:lang w:val="en-US" w:eastAsia="en-US" w:bidi="ar-SA"/>
        </w:rPr>
        <w:t>。</w:t>
      </w:r>
    </w:p>
    <w:p w14:paraId="30DB453C">
      <w:pPr>
        <w:widowControl w:val="0"/>
        <w:bidi w:val="0"/>
        <w:spacing w:line="300" w:lineRule="auto"/>
        <w:jc w:val="center"/>
        <w:outlineLvl w:val="4"/>
        <w:rPr>
          <w:rFonts w:ascii="Times New Roman" w:hAnsi="Times New Roman" w:eastAsia="黑体" w:cs="Times New Roman"/>
          <w:color w:val="auto"/>
          <w:kern w:val="2"/>
          <w:sz w:val="24"/>
          <w:highlight w:val="none"/>
          <w:lang w:val="en-US" w:eastAsia="en-US"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5</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w:t>
      </w:r>
      <w:r>
        <w:rPr>
          <w:rFonts w:ascii="Times New Roman" w:hAnsi="Times New Roman" w:eastAsia="黑体" w:cs="Times New Roman"/>
          <w:color w:val="auto"/>
          <w:kern w:val="2"/>
          <w:sz w:val="24"/>
          <w:highlight w:val="none"/>
          <w:lang w:val="en-US" w:eastAsia="en-US" w:bidi="ar-SA"/>
        </w:rPr>
        <w:t>渣滓溪矿业采矿厂近3年尾矿充填量统计表</w:t>
      </w:r>
    </w:p>
    <w:tbl>
      <w:tblPr>
        <w:tblStyle w:val="56"/>
        <w:tblW w:w="507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40"/>
        <w:gridCol w:w="1538"/>
        <w:gridCol w:w="2089"/>
        <w:gridCol w:w="1879"/>
        <w:gridCol w:w="2251"/>
      </w:tblGrid>
      <w:tr w14:paraId="5F1E72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83" w:type="pct"/>
            <w:tcBorders>
              <w:tl2br w:val="nil"/>
              <w:tr2bl w:val="nil"/>
            </w:tcBorders>
            <w:vAlign w:val="top"/>
          </w:tcPr>
          <w:p w14:paraId="585F3599">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序号</w:t>
            </w:r>
          </w:p>
        </w:tc>
        <w:tc>
          <w:tcPr>
            <w:tcW w:w="836" w:type="pct"/>
            <w:tcBorders>
              <w:tl2br w:val="nil"/>
              <w:tr2bl w:val="nil"/>
            </w:tcBorders>
            <w:vAlign w:val="top"/>
          </w:tcPr>
          <w:p w14:paraId="5C155427">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年份</w:t>
            </w:r>
          </w:p>
        </w:tc>
        <w:tc>
          <w:tcPr>
            <w:tcW w:w="1135" w:type="pct"/>
            <w:tcBorders>
              <w:tl2br w:val="nil"/>
              <w:tr2bl w:val="nil"/>
            </w:tcBorders>
            <w:vAlign w:val="top"/>
          </w:tcPr>
          <w:p w14:paraId="7D55D45F">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充填量（</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ascii="Times New Roman" w:hAnsi="Times New Roman" w:eastAsia="宋体" w:cs="Times New Roman"/>
                <w:color w:val="auto"/>
                <w:kern w:val="2"/>
                <w:sz w:val="22"/>
                <w:szCs w:val="22"/>
                <w:highlight w:val="none"/>
                <w:lang w:val="en-US" w:eastAsia="en-US" w:bidi="ar-SA"/>
              </w:rPr>
              <w:t>）</w:t>
            </w:r>
          </w:p>
        </w:tc>
        <w:tc>
          <w:tcPr>
            <w:tcW w:w="1021" w:type="pct"/>
            <w:tcBorders>
              <w:tl2br w:val="nil"/>
              <w:tr2bl w:val="nil"/>
            </w:tcBorders>
            <w:vAlign w:val="top"/>
          </w:tcPr>
          <w:p w14:paraId="3CE2A25A">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比重（t/</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ascii="Times New Roman" w:hAnsi="Times New Roman" w:eastAsia="宋体" w:cs="Times New Roman"/>
                <w:color w:val="auto"/>
                <w:kern w:val="2"/>
                <w:sz w:val="22"/>
                <w:szCs w:val="22"/>
                <w:highlight w:val="none"/>
                <w:lang w:val="en-US" w:eastAsia="en-US" w:bidi="ar-SA"/>
              </w:rPr>
              <w:t>）</w:t>
            </w:r>
          </w:p>
        </w:tc>
        <w:tc>
          <w:tcPr>
            <w:tcW w:w="1223" w:type="pct"/>
            <w:tcBorders>
              <w:tl2br w:val="nil"/>
              <w:tr2bl w:val="nil"/>
            </w:tcBorders>
            <w:vAlign w:val="top"/>
          </w:tcPr>
          <w:p w14:paraId="31E4AC53">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折算重量(t)</w:t>
            </w:r>
          </w:p>
        </w:tc>
      </w:tr>
      <w:tr w14:paraId="608BDB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83" w:type="pct"/>
            <w:tcBorders>
              <w:tl2br w:val="nil"/>
              <w:tr2bl w:val="nil"/>
            </w:tcBorders>
            <w:vAlign w:val="top"/>
          </w:tcPr>
          <w:p w14:paraId="56D56667">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1</w:t>
            </w:r>
          </w:p>
        </w:tc>
        <w:tc>
          <w:tcPr>
            <w:tcW w:w="836" w:type="pct"/>
            <w:tcBorders>
              <w:tl2br w:val="nil"/>
              <w:tr2bl w:val="nil"/>
            </w:tcBorders>
            <w:vAlign w:val="top"/>
          </w:tcPr>
          <w:p w14:paraId="566DC3B1">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2021</w:t>
            </w:r>
          </w:p>
        </w:tc>
        <w:tc>
          <w:tcPr>
            <w:tcW w:w="1135" w:type="pct"/>
            <w:tcBorders>
              <w:tl2br w:val="nil"/>
              <w:tr2bl w:val="nil"/>
            </w:tcBorders>
            <w:vAlign w:val="top"/>
          </w:tcPr>
          <w:p w14:paraId="5882A8F1">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23320</w:t>
            </w:r>
          </w:p>
        </w:tc>
        <w:tc>
          <w:tcPr>
            <w:tcW w:w="1021" w:type="pct"/>
            <w:tcBorders>
              <w:tl2br w:val="nil"/>
              <w:tr2bl w:val="nil"/>
            </w:tcBorders>
            <w:vAlign w:val="top"/>
          </w:tcPr>
          <w:p w14:paraId="6A7109CF">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1.</w:t>
            </w:r>
            <w:r>
              <w:rPr>
                <w:rFonts w:hint="eastAsia" w:ascii="Times New Roman" w:hAnsi="Times New Roman" w:eastAsia="宋体" w:cs="Times New Roman"/>
                <w:color w:val="auto"/>
                <w:kern w:val="2"/>
                <w:sz w:val="22"/>
                <w:szCs w:val="22"/>
                <w:highlight w:val="none"/>
                <w:lang w:val="en-US" w:eastAsia="en-US" w:bidi="ar-SA"/>
              </w:rPr>
              <w:t>876</w:t>
            </w:r>
          </w:p>
        </w:tc>
        <w:tc>
          <w:tcPr>
            <w:tcW w:w="1223" w:type="pct"/>
            <w:tcBorders>
              <w:tl2br w:val="nil"/>
              <w:tr2bl w:val="nil"/>
            </w:tcBorders>
            <w:vAlign w:val="center"/>
          </w:tcPr>
          <w:p w14:paraId="2E4F62E2">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hint="eastAsia" w:ascii="Times New Roman" w:hAnsi="Times New Roman" w:eastAsia="宋体" w:cs="Times New Roman"/>
                <w:color w:val="auto"/>
                <w:kern w:val="2"/>
                <w:sz w:val="22"/>
                <w:szCs w:val="22"/>
                <w:highlight w:val="none"/>
                <w:lang w:val="en-US" w:eastAsia="zh-CN" w:bidi="ar-SA"/>
              </w:rPr>
              <w:t>43748.32</w:t>
            </w:r>
          </w:p>
        </w:tc>
      </w:tr>
      <w:tr w14:paraId="6CCEEF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83" w:type="pct"/>
            <w:tcBorders>
              <w:tl2br w:val="nil"/>
              <w:tr2bl w:val="nil"/>
            </w:tcBorders>
            <w:vAlign w:val="top"/>
          </w:tcPr>
          <w:p w14:paraId="540B016E">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2</w:t>
            </w:r>
          </w:p>
        </w:tc>
        <w:tc>
          <w:tcPr>
            <w:tcW w:w="836" w:type="pct"/>
            <w:tcBorders>
              <w:tl2br w:val="nil"/>
              <w:tr2bl w:val="nil"/>
            </w:tcBorders>
            <w:vAlign w:val="top"/>
          </w:tcPr>
          <w:p w14:paraId="7C9FD71E">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2022</w:t>
            </w:r>
          </w:p>
        </w:tc>
        <w:tc>
          <w:tcPr>
            <w:tcW w:w="1135" w:type="pct"/>
            <w:tcBorders>
              <w:tl2br w:val="nil"/>
              <w:tr2bl w:val="nil"/>
            </w:tcBorders>
            <w:vAlign w:val="top"/>
          </w:tcPr>
          <w:p w14:paraId="77923A6F">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40730</w:t>
            </w:r>
          </w:p>
        </w:tc>
        <w:tc>
          <w:tcPr>
            <w:tcW w:w="1021" w:type="pct"/>
            <w:tcBorders>
              <w:tl2br w:val="nil"/>
              <w:tr2bl w:val="nil"/>
            </w:tcBorders>
            <w:vAlign w:val="top"/>
          </w:tcPr>
          <w:p w14:paraId="1AED444F">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1.</w:t>
            </w:r>
            <w:r>
              <w:rPr>
                <w:rFonts w:hint="eastAsia" w:ascii="Times New Roman" w:hAnsi="Times New Roman" w:eastAsia="宋体" w:cs="Times New Roman"/>
                <w:color w:val="auto"/>
                <w:kern w:val="2"/>
                <w:sz w:val="22"/>
                <w:szCs w:val="22"/>
                <w:highlight w:val="none"/>
                <w:lang w:val="en-US" w:eastAsia="en-US" w:bidi="ar-SA"/>
              </w:rPr>
              <w:t>876</w:t>
            </w:r>
          </w:p>
        </w:tc>
        <w:tc>
          <w:tcPr>
            <w:tcW w:w="1223" w:type="pct"/>
            <w:tcBorders>
              <w:tl2br w:val="nil"/>
              <w:tr2bl w:val="nil"/>
            </w:tcBorders>
            <w:vAlign w:val="center"/>
          </w:tcPr>
          <w:p w14:paraId="49F0E876">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hint="eastAsia" w:ascii="Times New Roman" w:hAnsi="Times New Roman" w:eastAsia="宋体" w:cs="Times New Roman"/>
                <w:color w:val="auto"/>
                <w:kern w:val="2"/>
                <w:sz w:val="22"/>
                <w:szCs w:val="22"/>
                <w:highlight w:val="none"/>
                <w:lang w:val="en-US" w:eastAsia="zh-CN" w:bidi="ar-SA"/>
              </w:rPr>
              <w:t>76409.48</w:t>
            </w:r>
          </w:p>
        </w:tc>
      </w:tr>
      <w:tr w14:paraId="6E91DB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83" w:type="pct"/>
            <w:tcBorders>
              <w:tl2br w:val="nil"/>
              <w:tr2bl w:val="nil"/>
            </w:tcBorders>
            <w:vAlign w:val="top"/>
          </w:tcPr>
          <w:p w14:paraId="1570F2BA">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3</w:t>
            </w:r>
          </w:p>
        </w:tc>
        <w:tc>
          <w:tcPr>
            <w:tcW w:w="836" w:type="pct"/>
            <w:tcBorders>
              <w:tl2br w:val="nil"/>
              <w:tr2bl w:val="nil"/>
            </w:tcBorders>
            <w:vAlign w:val="top"/>
          </w:tcPr>
          <w:p w14:paraId="69A6F65D">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2023</w:t>
            </w:r>
          </w:p>
        </w:tc>
        <w:tc>
          <w:tcPr>
            <w:tcW w:w="1135" w:type="pct"/>
            <w:tcBorders>
              <w:tl2br w:val="nil"/>
              <w:tr2bl w:val="nil"/>
            </w:tcBorders>
            <w:vAlign w:val="top"/>
          </w:tcPr>
          <w:p w14:paraId="2541735E">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48230</w:t>
            </w:r>
          </w:p>
        </w:tc>
        <w:tc>
          <w:tcPr>
            <w:tcW w:w="1021" w:type="pct"/>
            <w:tcBorders>
              <w:tl2br w:val="nil"/>
              <w:tr2bl w:val="nil"/>
            </w:tcBorders>
            <w:vAlign w:val="top"/>
          </w:tcPr>
          <w:p w14:paraId="02501A8E">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1.</w:t>
            </w:r>
            <w:r>
              <w:rPr>
                <w:rFonts w:hint="eastAsia" w:ascii="Times New Roman" w:hAnsi="Times New Roman" w:eastAsia="宋体" w:cs="Times New Roman"/>
                <w:color w:val="auto"/>
                <w:kern w:val="2"/>
                <w:sz w:val="22"/>
                <w:szCs w:val="22"/>
                <w:highlight w:val="none"/>
                <w:lang w:val="en-US" w:eastAsia="en-US" w:bidi="ar-SA"/>
              </w:rPr>
              <w:t>876</w:t>
            </w:r>
          </w:p>
        </w:tc>
        <w:tc>
          <w:tcPr>
            <w:tcW w:w="1223" w:type="pct"/>
            <w:tcBorders>
              <w:tl2br w:val="nil"/>
              <w:tr2bl w:val="nil"/>
            </w:tcBorders>
            <w:vAlign w:val="center"/>
          </w:tcPr>
          <w:p w14:paraId="35EACCAB">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hint="eastAsia" w:ascii="Times New Roman" w:hAnsi="Times New Roman" w:eastAsia="宋体" w:cs="Times New Roman"/>
                <w:color w:val="auto"/>
                <w:kern w:val="2"/>
                <w:sz w:val="22"/>
                <w:szCs w:val="22"/>
                <w:highlight w:val="none"/>
                <w:lang w:val="en-US" w:eastAsia="zh-CN" w:bidi="ar-SA"/>
              </w:rPr>
              <w:t>90479.48</w:t>
            </w:r>
          </w:p>
        </w:tc>
      </w:tr>
      <w:tr w14:paraId="04956D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783" w:type="pct"/>
            <w:tcBorders>
              <w:tl2br w:val="nil"/>
              <w:tr2bl w:val="nil"/>
            </w:tcBorders>
            <w:vAlign w:val="top"/>
          </w:tcPr>
          <w:p w14:paraId="16DE79FA">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合计</w:t>
            </w:r>
          </w:p>
        </w:tc>
        <w:tc>
          <w:tcPr>
            <w:tcW w:w="836" w:type="pct"/>
            <w:tcBorders>
              <w:tl2br w:val="nil"/>
              <w:tr2bl w:val="nil"/>
            </w:tcBorders>
            <w:vAlign w:val="top"/>
          </w:tcPr>
          <w:p w14:paraId="23646BBB">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p>
        </w:tc>
        <w:tc>
          <w:tcPr>
            <w:tcW w:w="1135" w:type="pct"/>
            <w:tcBorders>
              <w:tl2br w:val="nil"/>
              <w:tr2bl w:val="nil"/>
            </w:tcBorders>
            <w:vAlign w:val="top"/>
          </w:tcPr>
          <w:p w14:paraId="2FAC3201">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112280</w:t>
            </w:r>
          </w:p>
        </w:tc>
        <w:tc>
          <w:tcPr>
            <w:tcW w:w="1021" w:type="pct"/>
            <w:tcBorders>
              <w:tl2br w:val="nil"/>
              <w:tr2bl w:val="nil"/>
            </w:tcBorders>
            <w:vAlign w:val="top"/>
          </w:tcPr>
          <w:p w14:paraId="59B030D5">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p>
        </w:tc>
        <w:tc>
          <w:tcPr>
            <w:tcW w:w="1223" w:type="pct"/>
            <w:tcBorders>
              <w:tl2br w:val="nil"/>
              <w:tr2bl w:val="nil"/>
            </w:tcBorders>
            <w:vAlign w:val="center"/>
          </w:tcPr>
          <w:p w14:paraId="4480E67A">
            <w:pPr>
              <w:widowControl w:val="0"/>
              <w:pBdr>
                <w:top w:val="none" w:color="auto" w:sz="0" w:space="1"/>
                <w:left w:val="none" w:color="auto" w:sz="0" w:space="4"/>
                <w:bottom w:val="none" w:color="auto" w:sz="0" w:space="1"/>
                <w:right w:val="none" w:color="auto" w:sz="0" w:space="4"/>
              </w:pBdr>
              <w:bidi w:val="0"/>
              <w:jc w:val="center"/>
              <w:rPr>
                <w:rFonts w:hint="eastAsia" w:ascii="Times New Roman" w:hAnsi="Times New Roman" w:eastAsia="宋体" w:cs="Times New Roman"/>
                <w:color w:val="auto"/>
                <w:kern w:val="2"/>
                <w:sz w:val="22"/>
                <w:szCs w:val="22"/>
                <w:highlight w:val="none"/>
                <w:lang w:val="en-US" w:eastAsia="en-US" w:bidi="ar-SA"/>
              </w:rPr>
            </w:pPr>
            <w:r>
              <w:rPr>
                <w:rFonts w:hint="eastAsia" w:ascii="Times New Roman" w:hAnsi="Times New Roman" w:eastAsia="宋体" w:cs="Times New Roman"/>
                <w:color w:val="auto"/>
                <w:kern w:val="2"/>
                <w:sz w:val="22"/>
                <w:szCs w:val="22"/>
                <w:highlight w:val="none"/>
                <w:lang w:val="en-US" w:eastAsia="zh-CN" w:bidi="ar-SA"/>
              </w:rPr>
              <w:t>210637.28</w:t>
            </w:r>
          </w:p>
        </w:tc>
      </w:tr>
    </w:tbl>
    <w:p w14:paraId="22BCF684">
      <w:pPr>
        <w:widowControl w:val="0"/>
        <w:pBdr>
          <w:top w:val="none" w:color="auto" w:sz="0" w:space="1"/>
          <w:left w:val="none" w:color="auto" w:sz="0" w:space="4"/>
          <w:bottom w:val="none" w:color="auto" w:sz="0" w:space="1"/>
          <w:right w:val="none" w:color="auto" w:sz="0" w:space="4"/>
        </w:pBdr>
        <w:bidi w:val="0"/>
        <w:jc w:val="center"/>
        <w:rPr>
          <w:rFonts w:ascii="Times New Roman" w:hAnsi="Times New Roman" w:eastAsia="宋体" w:cs="Times New Roman"/>
          <w:color w:val="auto"/>
          <w:kern w:val="2"/>
          <w:sz w:val="22"/>
          <w:szCs w:val="22"/>
          <w:highlight w:val="none"/>
          <w:lang w:val="en-US" w:eastAsia="en-US" w:bidi="ar-SA"/>
        </w:rPr>
      </w:pPr>
    </w:p>
    <w:p w14:paraId="62E4ED32">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（3）充填工艺</w:t>
      </w:r>
    </w:p>
    <w:p w14:paraId="1ED0644A">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尾砂利用选厂渣浆泵进行尾砂输送，通过阀门切换至输送管道，输送至立式砂仓，尾砂在立式砂仓中进行浓缩脱水，脱出的水通过原有管道系统进入尾砂库，立式砂仓中的尾砂通过沉降脱水后浓度大约在</w:t>
      </w:r>
      <w:r>
        <w:rPr>
          <w:rFonts w:hint="default" w:ascii="Times New Roman" w:hAnsi="Times New Roman" w:eastAsia="宋体" w:cs="Times New Roman"/>
          <w:color w:val="auto"/>
          <w:kern w:val="2"/>
          <w:sz w:val="24"/>
          <w:highlight w:val="none"/>
          <w:lang w:val="en-US" w:eastAsia="zh-CN" w:bidi="ar-SA"/>
        </w:rPr>
        <w:t>78%</w:t>
      </w:r>
      <w:r>
        <w:rPr>
          <w:rFonts w:hint="eastAsia" w:ascii="Times New Roman" w:hAnsi="Times New Roman" w:eastAsia="宋体" w:cs="Times New Roman"/>
          <w:color w:val="auto"/>
          <w:kern w:val="2"/>
          <w:sz w:val="24"/>
          <w:highlight w:val="none"/>
          <w:lang w:val="en-US" w:eastAsia="zh-CN" w:bidi="ar-SA"/>
        </w:rPr>
        <w:t>左右。</w:t>
      </w:r>
    </w:p>
    <w:p w14:paraId="6E4FD429">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充填工作时，通过外部风水造浆系统进行造浆，通过管道输送至高浓度搅拌桶内，管道中设置截止阀进行送料启停功能，设置管夹阀对流量进行控制，设置电磁流量阀对输送量进行统计；炉渣采用冶炼厂水淬炉渣，采用汽车运送至炉渣存料仓内，存料仓底部设置破碎机，将大块炉渣破碎至＜10mm后，通过皮带输送机输送至高浓度搅拌桶内；水泥存储在散装水泥仓内，通过底部螺旋输送机进行变量输送，输送至高浓度搅拌槽内；调浓水通过流量计进行检测，采用球阀进行流量控制，输送至高浓度搅拌槽内。</w:t>
      </w:r>
    </w:p>
    <w:p w14:paraId="3FAEEA65">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充填原材料在高浓度搅拌槽内进行混合搅拌，通过放料阀切换进入自流系统。通过管道输送至充填区。</w:t>
      </w:r>
    </w:p>
    <w:p w14:paraId="40D86D23">
      <w:pPr>
        <w:keepNext/>
        <w:keepLines/>
        <w:widowControl w:val="0"/>
        <w:numPr>
          <w:ilvl w:val="3"/>
          <w:numId w:val="2"/>
        </w:numPr>
        <w:bidi w:val="0"/>
        <w:spacing w:before="20" w:after="20" w:line="360" w:lineRule="auto"/>
        <w:ind w:firstLine="200" w:firstLineChars="0"/>
        <w:jc w:val="left"/>
        <w:outlineLvl w:val="3"/>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废石场</w:t>
      </w:r>
    </w:p>
    <w:p w14:paraId="12E5F488">
      <w:pPr>
        <w:widowControl w:val="0"/>
        <w:spacing w:line="360" w:lineRule="auto"/>
        <w:ind w:firstLine="480" w:firstLineChars="200"/>
        <w:jc w:val="both"/>
        <w:rPr>
          <w:rFonts w:hint="eastAsia" w:ascii="Times New Roman" w:hAnsi="Times New Roman" w:eastAsia="宋体" w:cs="Times New Roman"/>
          <w:color w:val="auto"/>
          <w:kern w:val="2"/>
          <w:sz w:val="24"/>
          <w:highlight w:val="none"/>
          <w:u w:val="none"/>
          <w:lang w:val="en-US" w:eastAsia="zh-CN" w:bidi="ar-SA"/>
        </w:rPr>
      </w:pPr>
      <w:r>
        <w:rPr>
          <w:rFonts w:hint="default" w:ascii="Times New Roman" w:hAnsi="Times New Roman" w:eastAsia="宋体" w:cs="Times New Roman"/>
          <w:color w:val="auto"/>
          <w:kern w:val="2"/>
          <w:sz w:val="24"/>
          <w:highlight w:val="none"/>
          <w:u w:val="none"/>
          <w:lang w:val="en-US" w:eastAsia="zh-CN" w:bidi="ar-SA"/>
        </w:rPr>
        <w:t>采矿部分出矿窿石和</w:t>
      </w:r>
      <w:r>
        <w:rPr>
          <w:rFonts w:hint="eastAsia" w:ascii="Times New Roman" w:hAnsi="Times New Roman" w:eastAsia="宋体" w:cs="Times New Roman"/>
          <w:color w:val="auto"/>
          <w:kern w:val="2"/>
          <w:sz w:val="24"/>
          <w:highlight w:val="none"/>
          <w:u w:val="none"/>
          <w:lang w:val="en-US" w:eastAsia="zh-CN" w:bidi="ar-SA"/>
        </w:rPr>
        <w:t>选矿</w:t>
      </w:r>
      <w:r>
        <w:rPr>
          <w:rFonts w:hint="default" w:ascii="Times New Roman" w:hAnsi="Times New Roman" w:eastAsia="宋体" w:cs="Times New Roman"/>
          <w:color w:val="auto"/>
          <w:kern w:val="2"/>
          <w:sz w:val="24"/>
          <w:highlight w:val="none"/>
          <w:u w:val="none"/>
          <w:lang w:val="en-US" w:eastAsia="zh-CN" w:bidi="ar-SA"/>
        </w:rPr>
        <w:t>废石</w:t>
      </w:r>
      <w:r>
        <w:rPr>
          <w:rFonts w:hint="eastAsia" w:ascii="Times New Roman" w:hAnsi="Times New Roman" w:eastAsia="宋体" w:cs="Times New Roman"/>
          <w:color w:val="auto"/>
          <w:kern w:val="2"/>
          <w:sz w:val="24"/>
          <w:highlight w:val="none"/>
          <w:u w:val="none"/>
          <w:lang w:val="en-US" w:eastAsia="zh-CN" w:bidi="ar-SA"/>
        </w:rPr>
        <w:t>（包括前期手选废石以及目前智能分选废石）</w:t>
      </w:r>
      <w:r>
        <w:rPr>
          <w:rFonts w:hint="default" w:ascii="Times New Roman" w:hAnsi="Times New Roman" w:eastAsia="宋体" w:cs="Times New Roman"/>
          <w:color w:val="auto"/>
          <w:kern w:val="2"/>
          <w:sz w:val="24"/>
          <w:highlight w:val="none"/>
          <w:u w:val="none"/>
          <w:lang w:val="en-US" w:eastAsia="zh-CN" w:bidi="ar-SA"/>
        </w:rPr>
        <w:t>堆存于325m平硐口附近的松树坳废石场，占地</w:t>
      </w:r>
      <w:r>
        <w:rPr>
          <w:rFonts w:hint="eastAsia" w:cs="Times New Roman"/>
          <w:color w:val="auto"/>
          <w:kern w:val="2"/>
          <w:sz w:val="24"/>
          <w:highlight w:val="none"/>
          <w:u w:val="none"/>
          <w:lang w:val="en-US" w:eastAsia="zh-CN" w:bidi="ar-SA"/>
        </w:rPr>
        <w:t>10160m</w:t>
      </w:r>
      <w:r>
        <w:rPr>
          <w:rFonts w:hint="eastAsia" w:cs="Times New Roman"/>
          <w:color w:val="auto"/>
          <w:kern w:val="2"/>
          <w:sz w:val="24"/>
          <w:highlight w:val="none"/>
          <w:u w:val="none"/>
          <w:vertAlign w:val="superscript"/>
          <w:lang w:val="en-US" w:eastAsia="zh-CN" w:bidi="ar-SA"/>
        </w:rPr>
        <w:t>2</w:t>
      </w:r>
      <w:r>
        <w:rPr>
          <w:rFonts w:hint="eastAsia" w:ascii="Times New Roman" w:hAnsi="Times New Roman" w:eastAsia="宋体" w:cs="Times New Roman"/>
          <w:color w:val="auto"/>
          <w:kern w:val="2"/>
          <w:sz w:val="24"/>
          <w:highlight w:val="none"/>
          <w:u w:val="none"/>
          <w:lang w:val="en-US" w:eastAsia="zh-CN" w:bidi="ar-SA"/>
        </w:rPr>
        <w:t>。</w:t>
      </w:r>
    </w:p>
    <w:p w14:paraId="4F91A7B9">
      <w:pPr>
        <w:widowControl w:val="0"/>
        <w:spacing w:line="360" w:lineRule="auto"/>
        <w:ind w:firstLine="480" w:firstLineChars="200"/>
        <w:jc w:val="both"/>
        <w:rPr>
          <w:rFonts w:hint="default" w:ascii="Times New Roman" w:hAnsi="Times New Roman" w:eastAsia="宋体" w:cs="Times New Roman"/>
          <w:color w:val="auto"/>
          <w:kern w:val="2"/>
          <w:sz w:val="24"/>
          <w:highlight w:val="none"/>
          <w:u w:val="none"/>
          <w:lang w:val="en-US" w:eastAsia="zh-CN" w:bidi="ar-SA"/>
        </w:rPr>
      </w:pPr>
      <w:r>
        <w:rPr>
          <w:rFonts w:hint="eastAsia" w:ascii="Times New Roman" w:hAnsi="Times New Roman" w:eastAsia="宋体" w:cs="Times New Roman"/>
          <w:color w:val="auto"/>
          <w:kern w:val="2"/>
          <w:sz w:val="24"/>
          <w:highlight w:val="none"/>
          <w:u w:val="none"/>
          <w:lang w:val="en-US" w:eastAsia="zh-CN" w:bidi="ar-SA"/>
        </w:rPr>
        <w:t>目前，</w:t>
      </w:r>
      <w:r>
        <w:rPr>
          <w:rFonts w:hint="default" w:ascii="Times New Roman" w:hAnsi="Times New Roman" w:eastAsia="宋体" w:cs="Times New Roman"/>
          <w:color w:val="auto"/>
          <w:kern w:val="2"/>
          <w:sz w:val="24"/>
          <w:highlight w:val="none"/>
          <w:u w:val="none"/>
          <w:lang w:val="en-US" w:eastAsia="zh-CN" w:bidi="ar-SA"/>
        </w:rPr>
        <w:t>90%采矿废石</w:t>
      </w:r>
      <w:r>
        <w:rPr>
          <w:rFonts w:hint="eastAsia" w:ascii="Times New Roman" w:hAnsi="Times New Roman" w:eastAsia="宋体" w:cs="Times New Roman"/>
          <w:color w:val="auto"/>
          <w:kern w:val="2"/>
          <w:sz w:val="24"/>
          <w:highlight w:val="none"/>
          <w:u w:val="none"/>
          <w:lang w:val="en-US" w:eastAsia="zh-CN" w:bidi="ar-SA"/>
        </w:rPr>
        <w:t>（94.5</w:t>
      </w:r>
      <w:r>
        <w:rPr>
          <w:rFonts w:hint="eastAsia" w:cs="Times New Roman"/>
          <w:color w:val="auto"/>
          <w:kern w:val="2"/>
          <w:sz w:val="24"/>
          <w:highlight w:val="none"/>
          <w:u w:val="none"/>
          <w:lang w:val="en-US" w:eastAsia="zh-CN" w:bidi="ar-SA"/>
        </w:rPr>
        <w:t>m</w:t>
      </w:r>
      <w:r>
        <w:rPr>
          <w:rFonts w:hint="eastAsia" w:cs="Times New Roman"/>
          <w:color w:val="auto"/>
          <w:kern w:val="2"/>
          <w:sz w:val="24"/>
          <w:highlight w:val="none"/>
          <w:u w:val="none"/>
          <w:vertAlign w:val="superscript"/>
          <w:lang w:val="en-US" w:eastAsia="zh-CN" w:bidi="ar-SA"/>
        </w:rPr>
        <w:t>3</w:t>
      </w:r>
      <w:r>
        <w:rPr>
          <w:rFonts w:hint="eastAsia" w:cs="Times New Roman"/>
          <w:color w:val="auto"/>
          <w:kern w:val="2"/>
          <w:sz w:val="24"/>
          <w:highlight w:val="none"/>
          <w:u w:val="none"/>
          <w:lang w:val="en-US" w:eastAsia="zh-CN" w:bidi="ar-SA"/>
        </w:rPr>
        <w:t>/d</w:t>
      </w:r>
      <w:r>
        <w:rPr>
          <w:rFonts w:hint="eastAsia" w:ascii="Times New Roman" w:hAnsi="Times New Roman" w:eastAsia="宋体" w:cs="Times New Roman"/>
          <w:color w:val="auto"/>
          <w:kern w:val="2"/>
          <w:sz w:val="24"/>
          <w:highlight w:val="none"/>
          <w:u w:val="none"/>
          <w:lang w:val="en-US" w:eastAsia="zh-CN" w:bidi="ar-SA"/>
        </w:rPr>
        <w:t>）</w:t>
      </w:r>
      <w:r>
        <w:rPr>
          <w:rFonts w:hint="default" w:ascii="Times New Roman" w:hAnsi="Times New Roman" w:eastAsia="宋体" w:cs="Times New Roman"/>
          <w:color w:val="auto"/>
          <w:kern w:val="2"/>
          <w:sz w:val="24"/>
          <w:highlight w:val="none"/>
          <w:u w:val="none"/>
          <w:lang w:val="en-US" w:eastAsia="zh-CN" w:bidi="ar-SA"/>
        </w:rPr>
        <w:t>不出井，剩余10%采矿废</w:t>
      </w:r>
      <w:r>
        <w:rPr>
          <w:rFonts w:hint="eastAsia" w:ascii="Times New Roman" w:hAnsi="Times New Roman" w:eastAsia="宋体" w:cs="Times New Roman"/>
          <w:color w:val="auto"/>
          <w:kern w:val="2"/>
          <w:sz w:val="24"/>
          <w:highlight w:val="none"/>
          <w:u w:val="none"/>
          <w:lang w:val="en-US" w:eastAsia="zh-CN" w:bidi="ar-SA"/>
        </w:rPr>
        <w:t>石（10.5</w:t>
      </w:r>
      <w:r>
        <w:rPr>
          <w:rFonts w:hint="eastAsia" w:cs="Times New Roman"/>
          <w:color w:val="auto"/>
          <w:kern w:val="2"/>
          <w:sz w:val="24"/>
          <w:highlight w:val="none"/>
          <w:u w:val="none"/>
          <w:lang w:val="en-US" w:eastAsia="zh-CN" w:bidi="ar-SA"/>
        </w:rPr>
        <w:t>m</w:t>
      </w:r>
      <w:r>
        <w:rPr>
          <w:rFonts w:hint="eastAsia" w:cs="Times New Roman"/>
          <w:color w:val="auto"/>
          <w:kern w:val="2"/>
          <w:sz w:val="24"/>
          <w:highlight w:val="none"/>
          <w:u w:val="none"/>
          <w:vertAlign w:val="superscript"/>
          <w:lang w:val="en-US" w:eastAsia="zh-CN" w:bidi="ar-SA"/>
        </w:rPr>
        <w:t>3</w:t>
      </w:r>
      <w:r>
        <w:rPr>
          <w:rFonts w:hint="eastAsia" w:cs="Times New Roman"/>
          <w:color w:val="auto"/>
          <w:kern w:val="2"/>
          <w:sz w:val="24"/>
          <w:highlight w:val="none"/>
          <w:u w:val="none"/>
          <w:lang w:val="en-US" w:eastAsia="zh-CN" w:bidi="ar-SA"/>
        </w:rPr>
        <w:t>/d</w:t>
      </w:r>
      <w:r>
        <w:rPr>
          <w:rFonts w:hint="eastAsia" w:ascii="Times New Roman" w:hAnsi="Times New Roman" w:eastAsia="宋体" w:cs="Times New Roman"/>
          <w:color w:val="auto"/>
          <w:kern w:val="2"/>
          <w:sz w:val="24"/>
          <w:highlight w:val="none"/>
          <w:u w:val="none"/>
          <w:lang w:val="en-US" w:eastAsia="zh-CN" w:bidi="ar-SA"/>
        </w:rPr>
        <w:t>），以及选矿废石（190</w:t>
      </w:r>
      <w:r>
        <w:rPr>
          <w:rFonts w:hint="eastAsia" w:cs="Times New Roman"/>
          <w:color w:val="auto"/>
          <w:kern w:val="2"/>
          <w:sz w:val="24"/>
          <w:highlight w:val="none"/>
          <w:u w:val="none"/>
          <w:lang w:val="en-US" w:eastAsia="zh-CN" w:bidi="ar-SA"/>
        </w:rPr>
        <w:t>m</w:t>
      </w:r>
      <w:r>
        <w:rPr>
          <w:rFonts w:hint="eastAsia" w:cs="Times New Roman"/>
          <w:color w:val="auto"/>
          <w:kern w:val="2"/>
          <w:sz w:val="24"/>
          <w:highlight w:val="none"/>
          <w:u w:val="none"/>
          <w:vertAlign w:val="superscript"/>
          <w:lang w:val="en-US" w:eastAsia="zh-CN" w:bidi="ar-SA"/>
        </w:rPr>
        <w:t>3</w:t>
      </w:r>
      <w:r>
        <w:rPr>
          <w:rFonts w:hint="eastAsia" w:cs="Times New Roman"/>
          <w:color w:val="auto"/>
          <w:kern w:val="2"/>
          <w:sz w:val="24"/>
          <w:highlight w:val="none"/>
          <w:u w:val="none"/>
          <w:lang w:val="en-US" w:eastAsia="zh-CN" w:bidi="ar-SA"/>
        </w:rPr>
        <w:t>/d</w:t>
      </w:r>
      <w:r>
        <w:rPr>
          <w:rFonts w:hint="eastAsia" w:ascii="Times New Roman" w:hAnsi="Times New Roman" w:eastAsia="宋体" w:cs="Times New Roman"/>
          <w:color w:val="auto"/>
          <w:kern w:val="2"/>
          <w:sz w:val="24"/>
          <w:highlight w:val="none"/>
          <w:u w:val="none"/>
          <w:lang w:val="en-US" w:eastAsia="zh-CN" w:bidi="ar-SA"/>
        </w:rPr>
        <w:t>）临时堆存在废石场，后期用于井下充填。废石场周边设置了截排水沟，下游设置了挡墙。</w:t>
      </w:r>
    </w:p>
    <w:p w14:paraId="3D290D32">
      <w:pPr>
        <w:keepNext/>
        <w:keepLines/>
        <w:widowControl w:val="0"/>
        <w:numPr>
          <w:ilvl w:val="3"/>
          <w:numId w:val="2"/>
        </w:numPr>
        <w:bidi w:val="0"/>
        <w:spacing w:before="20" w:after="20" w:line="360" w:lineRule="auto"/>
        <w:ind w:firstLine="200" w:firstLineChars="0"/>
        <w:jc w:val="left"/>
        <w:outlineLvl w:val="3"/>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采矿工艺</w:t>
      </w:r>
    </w:p>
    <w:p w14:paraId="0EC68198">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矿区现有采场采用平硐-溜井+辅助地表公路+辅助斜井进行联合开拓，采用上向水平盘区机械化充填采矿法开采。采矿时采用湿式凿岩、喷雾洒水等降尘措施，并通过机械通风排除爆破作业产生的大量粉尘和有毒有害气体。开采顺序采用正常开采顺序，即由上而下开采。</w:t>
      </w:r>
    </w:p>
    <w:p w14:paraId="11A6E693">
      <w:pPr>
        <w:widowControl w:val="0"/>
        <w:spacing w:line="360" w:lineRule="auto"/>
        <w:ind w:left="0" w:leftChars="0" w:firstLine="0" w:firstLineChars="0"/>
        <w:jc w:val="center"/>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drawing>
          <wp:inline distT="0" distB="0" distL="114300" distR="114300">
            <wp:extent cx="5706745" cy="3450590"/>
            <wp:effectExtent l="0" t="0" r="0" b="0"/>
            <wp:docPr id="8" name="ECB019B1-382A-4266-B25C-5B523AA43C14-1" descr="C:/Users/GuoYuan/AppData/Local/Temp/wps.waAIW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C:/Users/GuoYuan/AppData/Local/Temp/wps.waAIWcwps"/>
                    <pic:cNvPicPr>
                      <a:picLocks noChangeAspect="1"/>
                    </pic:cNvPicPr>
                  </pic:nvPicPr>
                  <pic:blipFill>
                    <a:blip r:embed="rId18"/>
                    <a:stretch>
                      <a:fillRect/>
                    </a:stretch>
                  </pic:blipFill>
                  <pic:spPr>
                    <a:xfrm>
                      <a:off x="0" y="0"/>
                      <a:ext cx="5706745" cy="3450590"/>
                    </a:xfrm>
                    <a:prstGeom prst="rect">
                      <a:avLst/>
                    </a:prstGeom>
                  </pic:spPr>
                </pic:pic>
              </a:graphicData>
            </a:graphic>
          </wp:inline>
        </w:drawing>
      </w:r>
    </w:p>
    <w:p w14:paraId="3782656A">
      <w:pPr>
        <w:widowControl w:val="0"/>
        <w:bidi w:val="0"/>
        <w:spacing w:after="50" w:afterLines="50"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图</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图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采矿流程及产污环节图</w:t>
      </w:r>
    </w:p>
    <w:p w14:paraId="0AB0286D">
      <w:pPr>
        <w:keepNext/>
        <w:keepLines/>
        <w:widowControl w:val="0"/>
        <w:numPr>
          <w:ilvl w:val="3"/>
          <w:numId w:val="2"/>
        </w:numPr>
        <w:bidi w:val="0"/>
        <w:spacing w:before="20" w:after="20" w:line="360" w:lineRule="auto"/>
        <w:ind w:firstLine="200" w:firstLineChars="0"/>
        <w:jc w:val="left"/>
        <w:outlineLvl w:val="3"/>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选矿流程</w:t>
      </w:r>
    </w:p>
    <w:p w14:paraId="5C89F830">
      <w:pPr>
        <w:widowControl w:val="0"/>
        <w:spacing w:line="360" w:lineRule="auto"/>
        <w:ind w:firstLine="482"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原环评及验收阶段：</w:t>
      </w:r>
      <w:r>
        <w:rPr>
          <w:rFonts w:hint="eastAsia" w:ascii="Times New Roman" w:hAnsi="Times New Roman" w:eastAsia="宋体" w:cs="Times New Roman"/>
          <w:color w:val="auto"/>
          <w:kern w:val="2"/>
          <w:sz w:val="24"/>
          <w:highlight w:val="none"/>
          <w:lang w:val="en-US" w:eastAsia="zh-CN" w:bidi="ar-SA"/>
        </w:rPr>
        <w:t>根据该矿区锑钨共生矿石的原矿性质，并结合湖南辰州矿业股份有限公司沃溪选矿厂现厂生产实践，选矿工艺流程为：破碎为两段一闭路碎矿流程(含手选作业)；磨矿为一段闭路磨矿分级流程(与旋流器构成闭路)，球磨机为2736球磨；锑浮选为“一粗三精三扫”,中矿顺序返回流程；浮选锑精矿用砂泵扬送至冶炼厂进行脱水，流程为浓缩机加陶瓷过滤机两段脱水。</w:t>
      </w:r>
    </w:p>
    <w:p w14:paraId="2D6B3B8E">
      <w:pPr>
        <w:widowControl w:val="0"/>
        <w:spacing w:line="360" w:lineRule="auto"/>
        <w:ind w:firstLine="482"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目前</w:t>
      </w:r>
      <w:r>
        <w:rPr>
          <w:rFonts w:hint="eastAsia" w:ascii="Times New Roman" w:hAnsi="Times New Roman" w:eastAsia="宋体" w:cs="Times New Roman"/>
          <w:color w:val="auto"/>
          <w:kern w:val="2"/>
          <w:sz w:val="24"/>
          <w:highlight w:val="none"/>
          <w:lang w:val="en-US" w:eastAsia="zh-CN" w:bidi="ar-SA"/>
        </w:rPr>
        <w:t>：保留手选（高品位）原矿工段，取消了手选废石工段，改为智能分选系统；增加一套磨矿系统，主要设备为2130球磨机，采用“一粗三精二扫”工艺，2130球磨与2736球磨一用一备。其他工艺与原环评及验收阶段一致。</w:t>
      </w:r>
    </w:p>
    <w:p w14:paraId="5D05036B">
      <w:pPr>
        <w:widowControl w:val="0"/>
        <w:spacing w:line="360" w:lineRule="auto"/>
        <w:ind w:left="0" w:leftChars="0" w:firstLine="0" w:firstLineChars="0"/>
        <w:jc w:val="center"/>
        <w:rPr>
          <w:rFonts w:hint="eastAsia"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sz w:val="24"/>
          <w:szCs w:val="22"/>
          <w:highlight w:val="none"/>
        </w:rPr>
        <w:drawing>
          <wp:inline distT="0" distB="0" distL="114300" distR="114300">
            <wp:extent cx="3458845" cy="5615305"/>
            <wp:effectExtent l="0" t="0" r="0" b="0"/>
            <wp:docPr id="14"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2" descr="wps"/>
                    <pic:cNvPicPr>
                      <a:picLocks noChangeAspect="1"/>
                    </pic:cNvPicPr>
                  </pic:nvPicPr>
                  <pic:blipFill>
                    <a:blip r:embed="rId19"/>
                    <a:stretch>
                      <a:fillRect/>
                    </a:stretch>
                  </pic:blipFill>
                  <pic:spPr>
                    <a:xfrm>
                      <a:off x="0" y="0"/>
                      <a:ext cx="3458845" cy="5615305"/>
                    </a:xfrm>
                    <a:prstGeom prst="rect">
                      <a:avLst/>
                    </a:prstGeom>
                    <a:noFill/>
                    <a:ln>
                      <a:noFill/>
                    </a:ln>
                  </pic:spPr>
                </pic:pic>
              </a:graphicData>
            </a:graphic>
          </wp:inline>
        </w:drawing>
      </w:r>
    </w:p>
    <w:p w14:paraId="00370734">
      <w:pPr>
        <w:widowControl w:val="0"/>
        <w:bidi w:val="0"/>
        <w:spacing w:after="50" w:afterLines="50" w:line="300" w:lineRule="auto"/>
        <w:jc w:val="center"/>
        <w:outlineLvl w:val="4"/>
        <w:rPr>
          <w:rFonts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图</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图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w:t>
      </w:r>
      <w:r>
        <w:rPr>
          <w:rFonts w:hint="eastAsia" w:ascii="Times New Roman" w:hAnsi="Times New Roman" w:eastAsia="黑体" w:cs="Times New Roman"/>
          <w:color w:val="auto"/>
          <w:kern w:val="2"/>
          <w:sz w:val="24"/>
          <w:highlight w:val="none"/>
          <w:lang w:val="en-US" w:eastAsia="zh-CN" w:bidi="ar-SA"/>
        </w:rPr>
        <w:t>选矿工艺</w:t>
      </w:r>
      <w:r>
        <w:rPr>
          <w:rFonts w:hint="default" w:ascii="Times New Roman" w:hAnsi="Times New Roman" w:eastAsia="黑体" w:cs="Times New Roman"/>
          <w:color w:val="auto"/>
          <w:kern w:val="2"/>
          <w:sz w:val="24"/>
          <w:highlight w:val="none"/>
          <w:lang w:val="en-US" w:eastAsia="zh-CN" w:bidi="ar-SA"/>
        </w:rPr>
        <w:t>流程图</w:t>
      </w:r>
    </w:p>
    <w:p w14:paraId="19EC27E8">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选厂选矿主要污染物为废水、噪声和粉尘。粗碎、中细碎、筛分以及粉矿仓的主要污染物是噪声和粉尘，其中粉尘通过除尘器除尘后无组织排放；磨矿主要污染物为噪声；浮选过程中主要污染物为浓密废水、尾矿废水以及尾矿，全部进入选厂内的53m浓密池，尾矿部分用于充填，不分排放至尾矿库，尾矿废水除随尾矿进入充填系统和尾矿库外，剩余的回用于选矿。</w:t>
      </w:r>
    </w:p>
    <w:p w14:paraId="1CB3EBA7">
      <w:pPr>
        <w:keepNext/>
        <w:keepLines/>
        <w:widowControl w:val="0"/>
        <w:numPr>
          <w:ilvl w:val="3"/>
          <w:numId w:val="2"/>
        </w:numPr>
        <w:bidi w:val="0"/>
        <w:spacing w:before="20" w:after="20" w:line="360" w:lineRule="auto"/>
        <w:ind w:firstLine="200" w:firstLineChars="0"/>
        <w:jc w:val="left"/>
        <w:outlineLvl w:val="3"/>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选矿指标及产品方案</w:t>
      </w:r>
    </w:p>
    <w:p w14:paraId="6A92E635">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选厂</w:t>
      </w:r>
      <w:r>
        <w:rPr>
          <w:rFonts w:ascii="Times New Roman" w:hAnsi="Times New Roman" w:eastAsia="宋体" w:cs="Times New Roman"/>
          <w:color w:val="auto"/>
          <w:kern w:val="2"/>
          <w:sz w:val="24"/>
          <w:highlight w:val="none"/>
          <w:lang w:val="en-US" w:eastAsia="en-US" w:bidi="ar-SA"/>
        </w:rPr>
        <w:t>选矿回收率</w:t>
      </w:r>
      <w:r>
        <w:rPr>
          <w:rFonts w:hint="eastAsia" w:ascii="Times New Roman" w:hAnsi="Times New Roman" w:eastAsia="宋体" w:cs="Times New Roman"/>
          <w:color w:val="auto"/>
          <w:kern w:val="2"/>
          <w:sz w:val="24"/>
          <w:highlight w:val="none"/>
          <w:lang w:val="en-US" w:eastAsia="zh-CN" w:bidi="ar-SA"/>
        </w:rPr>
        <w:t>为83%。</w:t>
      </w:r>
    </w:p>
    <w:p w14:paraId="433B6E68">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选厂产品方案为：10</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hint="eastAsia" w:ascii="Times New Roman" w:hAnsi="Times New Roman" w:eastAsia="宋体" w:cs="Times New Roman"/>
          <w:color w:val="auto"/>
          <w:kern w:val="2"/>
          <w:sz w:val="24"/>
          <w:highlight w:val="none"/>
          <w:lang w:val="en-US" w:eastAsia="zh-CN" w:bidi="ar-SA"/>
        </w:rPr>
        <w:t>高品位锑矿（品位42.35%），26.32</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hint="eastAsia" w:ascii="Times New Roman" w:hAnsi="Times New Roman" w:eastAsia="宋体" w:cs="Times New Roman"/>
          <w:color w:val="auto"/>
          <w:kern w:val="2"/>
          <w:sz w:val="24"/>
          <w:highlight w:val="none"/>
          <w:lang w:val="en-US" w:eastAsia="zh-CN" w:bidi="ar-SA"/>
        </w:rPr>
        <w:t>浮选锑精矿（品位53.52%）。尾矿产生量为</w:t>
      </w:r>
      <w:r>
        <w:rPr>
          <w:rFonts w:hint="eastAsia" w:cs="Times New Roman"/>
          <w:color w:val="auto"/>
          <w:kern w:val="2"/>
          <w:sz w:val="24"/>
          <w:highlight w:val="none"/>
          <w:lang w:val="en-US" w:eastAsia="zh-CN" w:bidi="ar-SA"/>
        </w:rPr>
        <w:t>473.68t/d</w:t>
      </w:r>
      <w:r>
        <w:rPr>
          <w:rFonts w:hint="eastAsia" w:ascii="Times New Roman" w:hAnsi="Times New Roman" w:eastAsia="宋体" w:cs="Times New Roman"/>
          <w:color w:val="auto"/>
          <w:kern w:val="2"/>
          <w:sz w:val="24"/>
          <w:highlight w:val="none"/>
          <w:lang w:val="en-US" w:eastAsia="zh-CN" w:bidi="ar-SA"/>
        </w:rPr>
        <w:t>，其中</w:t>
      </w:r>
      <w:r>
        <w:rPr>
          <w:rFonts w:hint="eastAsia" w:cs="Times New Roman"/>
          <w:color w:val="auto"/>
          <w:kern w:val="2"/>
          <w:sz w:val="24"/>
          <w:highlight w:val="none"/>
          <w:lang w:val="en-US" w:eastAsia="zh-CN" w:bidi="ar-SA"/>
        </w:rPr>
        <w:t>154.56t/d</w:t>
      </w:r>
      <w:r>
        <w:rPr>
          <w:rFonts w:hint="eastAsia" w:ascii="Times New Roman" w:hAnsi="Times New Roman" w:eastAsia="宋体" w:cs="Times New Roman"/>
          <w:color w:val="auto"/>
          <w:kern w:val="2"/>
          <w:sz w:val="24"/>
          <w:highlight w:val="none"/>
          <w:lang w:val="en-US" w:eastAsia="zh-CN" w:bidi="ar-SA"/>
        </w:rPr>
        <w:t>用于井下充填，</w:t>
      </w:r>
      <w:r>
        <w:rPr>
          <w:rFonts w:hint="eastAsia" w:cs="Times New Roman"/>
          <w:color w:val="auto"/>
          <w:kern w:val="2"/>
          <w:sz w:val="24"/>
          <w:highlight w:val="none"/>
          <w:lang w:val="en-US" w:eastAsia="zh-CN" w:bidi="ar-SA"/>
        </w:rPr>
        <w:t>319.12t/d</w:t>
      </w:r>
      <w:r>
        <w:rPr>
          <w:rFonts w:hint="eastAsia" w:ascii="Times New Roman" w:hAnsi="Times New Roman" w:eastAsia="宋体" w:cs="Times New Roman"/>
          <w:color w:val="auto"/>
          <w:kern w:val="2"/>
          <w:sz w:val="24"/>
          <w:highlight w:val="none"/>
          <w:lang w:val="en-US" w:eastAsia="zh-CN" w:bidi="ar-SA"/>
        </w:rPr>
        <w:t>排入尾矿库。</w:t>
      </w:r>
    </w:p>
    <w:p w14:paraId="0689B3A0">
      <w:pPr>
        <w:keepNext/>
        <w:keepLines/>
        <w:widowControl w:val="0"/>
        <w:numPr>
          <w:ilvl w:val="3"/>
          <w:numId w:val="2"/>
        </w:numPr>
        <w:bidi w:val="0"/>
        <w:spacing w:before="20" w:after="20" w:line="360" w:lineRule="auto"/>
        <w:ind w:firstLine="200" w:firstLineChars="0"/>
        <w:jc w:val="left"/>
        <w:outlineLvl w:val="3"/>
        <w:rPr>
          <w:rFonts w:hint="eastAsia" w:ascii="Times New Roman" w:hAnsi="Times New Roman" w:eastAsia="宋体" w:cs="Times New Roman"/>
          <w:b/>
          <w:bCs/>
          <w:color w:val="auto"/>
          <w:kern w:val="2"/>
          <w:sz w:val="24"/>
          <w:szCs w:val="24"/>
          <w:highlight w:val="none"/>
          <w:lang w:val="en-US" w:eastAsia="en-US" w:bidi="ar-SA"/>
        </w:rPr>
      </w:pPr>
      <w:r>
        <w:rPr>
          <w:rFonts w:hint="eastAsia" w:ascii="Times New Roman" w:hAnsi="Times New Roman" w:eastAsia="宋体" w:cs="Times New Roman"/>
          <w:b/>
          <w:bCs/>
          <w:color w:val="auto"/>
          <w:kern w:val="2"/>
          <w:sz w:val="24"/>
          <w:szCs w:val="24"/>
          <w:highlight w:val="none"/>
          <w:lang w:val="en-US" w:eastAsia="en-US" w:bidi="ar-SA"/>
        </w:rPr>
        <w:t>尾矿库</w:t>
      </w:r>
    </w:p>
    <w:p w14:paraId="3A7F9855">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企业共有两座尾矿库，分别为</w:t>
      </w:r>
      <w:r>
        <w:rPr>
          <w:rFonts w:hint="eastAsia" w:ascii="Times New Roman" w:hAnsi="Times New Roman" w:eastAsia="宋体" w:cs="Times New Roman"/>
          <w:color w:val="auto"/>
          <w:kern w:val="2"/>
          <w:sz w:val="24"/>
          <w:highlight w:val="none"/>
          <w:lang w:val="en-US" w:eastAsia="zh-CN" w:bidi="ar-SA"/>
        </w:rPr>
        <w:t>老尾矿库及石板冲尾矿库，老尾矿库已进行了闭库，石板冲尾矿库为在用尾矿库。</w:t>
      </w:r>
    </w:p>
    <w:p w14:paraId="0E790F23">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石板冲尾矿库主要建设内容见下表。</w:t>
      </w:r>
    </w:p>
    <w:p w14:paraId="536E54E2">
      <w:pPr>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6</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w:t>
      </w:r>
      <w:r>
        <w:rPr>
          <w:rFonts w:hint="eastAsia" w:ascii="Times New Roman" w:hAnsi="Times New Roman" w:eastAsia="黑体" w:cs="Times New Roman"/>
          <w:color w:val="auto"/>
          <w:kern w:val="2"/>
          <w:sz w:val="24"/>
          <w:highlight w:val="none"/>
          <w:lang w:val="en-US" w:eastAsia="zh-CN" w:bidi="ar-SA"/>
        </w:rPr>
        <w:t>石板冲尾矿库主要</w:t>
      </w:r>
      <w:r>
        <w:rPr>
          <w:rFonts w:hint="default" w:ascii="Times New Roman" w:hAnsi="Times New Roman" w:eastAsia="黑体" w:cs="Times New Roman"/>
          <w:color w:val="auto"/>
          <w:kern w:val="2"/>
          <w:sz w:val="24"/>
          <w:highlight w:val="none"/>
          <w:lang w:val="en-US" w:eastAsia="zh-CN" w:bidi="ar-SA"/>
        </w:rPr>
        <w:t>建设内容一览表</w:t>
      </w:r>
    </w:p>
    <w:tbl>
      <w:tblPr>
        <w:tblStyle w:val="21"/>
        <w:tblW w:w="89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659"/>
        <w:gridCol w:w="686"/>
        <w:gridCol w:w="7625"/>
      </w:tblGrid>
      <w:tr w14:paraId="2A0A8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5000" w:type="pct"/>
            <w:gridSpan w:val="3"/>
            <w:tcBorders>
              <w:top w:val="single" w:color="auto" w:sz="12" w:space="0"/>
              <w:left w:val="single" w:color="auto" w:sz="12" w:space="0"/>
              <w:bottom w:val="single" w:color="auto" w:sz="6" w:space="0"/>
              <w:right w:val="single" w:color="auto" w:sz="12" w:space="0"/>
              <w:tl2br w:val="nil"/>
              <w:tr2bl w:val="nil"/>
            </w:tcBorders>
            <w:noWrap w:val="0"/>
            <w:vAlign w:val="center"/>
          </w:tcPr>
          <w:p w14:paraId="221EBFD9">
            <w:pPr>
              <w:pStyle w:val="3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石板冲尾矿库</w:t>
            </w:r>
          </w:p>
        </w:tc>
      </w:tr>
      <w:tr w14:paraId="0CD3A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749" w:type="pct"/>
            <w:gridSpan w:val="2"/>
            <w:tcBorders>
              <w:top w:val="single" w:color="auto" w:sz="6" w:space="0"/>
              <w:left w:val="single" w:color="auto" w:sz="12" w:space="0"/>
              <w:bottom w:val="single" w:color="auto" w:sz="6" w:space="0"/>
              <w:right w:val="single" w:color="auto" w:sz="6" w:space="0"/>
              <w:tl2br w:val="nil"/>
              <w:tr2bl w:val="nil"/>
            </w:tcBorders>
            <w:noWrap w:val="0"/>
            <w:vAlign w:val="center"/>
          </w:tcPr>
          <w:p w14:paraId="7F3CAFA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选址</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0F62AB41">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选厂东面直线距离约1.5km的石板冲，总占地17.9h</w:t>
            </w:r>
            <w:r>
              <w:rPr>
                <w:rFonts w:hint="eastAsia" w:cs="Times New Roman"/>
                <w:color w:val="auto"/>
                <w:sz w:val="22"/>
                <w:szCs w:val="22"/>
                <w:highlight w:val="none"/>
                <w:lang w:eastAsia="zh-CN"/>
              </w:rPr>
              <w:t>m</w:t>
            </w:r>
            <w:r>
              <w:rPr>
                <w:rFonts w:hint="eastAsia" w:cs="Times New Roman"/>
                <w:color w:val="auto"/>
                <w:sz w:val="22"/>
                <w:szCs w:val="22"/>
                <w:highlight w:val="none"/>
                <w:vertAlign w:val="superscript"/>
                <w:lang w:eastAsia="zh-CN"/>
              </w:rPr>
              <w:t>2</w:t>
            </w:r>
            <w:r>
              <w:rPr>
                <w:rFonts w:hint="default" w:ascii="Times New Roman" w:hAnsi="Times New Roman" w:eastAsia="宋体" w:cs="Times New Roman"/>
                <w:color w:val="auto"/>
                <w:sz w:val="22"/>
                <w:szCs w:val="22"/>
                <w:highlight w:val="none"/>
              </w:rPr>
              <w:t>。</w:t>
            </w:r>
          </w:p>
        </w:tc>
      </w:tr>
      <w:tr w14:paraId="6A1F9E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868" w:hRule="atLeast"/>
          <w:jc w:val="center"/>
        </w:trPr>
        <w:tc>
          <w:tcPr>
            <w:tcW w:w="367" w:type="pct"/>
            <w:vMerge w:val="restart"/>
            <w:tcBorders>
              <w:top w:val="single" w:color="auto" w:sz="6" w:space="0"/>
              <w:left w:val="single" w:color="auto" w:sz="12" w:space="0"/>
              <w:bottom w:val="single" w:color="auto" w:sz="6" w:space="0"/>
              <w:right w:val="single" w:color="auto" w:sz="6" w:space="0"/>
              <w:tl2br w:val="nil"/>
              <w:tr2bl w:val="nil"/>
            </w:tcBorders>
            <w:noWrap w:val="0"/>
            <w:vAlign w:val="center"/>
          </w:tcPr>
          <w:p w14:paraId="4456A9D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坝高及库容</w:t>
            </w:r>
          </w:p>
        </w:tc>
        <w:tc>
          <w:tcPr>
            <w:tcW w:w="38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9103CB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初期坝</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75BCDCA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在石板冲沟中下部约295m标高处修建初期坝，坝型为碾压堆石坝。坝底高程295m，坝顶高程330m，坝高35m，坝顶宽4.0m，坝轴线长约90m，内外坡比1：1.8，库容29.40万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w:t>
            </w:r>
          </w:p>
        </w:tc>
      </w:tr>
      <w:tr w14:paraId="6460D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868" w:hRule="atLeast"/>
          <w:jc w:val="center"/>
        </w:trPr>
        <w:tc>
          <w:tcPr>
            <w:tcW w:w="367" w:type="pct"/>
            <w:vMerge w:val="continue"/>
            <w:tcBorders>
              <w:top w:val="single" w:color="auto" w:sz="6" w:space="0"/>
              <w:left w:val="single" w:color="auto" w:sz="12" w:space="0"/>
              <w:bottom w:val="single" w:color="auto" w:sz="6" w:space="0"/>
              <w:right w:val="single" w:color="auto" w:sz="6" w:space="0"/>
              <w:tl2br w:val="nil"/>
              <w:tr2bl w:val="nil"/>
            </w:tcBorders>
            <w:noWrap w:val="0"/>
            <w:vAlign w:val="center"/>
          </w:tcPr>
          <w:p w14:paraId="782E8AD9">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p>
        </w:tc>
        <w:tc>
          <w:tcPr>
            <w:tcW w:w="38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9E1CD4A">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后期堆积坝</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062E2D5D">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初期坝顶标高330m以上采用上游法尾矿堆坝，平均堆积边坡1：4.0，设计一期堆积坝顶标高370m，堆高40m，总坝高75m，总库容228.65万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。二期在一期堆积坝顶标高370m以上继续采用上游法尾矿堆坝，平均堆积边坡1：4.0，设计最终堆积坝顶标高391m，继续堆高21m，总坝高96m，总库容442.85万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w:t>
            </w:r>
          </w:p>
        </w:tc>
      </w:tr>
      <w:tr w14:paraId="05600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749" w:type="pct"/>
            <w:gridSpan w:val="2"/>
            <w:tcBorders>
              <w:top w:val="single" w:color="auto" w:sz="6" w:space="0"/>
              <w:left w:val="single" w:color="auto" w:sz="12" w:space="0"/>
              <w:bottom w:val="single" w:color="auto" w:sz="6" w:space="0"/>
              <w:right w:val="single" w:color="auto" w:sz="6" w:space="0"/>
              <w:tl2br w:val="nil"/>
              <w:tr2bl w:val="nil"/>
            </w:tcBorders>
            <w:noWrap w:val="0"/>
            <w:vAlign w:val="center"/>
          </w:tcPr>
          <w:p w14:paraId="5A363720">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现状堆积标高及库容</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6995B9D0">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尾矿库现状堆积标高352.5m，坝高57.5m，已用库容113万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，剩余库容329.85万</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w:t>
            </w:r>
          </w:p>
        </w:tc>
      </w:tr>
      <w:tr w14:paraId="124B5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868" w:hRule="atLeast"/>
          <w:jc w:val="center"/>
        </w:trPr>
        <w:tc>
          <w:tcPr>
            <w:tcW w:w="749" w:type="pct"/>
            <w:gridSpan w:val="2"/>
            <w:tcBorders>
              <w:top w:val="single" w:color="auto" w:sz="6" w:space="0"/>
              <w:left w:val="single" w:color="auto" w:sz="12" w:space="0"/>
              <w:bottom w:val="single" w:color="auto" w:sz="6" w:space="0"/>
              <w:right w:val="single" w:color="auto" w:sz="6" w:space="0"/>
              <w:tl2br w:val="nil"/>
              <w:tr2bl w:val="nil"/>
            </w:tcBorders>
            <w:noWrap w:val="0"/>
            <w:vAlign w:val="center"/>
          </w:tcPr>
          <w:p w14:paraId="5E9367A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放矿工艺</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032A3492">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该库采用上游法尾矿堆坝，从初期坝前开始分散、均匀放矿，每隔10～15m设一个分散放矿口，使粗尾砂沉积于坝前，细颗粒流往库尾，澄清水通过框架式排水井一排洪隧洞排出库外。采用低浓度尾矿堆存，尾砂浓度20%。</w:t>
            </w:r>
          </w:p>
        </w:tc>
      </w:tr>
      <w:tr w14:paraId="52DC7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749" w:type="pct"/>
            <w:gridSpan w:val="2"/>
            <w:tcBorders>
              <w:top w:val="single" w:color="auto" w:sz="6" w:space="0"/>
              <w:left w:val="single" w:color="auto" w:sz="12" w:space="0"/>
              <w:bottom w:val="single" w:color="auto" w:sz="6" w:space="0"/>
              <w:right w:val="single" w:color="auto" w:sz="6" w:space="0"/>
              <w:tl2br w:val="nil"/>
              <w:tr2bl w:val="nil"/>
            </w:tcBorders>
            <w:noWrap w:val="0"/>
            <w:vAlign w:val="center"/>
          </w:tcPr>
          <w:p w14:paraId="47196047">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服务年限</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0BA4959E">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设计服务年限49.86年</w:t>
            </w:r>
          </w:p>
        </w:tc>
      </w:tr>
      <w:tr w14:paraId="1D136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749" w:type="pct"/>
            <w:gridSpan w:val="2"/>
            <w:tcBorders>
              <w:top w:val="single" w:color="auto" w:sz="6" w:space="0"/>
              <w:left w:val="single" w:color="auto" w:sz="12" w:space="0"/>
              <w:bottom w:val="single" w:color="auto" w:sz="6" w:space="0"/>
              <w:right w:val="single" w:color="auto" w:sz="6" w:space="0"/>
              <w:tl2br w:val="nil"/>
              <w:tr2bl w:val="nil"/>
            </w:tcBorders>
            <w:noWrap w:val="0"/>
            <w:vAlign w:val="center"/>
          </w:tcPr>
          <w:p w14:paraId="277EDCB0">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等别</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37FD269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Ⅲ等库。</w:t>
            </w:r>
          </w:p>
        </w:tc>
      </w:tr>
      <w:tr w14:paraId="098A6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749" w:type="pct"/>
            <w:gridSpan w:val="2"/>
            <w:tcBorders>
              <w:top w:val="single" w:color="auto" w:sz="6" w:space="0"/>
              <w:left w:val="single" w:color="auto" w:sz="12" w:space="0"/>
              <w:bottom w:val="single" w:color="auto" w:sz="6" w:space="0"/>
              <w:right w:val="single" w:color="auto" w:sz="6" w:space="0"/>
              <w:tl2br w:val="nil"/>
              <w:tr2bl w:val="nil"/>
            </w:tcBorders>
            <w:noWrap w:val="0"/>
            <w:vAlign w:val="center"/>
          </w:tcPr>
          <w:p w14:paraId="2880F5CD">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排渗设施</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561BAFAE">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为加强后期坝体稳定性，加快尾矿固结，坝底设排渗管，出口设阀门，尾矿堆至320m标高以后打开阀门排渗；上游坝坡设置反滤层，坝肩设嵌固齿槽至相对不透水层；下游坝坡设干砌块石护坡，坝脚至坝顶与山坡连接处设坝肩排水沟。</w:t>
            </w:r>
          </w:p>
          <w:p w14:paraId="53243F67">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初期坝顶标高330m至最终堆积坝顶标高391m之间每10m高差设一层水平排渗层，坝坡面相应设置排水沟，堆积坝体与两岸山体连接处设坝肩排水沟，随堆积坝体上升逐步实施。</w:t>
            </w:r>
          </w:p>
        </w:tc>
      </w:tr>
      <w:tr w14:paraId="7F807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749" w:type="pct"/>
            <w:gridSpan w:val="2"/>
            <w:tcBorders>
              <w:top w:val="single" w:color="auto" w:sz="6" w:space="0"/>
              <w:left w:val="single" w:color="auto" w:sz="12" w:space="0"/>
              <w:bottom w:val="single" w:color="auto" w:sz="6" w:space="0"/>
              <w:right w:val="single" w:color="auto" w:sz="6" w:space="0"/>
              <w:tl2br w:val="nil"/>
              <w:tr2bl w:val="nil"/>
            </w:tcBorders>
            <w:noWrap w:val="0"/>
            <w:vAlign w:val="center"/>
          </w:tcPr>
          <w:p w14:paraId="3C0535B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排洪系统</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0DBE46E9">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排洪系统为排水竖井一排洪隧洞。库外截排洪系统：设计在沟底+387m标高修建拦洪坝，拦洪坝采用浆砌块石重力坝，坝顶标高391m，坝高4m，坝顶宽2.5m，坝轴线长约26m，上下游边坡均为1:0.5。拦洪坝前设中=5.0m的竖井式进水口，后接排洪主隧洞。拦洪坝上游汇水面积0.60k</w:t>
            </w:r>
            <w:r>
              <w:rPr>
                <w:rFonts w:hint="eastAsia" w:cs="Times New Roman"/>
                <w:color w:val="auto"/>
                <w:sz w:val="22"/>
                <w:szCs w:val="22"/>
                <w:highlight w:val="none"/>
                <w:lang w:eastAsia="zh-CN"/>
              </w:rPr>
              <w:t>m</w:t>
            </w:r>
            <w:r>
              <w:rPr>
                <w:rFonts w:hint="eastAsia" w:cs="Times New Roman"/>
                <w:color w:val="auto"/>
                <w:sz w:val="22"/>
                <w:szCs w:val="22"/>
                <w:highlight w:val="none"/>
                <w:vertAlign w:val="superscript"/>
                <w:lang w:eastAsia="zh-CN"/>
              </w:rPr>
              <w:t>2</w:t>
            </w:r>
            <w:r>
              <w:rPr>
                <w:rFonts w:hint="default" w:ascii="Times New Roman" w:hAnsi="Times New Roman" w:eastAsia="宋体" w:cs="Times New Roman"/>
                <w:color w:val="auto"/>
                <w:sz w:val="22"/>
                <w:szCs w:val="22"/>
                <w:highlight w:val="none"/>
              </w:rPr>
              <w:t>，库区汇水面积0.67k</w:t>
            </w:r>
            <w:r>
              <w:rPr>
                <w:rFonts w:hint="eastAsia" w:cs="Times New Roman"/>
                <w:color w:val="auto"/>
                <w:sz w:val="22"/>
                <w:szCs w:val="22"/>
                <w:highlight w:val="none"/>
                <w:lang w:eastAsia="zh-CN"/>
              </w:rPr>
              <w:t>m</w:t>
            </w:r>
            <w:r>
              <w:rPr>
                <w:rFonts w:hint="eastAsia" w:cs="Times New Roman"/>
                <w:color w:val="auto"/>
                <w:sz w:val="22"/>
                <w:szCs w:val="22"/>
                <w:highlight w:val="none"/>
                <w:vertAlign w:val="superscript"/>
                <w:lang w:eastAsia="zh-CN"/>
              </w:rPr>
              <w:t>2</w:t>
            </w:r>
            <w:r>
              <w:rPr>
                <w:rFonts w:hint="default" w:ascii="Times New Roman" w:hAnsi="Times New Roman" w:eastAsia="宋体" w:cs="Times New Roman"/>
                <w:color w:val="auto"/>
                <w:sz w:val="22"/>
                <w:szCs w:val="22"/>
                <w:highlight w:val="none"/>
              </w:rPr>
              <w:t>。库内排水系统：库内排洪系统采用排水井一竖井一隧洞的形式。一期设置3座排水井，排水井通过竖井与隧洞相通，将库内雨水和尾矿澄清水由排洪隧洞排出库区。</w:t>
            </w:r>
          </w:p>
        </w:tc>
      </w:tr>
      <w:tr w14:paraId="5425D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749" w:type="pct"/>
            <w:gridSpan w:val="2"/>
            <w:tcBorders>
              <w:top w:val="single" w:color="auto" w:sz="6" w:space="0"/>
              <w:left w:val="single" w:color="auto" w:sz="12" w:space="0"/>
              <w:bottom w:val="single" w:color="auto" w:sz="6" w:space="0"/>
              <w:right w:val="single" w:color="auto" w:sz="6" w:space="0"/>
              <w:tl2br w:val="nil"/>
              <w:tr2bl w:val="nil"/>
            </w:tcBorders>
            <w:noWrap w:val="0"/>
            <w:vAlign w:val="center"/>
          </w:tcPr>
          <w:p w14:paraId="0E1F872F">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防渗系统</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5BF0BE93">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由下至上结构为：地基整平夯实+细粒土（0.2m厚）+1.5mmHDPE膜+过渡层、保护层</w:t>
            </w:r>
          </w:p>
        </w:tc>
      </w:tr>
      <w:tr w14:paraId="68189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749" w:type="pct"/>
            <w:gridSpan w:val="2"/>
            <w:tcBorders>
              <w:top w:val="single" w:color="auto" w:sz="6" w:space="0"/>
              <w:left w:val="single" w:color="auto" w:sz="12" w:space="0"/>
              <w:bottom w:val="single" w:color="auto" w:sz="6" w:space="0"/>
              <w:right w:val="single" w:color="auto" w:sz="6" w:space="0"/>
              <w:tl2br w:val="nil"/>
              <w:tr2bl w:val="nil"/>
            </w:tcBorders>
            <w:noWrap w:val="0"/>
            <w:vAlign w:val="center"/>
          </w:tcPr>
          <w:p w14:paraId="1AF46DBA">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回水方案</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72F569A8">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溢流水通过框架式排水井一排洪隧洞排出库外，就近在排洪隧洞出口修建1座400</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澄清水池（位于尾矿库出口+295米处），收集尾矿库溢流水。建立水泵站，泵站内安装水泵2台（1用1备），回水路线为澄清水池—基础坝—+375平巷一管道自流+325平巷一水沟自流进入中转循环水池（位于+325平巷口，480</w:t>
            </w:r>
            <w:r>
              <w:rPr>
                <w:rFonts w:hint="default" w:ascii="Times New Roman" w:hAnsi="Times New Roman" w:cs="Times New Roman"/>
                <w:color w:val="auto"/>
                <w:sz w:val="22"/>
                <w:szCs w:val="22"/>
                <w:highlight w:val="none"/>
                <w:lang w:eastAsia="zh-CN"/>
              </w:rPr>
              <w:t>m³</w:t>
            </w:r>
            <w:r>
              <w:rPr>
                <w:rFonts w:hint="default" w:ascii="Times New Roman" w:hAnsi="Times New Roman" w:eastAsia="宋体" w:cs="Times New Roman"/>
                <w:color w:val="auto"/>
                <w:sz w:val="22"/>
                <w:szCs w:val="22"/>
                <w:highlight w:val="none"/>
              </w:rPr>
              <w:t>，兼做井下水地面沉淀池）。</w:t>
            </w:r>
          </w:p>
        </w:tc>
      </w:tr>
      <w:tr w14:paraId="46A2A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749" w:type="pct"/>
            <w:gridSpan w:val="2"/>
            <w:tcBorders>
              <w:top w:val="single" w:color="auto" w:sz="6" w:space="0"/>
              <w:left w:val="single" w:color="auto" w:sz="12" w:space="0"/>
              <w:bottom w:val="single" w:color="auto" w:sz="6" w:space="0"/>
              <w:right w:val="single" w:color="auto" w:sz="6" w:space="0"/>
              <w:tl2br w:val="nil"/>
              <w:tr2bl w:val="nil"/>
            </w:tcBorders>
            <w:noWrap w:val="0"/>
            <w:vAlign w:val="center"/>
          </w:tcPr>
          <w:p w14:paraId="28354468">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尾砂输送</w:t>
            </w:r>
          </w:p>
        </w:tc>
        <w:tc>
          <w:tcPr>
            <w:tcW w:w="4250" w:type="pct"/>
            <w:tcBorders>
              <w:top w:val="single" w:color="auto" w:sz="6" w:space="0"/>
              <w:left w:val="single" w:color="auto" w:sz="6" w:space="0"/>
              <w:bottom w:val="single" w:color="auto" w:sz="6" w:space="0"/>
              <w:right w:val="single" w:color="auto" w:sz="12" w:space="0"/>
              <w:tl2br w:val="nil"/>
              <w:tr2bl w:val="nil"/>
            </w:tcBorders>
            <w:noWrap w:val="0"/>
            <w:vAlign w:val="top"/>
          </w:tcPr>
          <w:p w14:paraId="3493850E">
            <w:pPr>
              <w:pStyle w:val="39"/>
              <w:keepNext w:val="0"/>
              <w:keepLines w:val="0"/>
              <w:suppressLineNumbers w:val="0"/>
              <w:spacing w:before="0" w:beforeAutospacing="0" w:after="0" w:afterAutospacing="0"/>
              <w:ind w:left="0" w:right="0"/>
              <w:rPr>
                <w:rFonts w:hint="default" w:ascii="Times New Roman" w:hAnsi="Times New Roman" w:eastAsia="宋体" w:cs="Times New Roman"/>
                <w:color w:val="auto"/>
                <w:sz w:val="22"/>
                <w:szCs w:val="22"/>
                <w:highlight w:val="none"/>
                <w:lang w:eastAsia="en-US"/>
              </w:rPr>
            </w:pPr>
            <w:r>
              <w:rPr>
                <w:rFonts w:hint="default" w:ascii="Times New Roman" w:hAnsi="Times New Roman" w:eastAsia="宋体" w:cs="Times New Roman"/>
                <w:color w:val="auto"/>
                <w:sz w:val="22"/>
                <w:szCs w:val="22"/>
                <w:highlight w:val="none"/>
                <w:lang w:eastAsia="en-US"/>
              </w:rPr>
              <w:t>用渣浆泵+管道的方式，泵送至石板冲尾矿库，管道采用Φ125mm的PF</w:t>
            </w:r>
            <w:r>
              <w:rPr>
                <w:rFonts w:hint="default" w:ascii="Times New Roman" w:hAnsi="Times New Roman" w:eastAsia="宋体" w:cs="Times New Roman"/>
                <w:color w:val="auto"/>
                <w:sz w:val="22"/>
                <w:szCs w:val="22"/>
                <w:highlight w:val="none"/>
              </w:rPr>
              <w:t>钢塑复合管</w:t>
            </w:r>
            <w:r>
              <w:rPr>
                <w:rFonts w:hint="default" w:ascii="Times New Roman" w:hAnsi="Times New Roman" w:eastAsia="宋体" w:cs="Times New Roman"/>
                <w:color w:val="auto"/>
                <w:sz w:val="22"/>
                <w:szCs w:val="22"/>
                <w:highlight w:val="none"/>
                <w:lang w:eastAsia="en-US"/>
              </w:rPr>
              <w:t>，尾砂输送管路沿着现有尾矿输送管道走华峰楼对面小山坡→地泵房→+325m平巷废水池→+325m进窿口平巷→隧道→+375.5m隧道口→自流至尾矿库→进行尾矿多点排放。</w:t>
            </w:r>
          </w:p>
          <w:p w14:paraId="100E1FE3">
            <w:pPr>
              <w:pStyle w:val="39"/>
              <w:keepNext w:val="0"/>
              <w:keepLines w:val="0"/>
              <w:suppressLineNumbers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尾砂输送管总长度约为2700m。其中，选矿厂至+325m平巷管道长度约1010m；+325m进窿口至上山变坡点，平巷长度约1300m；上山变坡至+375.5m隧道口80米，至尾矿库初期坝总长度为215m，初期坝进行多点排放尾砂管长度为120m。</w:t>
            </w:r>
          </w:p>
        </w:tc>
      </w:tr>
      <w:tr w14:paraId="75E66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749" w:type="pct"/>
            <w:gridSpan w:val="2"/>
            <w:tcBorders>
              <w:top w:val="single" w:color="auto" w:sz="6" w:space="0"/>
              <w:left w:val="single" w:color="auto" w:sz="12" w:space="0"/>
              <w:bottom w:val="single" w:color="auto" w:sz="12" w:space="0"/>
              <w:right w:val="single" w:color="auto" w:sz="6" w:space="0"/>
              <w:tl2br w:val="nil"/>
              <w:tr2bl w:val="nil"/>
            </w:tcBorders>
            <w:noWrap w:val="0"/>
            <w:vAlign w:val="center"/>
          </w:tcPr>
          <w:p w14:paraId="275C4206">
            <w:pPr>
              <w:pStyle w:val="26"/>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监控设施</w:t>
            </w:r>
          </w:p>
        </w:tc>
        <w:tc>
          <w:tcPr>
            <w:tcW w:w="4250" w:type="pct"/>
            <w:tcBorders>
              <w:top w:val="single" w:color="auto" w:sz="6" w:space="0"/>
              <w:left w:val="single" w:color="auto" w:sz="6" w:space="0"/>
              <w:bottom w:val="single" w:color="auto" w:sz="12" w:space="0"/>
              <w:right w:val="single" w:color="auto" w:sz="12" w:space="0"/>
              <w:tl2br w:val="nil"/>
              <w:tr2bl w:val="nil"/>
            </w:tcBorders>
            <w:noWrap w:val="0"/>
            <w:vAlign w:val="top"/>
          </w:tcPr>
          <w:p w14:paraId="454756B3">
            <w:pPr>
              <w:pStyle w:val="39"/>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该库属Ⅲ等库，采用人工监测和在线监测结合的方法对尾矿库进行监控。在初期坝坝顶330m标高、拦洪坝顶391m标高及堆积坝坡340m、350m、360m标高各设置一组位移观测点和浸润线观测孔，位移观测点合计5组，浸润线观测孔合计10个。另设置一套在线监测系统，实时监测坝体位移、浸润线高低、滩面和水面标高、外排水水质、尾矿渗滤液流量、pH值等，并在尾矿库管理房及公司中控室设置数据处理设备和视频接收设备，实现尾矿库的实时在线监测。</w:t>
            </w:r>
          </w:p>
        </w:tc>
      </w:tr>
    </w:tbl>
    <w:p w14:paraId="42840B33">
      <w:pPr>
        <w:pStyle w:val="2"/>
        <w:bidi w:val="0"/>
        <w:rPr>
          <w:rFonts w:hint="default"/>
          <w:color w:val="auto"/>
          <w:highlight w:val="none"/>
          <w:lang w:val="en-US" w:eastAsia="zh-CN"/>
        </w:rPr>
      </w:pPr>
    </w:p>
    <w:p w14:paraId="73219415">
      <w:pPr>
        <w:pStyle w:val="34"/>
        <w:bidi w:val="0"/>
        <w:rPr>
          <w:rFonts w:hint="eastAsia"/>
          <w:lang w:val="en-US" w:eastAsia="zh-CN"/>
        </w:rPr>
      </w:pPr>
      <w:r>
        <w:rPr>
          <w:rFonts w:hint="eastAsia"/>
          <w:lang w:val="en-US" w:eastAsia="zh-CN"/>
        </w:rPr>
        <w:t xml:space="preserve"> 废石场</w:t>
      </w:r>
    </w:p>
    <w:p w14:paraId="1DDAE780">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eastAsia" w:cs="Times New Roman"/>
          <w:color w:val="auto"/>
          <w:kern w:val="2"/>
          <w:sz w:val="24"/>
          <w:highlight w:val="none"/>
          <w:u w:val="single"/>
          <w:lang w:val="en-US" w:eastAsia="zh-CN" w:bidi="ar-SA"/>
        </w:rPr>
        <w:t>目前，井下废石产生量约为原矿采矿量（700t/d）的15%，即105t/d，其中，90%采矿废石（94.5t/d）不出井，剩余10%采矿废石（10.5t/d）出井；选矿废石产生量为190t/d。矿山产生的废石临时堆存在废石场，用于井下充填。</w:t>
      </w:r>
    </w:p>
    <w:p w14:paraId="68D628B3">
      <w:pPr>
        <w:widowControl w:val="0"/>
        <w:tabs>
          <w:tab w:val="left" w:pos="1021"/>
        </w:tabs>
        <w:spacing w:line="360" w:lineRule="auto"/>
        <w:ind w:firstLine="480" w:firstLineChars="200"/>
        <w:jc w:val="both"/>
        <w:rPr>
          <w:u w:val="single"/>
        </w:rPr>
      </w:pPr>
      <w:r>
        <w:rPr>
          <w:rFonts w:hint="eastAsia" w:cs="Times New Roman"/>
          <w:color w:val="auto"/>
          <w:kern w:val="2"/>
          <w:sz w:val="24"/>
          <w:highlight w:val="none"/>
          <w:u w:val="single"/>
          <w:lang w:val="en-US" w:eastAsia="zh-CN" w:bidi="ar-SA"/>
        </w:rPr>
        <w:t>建设单位废石场位于325平硐，工业广场附近，占地面积约10160m</w:t>
      </w:r>
      <w:r>
        <w:rPr>
          <w:rFonts w:hint="eastAsia" w:cs="Times New Roman"/>
          <w:color w:val="auto"/>
          <w:kern w:val="2"/>
          <w:sz w:val="24"/>
          <w:highlight w:val="none"/>
          <w:u w:val="single"/>
          <w:vertAlign w:val="superscript"/>
          <w:lang w:val="en-US" w:eastAsia="zh-CN" w:bidi="ar-SA"/>
        </w:rPr>
        <w:t>2</w:t>
      </w:r>
      <w:r>
        <w:rPr>
          <w:rFonts w:hint="eastAsia" w:cs="Times New Roman"/>
          <w:color w:val="auto"/>
          <w:kern w:val="2"/>
          <w:sz w:val="24"/>
          <w:highlight w:val="none"/>
          <w:u w:val="single"/>
          <w:lang w:val="en-US" w:eastAsia="zh-CN" w:bidi="ar-SA"/>
        </w:rPr>
        <w:t>。现为露天堆存，在雨天有淋溶水产生。根据企业介绍，废石场位于老尾矿库上游，其淋溶水收集后由管道经老尾矿库排洪竖井进入排洪隧洞，最后排入废水处理站处理。</w:t>
      </w:r>
    </w:p>
    <w:p w14:paraId="79A617F6">
      <w:pPr>
        <w:pStyle w:val="2"/>
        <w:rPr>
          <w:rFonts w:hint="default" w:eastAsia="宋体"/>
          <w:u w:val="single"/>
          <w:lang w:val="en-US" w:eastAsia="zh-CN"/>
        </w:rPr>
      </w:pPr>
      <w:r>
        <w:rPr>
          <w:rFonts w:hint="eastAsia"/>
          <w:u w:val="single"/>
          <w:lang w:val="en-US" w:eastAsia="zh-CN"/>
        </w:rPr>
        <w:t>本次论证，引用《安化渣滓溪矿业智能化设备升级改造项目（井下充填）环境影响报告表》的结论：</w:t>
      </w:r>
    </w:p>
    <w:p w14:paraId="29B0AE93">
      <w:pPr>
        <w:pStyle w:val="2"/>
        <w:rPr>
          <w:rFonts w:hint="default" w:eastAsia="宋体"/>
          <w:u w:val="single"/>
          <w:lang w:val="en-US" w:eastAsia="zh-CN"/>
        </w:rPr>
      </w:pPr>
      <w:r>
        <w:rPr>
          <w:rFonts w:hint="default" w:eastAsia="宋体"/>
          <w:u w:val="single"/>
          <w:lang w:val="en-US" w:eastAsia="zh-CN"/>
        </w:rPr>
        <w:t>2024年，由湖南乾诚检测有限公司对矿山采矿废石进行了毒性浸出检测，其中废石每天取样1次，连续取样3天，检测3日的混合样。监测结果如下：</w:t>
      </w:r>
    </w:p>
    <w:p w14:paraId="5D9C7AB6">
      <w:pPr>
        <w:pStyle w:val="28"/>
        <w:bidi w:val="0"/>
        <w:rPr>
          <w:rFonts w:hint="default"/>
          <w:u w:val="single"/>
          <w:lang w:val="en-US" w:eastAsia="zh-CN"/>
        </w:rPr>
      </w:pPr>
      <w:r>
        <w:rPr>
          <w:rFonts w:hint="default"/>
          <w:u w:val="single"/>
          <w:lang w:val="en-US" w:eastAsia="zh-CN"/>
        </w:rPr>
        <w:t>表</w:t>
      </w:r>
      <w:r>
        <w:rPr>
          <w:rFonts w:hint="default"/>
          <w:u w:val="single"/>
          <w:lang w:val="en-US" w:eastAsia="zh-CN"/>
        </w:rPr>
        <w:fldChar w:fldCharType="begin"/>
      </w:r>
      <w:r>
        <w:rPr>
          <w:rFonts w:hint="default"/>
          <w:u w:val="single"/>
          <w:lang w:val="en-US" w:eastAsia="zh-CN"/>
        </w:rPr>
        <w:instrText xml:space="preserve"> STYLEREF guo-二级标题 \n </w:instrText>
      </w:r>
      <w:r>
        <w:rPr>
          <w:rFonts w:hint="default"/>
          <w:u w:val="single"/>
          <w:lang w:val="en-US" w:eastAsia="zh-CN"/>
        </w:rPr>
        <w:fldChar w:fldCharType="separate"/>
      </w:r>
      <w:r>
        <w:rPr>
          <w:rFonts w:hint="default"/>
          <w:u w:val="single"/>
          <w:lang w:val="en-US" w:eastAsia="zh-CN"/>
        </w:rPr>
        <w:t>2.1</w:t>
      </w:r>
      <w:r>
        <w:rPr>
          <w:rFonts w:hint="default"/>
          <w:u w:val="single"/>
          <w:lang w:val="en-US" w:eastAsia="zh-CN"/>
        </w:rPr>
        <w:fldChar w:fldCharType="end"/>
      </w:r>
      <w:r>
        <w:rPr>
          <w:rFonts w:hint="default"/>
          <w:u w:val="single"/>
          <w:lang w:val="en-US" w:eastAsia="zh-CN"/>
        </w:rPr>
        <w:t>–</w:t>
      </w:r>
      <w:r>
        <w:rPr>
          <w:rFonts w:hint="default"/>
          <w:u w:val="single"/>
          <w:lang w:val="en-US" w:eastAsia="zh-CN"/>
        </w:rPr>
        <w:fldChar w:fldCharType="begin"/>
      </w:r>
      <w:r>
        <w:rPr>
          <w:rFonts w:hint="default"/>
          <w:u w:val="single"/>
          <w:lang w:val="en-US" w:eastAsia="zh-CN"/>
        </w:rPr>
        <w:instrText xml:space="preserve"> SEQ 表 \* ARABIC \s 2 </w:instrText>
      </w:r>
      <w:r>
        <w:rPr>
          <w:rFonts w:hint="default"/>
          <w:u w:val="single"/>
          <w:lang w:val="en-US" w:eastAsia="zh-CN"/>
        </w:rPr>
        <w:fldChar w:fldCharType="separate"/>
      </w:r>
      <w:r>
        <w:rPr>
          <w:rFonts w:hint="default"/>
          <w:u w:val="single"/>
          <w:lang w:val="en-US" w:eastAsia="zh-CN"/>
        </w:rPr>
        <w:t>7</w:t>
      </w:r>
      <w:r>
        <w:rPr>
          <w:rFonts w:hint="default"/>
          <w:u w:val="single"/>
          <w:lang w:val="en-US" w:eastAsia="zh-CN"/>
        </w:rPr>
        <w:fldChar w:fldCharType="end"/>
      </w:r>
      <w:r>
        <w:rPr>
          <w:rFonts w:hint="default"/>
          <w:u w:val="single"/>
          <w:lang w:val="en-US" w:eastAsia="zh-CN"/>
        </w:rPr>
        <w:t xml:space="preserve">  2024年废石属性检测结果  单位mg/L，pH无量纲</w:t>
      </w:r>
    </w:p>
    <w:tbl>
      <w:tblPr>
        <w:tblStyle w:val="21"/>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72"/>
        <w:gridCol w:w="1298"/>
        <w:gridCol w:w="1298"/>
        <w:gridCol w:w="1299"/>
        <w:gridCol w:w="1299"/>
        <w:gridCol w:w="1299"/>
        <w:gridCol w:w="1299"/>
      </w:tblGrid>
      <w:tr w14:paraId="59744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654" w:type="pct"/>
            <w:vMerge w:val="restart"/>
            <w:tcBorders>
              <w:top w:val="single" w:color="auto" w:sz="12" w:space="0"/>
              <w:left w:val="single" w:color="auto" w:sz="12" w:space="0"/>
              <w:bottom w:val="single" w:color="auto" w:sz="4" w:space="0"/>
              <w:right w:val="single" w:color="auto" w:sz="4" w:space="0"/>
              <w:tl2br w:val="nil"/>
              <w:tr2bl w:val="nil"/>
            </w:tcBorders>
            <w:noWrap w:val="0"/>
            <w:vAlign w:val="center"/>
          </w:tcPr>
          <w:p w14:paraId="78066A9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检测因子</w:t>
            </w:r>
          </w:p>
        </w:tc>
        <w:tc>
          <w:tcPr>
            <w:tcW w:w="724"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79D91146">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水浸</w:t>
            </w:r>
          </w:p>
        </w:tc>
        <w:tc>
          <w:tcPr>
            <w:tcW w:w="724" w:type="pct"/>
            <w:vMerge w:val="restart"/>
            <w:tcBorders>
              <w:top w:val="single" w:color="auto" w:sz="12" w:space="0"/>
              <w:left w:val="single" w:color="auto" w:sz="4" w:space="0"/>
              <w:bottom w:val="single" w:color="auto" w:sz="4" w:space="0"/>
              <w:right w:val="single" w:color="auto" w:sz="4" w:space="0"/>
              <w:tl2br w:val="nil"/>
              <w:tr2bl w:val="nil"/>
            </w:tcBorders>
            <w:noWrap w:val="0"/>
            <w:vAlign w:val="center"/>
          </w:tcPr>
          <w:p w14:paraId="2294C36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污水综合排放标准</w:t>
            </w:r>
          </w:p>
        </w:tc>
        <w:tc>
          <w:tcPr>
            <w:tcW w:w="724" w:type="pct"/>
            <w:vMerge w:val="restart"/>
            <w:tcBorders>
              <w:top w:val="single" w:color="auto" w:sz="12" w:space="0"/>
              <w:left w:val="single" w:color="auto" w:sz="4" w:space="0"/>
              <w:bottom w:val="single" w:color="auto" w:sz="4" w:space="0"/>
              <w:right w:val="single" w:color="auto" w:sz="4" w:space="0"/>
              <w:tl2br w:val="nil"/>
              <w:tr2bl w:val="nil"/>
            </w:tcBorders>
            <w:noWrap w:val="0"/>
            <w:vAlign w:val="center"/>
          </w:tcPr>
          <w:p w14:paraId="54F3D123">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评价结果</w:t>
            </w:r>
          </w:p>
        </w:tc>
        <w:tc>
          <w:tcPr>
            <w:tcW w:w="724"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507433E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酸浸</w:t>
            </w:r>
          </w:p>
        </w:tc>
        <w:tc>
          <w:tcPr>
            <w:tcW w:w="724" w:type="pct"/>
            <w:vMerge w:val="restart"/>
            <w:tcBorders>
              <w:top w:val="single" w:color="auto" w:sz="12" w:space="0"/>
              <w:left w:val="single" w:color="auto" w:sz="4" w:space="0"/>
              <w:bottom w:val="single" w:color="auto" w:sz="4" w:space="0"/>
              <w:right w:val="single" w:color="auto" w:sz="4" w:space="0"/>
              <w:tl2br w:val="nil"/>
              <w:tr2bl w:val="nil"/>
            </w:tcBorders>
            <w:noWrap w:val="0"/>
            <w:vAlign w:val="center"/>
          </w:tcPr>
          <w:p w14:paraId="62D9089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危险废物鉴别标准 浸出毒性鉴别</w:t>
            </w:r>
          </w:p>
        </w:tc>
        <w:tc>
          <w:tcPr>
            <w:tcW w:w="724" w:type="pct"/>
            <w:vMerge w:val="restart"/>
            <w:tcBorders>
              <w:top w:val="single" w:color="auto" w:sz="12" w:space="0"/>
              <w:left w:val="single" w:color="auto" w:sz="4" w:space="0"/>
              <w:bottom w:val="single" w:color="auto" w:sz="4" w:space="0"/>
              <w:right w:val="single" w:color="auto" w:sz="12" w:space="0"/>
              <w:tl2br w:val="nil"/>
              <w:tr2bl w:val="nil"/>
            </w:tcBorders>
            <w:noWrap w:val="0"/>
            <w:vAlign w:val="center"/>
          </w:tcPr>
          <w:p w14:paraId="6C767366">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评价结果</w:t>
            </w:r>
          </w:p>
        </w:tc>
      </w:tr>
      <w:tr w14:paraId="579CB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654" w:type="pct"/>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445B55A">
            <w:pPr>
              <w:pStyle w:val="26"/>
              <w:keepNext w:val="0"/>
              <w:keepLines w:val="0"/>
              <w:suppressLineNumbers w:val="0"/>
              <w:bidi w:val="0"/>
              <w:spacing w:before="0" w:beforeAutospacing="0" w:after="0" w:afterAutospacing="0"/>
              <w:ind w:left="0" w:right="0"/>
              <w:rPr>
                <w:rFonts w:hint="default"/>
                <w:u w:val="single"/>
                <w:lang w:val="en-US" w:eastAsia="zh-CN"/>
              </w:rPr>
            </w:pP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784624">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检测结果</w:t>
            </w:r>
          </w:p>
        </w:tc>
        <w:tc>
          <w:tcPr>
            <w:tcW w:w="72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3DCE950">
            <w:pPr>
              <w:pStyle w:val="26"/>
              <w:keepNext w:val="0"/>
              <w:keepLines w:val="0"/>
              <w:suppressLineNumbers w:val="0"/>
              <w:bidi w:val="0"/>
              <w:spacing w:before="0" w:beforeAutospacing="0" w:after="0" w:afterAutospacing="0"/>
              <w:ind w:left="0" w:right="0"/>
              <w:rPr>
                <w:rFonts w:hint="default"/>
                <w:u w:val="single"/>
                <w:lang w:val="en-US" w:eastAsia="zh-CN"/>
              </w:rPr>
            </w:pPr>
          </w:p>
        </w:tc>
        <w:tc>
          <w:tcPr>
            <w:tcW w:w="72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BC09A9A">
            <w:pPr>
              <w:pStyle w:val="26"/>
              <w:keepNext w:val="0"/>
              <w:keepLines w:val="0"/>
              <w:suppressLineNumbers w:val="0"/>
              <w:bidi w:val="0"/>
              <w:spacing w:before="0" w:beforeAutospacing="0" w:after="0" w:afterAutospacing="0"/>
              <w:ind w:left="0" w:right="0"/>
              <w:rPr>
                <w:rFonts w:hint="default"/>
                <w:u w:val="single"/>
                <w:lang w:val="en-US" w:eastAsia="zh-CN"/>
              </w:rPr>
            </w:pP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2E088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检测结果</w:t>
            </w:r>
          </w:p>
        </w:tc>
        <w:tc>
          <w:tcPr>
            <w:tcW w:w="72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03D0210">
            <w:pPr>
              <w:pStyle w:val="26"/>
              <w:keepNext w:val="0"/>
              <w:keepLines w:val="0"/>
              <w:suppressLineNumbers w:val="0"/>
              <w:bidi w:val="0"/>
              <w:spacing w:before="0" w:beforeAutospacing="0" w:after="0" w:afterAutospacing="0"/>
              <w:ind w:left="0" w:right="0"/>
              <w:rPr>
                <w:rFonts w:hint="default"/>
                <w:u w:val="single"/>
                <w:lang w:val="en-US" w:eastAsia="zh-CN"/>
              </w:rPr>
            </w:pPr>
          </w:p>
        </w:tc>
        <w:tc>
          <w:tcPr>
            <w:tcW w:w="724" w:type="pct"/>
            <w:vMerge w:val="continue"/>
            <w:tcBorders>
              <w:top w:val="single" w:color="auto" w:sz="4" w:space="0"/>
              <w:left w:val="single" w:color="auto" w:sz="4" w:space="0"/>
              <w:bottom w:val="single" w:color="auto" w:sz="4" w:space="0"/>
              <w:right w:val="single" w:color="auto" w:sz="12" w:space="0"/>
              <w:tl2br w:val="nil"/>
              <w:tr2bl w:val="nil"/>
            </w:tcBorders>
            <w:noWrap w:val="0"/>
            <w:vAlign w:val="center"/>
          </w:tcPr>
          <w:p w14:paraId="12FBF95E">
            <w:pPr>
              <w:pStyle w:val="26"/>
              <w:keepNext w:val="0"/>
              <w:keepLines w:val="0"/>
              <w:suppressLineNumbers w:val="0"/>
              <w:bidi w:val="0"/>
              <w:spacing w:before="0" w:beforeAutospacing="0" w:after="0" w:afterAutospacing="0"/>
              <w:ind w:left="0" w:right="0"/>
              <w:rPr>
                <w:rFonts w:hint="default"/>
                <w:u w:val="single"/>
                <w:lang w:val="en-US" w:eastAsia="zh-CN"/>
              </w:rPr>
            </w:pPr>
          </w:p>
        </w:tc>
      </w:tr>
      <w:tr w14:paraId="3CC09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148404C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pH</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742E2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7.02</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96838D">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6~9</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C48475">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06082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F0EB43">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09C75AC6">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545BB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B670BC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铅</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819185">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0.0009L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2605C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1.0</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65498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CF424F">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0.0009L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55A2D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5.0</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6540BEC">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39B1C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34FFF76B">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镉</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D28DF5">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0.0006L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C5E7A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0.1</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55CE6B">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E5C29D">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0.0006L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BA56FA">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495DFB9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2EE05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4B2B1093">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砷</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6D99A5">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0.154</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5606CC">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0.5</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998ABE">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278D1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0.486</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8661E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5</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641757F5">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02DE1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345A051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汞</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B9087D">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0.00002L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CF2AA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0.005</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746E60">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64FB0D">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0.00002L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7555AD">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0.1</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115EF56A">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1CC982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36ACCCC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铬</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5623D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1.38</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6758EB">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1.5</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8E598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A46B2C">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1.90</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B58F10">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15</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026D4A6B">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67160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691385CB">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六价铬</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AC17BA">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0.004L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9CB12C">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0.5</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77BD5F">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CF4E5F">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0.004L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E094C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5</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9C52E94">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023AF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2B7EA58C">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镍</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09581A">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0.03L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F5795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1.0</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A63D3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CDDB1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0.03L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29EB7A">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5</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020195E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287D8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4BC7A3A">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锌</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A7815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0.06L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06333B">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2.0</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A88E6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7A190C">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0.06L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5CA66D">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100</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81DBF6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2F466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33017FFD">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铜</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F1C2A5">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0.02L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90983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0.5</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17ED6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DB6ADE">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0.02L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17CF9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100</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756846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3FB5F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27A18FAB">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无机氟化物</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376B1B">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0.16</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7721C6">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10</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BB3BD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10187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0.49</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0A3B95">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100</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8F743BF">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247BE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6BCD9624">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铍</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97C534">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0.0001L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C881BF">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0.005</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53947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9B6670">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0.0001L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8717CC">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0.02</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B8BE79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3BD41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3E12F5FF">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硒</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AE54E5">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0.0001L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84B0A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0.1</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ACE30D">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AA210A">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0.0001L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A42933">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4164C7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53141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2397DF21">
            <w:pPr>
              <w:pStyle w:val="26"/>
              <w:keepNext w:val="0"/>
              <w:keepLines w:val="0"/>
              <w:suppressLineNumbers w:val="0"/>
              <w:bidi w:val="0"/>
              <w:spacing w:before="0" w:beforeAutospacing="0" w:after="0" w:afterAutospacing="0"/>
              <w:ind w:left="0" w:right="0"/>
              <w:rPr>
                <w:rFonts w:hint="default"/>
                <w:b/>
                <w:bCs/>
                <w:u w:val="single"/>
                <w:lang w:val="en-US" w:eastAsia="zh-CN"/>
              </w:rPr>
            </w:pPr>
            <w:r>
              <w:rPr>
                <w:rFonts w:hint="default"/>
                <w:b/>
                <w:bCs/>
                <w:u w:val="single"/>
                <w:lang w:val="en-US" w:eastAsia="zh-CN"/>
              </w:rPr>
              <w:t>锑</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A9F833">
            <w:pPr>
              <w:pStyle w:val="26"/>
              <w:keepNext w:val="0"/>
              <w:keepLines w:val="0"/>
              <w:suppressLineNumbers w:val="0"/>
              <w:bidi w:val="0"/>
              <w:spacing w:before="0" w:beforeAutospacing="0" w:after="0" w:afterAutospacing="0"/>
              <w:ind w:left="0" w:right="0"/>
              <w:rPr>
                <w:rFonts w:hint="default"/>
                <w:b/>
                <w:bCs/>
                <w:u w:val="single"/>
                <w:lang w:val="en-US" w:eastAsia="zh-CN"/>
              </w:rPr>
            </w:pPr>
            <w:r>
              <w:rPr>
                <w:rFonts w:hint="default"/>
                <w:b/>
                <w:bCs/>
                <w:u w:val="single"/>
                <w:lang w:val="en-US" w:eastAsia="zh-CN"/>
              </w:rPr>
              <w:t>3.86</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19C8C8">
            <w:pPr>
              <w:pStyle w:val="26"/>
              <w:keepNext w:val="0"/>
              <w:keepLines w:val="0"/>
              <w:suppressLineNumbers w:val="0"/>
              <w:bidi w:val="0"/>
              <w:spacing w:before="0" w:beforeAutospacing="0" w:after="0" w:afterAutospacing="0"/>
              <w:ind w:left="0" w:right="0"/>
              <w:rPr>
                <w:rFonts w:hint="default"/>
                <w:b/>
                <w:bCs/>
                <w:u w:val="single"/>
                <w:lang w:val="en-US" w:eastAsia="zh-CN"/>
              </w:rPr>
            </w:pPr>
            <w:r>
              <w:rPr>
                <w:rFonts w:hint="default"/>
                <w:b/>
                <w:bCs/>
                <w:u w:val="single"/>
                <w:lang w:val="en-US" w:eastAsia="zh-CN"/>
              </w:rPr>
              <w:t>0.3</w:t>
            </w:r>
            <w:r>
              <w:rPr>
                <w:rFonts w:hint="default"/>
                <w:b/>
                <w:bCs/>
                <w:u w:val="single"/>
                <w:vertAlign w:val="superscript"/>
                <w:lang w:val="en-US" w:eastAsia="zh-CN"/>
              </w:rPr>
              <w:t>a</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708587">
            <w:pPr>
              <w:pStyle w:val="26"/>
              <w:keepNext w:val="0"/>
              <w:keepLines w:val="0"/>
              <w:suppressLineNumbers w:val="0"/>
              <w:bidi w:val="0"/>
              <w:spacing w:before="0" w:beforeAutospacing="0" w:after="0" w:afterAutospacing="0"/>
              <w:ind w:left="0" w:right="0"/>
              <w:rPr>
                <w:rFonts w:hint="default"/>
                <w:b/>
                <w:bCs/>
                <w:u w:val="single"/>
                <w:lang w:val="en-US" w:eastAsia="zh-CN"/>
              </w:rPr>
            </w:pPr>
            <w:r>
              <w:rPr>
                <w:rFonts w:hint="default"/>
                <w:b/>
                <w:bCs/>
                <w:u w:val="single"/>
                <w:lang w:val="en-US" w:eastAsia="zh-CN"/>
              </w:rPr>
              <w:t>超标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0D0F6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3.90</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18E6A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04480FCE">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w:t>
            </w:r>
          </w:p>
        </w:tc>
      </w:tr>
      <w:tr w14:paraId="45E19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20D335C3">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钡</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334DE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0.0406</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F4442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w:t>
            </w:r>
          </w:p>
        </w:tc>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055A8D">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FF99E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0.0425</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D0130D">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100</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CAA2B0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r>
      <w:tr w14:paraId="3FB7A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4387BCE">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银</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608A23">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0.0029L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C5AF5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0.5</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8AB224">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0473F4">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0.01L</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F56A5F">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w:t>
            </w:r>
          </w:p>
        </w:tc>
        <w:tc>
          <w:tcPr>
            <w:tcW w:w="72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466F7F55">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w:t>
            </w:r>
          </w:p>
        </w:tc>
      </w:tr>
      <w:tr w14:paraId="14291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54" w:type="pct"/>
            <w:tcBorders>
              <w:top w:val="single" w:color="auto" w:sz="4" w:space="0"/>
              <w:left w:val="single" w:color="auto" w:sz="12" w:space="0"/>
              <w:bottom w:val="single" w:color="auto" w:sz="12" w:space="0"/>
              <w:right w:val="single" w:color="auto" w:sz="4" w:space="0"/>
              <w:tl2br w:val="nil"/>
              <w:tr2bl w:val="nil"/>
            </w:tcBorders>
            <w:noWrap w:val="0"/>
            <w:vAlign w:val="center"/>
          </w:tcPr>
          <w:p w14:paraId="7522640F">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铊</w:t>
            </w:r>
          </w:p>
        </w:tc>
        <w:tc>
          <w:tcPr>
            <w:tcW w:w="1294"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66FE70F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0.0013L</w:t>
            </w:r>
          </w:p>
        </w:tc>
        <w:tc>
          <w:tcPr>
            <w:tcW w:w="724"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4E8F2914">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0.005b</w:t>
            </w:r>
          </w:p>
        </w:tc>
        <w:tc>
          <w:tcPr>
            <w:tcW w:w="724"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050132C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达标</w:t>
            </w:r>
          </w:p>
        </w:tc>
        <w:tc>
          <w:tcPr>
            <w:tcW w:w="724"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0E445E91">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0.001L</w:t>
            </w:r>
          </w:p>
        </w:tc>
        <w:tc>
          <w:tcPr>
            <w:tcW w:w="724"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1F0988F6">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w:t>
            </w:r>
          </w:p>
        </w:tc>
        <w:tc>
          <w:tcPr>
            <w:tcW w:w="724" w:type="pct"/>
            <w:tcBorders>
              <w:top w:val="single" w:color="auto" w:sz="4" w:space="0"/>
              <w:left w:val="single" w:color="auto" w:sz="4" w:space="0"/>
              <w:bottom w:val="single" w:color="auto" w:sz="12" w:space="0"/>
              <w:right w:val="single" w:color="auto" w:sz="12" w:space="0"/>
              <w:tl2br w:val="nil"/>
              <w:tr2bl w:val="nil"/>
            </w:tcBorders>
            <w:noWrap w:val="0"/>
            <w:vAlign w:val="center"/>
          </w:tcPr>
          <w:p w14:paraId="747419AE">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w:t>
            </w:r>
          </w:p>
        </w:tc>
      </w:tr>
    </w:tbl>
    <w:p w14:paraId="4966B73F">
      <w:pPr>
        <w:pStyle w:val="2"/>
        <w:rPr>
          <w:rFonts w:hint="default" w:eastAsia="宋体"/>
          <w:u w:val="single"/>
          <w:lang w:val="en-US" w:eastAsia="zh-CN"/>
        </w:rPr>
      </w:pPr>
      <w:r>
        <w:rPr>
          <w:rFonts w:hint="default" w:eastAsia="宋体"/>
          <w:u w:val="single"/>
          <w:lang w:val="en-US" w:eastAsia="zh-CN"/>
        </w:rPr>
        <w:t>注a）：《</w:t>
      </w:r>
      <w:r>
        <w:rPr>
          <w:rFonts w:hint="default" w:eastAsia="宋体"/>
          <w:u w:val="single"/>
          <w:lang w:val="en-US" w:eastAsia="zh-CN"/>
        </w:rPr>
        <w:fldChar w:fldCharType="begin"/>
      </w:r>
      <w:r>
        <w:rPr>
          <w:rFonts w:hint="default" w:eastAsia="宋体"/>
          <w:u w:val="single"/>
          <w:lang w:val="en-US" w:eastAsia="zh-CN"/>
        </w:rPr>
        <w:instrText xml:space="preserve"> HYPERLINK "http://kjs.mep.gov.cn/hjbhbz/bzwb/dqhjbh/dqgdwrywrwpfbz/201405/W020140530533213253195.pdf" </w:instrText>
      </w:r>
      <w:r>
        <w:rPr>
          <w:rFonts w:hint="default" w:eastAsia="宋体"/>
          <w:u w:val="single"/>
          <w:lang w:val="en-US" w:eastAsia="zh-CN"/>
        </w:rPr>
        <w:fldChar w:fldCharType="separate"/>
      </w:r>
      <w:r>
        <w:rPr>
          <w:rFonts w:hint="default" w:eastAsia="宋体"/>
          <w:u w:val="single"/>
          <w:lang w:val="en-US" w:eastAsia="zh-CN"/>
        </w:rPr>
        <w:t>锡、锑、汞工业污染物排放标准</w:t>
      </w:r>
      <w:r>
        <w:rPr>
          <w:rFonts w:hint="default" w:eastAsia="宋体"/>
          <w:u w:val="single"/>
          <w:lang w:val="en-US" w:eastAsia="zh-CN"/>
        </w:rPr>
        <w:fldChar w:fldCharType="end"/>
      </w:r>
      <w:r>
        <w:rPr>
          <w:rFonts w:hint="default" w:eastAsia="宋体"/>
          <w:u w:val="single"/>
          <w:lang w:val="en-US" w:eastAsia="zh-CN"/>
        </w:rPr>
        <w:t>》（GB 30770-2014）</w:t>
      </w:r>
    </w:p>
    <w:p w14:paraId="18C62981">
      <w:pPr>
        <w:pStyle w:val="2"/>
        <w:rPr>
          <w:rFonts w:hint="default" w:eastAsia="宋体"/>
          <w:u w:val="single"/>
          <w:lang w:val="en-US" w:eastAsia="zh-CN"/>
        </w:rPr>
      </w:pPr>
      <w:r>
        <w:rPr>
          <w:rFonts w:hint="default" w:eastAsia="宋体"/>
          <w:u w:val="single"/>
          <w:lang w:val="en-US" w:eastAsia="zh-CN"/>
        </w:rPr>
        <w:t>注b）：《湖南省工业废水铊污染物排放标准》（DB 43/968-2021）</w:t>
      </w:r>
    </w:p>
    <w:p w14:paraId="60CB19AD">
      <w:pPr>
        <w:pStyle w:val="2"/>
        <w:rPr>
          <w:rFonts w:hint="default" w:eastAsia="宋体"/>
          <w:u w:val="single"/>
          <w:lang w:val="en-US" w:eastAsia="zh-CN"/>
        </w:rPr>
      </w:pPr>
      <w:r>
        <w:rPr>
          <w:rFonts w:hint="default" w:eastAsia="宋体"/>
          <w:u w:val="single"/>
          <w:lang w:val="en-US" w:eastAsia="zh-CN"/>
        </w:rPr>
        <w:t>为了对矿山废石属性进行进一步确定，本次评价对矿山废石进行了重新采样，对废石进行了水浸检测，检测浸出液中的锑，监测结果如下：</w:t>
      </w:r>
    </w:p>
    <w:p w14:paraId="46A72AB5">
      <w:pPr>
        <w:pStyle w:val="28"/>
        <w:bidi w:val="0"/>
        <w:rPr>
          <w:rFonts w:hint="default"/>
          <w:u w:val="single"/>
          <w:lang w:val="en-US" w:eastAsia="zh-CN"/>
        </w:rPr>
      </w:pPr>
      <w:r>
        <w:rPr>
          <w:rFonts w:hint="default"/>
          <w:u w:val="single"/>
          <w:lang w:val="en-US" w:eastAsia="zh-CN"/>
        </w:rPr>
        <w:t>表</w:t>
      </w:r>
      <w:r>
        <w:rPr>
          <w:rFonts w:hint="default"/>
          <w:u w:val="single"/>
          <w:lang w:val="en-US" w:eastAsia="zh-CN"/>
        </w:rPr>
        <w:fldChar w:fldCharType="begin"/>
      </w:r>
      <w:r>
        <w:rPr>
          <w:rFonts w:hint="default"/>
          <w:u w:val="single"/>
          <w:lang w:val="en-US" w:eastAsia="zh-CN"/>
        </w:rPr>
        <w:instrText xml:space="preserve"> STYLEREF guo-二级标题 \n </w:instrText>
      </w:r>
      <w:r>
        <w:rPr>
          <w:rFonts w:hint="default"/>
          <w:u w:val="single"/>
          <w:lang w:val="en-US" w:eastAsia="zh-CN"/>
        </w:rPr>
        <w:fldChar w:fldCharType="separate"/>
      </w:r>
      <w:r>
        <w:rPr>
          <w:rFonts w:hint="default"/>
          <w:u w:val="single"/>
          <w:lang w:val="en-US" w:eastAsia="zh-CN"/>
        </w:rPr>
        <w:t>2.1</w:t>
      </w:r>
      <w:r>
        <w:rPr>
          <w:rFonts w:hint="default"/>
          <w:u w:val="single"/>
          <w:lang w:val="en-US" w:eastAsia="zh-CN"/>
        </w:rPr>
        <w:fldChar w:fldCharType="end"/>
      </w:r>
      <w:r>
        <w:rPr>
          <w:rFonts w:hint="default"/>
          <w:u w:val="single"/>
          <w:lang w:val="en-US" w:eastAsia="zh-CN"/>
        </w:rPr>
        <w:t>–</w:t>
      </w:r>
      <w:r>
        <w:rPr>
          <w:rFonts w:hint="default"/>
          <w:u w:val="single"/>
          <w:lang w:val="en-US" w:eastAsia="zh-CN"/>
        </w:rPr>
        <w:fldChar w:fldCharType="begin"/>
      </w:r>
      <w:r>
        <w:rPr>
          <w:rFonts w:hint="default"/>
          <w:u w:val="single"/>
          <w:lang w:val="en-US" w:eastAsia="zh-CN"/>
        </w:rPr>
        <w:instrText xml:space="preserve"> SEQ 表 \* ARABIC \s 2 </w:instrText>
      </w:r>
      <w:r>
        <w:rPr>
          <w:rFonts w:hint="default"/>
          <w:u w:val="single"/>
          <w:lang w:val="en-US" w:eastAsia="zh-CN"/>
        </w:rPr>
        <w:fldChar w:fldCharType="separate"/>
      </w:r>
      <w:r>
        <w:rPr>
          <w:rFonts w:hint="default"/>
          <w:u w:val="single"/>
          <w:lang w:val="en-US" w:eastAsia="zh-CN"/>
        </w:rPr>
        <w:t>8</w:t>
      </w:r>
      <w:r>
        <w:rPr>
          <w:rFonts w:hint="default"/>
          <w:u w:val="single"/>
          <w:lang w:val="en-US" w:eastAsia="zh-CN"/>
        </w:rPr>
        <w:fldChar w:fldCharType="end"/>
      </w:r>
      <w:r>
        <w:rPr>
          <w:rFonts w:hint="default"/>
          <w:u w:val="single"/>
          <w:lang w:val="en-US" w:eastAsia="zh-CN"/>
        </w:rPr>
        <w:t xml:space="preserve">  2024年废石属性水浸检测结果  单位mg/L，pH无量纲</w:t>
      </w:r>
    </w:p>
    <w:tbl>
      <w:tblPr>
        <w:tblStyle w:val="21"/>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14"/>
        <w:gridCol w:w="1324"/>
        <w:gridCol w:w="1325"/>
        <w:gridCol w:w="1325"/>
        <w:gridCol w:w="1325"/>
        <w:gridCol w:w="1325"/>
        <w:gridCol w:w="1325"/>
      </w:tblGrid>
      <w:tr w14:paraId="24F36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994" w:type="dxa"/>
            <w:vMerge w:val="restart"/>
            <w:tcBorders>
              <w:top w:val="single" w:color="auto" w:sz="12" w:space="0"/>
              <w:left w:val="single" w:color="auto" w:sz="12" w:space="0"/>
              <w:bottom w:val="single" w:color="auto" w:sz="4" w:space="0"/>
              <w:right w:val="single" w:color="auto" w:sz="4" w:space="0"/>
              <w:tl2br w:val="nil"/>
              <w:tr2bl w:val="nil"/>
            </w:tcBorders>
            <w:noWrap w:val="0"/>
            <w:vAlign w:val="center"/>
          </w:tcPr>
          <w:p w14:paraId="582755C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检测因子</w:t>
            </w:r>
          </w:p>
        </w:tc>
        <w:tc>
          <w:tcPr>
            <w:tcW w:w="1296"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7B1976C2">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废石1</w:t>
            </w:r>
          </w:p>
        </w:tc>
        <w:tc>
          <w:tcPr>
            <w:tcW w:w="1297" w:type="dxa"/>
            <w:vMerge w:val="restart"/>
            <w:tcBorders>
              <w:top w:val="single" w:color="auto" w:sz="12" w:space="0"/>
              <w:left w:val="single" w:color="auto" w:sz="4" w:space="0"/>
              <w:bottom w:val="single" w:color="auto" w:sz="4" w:space="0"/>
              <w:right w:val="single" w:color="auto" w:sz="4" w:space="0"/>
              <w:tl2br w:val="nil"/>
              <w:tr2bl w:val="nil"/>
            </w:tcBorders>
            <w:noWrap w:val="0"/>
            <w:vAlign w:val="center"/>
          </w:tcPr>
          <w:p w14:paraId="4065E06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标准值</w:t>
            </w:r>
          </w:p>
        </w:tc>
        <w:tc>
          <w:tcPr>
            <w:tcW w:w="1297" w:type="dxa"/>
            <w:vMerge w:val="restart"/>
            <w:tcBorders>
              <w:top w:val="single" w:color="auto" w:sz="12" w:space="0"/>
              <w:left w:val="single" w:color="auto" w:sz="4" w:space="0"/>
              <w:bottom w:val="single" w:color="auto" w:sz="4" w:space="0"/>
              <w:right w:val="single" w:color="auto" w:sz="4" w:space="0"/>
              <w:tl2br w:val="nil"/>
              <w:tr2bl w:val="nil"/>
            </w:tcBorders>
            <w:noWrap w:val="0"/>
            <w:vAlign w:val="center"/>
          </w:tcPr>
          <w:p w14:paraId="0EEFC887">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评价结果</w:t>
            </w:r>
          </w:p>
        </w:tc>
        <w:tc>
          <w:tcPr>
            <w:tcW w:w="1297"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5944437A">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废石2</w:t>
            </w:r>
          </w:p>
        </w:tc>
        <w:tc>
          <w:tcPr>
            <w:tcW w:w="1297" w:type="dxa"/>
            <w:vMerge w:val="restart"/>
            <w:tcBorders>
              <w:top w:val="single" w:color="auto" w:sz="12" w:space="0"/>
              <w:left w:val="single" w:color="auto" w:sz="4" w:space="0"/>
              <w:bottom w:val="single" w:color="auto" w:sz="4" w:space="0"/>
              <w:right w:val="single" w:color="auto" w:sz="4" w:space="0"/>
              <w:tl2br w:val="nil"/>
              <w:tr2bl w:val="nil"/>
            </w:tcBorders>
            <w:noWrap w:val="0"/>
            <w:vAlign w:val="center"/>
          </w:tcPr>
          <w:p w14:paraId="1BE9CF10">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标准值</w:t>
            </w:r>
          </w:p>
        </w:tc>
        <w:tc>
          <w:tcPr>
            <w:tcW w:w="1297" w:type="dxa"/>
            <w:vMerge w:val="restart"/>
            <w:tcBorders>
              <w:top w:val="single" w:color="auto" w:sz="12" w:space="0"/>
              <w:left w:val="single" w:color="auto" w:sz="4" w:space="0"/>
              <w:bottom w:val="single" w:color="auto" w:sz="4" w:space="0"/>
              <w:right w:val="single" w:color="auto" w:sz="12" w:space="0"/>
              <w:tl2br w:val="nil"/>
              <w:tr2bl w:val="nil"/>
            </w:tcBorders>
            <w:noWrap w:val="0"/>
            <w:vAlign w:val="center"/>
          </w:tcPr>
          <w:p w14:paraId="56BD4FF4">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评价结果</w:t>
            </w:r>
          </w:p>
        </w:tc>
      </w:tr>
      <w:tr w14:paraId="32A1B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94"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12B3DEA">
            <w:pPr>
              <w:pStyle w:val="26"/>
              <w:keepNext w:val="0"/>
              <w:keepLines w:val="0"/>
              <w:suppressLineNumbers w:val="0"/>
              <w:bidi w:val="0"/>
              <w:spacing w:before="0" w:beforeAutospacing="0" w:after="0" w:afterAutospacing="0"/>
              <w:ind w:left="0" w:right="0"/>
              <w:rPr>
                <w:rFonts w:hint="default"/>
                <w:u w:val="single"/>
                <w:lang w:val="en-US" w:eastAsia="zh-CN"/>
              </w:rPr>
            </w:pPr>
          </w:p>
        </w:tc>
        <w:tc>
          <w:tcPr>
            <w:tcW w:w="1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0DF32A">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检测结果</w:t>
            </w:r>
          </w:p>
        </w:tc>
        <w:tc>
          <w:tcPr>
            <w:tcW w:w="129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AE744F5">
            <w:pPr>
              <w:pStyle w:val="26"/>
              <w:keepNext w:val="0"/>
              <w:keepLines w:val="0"/>
              <w:suppressLineNumbers w:val="0"/>
              <w:bidi w:val="0"/>
              <w:spacing w:before="0" w:beforeAutospacing="0" w:after="0" w:afterAutospacing="0"/>
              <w:ind w:left="0" w:right="0"/>
              <w:rPr>
                <w:rFonts w:hint="default"/>
                <w:u w:val="single"/>
                <w:lang w:val="en-US" w:eastAsia="zh-CN"/>
              </w:rPr>
            </w:pPr>
          </w:p>
        </w:tc>
        <w:tc>
          <w:tcPr>
            <w:tcW w:w="129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1BC7D65">
            <w:pPr>
              <w:pStyle w:val="26"/>
              <w:keepNext w:val="0"/>
              <w:keepLines w:val="0"/>
              <w:suppressLineNumbers w:val="0"/>
              <w:bidi w:val="0"/>
              <w:spacing w:before="0" w:beforeAutospacing="0" w:after="0" w:afterAutospacing="0"/>
              <w:ind w:left="0" w:right="0"/>
              <w:rPr>
                <w:rFonts w:hint="default"/>
                <w:u w:val="single"/>
                <w:lang w:val="en-US" w:eastAsia="zh-CN"/>
              </w:rPr>
            </w:pPr>
          </w:p>
        </w:tc>
        <w:tc>
          <w:tcPr>
            <w:tcW w:w="1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4892B8">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检测结果</w:t>
            </w:r>
          </w:p>
        </w:tc>
        <w:tc>
          <w:tcPr>
            <w:tcW w:w="129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C455D71">
            <w:pPr>
              <w:pStyle w:val="26"/>
              <w:keepNext w:val="0"/>
              <w:keepLines w:val="0"/>
              <w:suppressLineNumbers w:val="0"/>
              <w:bidi w:val="0"/>
              <w:spacing w:before="0" w:beforeAutospacing="0" w:after="0" w:afterAutospacing="0"/>
              <w:ind w:left="0" w:right="0"/>
              <w:rPr>
                <w:rFonts w:hint="default"/>
                <w:u w:val="single"/>
                <w:lang w:val="en-US" w:eastAsia="zh-CN"/>
              </w:rPr>
            </w:pPr>
          </w:p>
        </w:tc>
        <w:tc>
          <w:tcPr>
            <w:tcW w:w="1297" w:type="dxa"/>
            <w:vMerge w:val="continue"/>
            <w:tcBorders>
              <w:top w:val="single" w:color="auto" w:sz="4" w:space="0"/>
              <w:left w:val="single" w:color="auto" w:sz="4" w:space="0"/>
              <w:bottom w:val="single" w:color="auto" w:sz="4" w:space="0"/>
              <w:right w:val="single" w:color="auto" w:sz="12" w:space="0"/>
              <w:tl2br w:val="nil"/>
              <w:tr2bl w:val="nil"/>
            </w:tcBorders>
            <w:noWrap w:val="0"/>
            <w:vAlign w:val="center"/>
          </w:tcPr>
          <w:p w14:paraId="780855EC">
            <w:pPr>
              <w:pStyle w:val="26"/>
              <w:keepNext w:val="0"/>
              <w:keepLines w:val="0"/>
              <w:suppressLineNumbers w:val="0"/>
              <w:bidi w:val="0"/>
              <w:spacing w:before="0" w:beforeAutospacing="0" w:after="0" w:afterAutospacing="0"/>
              <w:ind w:left="0" w:right="0"/>
              <w:rPr>
                <w:rFonts w:hint="default"/>
                <w:u w:val="single"/>
                <w:lang w:val="en-US" w:eastAsia="zh-CN"/>
              </w:rPr>
            </w:pPr>
          </w:p>
        </w:tc>
      </w:tr>
      <w:tr w14:paraId="3C8F19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94" w:type="dxa"/>
            <w:tcBorders>
              <w:top w:val="single" w:color="auto" w:sz="4" w:space="0"/>
              <w:left w:val="single" w:color="auto" w:sz="12" w:space="0"/>
              <w:bottom w:val="single" w:color="auto" w:sz="12" w:space="0"/>
              <w:right w:val="single" w:color="auto" w:sz="4" w:space="0"/>
              <w:tl2br w:val="nil"/>
              <w:tr2bl w:val="nil"/>
            </w:tcBorders>
            <w:noWrap w:val="0"/>
            <w:vAlign w:val="center"/>
          </w:tcPr>
          <w:p w14:paraId="6FE554EF">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锑</w:t>
            </w:r>
          </w:p>
        </w:tc>
        <w:tc>
          <w:tcPr>
            <w:tcW w:w="1296"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296E6F2C">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1.82</w:t>
            </w:r>
          </w:p>
        </w:tc>
        <w:tc>
          <w:tcPr>
            <w:tcW w:w="1297"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0D95691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0.3</w:t>
            </w:r>
            <w:r>
              <w:rPr>
                <w:rFonts w:hint="default"/>
                <w:u w:val="single"/>
                <w:vertAlign w:val="superscript"/>
                <w:lang w:val="en-US" w:eastAsia="zh-CN"/>
              </w:rPr>
              <w:t>a</w:t>
            </w:r>
          </w:p>
        </w:tc>
        <w:tc>
          <w:tcPr>
            <w:tcW w:w="1297"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402BD880">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超标</w:t>
            </w:r>
          </w:p>
        </w:tc>
        <w:tc>
          <w:tcPr>
            <w:tcW w:w="1297"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4777A98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2.44</w:t>
            </w:r>
          </w:p>
        </w:tc>
        <w:tc>
          <w:tcPr>
            <w:tcW w:w="1297"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5A961629">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0.3</w:t>
            </w:r>
            <w:r>
              <w:rPr>
                <w:rFonts w:hint="default"/>
                <w:u w:val="single"/>
                <w:vertAlign w:val="superscript"/>
                <w:lang w:val="en-US" w:eastAsia="zh-CN"/>
              </w:rPr>
              <w:t>a</w:t>
            </w:r>
          </w:p>
        </w:tc>
        <w:tc>
          <w:tcPr>
            <w:tcW w:w="1297" w:type="dxa"/>
            <w:tcBorders>
              <w:top w:val="single" w:color="auto" w:sz="4" w:space="0"/>
              <w:left w:val="single" w:color="auto" w:sz="4" w:space="0"/>
              <w:bottom w:val="single" w:color="auto" w:sz="12" w:space="0"/>
              <w:right w:val="single" w:color="auto" w:sz="12" w:space="0"/>
              <w:tl2br w:val="nil"/>
              <w:tr2bl w:val="nil"/>
            </w:tcBorders>
            <w:noWrap w:val="0"/>
            <w:vAlign w:val="center"/>
          </w:tcPr>
          <w:p w14:paraId="57202D35">
            <w:pPr>
              <w:pStyle w:val="26"/>
              <w:keepNext w:val="0"/>
              <w:keepLines w:val="0"/>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超标</w:t>
            </w:r>
          </w:p>
        </w:tc>
      </w:tr>
    </w:tbl>
    <w:p w14:paraId="5AF6172F">
      <w:pPr>
        <w:pStyle w:val="2"/>
        <w:rPr>
          <w:rFonts w:hint="default" w:eastAsia="宋体"/>
          <w:u w:val="single"/>
          <w:lang w:val="en-US" w:eastAsia="zh-CN"/>
        </w:rPr>
      </w:pPr>
      <w:r>
        <w:rPr>
          <w:rFonts w:hint="default" w:eastAsia="宋体"/>
          <w:u w:val="single"/>
          <w:lang w:val="en-US" w:eastAsia="zh-CN"/>
        </w:rPr>
        <w:t>注a）：《</w:t>
      </w:r>
      <w:r>
        <w:rPr>
          <w:rFonts w:hint="default" w:eastAsia="宋体"/>
          <w:u w:val="single"/>
          <w:lang w:val="en-US" w:eastAsia="zh-CN"/>
        </w:rPr>
        <w:fldChar w:fldCharType="begin"/>
      </w:r>
      <w:r>
        <w:rPr>
          <w:rFonts w:hint="default" w:eastAsia="宋体"/>
          <w:u w:val="single"/>
          <w:lang w:val="en-US" w:eastAsia="zh-CN"/>
        </w:rPr>
        <w:instrText xml:space="preserve"> HYPERLINK "http://kjs.mep.gov.cn/hjbhbz/bzwb/dqhjbh/dqgdwrywrwpfbz/201405/W020140530533213253195.pdf" </w:instrText>
      </w:r>
      <w:r>
        <w:rPr>
          <w:rFonts w:hint="default" w:eastAsia="宋体"/>
          <w:u w:val="single"/>
          <w:lang w:val="en-US" w:eastAsia="zh-CN"/>
        </w:rPr>
        <w:fldChar w:fldCharType="separate"/>
      </w:r>
      <w:r>
        <w:rPr>
          <w:rFonts w:hint="default" w:eastAsia="宋体"/>
          <w:u w:val="single"/>
          <w:lang w:val="en-US" w:eastAsia="zh-CN"/>
        </w:rPr>
        <w:t>锡、锑、汞工业污染物排放标准</w:t>
      </w:r>
      <w:r>
        <w:rPr>
          <w:rFonts w:hint="default" w:eastAsia="宋体"/>
          <w:u w:val="single"/>
          <w:lang w:val="en-US" w:eastAsia="zh-CN"/>
        </w:rPr>
        <w:fldChar w:fldCharType="end"/>
      </w:r>
      <w:r>
        <w:rPr>
          <w:rFonts w:hint="default" w:eastAsia="宋体"/>
          <w:u w:val="single"/>
          <w:lang w:val="en-US" w:eastAsia="zh-CN"/>
        </w:rPr>
        <w:t>》（GB 30770-2014）</w:t>
      </w:r>
    </w:p>
    <w:p w14:paraId="1245DBF6">
      <w:pPr>
        <w:pStyle w:val="2"/>
        <w:rPr>
          <w:rFonts w:hint="default" w:eastAsia="宋体"/>
          <w:u w:val="single"/>
          <w:lang w:val="en-US" w:eastAsia="zh-CN"/>
        </w:rPr>
      </w:pPr>
      <w:r>
        <w:rPr>
          <w:rFonts w:hint="default" w:eastAsia="宋体"/>
          <w:u w:val="single"/>
          <w:lang w:val="en-US" w:eastAsia="zh-CN"/>
        </w:rPr>
        <w:t>根据《国家危险废物名录》，矿山采矿废石不在该名录所列范畴；根据《危险废物鉴别标准》（GB5085.1-5085.5），废石不具有腐蚀性、反应性、易燃性，也不属于《危险废物鉴别标准 毒性物质含量鉴别》（GB5085.1-5085.6）所列毒性物质，因此，本项目废石不属于危险废物；根据《一般工业固体废物贮存和填埋污染控制标准》（GB18599-2020），对照水平振荡法浸溶试验检测数据和《污水综合排放标准》（GB8978-1996）一级标准的最高允许排放浓度和pH限值要求，废石属第I类一般工业固体废物。但是，根据《湖南安化渣滓溪矿业有限公司渣滓溪锑矿节能环保技改工程（采选部分）环境影响报告书》：对矿山废石和尾砂进行了水浸实验，锑浓度超过了《工业废水中锑污染物排放标准》（DB43/350-2007）标准限值，“综合考虑区域环境容量，为进一步减轻对区域环境的不利影响，废石和尾砂应按照一般II类工业固体废物严格管理。”本次检测，矿山废石中的锑浓度超过了《</w:t>
      </w:r>
      <w:r>
        <w:rPr>
          <w:rFonts w:hint="default" w:eastAsia="宋体"/>
          <w:u w:val="single"/>
          <w:lang w:val="en-US" w:eastAsia="zh-CN"/>
        </w:rPr>
        <w:fldChar w:fldCharType="begin"/>
      </w:r>
      <w:r>
        <w:rPr>
          <w:rFonts w:hint="default" w:eastAsia="宋体"/>
          <w:u w:val="single"/>
          <w:lang w:val="en-US" w:eastAsia="zh-CN"/>
        </w:rPr>
        <w:instrText xml:space="preserve"> HYPERLINK "http://kjs.mep.gov.cn/hjbhbz/bzwb/dqhjbh/dqgdwrywrwpfbz/201405/W020140530533213253195.pdf" </w:instrText>
      </w:r>
      <w:r>
        <w:rPr>
          <w:rFonts w:hint="default" w:eastAsia="宋体"/>
          <w:u w:val="single"/>
          <w:lang w:val="en-US" w:eastAsia="zh-CN"/>
        </w:rPr>
        <w:fldChar w:fldCharType="separate"/>
      </w:r>
      <w:r>
        <w:rPr>
          <w:rFonts w:hint="default" w:eastAsia="宋体"/>
          <w:u w:val="single"/>
          <w:lang w:val="en-US" w:eastAsia="zh-CN"/>
        </w:rPr>
        <w:t>锡、锑、汞工业污染物排放标准</w:t>
      </w:r>
      <w:r>
        <w:rPr>
          <w:rFonts w:hint="default" w:eastAsia="宋体"/>
          <w:u w:val="single"/>
          <w:lang w:val="en-US" w:eastAsia="zh-CN"/>
        </w:rPr>
        <w:fldChar w:fldCharType="end"/>
      </w:r>
      <w:r>
        <w:rPr>
          <w:rFonts w:hint="default" w:eastAsia="宋体"/>
          <w:u w:val="single"/>
          <w:lang w:val="en-US" w:eastAsia="zh-CN"/>
        </w:rPr>
        <w:t>》（GB 30770-2014），超标倍数5.07~11.87，因此，矿山废石应按照II类一般工业固体废物严格管理。</w:t>
      </w:r>
    </w:p>
    <w:p w14:paraId="0E918B15">
      <w:pPr>
        <w:pStyle w:val="34"/>
        <w:bidi w:val="0"/>
        <w:rPr>
          <w:rFonts w:hint="default"/>
          <w:color w:val="auto"/>
          <w:highlight w:val="none"/>
          <w:lang w:val="en-US" w:eastAsia="zh-CN"/>
        </w:rPr>
      </w:pPr>
      <w:r>
        <w:rPr>
          <w:rFonts w:hint="default"/>
          <w:color w:val="auto"/>
          <w:highlight w:val="none"/>
          <w:lang w:val="en-US" w:eastAsia="zh-CN"/>
        </w:rPr>
        <w:t>水平衡</w:t>
      </w:r>
    </w:p>
    <w:p w14:paraId="56E2293B">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color w:val="auto"/>
          <w:highlight w:val="none"/>
          <w:lang w:val="en-US" w:eastAsia="zh-CN"/>
        </w:rPr>
      </w:pPr>
      <w:r>
        <w:rPr>
          <w:rFonts w:hint="eastAsia"/>
          <w:color w:val="auto"/>
          <w:highlight w:val="none"/>
          <w:lang w:val="en-US" w:eastAsia="zh-CN"/>
        </w:rPr>
        <w:t>（1）井下生产系统</w:t>
      </w:r>
    </w:p>
    <w:p w14:paraId="4DE3D604">
      <w:pPr>
        <w:pStyle w:val="2"/>
        <w:bidi w:val="0"/>
        <w:rPr>
          <w:rFonts w:hint="eastAsia"/>
          <w:color w:val="auto"/>
          <w:highlight w:val="none"/>
          <w:lang w:val="en-US" w:eastAsia="zh-CN"/>
        </w:rPr>
      </w:pPr>
      <w:r>
        <w:rPr>
          <w:rFonts w:hint="eastAsia"/>
          <w:color w:val="auto"/>
          <w:highlight w:val="none"/>
          <w:lang w:val="en-US" w:eastAsia="zh-CN"/>
        </w:rPr>
        <w:t>根据矿山生产统计情况，矿山井下涌水枯水期日均值为950m</w:t>
      </w:r>
      <w:r>
        <w:rPr>
          <w:rFonts w:hint="eastAsia"/>
          <w:color w:val="auto"/>
          <w:highlight w:val="none"/>
          <w:vertAlign w:val="superscript"/>
          <w:lang w:val="en-US" w:eastAsia="zh-CN"/>
        </w:rPr>
        <w:t>3</w:t>
      </w:r>
      <w:r>
        <w:rPr>
          <w:rFonts w:hint="eastAsia"/>
          <w:color w:val="auto"/>
          <w:highlight w:val="none"/>
          <w:lang w:val="en-US" w:eastAsia="zh-CN"/>
        </w:rPr>
        <w:t>/d，平水期为1570m</w:t>
      </w:r>
      <w:r>
        <w:rPr>
          <w:rFonts w:hint="eastAsia"/>
          <w:color w:val="auto"/>
          <w:highlight w:val="none"/>
          <w:vertAlign w:val="superscript"/>
          <w:lang w:val="en-US" w:eastAsia="zh-CN"/>
        </w:rPr>
        <w:t>3</w:t>
      </w:r>
      <w:r>
        <w:rPr>
          <w:rFonts w:hint="eastAsia"/>
          <w:color w:val="auto"/>
          <w:highlight w:val="none"/>
          <w:lang w:val="en-US" w:eastAsia="zh-CN"/>
        </w:rPr>
        <w:t>/d，丰水期为2397m</w:t>
      </w:r>
      <w:r>
        <w:rPr>
          <w:rFonts w:hint="eastAsia"/>
          <w:color w:val="auto"/>
          <w:highlight w:val="none"/>
          <w:vertAlign w:val="superscript"/>
          <w:lang w:val="en-US" w:eastAsia="zh-CN"/>
        </w:rPr>
        <w:t>3</w:t>
      </w:r>
      <w:r>
        <w:rPr>
          <w:rFonts w:hint="eastAsia"/>
          <w:color w:val="auto"/>
          <w:highlight w:val="none"/>
          <w:lang w:val="en-US" w:eastAsia="zh-CN"/>
        </w:rPr>
        <w:t>/d。井下涌水全部收集于井下水仓，其中350m</w:t>
      </w:r>
      <w:r>
        <w:rPr>
          <w:rFonts w:hint="eastAsia"/>
          <w:color w:val="auto"/>
          <w:highlight w:val="none"/>
          <w:vertAlign w:val="superscript"/>
          <w:lang w:val="en-US" w:eastAsia="zh-CN"/>
        </w:rPr>
        <w:t>3</w:t>
      </w:r>
      <w:r>
        <w:rPr>
          <w:rFonts w:hint="eastAsia"/>
          <w:color w:val="auto"/>
          <w:highlight w:val="none"/>
          <w:lang w:val="en-US" w:eastAsia="zh-CN"/>
        </w:rPr>
        <w:t>/d用于井下生产。350m</w:t>
      </w:r>
      <w:r>
        <w:rPr>
          <w:rFonts w:hint="eastAsia"/>
          <w:color w:val="auto"/>
          <w:highlight w:val="none"/>
          <w:vertAlign w:val="superscript"/>
          <w:lang w:val="en-US" w:eastAsia="zh-CN"/>
        </w:rPr>
        <w:t>3</w:t>
      </w:r>
      <w:r>
        <w:rPr>
          <w:rFonts w:hint="eastAsia"/>
          <w:color w:val="auto"/>
          <w:highlight w:val="none"/>
          <w:lang w:val="en-US" w:eastAsia="zh-CN"/>
        </w:rPr>
        <w:t>/d井下生产涌水中，生产消耗140m</w:t>
      </w:r>
      <w:r>
        <w:rPr>
          <w:rFonts w:hint="eastAsia"/>
          <w:color w:val="auto"/>
          <w:highlight w:val="none"/>
          <w:vertAlign w:val="superscript"/>
          <w:lang w:val="en-US" w:eastAsia="zh-CN"/>
        </w:rPr>
        <w:t>3</w:t>
      </w:r>
      <w:r>
        <w:rPr>
          <w:rFonts w:hint="eastAsia"/>
          <w:color w:val="auto"/>
          <w:highlight w:val="none"/>
          <w:lang w:val="en-US" w:eastAsia="zh-CN"/>
        </w:rPr>
        <w:t>/d，剩余210m</w:t>
      </w:r>
      <w:r>
        <w:rPr>
          <w:rFonts w:hint="eastAsia"/>
          <w:color w:val="auto"/>
          <w:highlight w:val="none"/>
          <w:vertAlign w:val="superscript"/>
          <w:lang w:val="en-US" w:eastAsia="zh-CN"/>
        </w:rPr>
        <w:t>3</w:t>
      </w:r>
      <w:r>
        <w:rPr>
          <w:rFonts w:hint="eastAsia"/>
          <w:color w:val="auto"/>
          <w:highlight w:val="none"/>
          <w:lang w:val="en-US" w:eastAsia="zh-CN"/>
        </w:rPr>
        <w:t>/d形成井下生产废水。</w:t>
      </w:r>
    </w:p>
    <w:p w14:paraId="39F0451B">
      <w:pPr>
        <w:pStyle w:val="2"/>
        <w:bidi w:val="0"/>
        <w:rPr>
          <w:rFonts w:hint="default"/>
          <w:color w:val="auto"/>
          <w:highlight w:val="none"/>
          <w:lang w:val="en-US" w:eastAsia="zh-CN"/>
        </w:rPr>
      </w:pPr>
      <w:r>
        <w:rPr>
          <w:rFonts w:hint="eastAsia"/>
          <w:color w:val="auto"/>
          <w:highlight w:val="none"/>
          <w:lang w:val="en-US" w:eastAsia="zh-CN"/>
        </w:rPr>
        <w:t>另外，充填过程中需要对管道进行冲洗，充填冲洗水水量为10m</w:t>
      </w:r>
      <w:r>
        <w:rPr>
          <w:rFonts w:hint="eastAsia"/>
          <w:color w:val="auto"/>
          <w:highlight w:val="none"/>
          <w:vertAlign w:val="superscript"/>
          <w:lang w:val="en-US" w:eastAsia="zh-CN"/>
        </w:rPr>
        <w:t>3</w:t>
      </w:r>
      <w:r>
        <w:rPr>
          <w:rFonts w:hint="eastAsia"/>
          <w:color w:val="auto"/>
          <w:highlight w:val="none"/>
          <w:lang w:val="en-US" w:eastAsia="zh-CN"/>
        </w:rPr>
        <w:t>/d，损耗1m</w:t>
      </w:r>
      <w:r>
        <w:rPr>
          <w:rFonts w:hint="eastAsia"/>
          <w:color w:val="auto"/>
          <w:highlight w:val="none"/>
          <w:vertAlign w:val="superscript"/>
          <w:lang w:val="en-US" w:eastAsia="zh-CN"/>
        </w:rPr>
        <w:t>3</w:t>
      </w:r>
      <w:r>
        <w:rPr>
          <w:rFonts w:hint="eastAsia"/>
          <w:color w:val="auto"/>
          <w:highlight w:val="none"/>
          <w:lang w:val="en-US" w:eastAsia="zh-CN"/>
        </w:rPr>
        <w:t>/d，形成充填废水9m</w:t>
      </w:r>
      <w:r>
        <w:rPr>
          <w:rFonts w:hint="eastAsia"/>
          <w:color w:val="auto"/>
          <w:highlight w:val="none"/>
          <w:vertAlign w:val="superscript"/>
          <w:lang w:val="en-US" w:eastAsia="zh-CN"/>
        </w:rPr>
        <w:t>3</w:t>
      </w:r>
      <w:r>
        <w:rPr>
          <w:rFonts w:hint="eastAsia"/>
          <w:color w:val="auto"/>
          <w:highlight w:val="none"/>
          <w:lang w:val="en-US" w:eastAsia="zh-CN"/>
        </w:rPr>
        <w:t>/d；充填泌水产生量4.5m</w:t>
      </w:r>
      <w:r>
        <w:rPr>
          <w:rFonts w:hint="eastAsia"/>
          <w:color w:val="auto"/>
          <w:highlight w:val="none"/>
          <w:vertAlign w:val="superscript"/>
          <w:lang w:val="en-US" w:eastAsia="zh-CN"/>
        </w:rPr>
        <w:t>3</w:t>
      </w:r>
      <w:r>
        <w:rPr>
          <w:rFonts w:hint="eastAsia"/>
          <w:color w:val="auto"/>
          <w:highlight w:val="none"/>
          <w:lang w:val="en-US" w:eastAsia="zh-CN"/>
        </w:rPr>
        <w:t>/d。充填废水共计13.5m</w:t>
      </w:r>
      <w:r>
        <w:rPr>
          <w:rFonts w:hint="eastAsia"/>
          <w:color w:val="auto"/>
          <w:highlight w:val="none"/>
          <w:vertAlign w:val="superscript"/>
          <w:lang w:val="en-US" w:eastAsia="zh-CN"/>
        </w:rPr>
        <w:t>3</w:t>
      </w:r>
      <w:r>
        <w:rPr>
          <w:rFonts w:hint="eastAsia"/>
          <w:color w:val="auto"/>
          <w:highlight w:val="none"/>
          <w:lang w:val="en-US" w:eastAsia="zh-CN"/>
        </w:rPr>
        <w:t>/d。</w:t>
      </w:r>
    </w:p>
    <w:p w14:paraId="1DD9C435">
      <w:pPr>
        <w:pStyle w:val="2"/>
        <w:bidi w:val="0"/>
        <w:rPr>
          <w:rFonts w:hint="eastAsia"/>
          <w:color w:val="auto"/>
          <w:highlight w:val="none"/>
          <w:lang w:val="en-US" w:eastAsia="zh-CN"/>
        </w:rPr>
      </w:pPr>
      <w:r>
        <w:rPr>
          <w:rFonts w:hint="eastAsia"/>
          <w:color w:val="auto"/>
          <w:highlight w:val="none"/>
          <w:lang w:val="en-US" w:eastAsia="zh-CN"/>
        </w:rPr>
        <w:t>井下所有废水，包括井下涌水600m</w:t>
      </w:r>
      <w:r>
        <w:rPr>
          <w:rFonts w:hint="eastAsia"/>
          <w:color w:val="auto"/>
          <w:highlight w:val="none"/>
          <w:vertAlign w:val="superscript"/>
          <w:lang w:val="en-US" w:eastAsia="zh-CN"/>
        </w:rPr>
        <w:t>3</w:t>
      </w:r>
      <w:r>
        <w:rPr>
          <w:rFonts w:hint="eastAsia"/>
          <w:color w:val="auto"/>
          <w:highlight w:val="none"/>
          <w:lang w:val="en-US" w:eastAsia="zh-CN"/>
        </w:rPr>
        <w:t>/d（平水期1220m</w:t>
      </w:r>
      <w:r>
        <w:rPr>
          <w:rFonts w:hint="eastAsia"/>
          <w:color w:val="auto"/>
          <w:highlight w:val="none"/>
          <w:vertAlign w:val="superscript"/>
          <w:lang w:val="en-US" w:eastAsia="zh-CN"/>
        </w:rPr>
        <w:t>3</w:t>
      </w:r>
      <w:r>
        <w:rPr>
          <w:rFonts w:hint="eastAsia"/>
          <w:color w:val="auto"/>
          <w:highlight w:val="none"/>
          <w:lang w:val="en-US" w:eastAsia="zh-CN"/>
        </w:rPr>
        <w:t>/d、丰水期2047m</w:t>
      </w:r>
      <w:r>
        <w:rPr>
          <w:rFonts w:hint="eastAsia"/>
          <w:color w:val="auto"/>
          <w:highlight w:val="none"/>
          <w:vertAlign w:val="superscript"/>
          <w:lang w:val="en-US" w:eastAsia="zh-CN"/>
        </w:rPr>
        <w:t>3</w:t>
      </w:r>
      <w:r>
        <w:rPr>
          <w:rFonts w:hint="eastAsia"/>
          <w:color w:val="auto"/>
          <w:highlight w:val="none"/>
          <w:lang w:val="en-US" w:eastAsia="zh-CN"/>
        </w:rPr>
        <w:t>/d）、井下生产废水210m</w:t>
      </w:r>
      <w:r>
        <w:rPr>
          <w:rFonts w:hint="eastAsia"/>
          <w:color w:val="auto"/>
          <w:highlight w:val="none"/>
          <w:vertAlign w:val="superscript"/>
          <w:lang w:val="en-US" w:eastAsia="zh-CN"/>
        </w:rPr>
        <w:t>3</w:t>
      </w:r>
      <w:r>
        <w:rPr>
          <w:rFonts w:hint="eastAsia"/>
          <w:color w:val="auto"/>
          <w:highlight w:val="none"/>
          <w:lang w:val="en-US" w:eastAsia="zh-CN"/>
        </w:rPr>
        <w:t>/d、充填废水13.5m</w:t>
      </w:r>
      <w:r>
        <w:rPr>
          <w:rFonts w:hint="eastAsia"/>
          <w:color w:val="auto"/>
          <w:highlight w:val="none"/>
          <w:vertAlign w:val="superscript"/>
          <w:lang w:val="en-US" w:eastAsia="zh-CN"/>
        </w:rPr>
        <w:t>3</w:t>
      </w:r>
      <w:r>
        <w:rPr>
          <w:rFonts w:hint="eastAsia"/>
          <w:color w:val="auto"/>
          <w:highlight w:val="none"/>
          <w:lang w:val="en-US" w:eastAsia="zh-CN"/>
        </w:rPr>
        <w:t>/d，共计823.5m</w:t>
      </w:r>
      <w:r>
        <w:rPr>
          <w:rFonts w:hint="eastAsia"/>
          <w:color w:val="auto"/>
          <w:highlight w:val="none"/>
          <w:vertAlign w:val="superscript"/>
          <w:lang w:val="en-US" w:eastAsia="zh-CN"/>
        </w:rPr>
        <w:t>3</w:t>
      </w:r>
      <w:r>
        <w:rPr>
          <w:rFonts w:hint="eastAsia"/>
          <w:color w:val="auto"/>
          <w:highlight w:val="none"/>
          <w:lang w:val="en-US" w:eastAsia="zh-CN"/>
        </w:rPr>
        <w:t>/d（平水期1443.5m</w:t>
      </w:r>
      <w:r>
        <w:rPr>
          <w:rFonts w:hint="eastAsia"/>
          <w:color w:val="auto"/>
          <w:highlight w:val="none"/>
          <w:vertAlign w:val="superscript"/>
          <w:lang w:val="en-US" w:eastAsia="zh-CN"/>
        </w:rPr>
        <w:t>3</w:t>
      </w:r>
      <w:r>
        <w:rPr>
          <w:rFonts w:hint="eastAsia"/>
          <w:color w:val="auto"/>
          <w:highlight w:val="none"/>
          <w:lang w:val="en-US" w:eastAsia="zh-CN"/>
        </w:rPr>
        <w:t>/d、丰水期2270.5m</w:t>
      </w:r>
      <w:r>
        <w:rPr>
          <w:rFonts w:hint="eastAsia"/>
          <w:color w:val="auto"/>
          <w:highlight w:val="none"/>
          <w:vertAlign w:val="superscript"/>
          <w:lang w:val="en-US" w:eastAsia="zh-CN"/>
        </w:rPr>
        <w:t>3</w:t>
      </w:r>
      <w:r>
        <w:rPr>
          <w:rFonts w:hint="eastAsia"/>
          <w:color w:val="auto"/>
          <w:highlight w:val="none"/>
          <w:lang w:val="en-US" w:eastAsia="zh-CN"/>
        </w:rPr>
        <w:t>/d），全部由井下水仓送副井井口480井口循环水池。</w:t>
      </w:r>
    </w:p>
    <w:p w14:paraId="75A70F13">
      <w:pPr>
        <w:pStyle w:val="28"/>
        <w:bidi w:val="0"/>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9</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井下涌水各月产生量一览表</w:t>
      </w:r>
    </w:p>
    <w:tbl>
      <w:tblPr>
        <w:tblStyle w:val="2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10"/>
        <w:gridCol w:w="4015"/>
        <w:gridCol w:w="4015"/>
      </w:tblGrid>
      <w:tr w14:paraId="1BDF61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655" w:type="pct"/>
            <w:tcBorders>
              <w:tl2br w:val="nil"/>
              <w:tr2bl w:val="nil"/>
            </w:tcBorders>
            <w:shd w:val="clear" w:color="auto" w:fill="auto"/>
            <w:noWrap/>
            <w:vAlign w:val="center"/>
          </w:tcPr>
          <w:p w14:paraId="646D63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月份</w:t>
            </w:r>
          </w:p>
        </w:tc>
        <w:tc>
          <w:tcPr>
            <w:tcW w:w="2172" w:type="pct"/>
            <w:tcBorders>
              <w:tl2br w:val="nil"/>
              <w:tr2bl w:val="nil"/>
            </w:tcBorders>
            <w:shd w:val="clear" w:color="auto" w:fill="auto"/>
            <w:noWrap/>
            <w:vAlign w:val="center"/>
          </w:tcPr>
          <w:p w14:paraId="68081D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井下涌水</w:t>
            </w:r>
            <w:r>
              <w:rPr>
                <w:rFonts w:hint="eastAsia"/>
                <w:color w:val="auto"/>
                <w:highlight w:val="none"/>
                <w:lang w:val="en-US" w:eastAsia="zh-CN"/>
              </w:rPr>
              <w:t>产生</w:t>
            </w:r>
            <w:r>
              <w:rPr>
                <w:rFonts w:hint="default"/>
                <w:color w:val="auto"/>
                <w:highlight w:val="none"/>
                <w:lang w:val="en-US" w:eastAsia="zh-CN"/>
              </w:rPr>
              <w:t>量(</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2172" w:type="pct"/>
            <w:tcBorders>
              <w:tl2br w:val="nil"/>
              <w:tr2bl w:val="nil"/>
            </w:tcBorders>
            <w:shd w:val="clear" w:color="auto" w:fill="auto"/>
            <w:noWrap/>
            <w:vAlign w:val="center"/>
          </w:tcPr>
          <w:p w14:paraId="0CB4D8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备注</w:t>
            </w:r>
          </w:p>
        </w:tc>
      </w:tr>
      <w:tr w14:paraId="0DE262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55" w:type="pct"/>
            <w:tcBorders>
              <w:tl2br w:val="nil"/>
              <w:tr2bl w:val="nil"/>
            </w:tcBorders>
            <w:shd w:val="clear" w:color="auto" w:fill="auto"/>
            <w:noWrap/>
            <w:vAlign w:val="center"/>
          </w:tcPr>
          <w:p w14:paraId="5BFCE9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1月</w:t>
            </w:r>
          </w:p>
        </w:tc>
        <w:tc>
          <w:tcPr>
            <w:tcW w:w="2172" w:type="pct"/>
            <w:tcBorders>
              <w:tl2br w:val="nil"/>
              <w:tr2bl w:val="nil"/>
            </w:tcBorders>
            <w:shd w:val="clear" w:color="auto" w:fill="auto"/>
            <w:noWrap/>
            <w:vAlign w:val="center"/>
          </w:tcPr>
          <w:p w14:paraId="34DC35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870</w:t>
            </w:r>
          </w:p>
        </w:tc>
        <w:tc>
          <w:tcPr>
            <w:tcW w:w="2172" w:type="pct"/>
            <w:tcBorders>
              <w:tl2br w:val="nil"/>
              <w:tr2bl w:val="nil"/>
            </w:tcBorders>
            <w:shd w:val="clear" w:color="auto" w:fill="auto"/>
            <w:noWrap/>
            <w:vAlign w:val="center"/>
          </w:tcPr>
          <w:p w14:paraId="557936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枯水期</w:t>
            </w:r>
          </w:p>
        </w:tc>
      </w:tr>
      <w:tr w14:paraId="44151D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6F9C17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2月</w:t>
            </w:r>
          </w:p>
        </w:tc>
        <w:tc>
          <w:tcPr>
            <w:tcW w:w="2172" w:type="pct"/>
            <w:tcBorders>
              <w:tl2br w:val="nil"/>
              <w:tr2bl w:val="nil"/>
            </w:tcBorders>
            <w:shd w:val="clear" w:color="auto" w:fill="auto"/>
            <w:noWrap/>
            <w:vAlign w:val="center"/>
          </w:tcPr>
          <w:p w14:paraId="52BBEA8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1000</w:t>
            </w:r>
          </w:p>
        </w:tc>
        <w:tc>
          <w:tcPr>
            <w:tcW w:w="2172" w:type="pct"/>
            <w:tcBorders>
              <w:tl2br w:val="nil"/>
              <w:tr2bl w:val="nil"/>
            </w:tcBorders>
            <w:shd w:val="clear" w:color="auto" w:fill="auto"/>
            <w:noWrap/>
            <w:vAlign w:val="center"/>
          </w:tcPr>
          <w:p w14:paraId="59E2551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枯水期</w:t>
            </w:r>
          </w:p>
        </w:tc>
      </w:tr>
      <w:tr w14:paraId="07413F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0CD321C6">
            <w:pPr>
              <w:pStyle w:val="26"/>
              <w:keepNext w:val="0"/>
              <w:keepLines w:val="0"/>
              <w:suppressLineNumbers w:val="0"/>
              <w:bidi w:val="0"/>
              <w:spacing w:before="0" w:beforeAutospacing="0" w:after="0" w:afterAutospacing="0"/>
              <w:ind w:left="0" w:right="0"/>
              <w:rPr>
                <w:rFonts w:hint="default"/>
                <w:i/>
                <w:iCs/>
                <w:color w:val="auto"/>
                <w:highlight w:val="none"/>
                <w:lang w:val="en-US" w:eastAsia="zh-CN"/>
              </w:rPr>
            </w:pPr>
            <w:r>
              <w:rPr>
                <w:rFonts w:hint="eastAsia"/>
                <w:i/>
                <w:iCs/>
                <w:color w:val="auto"/>
                <w:highlight w:val="none"/>
                <w:lang w:val="en-US" w:eastAsia="zh-CN"/>
              </w:rPr>
              <w:t>3月</w:t>
            </w:r>
          </w:p>
        </w:tc>
        <w:tc>
          <w:tcPr>
            <w:tcW w:w="2172" w:type="pct"/>
            <w:tcBorders>
              <w:tl2br w:val="nil"/>
              <w:tr2bl w:val="nil"/>
            </w:tcBorders>
            <w:shd w:val="clear" w:color="auto" w:fill="auto"/>
            <w:noWrap/>
            <w:vAlign w:val="center"/>
          </w:tcPr>
          <w:p w14:paraId="00F66AB6">
            <w:pPr>
              <w:pStyle w:val="26"/>
              <w:keepNext w:val="0"/>
              <w:keepLines w:val="0"/>
              <w:suppressLineNumbers w:val="0"/>
              <w:bidi w:val="0"/>
              <w:spacing w:before="0" w:beforeAutospacing="0" w:after="0" w:afterAutospacing="0"/>
              <w:ind w:left="0" w:right="0"/>
              <w:rPr>
                <w:rFonts w:hint="default"/>
                <w:i/>
                <w:iCs/>
                <w:color w:val="auto"/>
                <w:highlight w:val="none"/>
                <w:lang w:val="en-US" w:eastAsia="zh-CN"/>
              </w:rPr>
            </w:pPr>
            <w:r>
              <w:rPr>
                <w:rFonts w:hint="eastAsia"/>
                <w:i/>
                <w:iCs/>
                <w:color w:val="auto"/>
                <w:highlight w:val="none"/>
                <w:lang w:val="en-US" w:eastAsia="zh-CN"/>
              </w:rPr>
              <w:t>1500</w:t>
            </w:r>
          </w:p>
        </w:tc>
        <w:tc>
          <w:tcPr>
            <w:tcW w:w="2172" w:type="pct"/>
            <w:tcBorders>
              <w:tl2br w:val="nil"/>
              <w:tr2bl w:val="nil"/>
            </w:tcBorders>
            <w:shd w:val="clear" w:color="auto" w:fill="auto"/>
            <w:noWrap/>
            <w:vAlign w:val="center"/>
          </w:tcPr>
          <w:p w14:paraId="287BDC5F">
            <w:pPr>
              <w:pStyle w:val="26"/>
              <w:keepNext w:val="0"/>
              <w:keepLines w:val="0"/>
              <w:suppressLineNumbers w:val="0"/>
              <w:bidi w:val="0"/>
              <w:spacing w:before="0" w:beforeAutospacing="0" w:after="0" w:afterAutospacing="0"/>
              <w:ind w:left="0" w:right="0"/>
              <w:rPr>
                <w:rFonts w:hint="eastAsia"/>
                <w:i/>
                <w:iCs/>
                <w:color w:val="auto"/>
                <w:highlight w:val="none"/>
                <w:lang w:val="en-US" w:eastAsia="zh-CN"/>
              </w:rPr>
            </w:pPr>
            <w:r>
              <w:rPr>
                <w:rFonts w:hint="eastAsia"/>
                <w:i/>
                <w:iCs/>
                <w:color w:val="auto"/>
                <w:highlight w:val="none"/>
                <w:lang w:val="en-US" w:eastAsia="zh-CN"/>
              </w:rPr>
              <w:t>平水期</w:t>
            </w:r>
          </w:p>
        </w:tc>
      </w:tr>
      <w:tr w14:paraId="407D66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5301130E">
            <w:pPr>
              <w:pStyle w:val="26"/>
              <w:keepNext w:val="0"/>
              <w:keepLines w:val="0"/>
              <w:suppressLineNumbers w:val="0"/>
              <w:bidi w:val="0"/>
              <w:spacing w:before="0" w:beforeAutospacing="0" w:after="0" w:afterAutospacing="0"/>
              <w:ind w:left="0" w:right="0"/>
              <w:rPr>
                <w:rFonts w:hint="default"/>
                <w:i/>
                <w:iCs/>
                <w:color w:val="auto"/>
                <w:highlight w:val="none"/>
                <w:lang w:val="en-US" w:eastAsia="zh-CN"/>
              </w:rPr>
            </w:pPr>
            <w:r>
              <w:rPr>
                <w:rFonts w:hint="eastAsia"/>
                <w:i/>
                <w:iCs/>
                <w:color w:val="auto"/>
                <w:highlight w:val="none"/>
                <w:lang w:val="en-US" w:eastAsia="zh-CN"/>
              </w:rPr>
              <w:t>4月</w:t>
            </w:r>
          </w:p>
        </w:tc>
        <w:tc>
          <w:tcPr>
            <w:tcW w:w="2172" w:type="pct"/>
            <w:tcBorders>
              <w:tl2br w:val="nil"/>
              <w:tr2bl w:val="nil"/>
            </w:tcBorders>
            <w:shd w:val="clear" w:color="auto" w:fill="auto"/>
            <w:noWrap/>
            <w:vAlign w:val="center"/>
          </w:tcPr>
          <w:p w14:paraId="61294287">
            <w:pPr>
              <w:pStyle w:val="26"/>
              <w:keepNext w:val="0"/>
              <w:keepLines w:val="0"/>
              <w:suppressLineNumbers w:val="0"/>
              <w:bidi w:val="0"/>
              <w:spacing w:before="0" w:beforeAutospacing="0" w:after="0" w:afterAutospacing="0"/>
              <w:ind w:left="0" w:right="0"/>
              <w:rPr>
                <w:rFonts w:hint="default"/>
                <w:i/>
                <w:iCs/>
                <w:color w:val="auto"/>
                <w:highlight w:val="none"/>
                <w:lang w:val="en-US" w:eastAsia="zh-CN"/>
              </w:rPr>
            </w:pPr>
            <w:r>
              <w:rPr>
                <w:rFonts w:hint="eastAsia"/>
                <w:i/>
                <w:iCs/>
                <w:color w:val="auto"/>
                <w:highlight w:val="none"/>
                <w:lang w:val="en-US" w:eastAsia="zh-CN"/>
              </w:rPr>
              <w:t>1860</w:t>
            </w:r>
          </w:p>
        </w:tc>
        <w:tc>
          <w:tcPr>
            <w:tcW w:w="2172" w:type="pct"/>
            <w:tcBorders>
              <w:tl2br w:val="nil"/>
              <w:tr2bl w:val="nil"/>
            </w:tcBorders>
            <w:shd w:val="clear" w:color="auto" w:fill="auto"/>
            <w:noWrap/>
            <w:vAlign w:val="center"/>
          </w:tcPr>
          <w:p w14:paraId="0678A13F">
            <w:pPr>
              <w:pStyle w:val="26"/>
              <w:keepNext w:val="0"/>
              <w:keepLines w:val="0"/>
              <w:suppressLineNumbers w:val="0"/>
              <w:bidi w:val="0"/>
              <w:spacing w:before="0" w:beforeAutospacing="0" w:after="0" w:afterAutospacing="0"/>
              <w:ind w:left="0" w:right="0"/>
              <w:rPr>
                <w:rFonts w:hint="eastAsia"/>
                <w:i/>
                <w:iCs/>
                <w:color w:val="auto"/>
                <w:highlight w:val="none"/>
                <w:lang w:val="en-US" w:eastAsia="zh-CN"/>
              </w:rPr>
            </w:pPr>
            <w:r>
              <w:rPr>
                <w:rFonts w:hint="eastAsia"/>
                <w:i/>
                <w:iCs/>
                <w:color w:val="auto"/>
                <w:highlight w:val="none"/>
                <w:lang w:val="en-US" w:eastAsia="zh-CN"/>
              </w:rPr>
              <w:t>平水期</w:t>
            </w:r>
          </w:p>
        </w:tc>
      </w:tr>
      <w:tr w14:paraId="0DAE4A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19DB677F">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5月</w:t>
            </w:r>
          </w:p>
        </w:tc>
        <w:tc>
          <w:tcPr>
            <w:tcW w:w="2172" w:type="pct"/>
            <w:tcBorders>
              <w:tl2br w:val="nil"/>
              <w:tr2bl w:val="nil"/>
            </w:tcBorders>
            <w:shd w:val="clear" w:color="auto" w:fill="auto"/>
            <w:noWrap/>
            <w:vAlign w:val="center"/>
          </w:tcPr>
          <w:p w14:paraId="5A8BC7E2">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2270</w:t>
            </w:r>
          </w:p>
        </w:tc>
        <w:tc>
          <w:tcPr>
            <w:tcW w:w="2172" w:type="pct"/>
            <w:tcBorders>
              <w:tl2br w:val="nil"/>
              <w:tr2bl w:val="nil"/>
            </w:tcBorders>
            <w:shd w:val="clear" w:color="auto" w:fill="auto"/>
            <w:noWrap/>
            <w:vAlign w:val="center"/>
          </w:tcPr>
          <w:p w14:paraId="604F24AE">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丰水期</w:t>
            </w:r>
          </w:p>
        </w:tc>
      </w:tr>
      <w:tr w14:paraId="7DB0D2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4C89B48D">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6月</w:t>
            </w:r>
          </w:p>
        </w:tc>
        <w:tc>
          <w:tcPr>
            <w:tcW w:w="2172" w:type="pct"/>
            <w:tcBorders>
              <w:tl2br w:val="nil"/>
              <w:tr2bl w:val="nil"/>
            </w:tcBorders>
            <w:shd w:val="clear" w:color="auto" w:fill="auto"/>
            <w:noWrap/>
            <w:vAlign w:val="center"/>
          </w:tcPr>
          <w:p w14:paraId="05E9720A">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2420</w:t>
            </w:r>
          </w:p>
        </w:tc>
        <w:tc>
          <w:tcPr>
            <w:tcW w:w="2172" w:type="pct"/>
            <w:tcBorders>
              <w:tl2br w:val="nil"/>
              <w:tr2bl w:val="nil"/>
            </w:tcBorders>
            <w:shd w:val="clear" w:color="auto" w:fill="auto"/>
            <w:noWrap/>
            <w:vAlign w:val="center"/>
          </w:tcPr>
          <w:p w14:paraId="3AD662A8">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丰水期</w:t>
            </w:r>
          </w:p>
        </w:tc>
      </w:tr>
      <w:tr w14:paraId="76A3EB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5DE08F82">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7月</w:t>
            </w:r>
          </w:p>
        </w:tc>
        <w:tc>
          <w:tcPr>
            <w:tcW w:w="2172" w:type="pct"/>
            <w:tcBorders>
              <w:tl2br w:val="nil"/>
              <w:tr2bl w:val="nil"/>
            </w:tcBorders>
            <w:shd w:val="clear" w:color="auto" w:fill="auto"/>
            <w:noWrap/>
            <w:vAlign w:val="center"/>
          </w:tcPr>
          <w:p w14:paraId="1DA28126">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2500</w:t>
            </w:r>
          </w:p>
        </w:tc>
        <w:tc>
          <w:tcPr>
            <w:tcW w:w="2172" w:type="pct"/>
            <w:tcBorders>
              <w:tl2br w:val="nil"/>
              <w:tr2bl w:val="nil"/>
            </w:tcBorders>
            <w:shd w:val="clear" w:color="auto" w:fill="auto"/>
            <w:noWrap/>
            <w:vAlign w:val="center"/>
          </w:tcPr>
          <w:p w14:paraId="4EC523D4">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丰水期</w:t>
            </w:r>
          </w:p>
        </w:tc>
      </w:tr>
      <w:tr w14:paraId="17D533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55" w:type="pct"/>
            <w:tcBorders>
              <w:tl2br w:val="nil"/>
              <w:tr2bl w:val="nil"/>
            </w:tcBorders>
            <w:shd w:val="clear" w:color="auto" w:fill="auto"/>
            <w:noWrap/>
            <w:vAlign w:val="center"/>
          </w:tcPr>
          <w:p w14:paraId="7C0C8D2E">
            <w:pPr>
              <w:pStyle w:val="26"/>
              <w:keepNext w:val="0"/>
              <w:keepLines w:val="0"/>
              <w:suppressLineNumbers w:val="0"/>
              <w:bidi w:val="0"/>
              <w:spacing w:before="0" w:beforeAutospacing="0" w:after="0" w:afterAutospacing="0"/>
              <w:ind w:left="0" w:right="0"/>
              <w:rPr>
                <w:rFonts w:hint="default"/>
                <w:i/>
                <w:iCs/>
                <w:color w:val="auto"/>
                <w:highlight w:val="none"/>
                <w:lang w:val="en-US" w:eastAsia="zh-CN"/>
              </w:rPr>
            </w:pPr>
            <w:r>
              <w:rPr>
                <w:rFonts w:hint="eastAsia"/>
                <w:i/>
                <w:iCs/>
                <w:color w:val="auto"/>
                <w:highlight w:val="none"/>
                <w:lang w:val="en-US" w:eastAsia="zh-CN"/>
              </w:rPr>
              <w:t>8月</w:t>
            </w:r>
          </w:p>
        </w:tc>
        <w:tc>
          <w:tcPr>
            <w:tcW w:w="2172" w:type="pct"/>
            <w:tcBorders>
              <w:tl2br w:val="nil"/>
              <w:tr2bl w:val="nil"/>
            </w:tcBorders>
            <w:shd w:val="clear" w:color="auto" w:fill="auto"/>
            <w:noWrap/>
            <w:vAlign w:val="center"/>
          </w:tcPr>
          <w:p w14:paraId="3599DB48">
            <w:pPr>
              <w:pStyle w:val="26"/>
              <w:keepNext w:val="0"/>
              <w:keepLines w:val="0"/>
              <w:suppressLineNumbers w:val="0"/>
              <w:bidi w:val="0"/>
              <w:spacing w:before="0" w:beforeAutospacing="0" w:after="0" w:afterAutospacing="0"/>
              <w:ind w:left="0" w:right="0"/>
              <w:rPr>
                <w:rFonts w:hint="default"/>
                <w:i/>
                <w:iCs/>
                <w:color w:val="auto"/>
                <w:highlight w:val="none"/>
                <w:lang w:val="en-US" w:eastAsia="zh-CN"/>
              </w:rPr>
            </w:pPr>
            <w:r>
              <w:rPr>
                <w:rFonts w:hint="eastAsia"/>
                <w:i/>
                <w:iCs/>
                <w:color w:val="auto"/>
                <w:highlight w:val="none"/>
                <w:lang w:val="en-US" w:eastAsia="zh-CN"/>
              </w:rPr>
              <w:t>1350</w:t>
            </w:r>
          </w:p>
        </w:tc>
        <w:tc>
          <w:tcPr>
            <w:tcW w:w="2172" w:type="pct"/>
            <w:tcBorders>
              <w:tl2br w:val="nil"/>
              <w:tr2bl w:val="nil"/>
            </w:tcBorders>
            <w:shd w:val="clear" w:color="auto" w:fill="auto"/>
            <w:noWrap/>
            <w:vAlign w:val="center"/>
          </w:tcPr>
          <w:p w14:paraId="126B1E6E">
            <w:pPr>
              <w:pStyle w:val="26"/>
              <w:keepNext w:val="0"/>
              <w:keepLines w:val="0"/>
              <w:suppressLineNumbers w:val="0"/>
              <w:bidi w:val="0"/>
              <w:spacing w:before="0" w:beforeAutospacing="0" w:after="0" w:afterAutospacing="0"/>
              <w:ind w:left="0" w:right="0"/>
              <w:rPr>
                <w:rFonts w:hint="eastAsia"/>
                <w:i/>
                <w:iCs/>
                <w:color w:val="auto"/>
                <w:highlight w:val="none"/>
                <w:lang w:val="en-US" w:eastAsia="zh-CN"/>
              </w:rPr>
            </w:pPr>
            <w:r>
              <w:rPr>
                <w:rFonts w:hint="eastAsia"/>
                <w:i/>
                <w:iCs/>
                <w:color w:val="auto"/>
                <w:highlight w:val="none"/>
                <w:lang w:val="en-US" w:eastAsia="zh-CN"/>
              </w:rPr>
              <w:t>平水期</w:t>
            </w:r>
          </w:p>
        </w:tc>
      </w:tr>
      <w:tr w14:paraId="1EE6DF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636782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9月</w:t>
            </w:r>
          </w:p>
        </w:tc>
        <w:tc>
          <w:tcPr>
            <w:tcW w:w="2172" w:type="pct"/>
            <w:tcBorders>
              <w:tl2br w:val="nil"/>
              <w:tr2bl w:val="nil"/>
            </w:tcBorders>
            <w:shd w:val="clear" w:color="auto" w:fill="auto"/>
            <w:noWrap/>
            <w:vAlign w:val="center"/>
          </w:tcPr>
          <w:p w14:paraId="6392F5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1110</w:t>
            </w:r>
          </w:p>
        </w:tc>
        <w:tc>
          <w:tcPr>
            <w:tcW w:w="2172" w:type="pct"/>
            <w:tcBorders>
              <w:tl2br w:val="nil"/>
              <w:tr2bl w:val="nil"/>
            </w:tcBorders>
            <w:shd w:val="clear" w:color="auto" w:fill="auto"/>
            <w:noWrap/>
            <w:vAlign w:val="center"/>
          </w:tcPr>
          <w:p w14:paraId="33C572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枯水期</w:t>
            </w:r>
          </w:p>
        </w:tc>
      </w:tr>
      <w:tr w14:paraId="583663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11CA76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10月</w:t>
            </w:r>
          </w:p>
        </w:tc>
        <w:tc>
          <w:tcPr>
            <w:tcW w:w="2172" w:type="pct"/>
            <w:tcBorders>
              <w:tl2br w:val="nil"/>
              <w:tr2bl w:val="nil"/>
            </w:tcBorders>
            <w:shd w:val="clear" w:color="auto" w:fill="auto"/>
            <w:noWrap/>
            <w:vAlign w:val="center"/>
          </w:tcPr>
          <w:p w14:paraId="55BE2C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920</w:t>
            </w:r>
          </w:p>
        </w:tc>
        <w:tc>
          <w:tcPr>
            <w:tcW w:w="2172" w:type="pct"/>
            <w:tcBorders>
              <w:tl2br w:val="nil"/>
              <w:tr2bl w:val="nil"/>
            </w:tcBorders>
            <w:shd w:val="clear" w:color="auto" w:fill="auto"/>
            <w:noWrap/>
            <w:vAlign w:val="center"/>
          </w:tcPr>
          <w:p w14:paraId="716590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枯水期</w:t>
            </w:r>
          </w:p>
        </w:tc>
      </w:tr>
      <w:tr w14:paraId="7489FD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610034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11月</w:t>
            </w:r>
          </w:p>
        </w:tc>
        <w:tc>
          <w:tcPr>
            <w:tcW w:w="2172" w:type="pct"/>
            <w:tcBorders>
              <w:tl2br w:val="nil"/>
              <w:tr2bl w:val="nil"/>
            </w:tcBorders>
            <w:shd w:val="clear" w:color="auto" w:fill="auto"/>
            <w:noWrap/>
            <w:vAlign w:val="center"/>
          </w:tcPr>
          <w:p w14:paraId="7BC600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960</w:t>
            </w:r>
          </w:p>
        </w:tc>
        <w:tc>
          <w:tcPr>
            <w:tcW w:w="2172" w:type="pct"/>
            <w:tcBorders>
              <w:tl2br w:val="nil"/>
              <w:tr2bl w:val="nil"/>
            </w:tcBorders>
            <w:shd w:val="clear" w:color="auto" w:fill="auto"/>
            <w:noWrap/>
            <w:vAlign w:val="center"/>
          </w:tcPr>
          <w:p w14:paraId="4050A0E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枯水期</w:t>
            </w:r>
          </w:p>
        </w:tc>
      </w:tr>
      <w:tr w14:paraId="3D1F7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70F423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12月</w:t>
            </w:r>
          </w:p>
        </w:tc>
        <w:tc>
          <w:tcPr>
            <w:tcW w:w="2172" w:type="pct"/>
            <w:tcBorders>
              <w:tl2br w:val="nil"/>
              <w:tr2bl w:val="nil"/>
            </w:tcBorders>
            <w:shd w:val="clear" w:color="auto" w:fill="auto"/>
            <w:noWrap/>
            <w:vAlign w:val="center"/>
          </w:tcPr>
          <w:p w14:paraId="082C80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840</w:t>
            </w:r>
          </w:p>
        </w:tc>
        <w:tc>
          <w:tcPr>
            <w:tcW w:w="2172" w:type="pct"/>
            <w:tcBorders>
              <w:tl2br w:val="nil"/>
              <w:tr2bl w:val="nil"/>
            </w:tcBorders>
            <w:shd w:val="clear" w:color="auto" w:fill="auto"/>
            <w:noWrap/>
            <w:vAlign w:val="center"/>
          </w:tcPr>
          <w:p w14:paraId="30E3B30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枯水期</w:t>
            </w:r>
          </w:p>
        </w:tc>
      </w:tr>
    </w:tbl>
    <w:p w14:paraId="7FB70F71">
      <w:pPr>
        <w:pStyle w:val="26"/>
        <w:bidi w:val="0"/>
        <w:jc w:val="left"/>
        <w:rPr>
          <w:rFonts w:hint="default"/>
          <w:color w:val="auto"/>
          <w:highlight w:val="none"/>
          <w:lang w:val="en-US" w:eastAsia="zh-CN"/>
        </w:rPr>
      </w:pPr>
      <w:r>
        <w:rPr>
          <w:rFonts w:hint="eastAsia"/>
          <w:color w:val="auto"/>
          <w:highlight w:val="none"/>
          <w:lang w:val="en-US" w:eastAsia="zh-CN"/>
        </w:rPr>
        <w:t>注：依据井下涌水量的不同，将水期划分为枯水期（1~2月、9~12月）、平水期（3~4月、8月）、丰水期（5~7月）。</w:t>
      </w:r>
    </w:p>
    <w:p w14:paraId="6F266AB3">
      <w:pPr>
        <w:pStyle w:val="28"/>
        <w:bidi w:val="0"/>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10</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井下涌水各水期产生情况一览表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756"/>
        <w:gridCol w:w="3874"/>
        <w:gridCol w:w="2608"/>
      </w:tblGrid>
      <w:tr w14:paraId="3E1A23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6" w:hRule="atLeast"/>
        </w:trPr>
        <w:tc>
          <w:tcPr>
            <w:tcW w:w="1491" w:type="pct"/>
            <w:tcBorders>
              <w:tl2br w:val="nil"/>
              <w:tr2bl w:val="nil"/>
            </w:tcBorders>
            <w:shd w:val="clear" w:color="auto" w:fill="auto"/>
            <w:noWrap/>
            <w:vAlign w:val="center"/>
          </w:tcPr>
          <w:p w14:paraId="25A90F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2096" w:type="pct"/>
            <w:tcBorders>
              <w:tl2br w:val="nil"/>
              <w:tr2bl w:val="nil"/>
            </w:tcBorders>
            <w:shd w:val="clear" w:color="auto" w:fill="auto"/>
            <w:noWrap/>
            <w:vAlign w:val="center"/>
          </w:tcPr>
          <w:p w14:paraId="323712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1411" w:type="pct"/>
            <w:tcBorders>
              <w:tl2br w:val="nil"/>
              <w:tr2bl w:val="nil"/>
            </w:tcBorders>
            <w:shd w:val="clear" w:color="auto" w:fill="auto"/>
            <w:noWrap/>
            <w:vAlign w:val="center"/>
          </w:tcPr>
          <w:p w14:paraId="58247A7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流量</w:t>
            </w:r>
          </w:p>
          <w:p w14:paraId="0799E00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r>
      <w:tr w14:paraId="3DCB36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1491" w:type="pct"/>
            <w:tcBorders>
              <w:tl2br w:val="nil"/>
              <w:tr2bl w:val="nil"/>
            </w:tcBorders>
            <w:shd w:val="clear" w:color="auto" w:fill="auto"/>
            <w:noWrap/>
            <w:vAlign w:val="center"/>
          </w:tcPr>
          <w:p w14:paraId="67C9143E">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枯水期</w:t>
            </w:r>
          </w:p>
        </w:tc>
        <w:tc>
          <w:tcPr>
            <w:tcW w:w="2096" w:type="pct"/>
            <w:tcBorders>
              <w:tl2br w:val="nil"/>
              <w:tr2bl w:val="nil"/>
            </w:tcBorders>
            <w:shd w:val="clear" w:color="auto" w:fill="auto"/>
            <w:noWrap/>
            <w:vAlign w:val="center"/>
          </w:tcPr>
          <w:p w14:paraId="65F607E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井下涌水</w:t>
            </w:r>
          </w:p>
        </w:tc>
        <w:tc>
          <w:tcPr>
            <w:tcW w:w="1411" w:type="pct"/>
            <w:tcBorders>
              <w:tl2br w:val="nil"/>
              <w:tr2bl w:val="nil"/>
            </w:tcBorders>
            <w:shd w:val="clear" w:color="auto" w:fill="auto"/>
            <w:noWrap/>
            <w:vAlign w:val="center"/>
          </w:tcPr>
          <w:p w14:paraId="1062C8A0">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950</w:t>
            </w:r>
          </w:p>
        </w:tc>
      </w:tr>
      <w:tr w14:paraId="3D9FD6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1491" w:type="pct"/>
            <w:tcBorders>
              <w:tl2br w:val="nil"/>
              <w:tr2bl w:val="nil"/>
            </w:tcBorders>
            <w:shd w:val="clear" w:color="auto" w:fill="auto"/>
            <w:noWrap/>
            <w:vAlign w:val="center"/>
          </w:tcPr>
          <w:p w14:paraId="257F2B25">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平水期</w:t>
            </w:r>
          </w:p>
        </w:tc>
        <w:tc>
          <w:tcPr>
            <w:tcW w:w="2096" w:type="pct"/>
            <w:tcBorders>
              <w:tl2br w:val="nil"/>
              <w:tr2bl w:val="nil"/>
            </w:tcBorders>
            <w:shd w:val="clear" w:color="auto" w:fill="auto"/>
            <w:noWrap/>
            <w:vAlign w:val="center"/>
          </w:tcPr>
          <w:p w14:paraId="2AB6DFA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井下涌水</w:t>
            </w:r>
          </w:p>
        </w:tc>
        <w:tc>
          <w:tcPr>
            <w:tcW w:w="1411" w:type="pct"/>
            <w:tcBorders>
              <w:tl2br w:val="nil"/>
              <w:tr2bl w:val="nil"/>
            </w:tcBorders>
            <w:shd w:val="clear" w:color="auto" w:fill="auto"/>
            <w:noWrap/>
            <w:vAlign w:val="center"/>
          </w:tcPr>
          <w:p w14:paraId="78231F0B">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1570</w:t>
            </w:r>
          </w:p>
        </w:tc>
      </w:tr>
      <w:tr w14:paraId="7846B4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491" w:type="pct"/>
            <w:tcBorders>
              <w:tl2br w:val="nil"/>
              <w:tr2bl w:val="nil"/>
            </w:tcBorders>
            <w:shd w:val="clear" w:color="auto" w:fill="auto"/>
            <w:noWrap/>
            <w:vAlign w:val="center"/>
          </w:tcPr>
          <w:p w14:paraId="5BD3F2FC">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丰水期</w:t>
            </w:r>
          </w:p>
        </w:tc>
        <w:tc>
          <w:tcPr>
            <w:tcW w:w="2096" w:type="pct"/>
            <w:tcBorders>
              <w:tl2br w:val="nil"/>
              <w:tr2bl w:val="nil"/>
            </w:tcBorders>
            <w:shd w:val="clear" w:color="auto" w:fill="auto"/>
            <w:noWrap/>
            <w:vAlign w:val="center"/>
          </w:tcPr>
          <w:p w14:paraId="490DCA6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井下涌水</w:t>
            </w:r>
          </w:p>
        </w:tc>
        <w:tc>
          <w:tcPr>
            <w:tcW w:w="1411" w:type="pct"/>
            <w:tcBorders>
              <w:tl2br w:val="nil"/>
              <w:tr2bl w:val="nil"/>
            </w:tcBorders>
            <w:shd w:val="clear" w:color="auto" w:fill="auto"/>
            <w:noWrap/>
            <w:vAlign w:val="center"/>
          </w:tcPr>
          <w:p w14:paraId="1A9B3737">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2397</w:t>
            </w:r>
          </w:p>
        </w:tc>
      </w:tr>
    </w:tbl>
    <w:p w14:paraId="27381014">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color w:val="auto"/>
          <w:highlight w:val="none"/>
          <w:lang w:val="en-US" w:eastAsia="zh-CN"/>
        </w:rPr>
      </w:pPr>
      <w:r>
        <w:rPr>
          <w:rFonts w:hint="eastAsia"/>
          <w:color w:val="auto"/>
          <w:highlight w:val="none"/>
          <w:lang w:val="en-US" w:eastAsia="zh-CN"/>
        </w:rPr>
        <w:t>（2）选矿系统</w:t>
      </w:r>
    </w:p>
    <w:p w14:paraId="798DF768">
      <w:pPr>
        <w:pStyle w:val="2"/>
        <w:bidi w:val="0"/>
        <w:rPr>
          <w:rFonts w:hint="default"/>
          <w:color w:val="auto"/>
          <w:highlight w:val="none"/>
          <w:lang w:val="en-US" w:eastAsia="zh-CN"/>
        </w:rPr>
      </w:pPr>
      <w:r>
        <w:rPr>
          <w:rFonts w:hint="eastAsia"/>
          <w:color w:val="auto"/>
          <w:highlight w:val="none"/>
          <w:lang w:val="en-US" w:eastAsia="zh-CN"/>
        </w:rPr>
        <w:t>矿山选厂用水量为2084.3m</w:t>
      </w:r>
      <w:r>
        <w:rPr>
          <w:rFonts w:hint="eastAsia"/>
          <w:color w:val="auto"/>
          <w:highlight w:val="none"/>
          <w:vertAlign w:val="superscript"/>
          <w:lang w:val="en-US" w:eastAsia="zh-CN"/>
        </w:rPr>
        <w:t>3</w:t>
      </w:r>
      <w:r>
        <w:rPr>
          <w:rFonts w:hint="eastAsia"/>
          <w:color w:val="auto"/>
          <w:highlight w:val="none"/>
          <w:lang w:val="en-US" w:eastAsia="zh-CN"/>
        </w:rPr>
        <w:t>/d，其中，1770.3m</w:t>
      </w:r>
      <w:r>
        <w:rPr>
          <w:rFonts w:hint="eastAsia"/>
          <w:color w:val="auto"/>
          <w:highlight w:val="none"/>
          <w:vertAlign w:val="superscript"/>
          <w:lang w:val="en-US" w:eastAsia="zh-CN"/>
        </w:rPr>
        <w:t>3</w:t>
      </w:r>
      <w:r>
        <w:rPr>
          <w:rFonts w:hint="eastAsia"/>
          <w:color w:val="auto"/>
          <w:highlight w:val="none"/>
          <w:lang w:val="en-US" w:eastAsia="zh-CN"/>
        </w:rPr>
        <w:t>/d来自选厂高位水池，314m</w:t>
      </w:r>
      <w:r>
        <w:rPr>
          <w:rFonts w:hint="eastAsia"/>
          <w:color w:val="auto"/>
          <w:highlight w:val="none"/>
          <w:vertAlign w:val="superscript"/>
          <w:lang w:val="en-US" w:eastAsia="zh-CN"/>
        </w:rPr>
        <w:t>3</w:t>
      </w:r>
      <w:r>
        <w:rPr>
          <w:rFonts w:hint="eastAsia"/>
          <w:color w:val="auto"/>
          <w:highlight w:val="none"/>
          <w:lang w:val="en-US" w:eastAsia="zh-CN"/>
        </w:rPr>
        <w:t>/d来自选厂清水池（134m</w:t>
      </w:r>
      <w:r>
        <w:rPr>
          <w:rFonts w:hint="eastAsia"/>
          <w:color w:val="auto"/>
          <w:highlight w:val="none"/>
          <w:vertAlign w:val="superscript"/>
          <w:lang w:val="en-US" w:eastAsia="zh-CN"/>
        </w:rPr>
        <w:t>3</w:t>
      </w:r>
      <w:r>
        <w:rPr>
          <w:rFonts w:hint="eastAsia"/>
          <w:color w:val="auto"/>
          <w:highlight w:val="none"/>
          <w:lang w:val="en-US" w:eastAsia="zh-CN"/>
        </w:rPr>
        <w:t>/d药剂配置，180m</w:t>
      </w:r>
      <w:r>
        <w:rPr>
          <w:rFonts w:hint="eastAsia"/>
          <w:color w:val="auto"/>
          <w:highlight w:val="none"/>
          <w:vertAlign w:val="superscript"/>
          <w:lang w:val="en-US" w:eastAsia="zh-CN"/>
        </w:rPr>
        <w:t>3</w:t>
      </w:r>
      <w:r>
        <w:rPr>
          <w:rFonts w:hint="eastAsia"/>
          <w:color w:val="auto"/>
          <w:highlight w:val="none"/>
          <w:lang w:val="en-US" w:eastAsia="zh-CN"/>
        </w:rPr>
        <w:t>/d地面冲洗降尘等）。</w:t>
      </w:r>
    </w:p>
    <w:p w14:paraId="76695C10">
      <w:pPr>
        <w:pStyle w:val="2"/>
        <w:bidi w:val="0"/>
        <w:rPr>
          <w:rFonts w:hint="eastAsia"/>
          <w:color w:val="auto"/>
          <w:highlight w:val="none"/>
          <w:lang w:val="en-US" w:eastAsia="zh-CN"/>
        </w:rPr>
      </w:pPr>
      <w:r>
        <w:rPr>
          <w:rFonts w:hint="eastAsia"/>
          <w:color w:val="auto"/>
          <w:highlight w:val="none"/>
          <w:lang w:val="en-US" w:eastAsia="zh-CN"/>
        </w:rPr>
        <w:t>选矿生产地面冲洗水使用后蒸发30m</w:t>
      </w:r>
      <w:r>
        <w:rPr>
          <w:rFonts w:hint="eastAsia"/>
          <w:color w:val="auto"/>
          <w:highlight w:val="none"/>
          <w:vertAlign w:val="superscript"/>
          <w:lang w:val="en-US" w:eastAsia="zh-CN"/>
        </w:rPr>
        <w:t>3</w:t>
      </w:r>
      <w:r>
        <w:rPr>
          <w:rFonts w:hint="eastAsia"/>
          <w:color w:val="auto"/>
          <w:highlight w:val="none"/>
          <w:lang w:val="en-US" w:eastAsia="zh-CN"/>
        </w:rPr>
        <w:t>/d，剩余的后排入尾矿池；药剂用水进入选矿系统；选矿产生的精矿，含水约6.8m</w:t>
      </w:r>
      <w:r>
        <w:rPr>
          <w:rFonts w:hint="eastAsia"/>
          <w:color w:val="auto"/>
          <w:highlight w:val="none"/>
          <w:vertAlign w:val="superscript"/>
          <w:lang w:val="en-US" w:eastAsia="zh-CN"/>
        </w:rPr>
        <w:t>3</w:t>
      </w:r>
      <w:r>
        <w:rPr>
          <w:rFonts w:hint="eastAsia"/>
          <w:color w:val="auto"/>
          <w:highlight w:val="none"/>
          <w:lang w:val="en-US" w:eastAsia="zh-CN"/>
        </w:rPr>
        <w:t>/d，随精矿进入冶炼系统；尾矿含水2047.5m</w:t>
      </w:r>
      <w:r>
        <w:rPr>
          <w:rFonts w:hint="eastAsia"/>
          <w:color w:val="auto"/>
          <w:highlight w:val="none"/>
          <w:vertAlign w:val="superscript"/>
          <w:lang w:val="en-US" w:eastAsia="zh-CN"/>
        </w:rPr>
        <w:t>3</w:t>
      </w:r>
      <w:r>
        <w:rPr>
          <w:rFonts w:hint="eastAsia"/>
          <w:color w:val="auto"/>
          <w:highlight w:val="none"/>
          <w:lang w:val="en-US" w:eastAsia="zh-CN"/>
        </w:rPr>
        <w:t>/d，其中668.1m</w:t>
      </w:r>
      <w:r>
        <w:rPr>
          <w:rFonts w:hint="eastAsia"/>
          <w:color w:val="auto"/>
          <w:highlight w:val="none"/>
          <w:vertAlign w:val="superscript"/>
          <w:lang w:val="en-US" w:eastAsia="zh-CN"/>
        </w:rPr>
        <w:t>3</w:t>
      </w:r>
      <w:r>
        <w:rPr>
          <w:rFonts w:hint="eastAsia"/>
          <w:color w:val="auto"/>
          <w:highlight w:val="none"/>
          <w:lang w:val="en-US" w:eastAsia="zh-CN"/>
        </w:rPr>
        <w:t>/d随尾砂进入充填系统消耗，剩余1379.4m</w:t>
      </w:r>
      <w:r>
        <w:rPr>
          <w:rFonts w:hint="eastAsia"/>
          <w:color w:val="auto"/>
          <w:highlight w:val="none"/>
          <w:vertAlign w:val="superscript"/>
          <w:lang w:val="en-US" w:eastAsia="zh-CN"/>
        </w:rPr>
        <w:t>3</w:t>
      </w:r>
      <w:r>
        <w:rPr>
          <w:rFonts w:hint="eastAsia"/>
          <w:color w:val="auto"/>
          <w:highlight w:val="none"/>
          <w:lang w:val="en-US" w:eastAsia="zh-CN"/>
        </w:rPr>
        <w:t>/d排入尾矿库。</w:t>
      </w:r>
    </w:p>
    <w:p w14:paraId="79E170E1">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color w:val="auto"/>
          <w:highlight w:val="none"/>
          <w:lang w:val="en-US" w:eastAsia="zh-CN"/>
        </w:rPr>
      </w:pPr>
      <w:r>
        <w:rPr>
          <w:rFonts w:hint="eastAsia"/>
          <w:color w:val="auto"/>
          <w:highlight w:val="none"/>
          <w:lang w:val="en-US" w:eastAsia="zh-CN"/>
        </w:rPr>
        <w:t>（3）石板冲尾矿库</w:t>
      </w:r>
    </w:p>
    <w:p w14:paraId="08D0D0E7">
      <w:pPr>
        <w:pStyle w:val="2"/>
        <w:bidi w:val="0"/>
        <w:rPr>
          <w:rFonts w:hint="default"/>
          <w:color w:val="auto"/>
          <w:highlight w:val="none"/>
          <w:lang w:val="en-US" w:eastAsia="zh-CN"/>
        </w:rPr>
      </w:pPr>
      <w:r>
        <w:rPr>
          <w:rFonts w:hint="eastAsia"/>
          <w:color w:val="auto"/>
          <w:highlight w:val="none"/>
          <w:lang w:val="en-US" w:eastAsia="zh-CN"/>
        </w:rPr>
        <w:t>安化县年均蒸发量为1123.2mm，年均降雨量为1687.7mm，净降雨量为564.5mm。尾矿库现状集雨面积（截洪沟内面积）4.5hm</w:t>
      </w:r>
      <w:r>
        <w:rPr>
          <w:rFonts w:hint="eastAsia"/>
          <w:color w:val="auto"/>
          <w:highlight w:val="none"/>
          <w:vertAlign w:val="superscript"/>
          <w:lang w:val="en-US" w:eastAsia="zh-CN"/>
        </w:rPr>
        <w:t>2</w:t>
      </w:r>
      <w:r>
        <w:rPr>
          <w:rFonts w:hint="eastAsia"/>
          <w:color w:val="auto"/>
          <w:highlight w:val="none"/>
          <w:lang w:val="en-US" w:eastAsia="zh-CN"/>
        </w:rPr>
        <w:t>，则雨水量为25402.5m</w:t>
      </w:r>
      <w:r>
        <w:rPr>
          <w:rFonts w:hint="eastAsia"/>
          <w:color w:val="auto"/>
          <w:highlight w:val="none"/>
          <w:vertAlign w:val="superscript"/>
          <w:lang w:val="en-US" w:eastAsia="zh-CN"/>
        </w:rPr>
        <w:t>3</w:t>
      </w:r>
      <w:r>
        <w:rPr>
          <w:rFonts w:hint="eastAsia"/>
          <w:color w:val="auto"/>
          <w:highlight w:val="none"/>
          <w:lang w:val="en-US" w:eastAsia="zh-CN"/>
        </w:rPr>
        <w:t>/a。本次论证采用距离项目选址30km处的梧桐水文站作为参证站，引用其各月年内分配系数计算各月流量，再计算日均净降水量。各月日均净降水量见下</w:t>
      </w:r>
      <w:r>
        <w:rPr>
          <w:rFonts w:hint="eastAsia"/>
          <w:color w:val="auto"/>
          <w:highlight w:val="none"/>
          <w:lang w:val="en-US" w:eastAsia="zh-CN"/>
        </w:rPr>
        <w:fldChar w:fldCharType="begin"/>
      </w:r>
      <w:r>
        <w:rPr>
          <w:rFonts w:hint="eastAsia"/>
          <w:color w:val="auto"/>
          <w:highlight w:val="none"/>
          <w:lang w:val="en-US" w:eastAsia="zh-CN"/>
        </w:rPr>
        <w:instrText xml:space="preserve"> REF _Ref12322 \h </w:instrText>
      </w:r>
      <w:r>
        <w:rPr>
          <w:rFonts w:hint="eastAsia"/>
          <w:color w:val="auto"/>
          <w:highlight w:val="none"/>
          <w:lang w:val="en-US" w:eastAsia="zh-CN"/>
        </w:rPr>
        <w:fldChar w:fldCharType="separate"/>
      </w: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–11</w:t>
      </w:r>
      <w:r>
        <w:rPr>
          <w:rFonts w:hint="eastAsia"/>
          <w:color w:val="auto"/>
          <w:highlight w:val="none"/>
          <w:lang w:val="en-US" w:eastAsia="zh-CN"/>
        </w:rPr>
        <w:fldChar w:fldCharType="end"/>
      </w:r>
      <w:r>
        <w:rPr>
          <w:rFonts w:hint="eastAsia"/>
          <w:color w:val="auto"/>
          <w:highlight w:val="none"/>
          <w:lang w:val="en-US" w:eastAsia="zh-CN"/>
        </w:rPr>
        <w:t>，枯水期日均净降水量为32.4m</w:t>
      </w:r>
      <w:r>
        <w:rPr>
          <w:rFonts w:hint="eastAsia"/>
          <w:color w:val="auto"/>
          <w:highlight w:val="none"/>
          <w:vertAlign w:val="superscript"/>
          <w:lang w:val="en-US" w:eastAsia="zh-CN"/>
        </w:rPr>
        <w:t>3</w:t>
      </w:r>
      <w:r>
        <w:rPr>
          <w:rFonts w:hint="eastAsia"/>
          <w:color w:val="auto"/>
          <w:highlight w:val="none"/>
          <w:lang w:val="en-US" w:eastAsia="zh-CN"/>
        </w:rPr>
        <w:t>/d，平水期日均净降水量为76.9m</w:t>
      </w:r>
      <w:r>
        <w:rPr>
          <w:rFonts w:hint="eastAsia"/>
          <w:color w:val="auto"/>
          <w:highlight w:val="none"/>
          <w:vertAlign w:val="superscript"/>
          <w:lang w:val="en-US" w:eastAsia="zh-CN"/>
        </w:rPr>
        <w:t>3</w:t>
      </w:r>
      <w:r>
        <w:rPr>
          <w:rFonts w:hint="eastAsia"/>
          <w:color w:val="auto"/>
          <w:highlight w:val="none"/>
          <w:lang w:val="en-US" w:eastAsia="zh-CN"/>
        </w:rPr>
        <w:t>/d，丰水期日均净降水量为136.2m</w:t>
      </w:r>
      <w:r>
        <w:rPr>
          <w:rFonts w:hint="eastAsia"/>
          <w:color w:val="auto"/>
          <w:highlight w:val="none"/>
          <w:vertAlign w:val="superscript"/>
          <w:lang w:val="en-US" w:eastAsia="zh-CN"/>
        </w:rPr>
        <w:t>3</w:t>
      </w:r>
      <w:r>
        <w:rPr>
          <w:rFonts w:hint="eastAsia"/>
          <w:color w:val="auto"/>
          <w:highlight w:val="none"/>
          <w:lang w:val="en-US" w:eastAsia="zh-CN"/>
        </w:rPr>
        <w:t>/d。</w:t>
      </w:r>
    </w:p>
    <w:p w14:paraId="51D4E3E4">
      <w:pPr>
        <w:pStyle w:val="2"/>
        <w:bidi w:val="0"/>
        <w:rPr>
          <w:rFonts w:hint="eastAsia"/>
          <w:color w:val="auto"/>
          <w:highlight w:val="none"/>
          <w:lang w:val="en-US" w:eastAsia="zh-CN"/>
        </w:rPr>
      </w:pPr>
      <w:r>
        <w:rPr>
          <w:rFonts w:hint="eastAsia"/>
          <w:color w:val="auto"/>
          <w:highlight w:val="none"/>
          <w:lang w:val="en-US" w:eastAsia="zh-CN"/>
        </w:rPr>
        <w:t>选厂尾矿产生量为473.68t/d，尾矿总含水2047.5m</w:t>
      </w:r>
      <w:r>
        <w:rPr>
          <w:rFonts w:hint="eastAsia"/>
          <w:color w:val="auto"/>
          <w:highlight w:val="none"/>
          <w:vertAlign w:val="superscript"/>
          <w:lang w:val="en-US" w:eastAsia="zh-CN"/>
        </w:rPr>
        <w:t>3</w:t>
      </w:r>
      <w:r>
        <w:rPr>
          <w:rFonts w:hint="eastAsia"/>
          <w:color w:val="auto"/>
          <w:highlight w:val="none"/>
          <w:lang w:val="en-US" w:eastAsia="zh-CN"/>
        </w:rPr>
        <w:t>/d，其中154.56t/d用于井下充填，尾矿含水668.1m</w:t>
      </w:r>
      <w:r>
        <w:rPr>
          <w:rFonts w:hint="eastAsia"/>
          <w:color w:val="auto"/>
          <w:highlight w:val="none"/>
          <w:vertAlign w:val="superscript"/>
          <w:lang w:val="en-US" w:eastAsia="zh-CN"/>
        </w:rPr>
        <w:t>3</w:t>
      </w:r>
      <w:r>
        <w:rPr>
          <w:rFonts w:hint="eastAsia"/>
          <w:color w:val="auto"/>
          <w:highlight w:val="none"/>
          <w:lang w:val="en-US" w:eastAsia="zh-CN"/>
        </w:rPr>
        <w:t>/d；319.12t/d排入尾矿库，尾矿含水1379.4m</w:t>
      </w:r>
      <w:r>
        <w:rPr>
          <w:rFonts w:hint="eastAsia"/>
          <w:color w:val="auto"/>
          <w:highlight w:val="none"/>
          <w:vertAlign w:val="superscript"/>
          <w:lang w:val="en-US" w:eastAsia="zh-CN"/>
        </w:rPr>
        <w:t>3</w:t>
      </w:r>
      <w:r>
        <w:rPr>
          <w:rFonts w:hint="eastAsia"/>
          <w:color w:val="auto"/>
          <w:highlight w:val="none"/>
          <w:lang w:val="en-US" w:eastAsia="zh-CN"/>
        </w:rPr>
        <w:t>/d。</w:t>
      </w:r>
    </w:p>
    <w:p w14:paraId="4787F5E5">
      <w:pPr>
        <w:pStyle w:val="2"/>
        <w:bidi w:val="0"/>
        <w:rPr>
          <w:rFonts w:hint="default"/>
          <w:color w:val="auto"/>
          <w:highlight w:val="none"/>
          <w:lang w:val="en-US" w:eastAsia="zh-CN"/>
        </w:rPr>
      </w:pPr>
      <w:r>
        <w:rPr>
          <w:rFonts w:hint="eastAsia"/>
          <w:color w:val="auto"/>
          <w:highlight w:val="none"/>
          <w:lang w:val="en-US" w:eastAsia="zh-CN"/>
        </w:rPr>
        <w:t>尾砂在尾矿库内沉积，库内尾砂滞留水量为35.5m</w:t>
      </w:r>
      <w:r>
        <w:rPr>
          <w:rFonts w:hint="eastAsia"/>
          <w:color w:val="auto"/>
          <w:highlight w:val="none"/>
          <w:vertAlign w:val="superscript"/>
          <w:lang w:val="en-US" w:eastAsia="zh-CN"/>
        </w:rPr>
        <w:t>3</w:t>
      </w:r>
      <w:r>
        <w:rPr>
          <w:rFonts w:hint="eastAsia"/>
          <w:color w:val="auto"/>
          <w:highlight w:val="none"/>
          <w:lang w:val="en-US" w:eastAsia="zh-CN"/>
        </w:rPr>
        <w:t>/d（含水率按10%计算）。</w:t>
      </w:r>
    </w:p>
    <w:p w14:paraId="16E009D7">
      <w:pPr>
        <w:pStyle w:val="2"/>
        <w:bidi w:val="0"/>
        <w:rPr>
          <w:rFonts w:hint="default"/>
          <w:color w:val="auto"/>
          <w:highlight w:val="none"/>
          <w:lang w:val="en-US" w:eastAsia="zh-CN"/>
        </w:rPr>
      </w:pPr>
      <w:r>
        <w:rPr>
          <w:rFonts w:hint="eastAsia"/>
          <w:color w:val="auto"/>
          <w:highlight w:val="none"/>
          <w:lang w:val="en-US" w:eastAsia="zh-CN"/>
        </w:rPr>
        <w:t>冶炼厂350m</w:t>
      </w:r>
      <w:r>
        <w:rPr>
          <w:rFonts w:hint="eastAsia"/>
          <w:color w:val="auto"/>
          <w:highlight w:val="none"/>
          <w:vertAlign w:val="superscript"/>
          <w:lang w:val="en-US" w:eastAsia="zh-CN"/>
        </w:rPr>
        <w:t>3</w:t>
      </w:r>
      <w:r>
        <w:rPr>
          <w:rFonts w:hint="eastAsia"/>
          <w:color w:val="auto"/>
          <w:highlight w:val="none"/>
          <w:lang w:val="en-US" w:eastAsia="zh-CN"/>
        </w:rPr>
        <w:t>/d脱硫系统废水随脱硫石膏渣排入尾矿库。</w:t>
      </w:r>
    </w:p>
    <w:p w14:paraId="5E56F143">
      <w:pPr>
        <w:pStyle w:val="2"/>
        <w:bidi w:val="0"/>
        <w:rPr>
          <w:rFonts w:hint="default"/>
          <w:color w:val="auto"/>
          <w:highlight w:val="none"/>
          <w:lang w:val="en-US" w:eastAsia="zh-CN"/>
        </w:rPr>
      </w:pPr>
      <w:r>
        <w:rPr>
          <w:rFonts w:hint="eastAsia"/>
          <w:color w:val="auto"/>
          <w:highlight w:val="none"/>
          <w:lang w:val="en-US" w:eastAsia="zh-CN"/>
        </w:rPr>
        <w:t>综上，石板冲尾矿库回水量枯水期为1726.3m</w:t>
      </w:r>
      <w:r>
        <w:rPr>
          <w:rFonts w:hint="eastAsia"/>
          <w:color w:val="auto"/>
          <w:highlight w:val="none"/>
          <w:vertAlign w:val="superscript"/>
          <w:lang w:val="en-US" w:eastAsia="zh-CN"/>
        </w:rPr>
        <w:t>3</w:t>
      </w:r>
      <w:r>
        <w:rPr>
          <w:rFonts w:hint="eastAsia"/>
          <w:color w:val="auto"/>
          <w:highlight w:val="none"/>
          <w:lang w:val="en-US" w:eastAsia="zh-CN"/>
        </w:rPr>
        <w:t>/d，平水期为1770.8m</w:t>
      </w:r>
      <w:r>
        <w:rPr>
          <w:rFonts w:hint="eastAsia"/>
          <w:color w:val="auto"/>
          <w:highlight w:val="none"/>
          <w:vertAlign w:val="superscript"/>
          <w:lang w:val="en-US" w:eastAsia="zh-CN"/>
        </w:rPr>
        <w:t>3</w:t>
      </w:r>
      <w:r>
        <w:rPr>
          <w:rFonts w:hint="eastAsia"/>
          <w:color w:val="auto"/>
          <w:highlight w:val="none"/>
          <w:lang w:val="en-US" w:eastAsia="zh-CN"/>
        </w:rPr>
        <w:t>/d，丰水期为1830.1m</w:t>
      </w:r>
      <w:r>
        <w:rPr>
          <w:rFonts w:hint="eastAsia"/>
          <w:color w:val="auto"/>
          <w:highlight w:val="none"/>
          <w:vertAlign w:val="superscript"/>
          <w:lang w:val="en-US" w:eastAsia="zh-CN"/>
        </w:rPr>
        <w:t>3</w:t>
      </w:r>
      <w:r>
        <w:rPr>
          <w:rFonts w:hint="eastAsia"/>
          <w:color w:val="auto"/>
          <w:highlight w:val="none"/>
          <w:lang w:val="en-US" w:eastAsia="zh-CN"/>
        </w:rPr>
        <w:t>/d。</w:t>
      </w:r>
    </w:p>
    <w:p w14:paraId="67ABD540">
      <w:pPr>
        <w:pStyle w:val="28"/>
        <w:bidi w:val="0"/>
        <w:rPr>
          <w:rFonts w:hint="eastAsia"/>
          <w:color w:val="auto"/>
          <w:highlight w:val="none"/>
          <w:lang w:val="en-US" w:eastAsia="zh-CN"/>
        </w:rPr>
      </w:pPr>
      <w:bookmarkStart w:id="27" w:name="_Ref12322"/>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11</w:t>
      </w:r>
      <w:r>
        <w:rPr>
          <w:rFonts w:hint="default"/>
          <w:color w:val="auto"/>
          <w:highlight w:val="none"/>
          <w:lang w:val="en-US" w:eastAsia="zh-CN"/>
        </w:rPr>
        <w:fldChar w:fldCharType="end"/>
      </w:r>
      <w:bookmarkEnd w:id="27"/>
      <w:r>
        <w:rPr>
          <w:rFonts w:hint="default"/>
          <w:color w:val="auto"/>
          <w:highlight w:val="none"/>
          <w:lang w:val="en-US" w:eastAsia="zh-CN"/>
        </w:rPr>
        <w:t xml:space="preserve">  </w:t>
      </w:r>
      <w:r>
        <w:rPr>
          <w:rFonts w:hint="eastAsia"/>
          <w:color w:val="auto"/>
          <w:highlight w:val="none"/>
          <w:lang w:val="en-US" w:eastAsia="zh-CN"/>
        </w:rPr>
        <w:t>石板冲尾矿库各月雨水产生量一览表</w:t>
      </w:r>
    </w:p>
    <w:tbl>
      <w:tblPr>
        <w:tblStyle w:val="2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10"/>
        <w:gridCol w:w="4015"/>
        <w:gridCol w:w="4015"/>
      </w:tblGrid>
      <w:tr w14:paraId="27D8B7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655" w:type="pct"/>
            <w:tcBorders>
              <w:tl2br w:val="nil"/>
              <w:tr2bl w:val="nil"/>
            </w:tcBorders>
            <w:shd w:val="clear" w:color="auto" w:fill="auto"/>
            <w:noWrap/>
            <w:vAlign w:val="center"/>
          </w:tcPr>
          <w:p w14:paraId="6489DCE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月份</w:t>
            </w:r>
          </w:p>
        </w:tc>
        <w:tc>
          <w:tcPr>
            <w:tcW w:w="2172" w:type="pct"/>
            <w:tcBorders>
              <w:tl2br w:val="nil"/>
              <w:tr2bl w:val="nil"/>
            </w:tcBorders>
            <w:shd w:val="clear" w:color="auto" w:fill="auto"/>
            <w:noWrap/>
            <w:vAlign w:val="center"/>
          </w:tcPr>
          <w:p w14:paraId="03CA47C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雨水收集</w:t>
            </w:r>
            <w:r>
              <w:rPr>
                <w:rFonts w:hint="default" w:ascii="Times New Roman" w:hAnsi="Times New Roman" w:eastAsia="宋体" w:cs="Times New Roman"/>
                <w:color w:val="auto"/>
                <w:kern w:val="2"/>
                <w:sz w:val="22"/>
                <w:szCs w:val="22"/>
                <w:highlight w:val="none"/>
                <w:lang w:val="en-US" w:eastAsia="zh-CN" w:bidi="ar-SA"/>
              </w:rPr>
              <w:t>量(</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default" w:ascii="Times New Roman" w:hAnsi="Times New Roman" w:eastAsia="宋体" w:cs="Times New Roman"/>
                <w:color w:val="auto"/>
                <w:kern w:val="2"/>
                <w:sz w:val="22"/>
                <w:szCs w:val="22"/>
                <w:highlight w:val="none"/>
                <w:lang w:val="en-US" w:eastAsia="zh-CN" w:bidi="ar-SA"/>
              </w:rPr>
              <w:t>/d)</w:t>
            </w:r>
          </w:p>
        </w:tc>
        <w:tc>
          <w:tcPr>
            <w:tcW w:w="2172" w:type="pct"/>
            <w:tcBorders>
              <w:tl2br w:val="nil"/>
              <w:tr2bl w:val="nil"/>
            </w:tcBorders>
            <w:shd w:val="clear" w:color="auto" w:fill="auto"/>
            <w:noWrap/>
            <w:vAlign w:val="center"/>
          </w:tcPr>
          <w:p w14:paraId="34CB101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备注</w:t>
            </w:r>
          </w:p>
        </w:tc>
      </w:tr>
      <w:tr w14:paraId="17DA64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55" w:type="pct"/>
            <w:tcBorders>
              <w:tl2br w:val="nil"/>
              <w:tr2bl w:val="nil"/>
            </w:tcBorders>
            <w:shd w:val="clear" w:color="auto" w:fill="auto"/>
            <w:noWrap/>
            <w:vAlign w:val="center"/>
          </w:tcPr>
          <w:p w14:paraId="1D57043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1月</w:t>
            </w:r>
          </w:p>
        </w:tc>
        <w:tc>
          <w:tcPr>
            <w:tcW w:w="4015" w:type="dxa"/>
            <w:tcBorders>
              <w:tl2br w:val="nil"/>
              <w:tr2bl w:val="nil"/>
            </w:tcBorders>
            <w:shd w:val="clear" w:color="auto" w:fill="auto"/>
            <w:noWrap/>
            <w:vAlign w:val="center"/>
          </w:tcPr>
          <w:p w14:paraId="084E3B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25.6</w:t>
            </w:r>
          </w:p>
        </w:tc>
        <w:tc>
          <w:tcPr>
            <w:tcW w:w="2172" w:type="pct"/>
            <w:tcBorders>
              <w:tl2br w:val="nil"/>
              <w:tr2bl w:val="nil"/>
            </w:tcBorders>
            <w:shd w:val="clear" w:color="auto" w:fill="auto"/>
            <w:noWrap/>
            <w:vAlign w:val="center"/>
          </w:tcPr>
          <w:p w14:paraId="44BBD08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r w14:paraId="0ED5B9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3344535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2月</w:t>
            </w:r>
          </w:p>
        </w:tc>
        <w:tc>
          <w:tcPr>
            <w:tcW w:w="4015" w:type="dxa"/>
            <w:tcBorders>
              <w:tl2br w:val="nil"/>
              <w:tr2bl w:val="nil"/>
            </w:tcBorders>
            <w:shd w:val="clear" w:color="auto" w:fill="auto"/>
            <w:noWrap/>
            <w:vAlign w:val="center"/>
          </w:tcPr>
          <w:p w14:paraId="41D8795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38.8</w:t>
            </w:r>
          </w:p>
        </w:tc>
        <w:tc>
          <w:tcPr>
            <w:tcW w:w="2172" w:type="pct"/>
            <w:tcBorders>
              <w:tl2br w:val="nil"/>
              <w:tr2bl w:val="nil"/>
            </w:tcBorders>
            <w:shd w:val="clear" w:color="auto" w:fill="auto"/>
            <w:noWrap/>
            <w:vAlign w:val="center"/>
          </w:tcPr>
          <w:p w14:paraId="5D36304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r w14:paraId="563452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60BABC1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3月</w:t>
            </w:r>
          </w:p>
        </w:tc>
        <w:tc>
          <w:tcPr>
            <w:tcW w:w="4015" w:type="dxa"/>
            <w:tcBorders>
              <w:tl2br w:val="nil"/>
              <w:tr2bl w:val="nil"/>
            </w:tcBorders>
            <w:shd w:val="clear" w:color="auto" w:fill="auto"/>
            <w:noWrap/>
            <w:vAlign w:val="center"/>
          </w:tcPr>
          <w:p w14:paraId="13523011">
            <w:pPr>
              <w:pStyle w:val="26"/>
              <w:keepNext w:val="0"/>
              <w:keepLines w:val="0"/>
              <w:suppressLineNumbers w:val="0"/>
              <w:bidi w:val="0"/>
              <w:spacing w:before="0" w:beforeAutospacing="0" w:after="0" w:afterAutospacing="0"/>
              <w:ind w:left="0" w:right="0"/>
              <w:rPr>
                <w:rFonts w:hint="default"/>
                <w:i/>
                <w:iCs/>
                <w:color w:val="auto"/>
                <w:highlight w:val="none"/>
                <w:lang w:val="en-US" w:eastAsia="zh-CN"/>
              </w:rPr>
            </w:pPr>
            <w:r>
              <w:rPr>
                <w:rFonts w:hint="eastAsia"/>
                <w:i/>
                <w:iCs/>
                <w:color w:val="auto"/>
                <w:highlight w:val="none"/>
                <w:lang w:val="en-US" w:eastAsia="zh-CN"/>
              </w:rPr>
              <w:t>70.7</w:t>
            </w:r>
          </w:p>
        </w:tc>
        <w:tc>
          <w:tcPr>
            <w:tcW w:w="2172" w:type="pct"/>
            <w:tcBorders>
              <w:tl2br w:val="nil"/>
              <w:tr2bl w:val="nil"/>
            </w:tcBorders>
            <w:shd w:val="clear" w:color="auto" w:fill="auto"/>
            <w:noWrap/>
            <w:vAlign w:val="center"/>
          </w:tcPr>
          <w:p w14:paraId="0FF26FD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平水期</w:t>
            </w:r>
          </w:p>
        </w:tc>
      </w:tr>
      <w:tr w14:paraId="4E7C6B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04C7745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4月</w:t>
            </w:r>
          </w:p>
        </w:tc>
        <w:tc>
          <w:tcPr>
            <w:tcW w:w="4015" w:type="dxa"/>
            <w:tcBorders>
              <w:tl2br w:val="nil"/>
              <w:tr2bl w:val="nil"/>
            </w:tcBorders>
            <w:shd w:val="clear" w:color="auto" w:fill="auto"/>
            <w:noWrap/>
            <w:vAlign w:val="center"/>
          </w:tcPr>
          <w:p w14:paraId="4B83F19D">
            <w:pPr>
              <w:pStyle w:val="26"/>
              <w:keepNext w:val="0"/>
              <w:keepLines w:val="0"/>
              <w:suppressLineNumbers w:val="0"/>
              <w:bidi w:val="0"/>
              <w:spacing w:before="0" w:beforeAutospacing="0" w:after="0" w:afterAutospacing="0"/>
              <w:ind w:left="0" w:right="0"/>
              <w:rPr>
                <w:rFonts w:hint="default"/>
                <w:i/>
                <w:iCs/>
                <w:color w:val="auto"/>
                <w:highlight w:val="none"/>
                <w:lang w:val="en-US" w:eastAsia="zh-CN"/>
              </w:rPr>
            </w:pPr>
            <w:r>
              <w:rPr>
                <w:rFonts w:hint="eastAsia"/>
                <w:i/>
                <w:iCs/>
                <w:color w:val="auto"/>
                <w:highlight w:val="none"/>
                <w:lang w:val="en-US" w:eastAsia="zh-CN"/>
              </w:rPr>
              <w:t>99.7</w:t>
            </w:r>
          </w:p>
        </w:tc>
        <w:tc>
          <w:tcPr>
            <w:tcW w:w="2172" w:type="pct"/>
            <w:tcBorders>
              <w:tl2br w:val="nil"/>
              <w:tr2bl w:val="nil"/>
            </w:tcBorders>
            <w:shd w:val="clear" w:color="auto" w:fill="auto"/>
            <w:noWrap/>
            <w:vAlign w:val="center"/>
          </w:tcPr>
          <w:p w14:paraId="22A5722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平水期</w:t>
            </w:r>
          </w:p>
        </w:tc>
      </w:tr>
      <w:tr w14:paraId="601C83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39B0693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5月</w:t>
            </w:r>
          </w:p>
        </w:tc>
        <w:tc>
          <w:tcPr>
            <w:tcW w:w="4015" w:type="dxa"/>
            <w:tcBorders>
              <w:tl2br w:val="nil"/>
              <w:tr2bl w:val="nil"/>
            </w:tcBorders>
            <w:shd w:val="clear" w:color="auto" w:fill="auto"/>
            <w:noWrap/>
            <w:vAlign w:val="center"/>
          </w:tcPr>
          <w:p w14:paraId="15836C00">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125.5</w:t>
            </w:r>
          </w:p>
        </w:tc>
        <w:tc>
          <w:tcPr>
            <w:tcW w:w="2172" w:type="pct"/>
            <w:tcBorders>
              <w:tl2br w:val="nil"/>
              <w:tr2bl w:val="nil"/>
            </w:tcBorders>
            <w:shd w:val="clear" w:color="auto" w:fill="auto"/>
            <w:noWrap/>
            <w:vAlign w:val="center"/>
          </w:tcPr>
          <w:p w14:paraId="318E9BA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丰水期</w:t>
            </w:r>
          </w:p>
        </w:tc>
      </w:tr>
      <w:tr w14:paraId="609B14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56B6DC4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6月</w:t>
            </w:r>
          </w:p>
        </w:tc>
        <w:tc>
          <w:tcPr>
            <w:tcW w:w="4015" w:type="dxa"/>
            <w:tcBorders>
              <w:tl2br w:val="nil"/>
              <w:tr2bl w:val="nil"/>
            </w:tcBorders>
            <w:shd w:val="clear" w:color="auto" w:fill="auto"/>
            <w:noWrap/>
            <w:vAlign w:val="center"/>
          </w:tcPr>
          <w:p w14:paraId="4691AE8B">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141.0</w:t>
            </w:r>
          </w:p>
        </w:tc>
        <w:tc>
          <w:tcPr>
            <w:tcW w:w="2172" w:type="pct"/>
            <w:tcBorders>
              <w:tl2br w:val="nil"/>
              <w:tr2bl w:val="nil"/>
            </w:tcBorders>
            <w:shd w:val="clear" w:color="auto" w:fill="auto"/>
            <w:noWrap/>
            <w:vAlign w:val="center"/>
          </w:tcPr>
          <w:p w14:paraId="1405E65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丰水期</w:t>
            </w:r>
          </w:p>
        </w:tc>
      </w:tr>
      <w:tr w14:paraId="1369FE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4CA14AE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7月</w:t>
            </w:r>
          </w:p>
        </w:tc>
        <w:tc>
          <w:tcPr>
            <w:tcW w:w="4015" w:type="dxa"/>
            <w:tcBorders>
              <w:tl2br w:val="nil"/>
              <w:tr2bl w:val="nil"/>
            </w:tcBorders>
            <w:shd w:val="clear" w:color="auto" w:fill="auto"/>
            <w:noWrap/>
            <w:vAlign w:val="center"/>
          </w:tcPr>
          <w:p w14:paraId="7A920FBC">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142.2</w:t>
            </w:r>
          </w:p>
        </w:tc>
        <w:tc>
          <w:tcPr>
            <w:tcW w:w="2172" w:type="pct"/>
            <w:tcBorders>
              <w:tl2br w:val="nil"/>
              <w:tr2bl w:val="nil"/>
            </w:tcBorders>
            <w:shd w:val="clear" w:color="auto" w:fill="auto"/>
            <w:noWrap/>
            <w:vAlign w:val="center"/>
          </w:tcPr>
          <w:p w14:paraId="21BC6C6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丰水期</w:t>
            </w:r>
          </w:p>
        </w:tc>
      </w:tr>
      <w:tr w14:paraId="7BB17D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7" w:hRule="atLeast"/>
        </w:trPr>
        <w:tc>
          <w:tcPr>
            <w:tcW w:w="655" w:type="pct"/>
            <w:tcBorders>
              <w:tl2br w:val="nil"/>
              <w:tr2bl w:val="nil"/>
            </w:tcBorders>
            <w:shd w:val="clear" w:color="auto" w:fill="auto"/>
            <w:noWrap/>
            <w:vAlign w:val="center"/>
          </w:tcPr>
          <w:p w14:paraId="5EBAC85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8月</w:t>
            </w:r>
          </w:p>
        </w:tc>
        <w:tc>
          <w:tcPr>
            <w:tcW w:w="4015" w:type="dxa"/>
            <w:tcBorders>
              <w:tl2br w:val="nil"/>
              <w:tr2bl w:val="nil"/>
            </w:tcBorders>
            <w:shd w:val="clear" w:color="auto" w:fill="auto"/>
            <w:noWrap/>
            <w:vAlign w:val="center"/>
          </w:tcPr>
          <w:p w14:paraId="4BBD15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i/>
                <w:iCs/>
                <w:color w:val="auto"/>
                <w:highlight w:val="none"/>
                <w:lang w:val="en-US" w:eastAsia="zh-CN"/>
              </w:rPr>
              <w:t>60.3</w:t>
            </w:r>
          </w:p>
        </w:tc>
        <w:tc>
          <w:tcPr>
            <w:tcW w:w="2172" w:type="pct"/>
            <w:tcBorders>
              <w:tl2br w:val="nil"/>
              <w:tr2bl w:val="nil"/>
            </w:tcBorders>
            <w:shd w:val="clear" w:color="auto" w:fill="auto"/>
            <w:noWrap/>
            <w:vAlign w:val="center"/>
          </w:tcPr>
          <w:p w14:paraId="3AEE2A4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平水期</w:t>
            </w:r>
          </w:p>
        </w:tc>
      </w:tr>
      <w:tr w14:paraId="0447C4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7995AC8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9月</w:t>
            </w:r>
          </w:p>
        </w:tc>
        <w:tc>
          <w:tcPr>
            <w:tcW w:w="4015" w:type="dxa"/>
            <w:tcBorders>
              <w:tl2br w:val="nil"/>
              <w:tr2bl w:val="nil"/>
            </w:tcBorders>
            <w:shd w:val="clear" w:color="auto" w:fill="auto"/>
            <w:noWrap/>
            <w:vAlign w:val="center"/>
          </w:tcPr>
          <w:p w14:paraId="6F21E3B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44.3</w:t>
            </w:r>
          </w:p>
        </w:tc>
        <w:tc>
          <w:tcPr>
            <w:tcW w:w="2172" w:type="pct"/>
            <w:tcBorders>
              <w:tl2br w:val="nil"/>
              <w:tr2bl w:val="nil"/>
            </w:tcBorders>
            <w:shd w:val="clear" w:color="auto" w:fill="auto"/>
            <w:noWrap/>
            <w:vAlign w:val="center"/>
          </w:tcPr>
          <w:p w14:paraId="451E382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r w14:paraId="45A8F7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5200B9D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10月</w:t>
            </w:r>
          </w:p>
        </w:tc>
        <w:tc>
          <w:tcPr>
            <w:tcW w:w="4015" w:type="dxa"/>
            <w:tcBorders>
              <w:tl2br w:val="nil"/>
              <w:tr2bl w:val="nil"/>
            </w:tcBorders>
            <w:shd w:val="clear" w:color="auto" w:fill="auto"/>
            <w:noWrap/>
            <w:vAlign w:val="center"/>
          </w:tcPr>
          <w:p w14:paraId="3E5D3F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29.2</w:t>
            </w:r>
          </w:p>
        </w:tc>
        <w:tc>
          <w:tcPr>
            <w:tcW w:w="2172" w:type="pct"/>
            <w:tcBorders>
              <w:tl2br w:val="nil"/>
              <w:tr2bl w:val="nil"/>
            </w:tcBorders>
            <w:shd w:val="clear" w:color="auto" w:fill="auto"/>
            <w:noWrap/>
            <w:vAlign w:val="center"/>
          </w:tcPr>
          <w:p w14:paraId="212C140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r w14:paraId="7DBF2D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04F7586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11月</w:t>
            </w:r>
          </w:p>
        </w:tc>
        <w:tc>
          <w:tcPr>
            <w:tcW w:w="4015" w:type="dxa"/>
            <w:tcBorders>
              <w:tl2br w:val="nil"/>
              <w:tr2bl w:val="nil"/>
            </w:tcBorders>
            <w:shd w:val="clear" w:color="auto" w:fill="auto"/>
            <w:noWrap/>
            <w:vAlign w:val="center"/>
          </w:tcPr>
          <w:p w14:paraId="1131BAE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33.0</w:t>
            </w:r>
          </w:p>
        </w:tc>
        <w:tc>
          <w:tcPr>
            <w:tcW w:w="2172" w:type="pct"/>
            <w:tcBorders>
              <w:tl2br w:val="nil"/>
              <w:tr2bl w:val="nil"/>
            </w:tcBorders>
            <w:shd w:val="clear" w:color="auto" w:fill="auto"/>
            <w:noWrap/>
            <w:vAlign w:val="center"/>
          </w:tcPr>
          <w:p w14:paraId="65091FD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r w14:paraId="1DDD81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12B177D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12月</w:t>
            </w:r>
          </w:p>
        </w:tc>
        <w:tc>
          <w:tcPr>
            <w:tcW w:w="4015" w:type="dxa"/>
            <w:tcBorders>
              <w:tl2br w:val="nil"/>
              <w:tr2bl w:val="nil"/>
            </w:tcBorders>
            <w:shd w:val="clear" w:color="auto" w:fill="auto"/>
            <w:noWrap/>
            <w:vAlign w:val="center"/>
          </w:tcPr>
          <w:p w14:paraId="78F46F4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23.2</w:t>
            </w:r>
          </w:p>
        </w:tc>
        <w:tc>
          <w:tcPr>
            <w:tcW w:w="2172" w:type="pct"/>
            <w:tcBorders>
              <w:tl2br w:val="nil"/>
              <w:tr2bl w:val="nil"/>
            </w:tcBorders>
            <w:shd w:val="clear" w:color="auto" w:fill="auto"/>
            <w:noWrap/>
            <w:vAlign w:val="center"/>
          </w:tcPr>
          <w:p w14:paraId="740B9D9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bl>
    <w:p w14:paraId="18CA5F9D">
      <w:pPr>
        <w:widowControl w:val="0"/>
        <w:pBdr>
          <w:top w:val="none" w:color="auto" w:sz="0" w:space="1"/>
          <w:left w:val="none" w:color="auto" w:sz="0" w:space="4"/>
          <w:bottom w:val="none" w:color="auto" w:sz="0" w:space="1"/>
          <w:right w:val="none" w:color="auto" w:sz="0" w:space="4"/>
        </w:pBdr>
        <w:bidi w:val="0"/>
        <w:spacing w:line="240" w:lineRule="auto"/>
        <w:jc w:val="left"/>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注：水期划分为枯水期（1~2月、9~12月）、平水期（3~4月、8月）、丰水期（5~7月）。</w:t>
      </w:r>
    </w:p>
    <w:p w14:paraId="30C68D47">
      <w:pPr>
        <w:pStyle w:val="28"/>
        <w:bidi w:val="0"/>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12</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石板冲库区雨水各水期产生情况一览表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756"/>
        <w:gridCol w:w="3874"/>
        <w:gridCol w:w="2608"/>
      </w:tblGrid>
      <w:tr w14:paraId="1DDA77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6" w:hRule="atLeast"/>
        </w:trPr>
        <w:tc>
          <w:tcPr>
            <w:tcW w:w="1491" w:type="pct"/>
            <w:tcBorders>
              <w:tl2br w:val="nil"/>
              <w:tr2bl w:val="nil"/>
            </w:tcBorders>
            <w:shd w:val="clear" w:color="auto" w:fill="auto"/>
            <w:noWrap/>
            <w:vAlign w:val="center"/>
          </w:tcPr>
          <w:p w14:paraId="3B9969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2096" w:type="pct"/>
            <w:tcBorders>
              <w:tl2br w:val="nil"/>
              <w:tr2bl w:val="nil"/>
            </w:tcBorders>
            <w:shd w:val="clear" w:color="auto" w:fill="auto"/>
            <w:noWrap/>
            <w:vAlign w:val="center"/>
          </w:tcPr>
          <w:p w14:paraId="657997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1411" w:type="pct"/>
            <w:tcBorders>
              <w:tl2br w:val="nil"/>
              <w:tr2bl w:val="nil"/>
            </w:tcBorders>
            <w:shd w:val="clear" w:color="auto" w:fill="auto"/>
            <w:noWrap/>
            <w:vAlign w:val="center"/>
          </w:tcPr>
          <w:p w14:paraId="58B10E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流量</w:t>
            </w:r>
          </w:p>
          <w:p w14:paraId="178FC2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r>
      <w:tr w14:paraId="6356AC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1491" w:type="pct"/>
            <w:tcBorders>
              <w:tl2br w:val="nil"/>
              <w:tr2bl w:val="nil"/>
            </w:tcBorders>
            <w:shd w:val="clear" w:color="auto" w:fill="auto"/>
            <w:noWrap/>
            <w:vAlign w:val="center"/>
          </w:tcPr>
          <w:p w14:paraId="4FEEBD01">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枯水期</w:t>
            </w:r>
          </w:p>
        </w:tc>
        <w:tc>
          <w:tcPr>
            <w:tcW w:w="2096" w:type="pct"/>
            <w:tcBorders>
              <w:tl2br w:val="nil"/>
              <w:tr2bl w:val="nil"/>
            </w:tcBorders>
            <w:shd w:val="clear" w:color="auto" w:fill="auto"/>
            <w:noWrap/>
            <w:vAlign w:val="center"/>
          </w:tcPr>
          <w:p w14:paraId="4BFAFA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石板冲库区雨水</w:t>
            </w:r>
          </w:p>
        </w:tc>
        <w:tc>
          <w:tcPr>
            <w:tcW w:w="1411" w:type="pct"/>
            <w:tcBorders>
              <w:tl2br w:val="nil"/>
              <w:tr2bl w:val="nil"/>
            </w:tcBorders>
            <w:shd w:val="clear" w:color="auto" w:fill="auto"/>
            <w:noWrap/>
            <w:vAlign w:val="center"/>
          </w:tcPr>
          <w:p w14:paraId="30530BCE">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32.4</w:t>
            </w:r>
          </w:p>
        </w:tc>
      </w:tr>
      <w:tr w14:paraId="524599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1491" w:type="pct"/>
            <w:tcBorders>
              <w:tl2br w:val="nil"/>
              <w:tr2bl w:val="nil"/>
            </w:tcBorders>
            <w:shd w:val="clear" w:color="auto" w:fill="auto"/>
            <w:noWrap/>
            <w:vAlign w:val="center"/>
          </w:tcPr>
          <w:p w14:paraId="415CE670">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平水期</w:t>
            </w:r>
          </w:p>
        </w:tc>
        <w:tc>
          <w:tcPr>
            <w:tcW w:w="2096" w:type="pct"/>
            <w:tcBorders>
              <w:tl2br w:val="nil"/>
              <w:tr2bl w:val="nil"/>
            </w:tcBorders>
            <w:shd w:val="clear" w:color="auto" w:fill="auto"/>
            <w:noWrap/>
            <w:vAlign w:val="center"/>
          </w:tcPr>
          <w:p w14:paraId="4A785EF9">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石板冲库区雨水</w:t>
            </w:r>
          </w:p>
        </w:tc>
        <w:tc>
          <w:tcPr>
            <w:tcW w:w="1411" w:type="pct"/>
            <w:tcBorders>
              <w:tl2br w:val="nil"/>
              <w:tr2bl w:val="nil"/>
            </w:tcBorders>
            <w:shd w:val="clear" w:color="auto" w:fill="auto"/>
            <w:noWrap/>
            <w:vAlign w:val="center"/>
          </w:tcPr>
          <w:p w14:paraId="1D4C2272">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76.9</w:t>
            </w:r>
          </w:p>
        </w:tc>
      </w:tr>
      <w:tr w14:paraId="126BD4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491" w:type="pct"/>
            <w:tcBorders>
              <w:tl2br w:val="nil"/>
              <w:tr2bl w:val="nil"/>
            </w:tcBorders>
            <w:shd w:val="clear" w:color="auto" w:fill="auto"/>
            <w:noWrap/>
            <w:vAlign w:val="center"/>
          </w:tcPr>
          <w:p w14:paraId="6D1288D9">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丰水期</w:t>
            </w:r>
          </w:p>
        </w:tc>
        <w:tc>
          <w:tcPr>
            <w:tcW w:w="2096" w:type="pct"/>
            <w:tcBorders>
              <w:tl2br w:val="nil"/>
              <w:tr2bl w:val="nil"/>
            </w:tcBorders>
            <w:shd w:val="clear" w:color="auto" w:fill="auto"/>
            <w:noWrap/>
            <w:vAlign w:val="center"/>
          </w:tcPr>
          <w:p w14:paraId="5C4AED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石板冲库区雨水</w:t>
            </w:r>
          </w:p>
        </w:tc>
        <w:tc>
          <w:tcPr>
            <w:tcW w:w="1411" w:type="pct"/>
            <w:tcBorders>
              <w:tl2br w:val="nil"/>
              <w:tr2bl w:val="nil"/>
            </w:tcBorders>
            <w:shd w:val="clear" w:color="auto" w:fill="auto"/>
            <w:noWrap/>
            <w:vAlign w:val="center"/>
          </w:tcPr>
          <w:p w14:paraId="5D015B74">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136.2</w:t>
            </w:r>
          </w:p>
        </w:tc>
      </w:tr>
    </w:tbl>
    <w:p w14:paraId="191B5CBB">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color w:val="auto"/>
          <w:highlight w:val="none"/>
          <w:u w:val="single"/>
          <w:lang w:val="en-US" w:eastAsia="zh-CN"/>
        </w:rPr>
      </w:pPr>
      <w:r>
        <w:rPr>
          <w:rFonts w:hint="eastAsia"/>
          <w:color w:val="auto"/>
          <w:highlight w:val="none"/>
          <w:u w:val="single"/>
          <w:lang w:val="en-US" w:eastAsia="zh-CN"/>
        </w:rPr>
        <w:t>（4）废石场</w:t>
      </w:r>
    </w:p>
    <w:p w14:paraId="72D9CA2C">
      <w:pPr>
        <w:pStyle w:val="28"/>
        <w:bidi w:val="0"/>
        <w:rPr>
          <w:rFonts w:hint="default"/>
          <w:color w:val="auto"/>
          <w:highlight w:val="none"/>
          <w:lang w:val="en-US" w:eastAsia="zh-CN"/>
        </w:rPr>
      </w:pPr>
      <w:r>
        <w:rPr>
          <w:rFonts w:hint="eastAsia"/>
          <w:color w:val="auto"/>
          <w:highlight w:val="none"/>
          <w:u w:val="single"/>
          <w:lang w:val="en-US" w:eastAsia="zh-CN"/>
        </w:rPr>
        <w:t>安化县年均蒸发量为1123.2mm，年均降雨量为1687.7mm，净降雨量为564.5mm。废石场现状集雨面积10160m</w:t>
      </w:r>
      <w:r>
        <w:rPr>
          <w:rFonts w:hint="eastAsia"/>
          <w:color w:val="auto"/>
          <w:highlight w:val="none"/>
          <w:u w:val="single"/>
          <w:vertAlign w:val="superscript"/>
          <w:lang w:val="en-US" w:eastAsia="zh-CN"/>
        </w:rPr>
        <w:t>2</w:t>
      </w:r>
      <w:r>
        <w:rPr>
          <w:rFonts w:hint="eastAsia"/>
          <w:color w:val="auto"/>
          <w:highlight w:val="none"/>
          <w:u w:val="single"/>
          <w:lang w:val="en-US" w:eastAsia="zh-CN"/>
        </w:rPr>
        <w:t>，则雨水量为5735.32m</w:t>
      </w:r>
      <w:r>
        <w:rPr>
          <w:rFonts w:hint="eastAsia"/>
          <w:color w:val="auto"/>
          <w:highlight w:val="none"/>
          <w:u w:val="single"/>
          <w:vertAlign w:val="superscript"/>
          <w:lang w:val="en-US" w:eastAsia="zh-CN"/>
        </w:rPr>
        <w:t>3</w:t>
      </w:r>
      <w:r>
        <w:rPr>
          <w:rFonts w:hint="eastAsia"/>
          <w:color w:val="auto"/>
          <w:highlight w:val="none"/>
          <w:u w:val="single"/>
          <w:lang w:val="en-US" w:eastAsia="zh-CN"/>
        </w:rPr>
        <w:t>/a。本次论证采用距离项目选址30km处的梧桐水文站作为参证站，引用其各月年内分配系数计算各月流量，再计算日均净降水量。各月日均净降水量见下</w:t>
      </w:r>
      <w:r>
        <w:rPr>
          <w:rFonts w:hint="eastAsia"/>
          <w:color w:val="auto"/>
          <w:highlight w:val="none"/>
          <w:u w:val="single"/>
          <w:lang w:val="en-US" w:eastAsia="zh-CN"/>
        </w:rPr>
        <w:fldChar w:fldCharType="begin"/>
      </w:r>
      <w:r>
        <w:rPr>
          <w:rFonts w:hint="eastAsia"/>
          <w:color w:val="auto"/>
          <w:highlight w:val="none"/>
          <w:u w:val="single"/>
          <w:lang w:val="en-US" w:eastAsia="zh-CN"/>
        </w:rPr>
        <w:instrText xml:space="preserve"> REF _Ref11717 \h </w:instrText>
      </w:r>
      <w:r>
        <w:rPr>
          <w:rFonts w:hint="eastAsia"/>
          <w:color w:val="auto"/>
          <w:highlight w:val="none"/>
          <w:u w:val="single"/>
          <w:lang w:val="en-US" w:eastAsia="zh-CN"/>
        </w:rPr>
        <w:fldChar w:fldCharType="separate"/>
      </w:r>
      <w:r>
        <w:rPr>
          <w:rFonts w:hint="default"/>
          <w:color w:val="auto"/>
          <w:highlight w:val="none"/>
          <w:lang w:val="en-US" w:eastAsia="zh-CN"/>
        </w:rPr>
        <w:t>图</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–3  废石场淋溶水导流管</w:t>
      </w:r>
      <w:r>
        <w:rPr>
          <w:rFonts w:hint="eastAsia"/>
          <w:color w:val="auto"/>
          <w:highlight w:val="none"/>
          <w:lang w:val="en-US" w:eastAsia="zh-CN"/>
        </w:rPr>
        <w:t>现状图</w:t>
      </w:r>
    </w:p>
    <w:p w14:paraId="2EBCE57D">
      <w:pPr>
        <w:pStyle w:val="2"/>
        <w:bidi w:val="0"/>
        <w:rPr>
          <w:rFonts w:hint="default"/>
          <w:color w:val="auto"/>
          <w:highlight w:val="none"/>
          <w:u w:val="single"/>
          <w:lang w:val="en-US" w:eastAsia="zh-CN"/>
        </w:rPr>
      </w:pPr>
      <w:r>
        <w:rPr>
          <w:rFonts w:hint="default"/>
          <w:color w:val="auto"/>
          <w:highlight w:val="none"/>
          <w:u w:val="single"/>
          <w:lang w:val="en-US" w:eastAsia="zh-CN"/>
        </w:rPr>
        <w:t>表</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–13</w:t>
      </w:r>
      <w:r>
        <w:rPr>
          <w:rFonts w:hint="eastAsia"/>
          <w:color w:val="auto"/>
          <w:highlight w:val="none"/>
          <w:u w:val="single"/>
          <w:lang w:val="en-US" w:eastAsia="zh-CN"/>
        </w:rPr>
        <w:fldChar w:fldCharType="end"/>
      </w:r>
      <w:r>
        <w:rPr>
          <w:rFonts w:hint="eastAsia"/>
          <w:color w:val="auto"/>
          <w:highlight w:val="none"/>
          <w:u w:val="single"/>
          <w:lang w:val="en-US" w:eastAsia="zh-CN"/>
        </w:rPr>
        <w:t>，枯水期日均净降水量为7.3m</w:t>
      </w:r>
      <w:r>
        <w:rPr>
          <w:rFonts w:hint="eastAsia"/>
          <w:color w:val="auto"/>
          <w:highlight w:val="none"/>
          <w:u w:val="single"/>
          <w:vertAlign w:val="superscript"/>
          <w:lang w:val="en-US" w:eastAsia="zh-CN"/>
        </w:rPr>
        <w:t>3</w:t>
      </w:r>
      <w:r>
        <w:rPr>
          <w:rFonts w:hint="eastAsia"/>
          <w:color w:val="auto"/>
          <w:highlight w:val="none"/>
          <w:u w:val="single"/>
          <w:lang w:val="en-US" w:eastAsia="zh-CN"/>
        </w:rPr>
        <w:t>/d，平水期日均净降水量为17.4m</w:t>
      </w:r>
      <w:r>
        <w:rPr>
          <w:rFonts w:hint="eastAsia"/>
          <w:color w:val="auto"/>
          <w:highlight w:val="none"/>
          <w:u w:val="single"/>
          <w:vertAlign w:val="superscript"/>
          <w:lang w:val="en-US" w:eastAsia="zh-CN"/>
        </w:rPr>
        <w:t>3</w:t>
      </w:r>
      <w:r>
        <w:rPr>
          <w:rFonts w:hint="eastAsia"/>
          <w:color w:val="auto"/>
          <w:highlight w:val="none"/>
          <w:u w:val="single"/>
          <w:lang w:val="en-US" w:eastAsia="zh-CN"/>
        </w:rPr>
        <w:t>/d，丰水期日均净降水量为30.7m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p w14:paraId="3CD59CCB">
      <w:pPr>
        <w:pStyle w:val="2"/>
        <w:bidi w:val="0"/>
        <w:rPr>
          <w:rFonts w:hint="default"/>
          <w:color w:val="auto"/>
          <w:highlight w:val="none"/>
          <w:u w:val="single"/>
          <w:lang w:val="en-US" w:eastAsia="zh-CN"/>
        </w:rPr>
      </w:pPr>
      <w:r>
        <w:rPr>
          <w:rFonts w:hint="eastAsia"/>
          <w:color w:val="auto"/>
          <w:highlight w:val="none"/>
          <w:u w:val="single"/>
          <w:lang w:val="en-US" w:eastAsia="zh-CN"/>
        </w:rPr>
        <w:t>根据企业介绍，废石场位于老尾矿库上游，其淋溶水收集后由管道经老尾矿库排洪竖井进入排洪隧洞，最后排入废水处理站处理。</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8"/>
        <w:gridCol w:w="4694"/>
      </w:tblGrid>
      <w:tr w14:paraId="12A3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8" w:type="dxa"/>
            <w:vAlign w:val="center"/>
          </w:tcPr>
          <w:p w14:paraId="668A498F">
            <w:pPr>
              <w:pStyle w:val="26"/>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drawing>
                <wp:inline distT="0" distB="0" distL="114300" distR="114300">
                  <wp:extent cx="2794635" cy="2095500"/>
                  <wp:effectExtent l="0" t="0" r="9525" b="7620"/>
                  <wp:docPr id="11" name="图片 11" descr="废石场与排洪竖井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废石场与排洪竖井位置"/>
                          <pic:cNvPicPr>
                            <a:picLocks noChangeAspect="1"/>
                          </pic:cNvPicPr>
                        </pic:nvPicPr>
                        <pic:blipFill>
                          <a:blip r:embed="rId20"/>
                          <a:stretch>
                            <a:fillRect/>
                          </a:stretch>
                        </pic:blipFill>
                        <pic:spPr>
                          <a:xfrm>
                            <a:off x="0" y="0"/>
                            <a:ext cx="2794635" cy="2095500"/>
                          </a:xfrm>
                          <a:prstGeom prst="rect">
                            <a:avLst/>
                          </a:prstGeom>
                        </pic:spPr>
                      </pic:pic>
                    </a:graphicData>
                  </a:graphic>
                </wp:inline>
              </w:drawing>
            </w:r>
          </w:p>
        </w:tc>
        <w:tc>
          <w:tcPr>
            <w:tcW w:w="4694" w:type="dxa"/>
            <w:vAlign w:val="center"/>
          </w:tcPr>
          <w:p w14:paraId="550D8FD7">
            <w:pPr>
              <w:pStyle w:val="26"/>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drawing>
                <wp:inline distT="0" distB="0" distL="114300" distR="114300">
                  <wp:extent cx="1987550" cy="2650490"/>
                  <wp:effectExtent l="0" t="0" r="8890" b="1270"/>
                  <wp:docPr id="19" name="图片 19" descr="废石场淋溶水导流管与排洪竖井内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废石场淋溶水导流管与排洪竖井内部"/>
                          <pic:cNvPicPr>
                            <a:picLocks noChangeAspect="1"/>
                          </pic:cNvPicPr>
                        </pic:nvPicPr>
                        <pic:blipFill>
                          <a:blip r:embed="rId21"/>
                          <a:stretch>
                            <a:fillRect/>
                          </a:stretch>
                        </pic:blipFill>
                        <pic:spPr>
                          <a:xfrm>
                            <a:off x="0" y="0"/>
                            <a:ext cx="1987550" cy="2650490"/>
                          </a:xfrm>
                          <a:prstGeom prst="rect">
                            <a:avLst/>
                          </a:prstGeom>
                        </pic:spPr>
                      </pic:pic>
                    </a:graphicData>
                  </a:graphic>
                </wp:inline>
              </w:drawing>
            </w:r>
          </w:p>
        </w:tc>
      </w:tr>
      <w:tr w14:paraId="2206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8" w:type="dxa"/>
            <w:vAlign w:val="center"/>
          </w:tcPr>
          <w:p w14:paraId="0A400A77">
            <w:pPr>
              <w:pStyle w:val="26"/>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废石场与</w:t>
            </w:r>
            <w:r>
              <w:rPr>
                <w:rFonts w:hint="eastAsia"/>
                <w:color w:val="auto"/>
                <w:highlight w:val="none"/>
                <w:lang w:val="en-US" w:eastAsia="zh-CN"/>
              </w:rPr>
              <w:t>老尾矿库排洪竖井相对位置</w:t>
            </w:r>
          </w:p>
        </w:tc>
        <w:tc>
          <w:tcPr>
            <w:tcW w:w="4694" w:type="dxa"/>
            <w:vAlign w:val="center"/>
          </w:tcPr>
          <w:p w14:paraId="033CA6EF">
            <w:pPr>
              <w:pStyle w:val="26"/>
              <w:keepNext w:val="0"/>
              <w:keepLines w:val="0"/>
              <w:suppressLineNumbers w:val="0"/>
              <w:bidi w:val="0"/>
              <w:spacing w:before="0" w:beforeAutospacing="0" w:after="0" w:afterAutospacing="0"/>
              <w:ind w:left="0" w:right="0"/>
              <w:jc w:val="center"/>
              <w:rPr>
                <w:rFonts w:hint="default"/>
                <w:lang w:val="en-US" w:eastAsia="zh-CN"/>
              </w:rPr>
            </w:pPr>
            <w:r>
              <w:rPr>
                <w:rFonts w:hint="eastAsia"/>
                <w:color w:val="auto"/>
                <w:highlight w:val="none"/>
                <w:lang w:val="en-US" w:eastAsia="zh-CN"/>
              </w:rPr>
              <w:t>老尾矿库排洪竖井内的废石场淋溶水导流管</w:t>
            </w:r>
          </w:p>
        </w:tc>
      </w:tr>
      <w:tr w14:paraId="0EB4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8" w:type="dxa"/>
            <w:vAlign w:val="center"/>
          </w:tcPr>
          <w:p w14:paraId="2958A663">
            <w:pPr>
              <w:pStyle w:val="26"/>
              <w:keepNext w:val="0"/>
              <w:keepLines w:val="0"/>
              <w:suppressLineNumbers w:val="0"/>
              <w:bidi w:val="0"/>
              <w:spacing w:before="0" w:beforeAutospacing="0" w:after="0" w:afterAutospacing="0"/>
              <w:ind w:left="0" w:right="0"/>
              <w:jc w:val="center"/>
              <w:rPr>
                <w:rFonts w:hint="eastAsia"/>
                <w:lang w:val="en-US" w:eastAsia="zh-CN"/>
              </w:rPr>
            </w:pPr>
            <w:r>
              <w:rPr>
                <w:rFonts w:hint="default"/>
                <w:sz w:val="22"/>
              </w:rPr>
              <mc:AlternateContent>
                <mc:Choice Requires="wps">
                  <w:drawing>
                    <wp:anchor distT="0" distB="0" distL="114300" distR="114300" simplePos="0" relativeHeight="251665408" behindDoc="0" locked="0" layoutInCell="1" allowOverlap="1">
                      <wp:simplePos x="0" y="0"/>
                      <wp:positionH relativeFrom="column">
                        <wp:posOffset>1411605</wp:posOffset>
                      </wp:positionH>
                      <wp:positionV relativeFrom="paragraph">
                        <wp:posOffset>1883410</wp:posOffset>
                      </wp:positionV>
                      <wp:extent cx="135255" cy="322580"/>
                      <wp:effectExtent l="12700" t="2540" r="19685" b="10160"/>
                      <wp:wrapNone/>
                      <wp:docPr id="22" name="直接箭头连接符 22"/>
                      <wp:cNvGraphicFramePr/>
                      <a:graphic xmlns:a="http://schemas.openxmlformats.org/drawingml/2006/main">
                        <a:graphicData uri="http://schemas.microsoft.com/office/word/2010/wordprocessingShape">
                          <wps:wsp>
                            <wps:cNvCnPr/>
                            <wps:spPr>
                              <a:xfrm flipH="1">
                                <a:off x="2242185" y="3030220"/>
                                <a:ext cx="135255" cy="32258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11.15pt;margin-top:148.3pt;height:25.4pt;width:10.65pt;z-index:251665408;mso-width-relative:page;mso-height-relative:page;" filled="f" stroked="t" coordsize="21600,21600" o:gfxdata="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3pKzYAAAA&#10;CwEAAA8AAAAAAAAAAQAgAAAAIgAAAGRycy9kb3ducmV2LnhtbFBLAQIUABQAAAAIAIdO4kBCUWiK&#10;HQIAAPsDAAAOAAAAAAAAAAEAIAAAACcBAABkcnMvZTJvRG9jLnhtbFBLBQYAAAAABgAGAFkBAAC2&#10;BQAAAAA=&#10;">
                      <v:fill on="f" focussize="0,0"/>
                      <v:stroke weight="1pt" color="#FF0000 [3204]" miterlimit="8" joinstyle="miter" endarrow="open"/>
                      <v:imagedata o:title=""/>
                      <o:lock v:ext="edit" aspectratio="f"/>
                    </v:shape>
                  </w:pict>
                </mc:Fallback>
              </mc:AlternateContent>
            </w:r>
            <w:r>
              <w:rPr>
                <w:rFonts w:hint="eastAsia"/>
                <w:lang w:val="en-US" w:eastAsia="zh-CN"/>
              </w:rPr>
              <w:drawing>
                <wp:inline distT="0" distB="0" distL="114300" distR="114300">
                  <wp:extent cx="2436495" cy="3249930"/>
                  <wp:effectExtent l="0" t="0" r="1905" b="11430"/>
                  <wp:docPr id="20" name="图片 20" descr="排洪隧洞内废石场淋溶水拦坝和导流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排洪隧洞内废石场淋溶水拦坝和导流管"/>
                          <pic:cNvPicPr>
                            <a:picLocks noChangeAspect="1"/>
                          </pic:cNvPicPr>
                        </pic:nvPicPr>
                        <pic:blipFill>
                          <a:blip r:embed="rId22"/>
                          <a:stretch>
                            <a:fillRect/>
                          </a:stretch>
                        </pic:blipFill>
                        <pic:spPr>
                          <a:xfrm>
                            <a:off x="0" y="0"/>
                            <a:ext cx="2436495" cy="3249930"/>
                          </a:xfrm>
                          <a:prstGeom prst="rect">
                            <a:avLst/>
                          </a:prstGeom>
                        </pic:spPr>
                      </pic:pic>
                    </a:graphicData>
                  </a:graphic>
                </wp:inline>
              </w:drawing>
            </w:r>
          </w:p>
        </w:tc>
        <w:tc>
          <w:tcPr>
            <w:tcW w:w="4694" w:type="dxa"/>
            <w:vAlign w:val="center"/>
          </w:tcPr>
          <w:p w14:paraId="2712F04A">
            <w:pPr>
              <w:pStyle w:val="26"/>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781935" cy="2085340"/>
                  <wp:effectExtent l="0" t="0" r="6985" b="2540"/>
                  <wp:docPr id="24" name="图片 24" descr="废石场淋溶水导流管至废水处理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废石场淋溶水导流管至废水处理站"/>
                          <pic:cNvPicPr>
                            <a:picLocks noChangeAspect="1"/>
                          </pic:cNvPicPr>
                        </pic:nvPicPr>
                        <pic:blipFill>
                          <a:blip r:embed="rId23"/>
                          <a:stretch>
                            <a:fillRect/>
                          </a:stretch>
                        </pic:blipFill>
                        <pic:spPr>
                          <a:xfrm>
                            <a:off x="0" y="0"/>
                            <a:ext cx="2781935" cy="2085340"/>
                          </a:xfrm>
                          <a:prstGeom prst="rect">
                            <a:avLst/>
                          </a:prstGeom>
                        </pic:spPr>
                      </pic:pic>
                    </a:graphicData>
                  </a:graphic>
                </wp:inline>
              </w:drawing>
            </w:r>
          </w:p>
        </w:tc>
      </w:tr>
      <w:tr w14:paraId="3332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8" w:type="dxa"/>
            <w:vAlign w:val="center"/>
          </w:tcPr>
          <w:p w14:paraId="3C9D4223">
            <w:pPr>
              <w:pStyle w:val="26"/>
              <w:keepNext w:val="0"/>
              <w:keepLines w:val="0"/>
              <w:suppressLineNumbers w:val="0"/>
              <w:bidi w:val="0"/>
              <w:spacing w:before="0" w:beforeAutospacing="0" w:after="0" w:afterAutospacing="0"/>
              <w:ind w:left="0" w:right="0"/>
              <w:jc w:val="center"/>
              <w:rPr>
                <w:rFonts w:hint="eastAsia"/>
                <w:lang w:val="en-US" w:eastAsia="zh-CN"/>
              </w:rPr>
            </w:pPr>
            <w:r>
              <w:rPr>
                <w:rFonts w:hint="eastAsia"/>
                <w:color w:val="auto"/>
                <w:highlight w:val="none"/>
                <w:lang w:val="en-US" w:eastAsia="zh-CN"/>
              </w:rPr>
              <w:t>排洪隧洞内的废石场淋溶水导流管</w:t>
            </w:r>
          </w:p>
        </w:tc>
        <w:tc>
          <w:tcPr>
            <w:tcW w:w="4694" w:type="dxa"/>
            <w:vAlign w:val="center"/>
          </w:tcPr>
          <w:p w14:paraId="6419A40F">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废石场淋溶水导流管经排洪隧洞至废水处理站</w:t>
            </w:r>
          </w:p>
        </w:tc>
      </w:tr>
      <w:tr w14:paraId="4F16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8" w:type="dxa"/>
            <w:vAlign w:val="center"/>
          </w:tcPr>
          <w:p w14:paraId="3ABCF498">
            <w:pPr>
              <w:pStyle w:val="26"/>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743200" cy="2056130"/>
                  <wp:effectExtent l="0" t="0" r="0" b="1270"/>
                  <wp:docPr id="25" name="图片 25" descr="废石场淋溶水导流管出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废石场淋溶水导流管出口"/>
                          <pic:cNvPicPr>
                            <a:picLocks noChangeAspect="1"/>
                          </pic:cNvPicPr>
                        </pic:nvPicPr>
                        <pic:blipFill>
                          <a:blip r:embed="rId24"/>
                          <a:stretch>
                            <a:fillRect/>
                          </a:stretch>
                        </pic:blipFill>
                        <pic:spPr>
                          <a:xfrm>
                            <a:off x="0" y="0"/>
                            <a:ext cx="2743200" cy="2056130"/>
                          </a:xfrm>
                          <a:prstGeom prst="rect">
                            <a:avLst/>
                          </a:prstGeom>
                        </pic:spPr>
                      </pic:pic>
                    </a:graphicData>
                  </a:graphic>
                </wp:inline>
              </w:drawing>
            </w:r>
          </w:p>
        </w:tc>
        <w:tc>
          <w:tcPr>
            <w:tcW w:w="4694" w:type="dxa"/>
            <w:vAlign w:val="center"/>
          </w:tcPr>
          <w:p w14:paraId="2B0D06CA">
            <w:pPr>
              <w:pStyle w:val="26"/>
              <w:keepNext w:val="0"/>
              <w:keepLines w:val="0"/>
              <w:suppressLineNumbers w:val="0"/>
              <w:bidi w:val="0"/>
              <w:spacing w:before="0" w:beforeAutospacing="0" w:after="0" w:afterAutospacing="0"/>
              <w:ind w:left="0" w:right="0"/>
              <w:jc w:val="center"/>
              <w:rPr>
                <w:rFonts w:hint="eastAsia"/>
                <w:color w:val="auto"/>
                <w:highlight w:val="none"/>
                <w:lang w:val="en-US" w:eastAsia="zh-CN"/>
              </w:rPr>
            </w:pPr>
          </w:p>
        </w:tc>
      </w:tr>
      <w:tr w14:paraId="4743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8" w:type="dxa"/>
            <w:vAlign w:val="center"/>
          </w:tcPr>
          <w:p w14:paraId="60C99828">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废石场淋溶水导流管出口</w:t>
            </w:r>
          </w:p>
        </w:tc>
        <w:tc>
          <w:tcPr>
            <w:tcW w:w="4694" w:type="dxa"/>
            <w:vAlign w:val="center"/>
          </w:tcPr>
          <w:p w14:paraId="303D2204">
            <w:pPr>
              <w:pStyle w:val="26"/>
              <w:keepNext w:val="0"/>
              <w:keepLines w:val="0"/>
              <w:suppressLineNumbers w:val="0"/>
              <w:bidi w:val="0"/>
              <w:spacing w:before="0" w:beforeAutospacing="0" w:after="0" w:afterAutospacing="0"/>
              <w:ind w:left="0" w:right="0"/>
              <w:jc w:val="center"/>
              <w:rPr>
                <w:rFonts w:hint="eastAsia"/>
                <w:color w:val="auto"/>
                <w:highlight w:val="none"/>
                <w:lang w:val="en-US" w:eastAsia="zh-CN"/>
              </w:rPr>
            </w:pPr>
          </w:p>
        </w:tc>
      </w:tr>
    </w:tbl>
    <w:p w14:paraId="51682A51">
      <w:pPr>
        <w:pStyle w:val="28"/>
        <w:bidi w:val="0"/>
        <w:rPr>
          <w:rFonts w:hint="default"/>
          <w:color w:val="auto"/>
          <w:highlight w:val="none"/>
          <w:lang w:val="en-US" w:eastAsia="zh-CN"/>
        </w:rPr>
      </w:pPr>
      <w:bookmarkStart w:id="28" w:name="_Ref11717"/>
      <w:r>
        <w:rPr>
          <w:rFonts w:hint="default"/>
          <w:color w:val="auto"/>
          <w:highlight w:val="none"/>
          <w:lang w:val="en-US" w:eastAsia="zh-CN"/>
        </w:rPr>
        <w:t>图</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图 \* ARABIC \s 2 </w:instrText>
      </w:r>
      <w:r>
        <w:rPr>
          <w:rFonts w:hint="default"/>
          <w:color w:val="auto"/>
          <w:highlight w:val="none"/>
          <w:lang w:val="en-US" w:eastAsia="zh-CN"/>
        </w:rPr>
        <w:fldChar w:fldCharType="separate"/>
      </w:r>
      <w:r>
        <w:rPr>
          <w:rFonts w:hint="default"/>
          <w:color w:val="auto"/>
          <w:highlight w:val="none"/>
          <w:lang w:val="en-US" w:eastAsia="zh-CN"/>
        </w:rPr>
        <w:t>3</w:t>
      </w:r>
      <w:r>
        <w:rPr>
          <w:rFonts w:hint="default"/>
          <w:color w:val="auto"/>
          <w:highlight w:val="none"/>
          <w:lang w:val="en-US" w:eastAsia="zh-CN"/>
        </w:rPr>
        <w:fldChar w:fldCharType="end"/>
      </w:r>
      <w:r>
        <w:rPr>
          <w:rFonts w:hint="default"/>
          <w:color w:val="auto"/>
          <w:highlight w:val="none"/>
          <w:lang w:val="en-US" w:eastAsia="zh-CN"/>
        </w:rPr>
        <w:t xml:space="preserve">  废石场淋溶水导流管</w:t>
      </w:r>
      <w:r>
        <w:rPr>
          <w:rFonts w:hint="eastAsia"/>
          <w:color w:val="auto"/>
          <w:highlight w:val="none"/>
          <w:lang w:val="en-US" w:eastAsia="zh-CN"/>
        </w:rPr>
        <w:t>现状图</w:t>
      </w:r>
    </w:p>
    <w:p w14:paraId="316966F9">
      <w:pPr>
        <w:pStyle w:val="28"/>
        <w:bidi w:val="0"/>
        <w:rPr>
          <w:rFonts w:hint="eastAsia"/>
          <w:color w:val="auto"/>
          <w:highlight w:val="none"/>
          <w:u w:val="single"/>
          <w:lang w:val="en-US" w:eastAsia="zh-CN"/>
        </w:rPr>
      </w:pPr>
      <w:r>
        <w:rPr>
          <w:rFonts w:hint="default"/>
          <w:color w:val="auto"/>
          <w:highlight w:val="none"/>
          <w:u w:val="single"/>
          <w:lang w:val="en-US" w:eastAsia="zh-CN"/>
        </w:rPr>
        <w:t>表</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表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13</w:t>
      </w:r>
      <w:r>
        <w:rPr>
          <w:rFonts w:hint="default"/>
          <w:color w:val="auto"/>
          <w:highlight w:val="none"/>
          <w:u w:val="single"/>
          <w:lang w:val="en-US" w:eastAsia="zh-CN"/>
        </w:rPr>
        <w:fldChar w:fldCharType="end"/>
      </w:r>
      <w:bookmarkEnd w:id="28"/>
      <w:r>
        <w:rPr>
          <w:rFonts w:hint="default"/>
          <w:color w:val="auto"/>
          <w:highlight w:val="none"/>
          <w:u w:val="single"/>
          <w:lang w:val="en-US" w:eastAsia="zh-CN"/>
        </w:rPr>
        <w:t xml:space="preserve">  </w:t>
      </w:r>
      <w:r>
        <w:rPr>
          <w:rFonts w:hint="eastAsia"/>
          <w:color w:val="auto"/>
          <w:highlight w:val="none"/>
          <w:u w:val="single"/>
          <w:lang w:val="en-US" w:eastAsia="zh-CN"/>
        </w:rPr>
        <w:t>废石场各月淋溶水产生量一览表</w:t>
      </w:r>
    </w:p>
    <w:tbl>
      <w:tblPr>
        <w:tblStyle w:val="2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10"/>
        <w:gridCol w:w="4015"/>
        <w:gridCol w:w="4015"/>
      </w:tblGrid>
      <w:tr w14:paraId="2E9FF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655" w:type="pct"/>
            <w:tcBorders>
              <w:tl2br w:val="nil"/>
              <w:tr2bl w:val="nil"/>
            </w:tcBorders>
            <w:shd w:val="clear" w:color="auto" w:fill="auto"/>
            <w:noWrap/>
            <w:vAlign w:val="center"/>
          </w:tcPr>
          <w:p w14:paraId="6879436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月份</w:t>
            </w:r>
          </w:p>
        </w:tc>
        <w:tc>
          <w:tcPr>
            <w:tcW w:w="2172" w:type="pct"/>
            <w:tcBorders>
              <w:tl2br w:val="nil"/>
              <w:tr2bl w:val="nil"/>
            </w:tcBorders>
            <w:shd w:val="clear" w:color="auto" w:fill="auto"/>
            <w:noWrap/>
            <w:vAlign w:val="center"/>
          </w:tcPr>
          <w:p w14:paraId="2394B2D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淋溶水产生量</w:t>
            </w:r>
            <w:r>
              <w:rPr>
                <w:rFonts w:hint="default" w:ascii="Times New Roman" w:hAnsi="Times New Roman" w:eastAsia="宋体" w:cs="Times New Roman"/>
                <w:color w:val="auto"/>
                <w:kern w:val="2"/>
                <w:sz w:val="22"/>
                <w:szCs w:val="22"/>
                <w:highlight w:val="none"/>
                <w:u w:val="single"/>
                <w:lang w:val="en-US" w:eastAsia="zh-CN" w:bidi="ar-SA"/>
              </w:rPr>
              <w:t>(</w:t>
            </w:r>
            <w:r>
              <w:rPr>
                <w:rFonts w:hint="eastAsia" w:cs="Times New Roman"/>
                <w:color w:val="auto"/>
                <w:kern w:val="2"/>
                <w:sz w:val="22"/>
                <w:szCs w:val="22"/>
                <w:highlight w:val="none"/>
                <w:u w:val="single"/>
                <w:lang w:val="en-US" w:eastAsia="zh-CN" w:bidi="ar-SA"/>
              </w:rPr>
              <w:t>m</w:t>
            </w:r>
            <w:r>
              <w:rPr>
                <w:rFonts w:hint="eastAsia" w:cs="Times New Roman"/>
                <w:color w:val="auto"/>
                <w:kern w:val="2"/>
                <w:sz w:val="22"/>
                <w:szCs w:val="22"/>
                <w:highlight w:val="none"/>
                <w:u w:val="single"/>
                <w:vertAlign w:val="superscript"/>
                <w:lang w:val="en-US" w:eastAsia="zh-CN" w:bidi="ar-SA"/>
              </w:rPr>
              <w:t>3</w:t>
            </w:r>
            <w:r>
              <w:rPr>
                <w:rFonts w:hint="default" w:ascii="Times New Roman" w:hAnsi="Times New Roman" w:eastAsia="宋体" w:cs="Times New Roman"/>
                <w:color w:val="auto"/>
                <w:kern w:val="2"/>
                <w:sz w:val="22"/>
                <w:szCs w:val="22"/>
                <w:highlight w:val="none"/>
                <w:u w:val="single"/>
                <w:lang w:val="en-US" w:eastAsia="zh-CN" w:bidi="ar-SA"/>
              </w:rPr>
              <w:t>/d)</w:t>
            </w:r>
          </w:p>
        </w:tc>
        <w:tc>
          <w:tcPr>
            <w:tcW w:w="2172" w:type="pct"/>
            <w:tcBorders>
              <w:tl2br w:val="nil"/>
              <w:tr2bl w:val="nil"/>
            </w:tcBorders>
            <w:shd w:val="clear" w:color="auto" w:fill="auto"/>
            <w:noWrap/>
            <w:vAlign w:val="center"/>
          </w:tcPr>
          <w:p w14:paraId="68419CF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备注</w:t>
            </w:r>
          </w:p>
        </w:tc>
      </w:tr>
      <w:tr w14:paraId="45F83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55" w:type="pct"/>
            <w:tcBorders>
              <w:tl2br w:val="nil"/>
              <w:tr2bl w:val="nil"/>
            </w:tcBorders>
            <w:shd w:val="clear" w:color="auto" w:fill="auto"/>
            <w:noWrap/>
            <w:vAlign w:val="center"/>
          </w:tcPr>
          <w:p w14:paraId="2949CEA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1月</w:t>
            </w:r>
          </w:p>
        </w:tc>
        <w:tc>
          <w:tcPr>
            <w:tcW w:w="4015" w:type="dxa"/>
            <w:tcBorders>
              <w:tl2br w:val="nil"/>
              <w:tr2bl w:val="nil"/>
            </w:tcBorders>
            <w:shd w:val="clear" w:color="auto" w:fill="auto"/>
            <w:noWrap/>
            <w:vAlign w:val="center"/>
          </w:tcPr>
          <w:p w14:paraId="531956ED">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5.8</w:t>
            </w:r>
          </w:p>
        </w:tc>
        <w:tc>
          <w:tcPr>
            <w:tcW w:w="2172" w:type="pct"/>
            <w:tcBorders>
              <w:tl2br w:val="nil"/>
              <w:tr2bl w:val="nil"/>
            </w:tcBorders>
            <w:shd w:val="clear" w:color="auto" w:fill="auto"/>
            <w:noWrap/>
            <w:vAlign w:val="center"/>
          </w:tcPr>
          <w:p w14:paraId="1FA4974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枯水期</w:t>
            </w:r>
          </w:p>
        </w:tc>
      </w:tr>
      <w:tr w14:paraId="051CF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7A16FCC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2月</w:t>
            </w:r>
          </w:p>
        </w:tc>
        <w:tc>
          <w:tcPr>
            <w:tcW w:w="4015" w:type="dxa"/>
            <w:tcBorders>
              <w:tl2br w:val="nil"/>
              <w:tr2bl w:val="nil"/>
            </w:tcBorders>
            <w:shd w:val="clear" w:color="auto" w:fill="auto"/>
            <w:noWrap/>
            <w:vAlign w:val="center"/>
          </w:tcPr>
          <w:p w14:paraId="4AB40F62">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8.8</w:t>
            </w:r>
          </w:p>
        </w:tc>
        <w:tc>
          <w:tcPr>
            <w:tcW w:w="2172" w:type="pct"/>
            <w:tcBorders>
              <w:tl2br w:val="nil"/>
              <w:tr2bl w:val="nil"/>
            </w:tcBorders>
            <w:shd w:val="clear" w:color="auto" w:fill="auto"/>
            <w:noWrap/>
            <w:vAlign w:val="center"/>
          </w:tcPr>
          <w:p w14:paraId="1424FE2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枯水期</w:t>
            </w:r>
          </w:p>
        </w:tc>
      </w:tr>
      <w:tr w14:paraId="432AD9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6480B86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i/>
                <w:iCs/>
                <w:color w:val="auto"/>
                <w:kern w:val="2"/>
                <w:sz w:val="22"/>
                <w:szCs w:val="22"/>
                <w:highlight w:val="none"/>
                <w:u w:val="single"/>
                <w:lang w:val="en-US" w:eastAsia="zh-CN" w:bidi="ar-SA"/>
              </w:rPr>
            </w:pPr>
            <w:r>
              <w:rPr>
                <w:rFonts w:hint="eastAsia" w:ascii="Times New Roman" w:hAnsi="Times New Roman" w:eastAsia="宋体" w:cs="Times New Roman"/>
                <w:i/>
                <w:iCs/>
                <w:color w:val="auto"/>
                <w:kern w:val="2"/>
                <w:sz w:val="22"/>
                <w:szCs w:val="22"/>
                <w:highlight w:val="none"/>
                <w:u w:val="single"/>
                <w:lang w:val="en-US" w:eastAsia="zh-CN" w:bidi="ar-SA"/>
              </w:rPr>
              <w:t>3月</w:t>
            </w:r>
          </w:p>
        </w:tc>
        <w:tc>
          <w:tcPr>
            <w:tcW w:w="4015" w:type="dxa"/>
            <w:tcBorders>
              <w:tl2br w:val="nil"/>
              <w:tr2bl w:val="nil"/>
            </w:tcBorders>
            <w:shd w:val="clear" w:color="auto" w:fill="auto"/>
            <w:noWrap/>
            <w:vAlign w:val="center"/>
          </w:tcPr>
          <w:p w14:paraId="36E5AE8C">
            <w:pPr>
              <w:pStyle w:val="26"/>
              <w:keepNext w:val="0"/>
              <w:keepLines w:val="0"/>
              <w:suppressLineNumbers w:val="0"/>
              <w:bidi w:val="0"/>
              <w:spacing w:before="0" w:beforeAutospacing="0" w:after="0" w:afterAutospacing="0"/>
              <w:ind w:left="0" w:right="0"/>
              <w:rPr>
                <w:rFonts w:hint="default"/>
                <w:i/>
                <w:iCs/>
                <w:u w:val="single"/>
                <w:lang w:val="en-US" w:eastAsia="zh-CN"/>
              </w:rPr>
            </w:pPr>
            <w:r>
              <w:rPr>
                <w:rFonts w:hint="eastAsia"/>
                <w:i/>
                <w:iCs/>
                <w:u w:val="single"/>
                <w:lang w:val="en-US" w:eastAsia="zh-CN"/>
              </w:rPr>
              <w:t>16</w:t>
            </w:r>
          </w:p>
        </w:tc>
        <w:tc>
          <w:tcPr>
            <w:tcW w:w="2172" w:type="pct"/>
            <w:tcBorders>
              <w:tl2br w:val="nil"/>
              <w:tr2bl w:val="nil"/>
            </w:tcBorders>
            <w:shd w:val="clear" w:color="auto" w:fill="auto"/>
            <w:noWrap/>
            <w:vAlign w:val="center"/>
          </w:tcPr>
          <w:p w14:paraId="545972F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i/>
                <w:iCs/>
                <w:color w:val="auto"/>
                <w:kern w:val="2"/>
                <w:sz w:val="22"/>
                <w:szCs w:val="22"/>
                <w:highlight w:val="none"/>
                <w:u w:val="single"/>
                <w:lang w:val="en-US" w:eastAsia="zh-CN" w:bidi="ar-SA"/>
              </w:rPr>
            </w:pPr>
            <w:r>
              <w:rPr>
                <w:rFonts w:hint="eastAsia" w:ascii="Times New Roman" w:hAnsi="Times New Roman" w:eastAsia="宋体" w:cs="Times New Roman"/>
                <w:i/>
                <w:iCs/>
                <w:color w:val="auto"/>
                <w:kern w:val="2"/>
                <w:sz w:val="22"/>
                <w:szCs w:val="22"/>
                <w:highlight w:val="none"/>
                <w:u w:val="single"/>
                <w:lang w:val="en-US" w:eastAsia="zh-CN" w:bidi="ar-SA"/>
              </w:rPr>
              <w:t>平水期</w:t>
            </w:r>
          </w:p>
        </w:tc>
      </w:tr>
      <w:tr w14:paraId="5B2243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2E352F6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i/>
                <w:iCs/>
                <w:color w:val="auto"/>
                <w:kern w:val="2"/>
                <w:sz w:val="22"/>
                <w:szCs w:val="22"/>
                <w:highlight w:val="none"/>
                <w:u w:val="single"/>
                <w:lang w:val="en-US" w:eastAsia="zh-CN" w:bidi="ar-SA"/>
              </w:rPr>
            </w:pPr>
            <w:r>
              <w:rPr>
                <w:rFonts w:hint="eastAsia" w:ascii="Times New Roman" w:hAnsi="Times New Roman" w:eastAsia="宋体" w:cs="Times New Roman"/>
                <w:i/>
                <w:iCs/>
                <w:color w:val="auto"/>
                <w:kern w:val="2"/>
                <w:sz w:val="22"/>
                <w:szCs w:val="22"/>
                <w:highlight w:val="none"/>
                <w:u w:val="single"/>
                <w:lang w:val="en-US" w:eastAsia="zh-CN" w:bidi="ar-SA"/>
              </w:rPr>
              <w:t>4月</w:t>
            </w:r>
          </w:p>
        </w:tc>
        <w:tc>
          <w:tcPr>
            <w:tcW w:w="4015" w:type="dxa"/>
            <w:tcBorders>
              <w:tl2br w:val="nil"/>
              <w:tr2bl w:val="nil"/>
            </w:tcBorders>
            <w:shd w:val="clear" w:color="auto" w:fill="auto"/>
            <w:noWrap/>
            <w:vAlign w:val="center"/>
          </w:tcPr>
          <w:p w14:paraId="5A739F82">
            <w:pPr>
              <w:pStyle w:val="26"/>
              <w:keepNext w:val="0"/>
              <w:keepLines w:val="0"/>
              <w:suppressLineNumbers w:val="0"/>
              <w:bidi w:val="0"/>
              <w:spacing w:before="0" w:beforeAutospacing="0" w:after="0" w:afterAutospacing="0"/>
              <w:ind w:left="0" w:right="0"/>
              <w:rPr>
                <w:rFonts w:hint="default"/>
                <w:i/>
                <w:iCs/>
                <w:u w:val="single"/>
                <w:lang w:val="en-US" w:eastAsia="zh-CN"/>
              </w:rPr>
            </w:pPr>
            <w:r>
              <w:rPr>
                <w:rFonts w:hint="eastAsia"/>
                <w:i/>
                <w:iCs/>
                <w:u w:val="single"/>
                <w:lang w:val="en-US" w:eastAsia="zh-CN"/>
              </w:rPr>
              <w:t>22.5</w:t>
            </w:r>
          </w:p>
        </w:tc>
        <w:tc>
          <w:tcPr>
            <w:tcW w:w="2172" w:type="pct"/>
            <w:tcBorders>
              <w:tl2br w:val="nil"/>
              <w:tr2bl w:val="nil"/>
            </w:tcBorders>
            <w:shd w:val="clear" w:color="auto" w:fill="auto"/>
            <w:noWrap/>
            <w:vAlign w:val="center"/>
          </w:tcPr>
          <w:p w14:paraId="2C5DC20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i/>
                <w:iCs/>
                <w:color w:val="auto"/>
                <w:kern w:val="2"/>
                <w:sz w:val="22"/>
                <w:szCs w:val="22"/>
                <w:highlight w:val="none"/>
                <w:u w:val="single"/>
                <w:lang w:val="en-US" w:eastAsia="zh-CN" w:bidi="ar-SA"/>
              </w:rPr>
            </w:pPr>
            <w:r>
              <w:rPr>
                <w:rFonts w:hint="eastAsia" w:ascii="Times New Roman" w:hAnsi="Times New Roman" w:eastAsia="宋体" w:cs="Times New Roman"/>
                <w:i/>
                <w:iCs/>
                <w:color w:val="auto"/>
                <w:kern w:val="2"/>
                <w:sz w:val="22"/>
                <w:szCs w:val="22"/>
                <w:highlight w:val="none"/>
                <w:u w:val="single"/>
                <w:lang w:val="en-US" w:eastAsia="zh-CN" w:bidi="ar-SA"/>
              </w:rPr>
              <w:t>平水期</w:t>
            </w:r>
          </w:p>
        </w:tc>
      </w:tr>
      <w:tr w14:paraId="3D033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001FBBE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2"/>
                <w:szCs w:val="22"/>
                <w:highlight w:val="none"/>
                <w:u w:val="single"/>
                <w:lang w:val="en-US" w:eastAsia="zh-CN" w:bidi="ar-SA"/>
              </w:rPr>
            </w:pPr>
            <w:r>
              <w:rPr>
                <w:rFonts w:hint="eastAsia" w:ascii="Times New Roman" w:hAnsi="Times New Roman" w:eastAsia="宋体" w:cs="Times New Roman"/>
                <w:b/>
                <w:bCs/>
                <w:color w:val="auto"/>
                <w:kern w:val="2"/>
                <w:sz w:val="22"/>
                <w:szCs w:val="22"/>
                <w:highlight w:val="none"/>
                <w:u w:val="single"/>
                <w:lang w:val="en-US" w:eastAsia="zh-CN" w:bidi="ar-SA"/>
              </w:rPr>
              <w:t>5月</w:t>
            </w:r>
          </w:p>
        </w:tc>
        <w:tc>
          <w:tcPr>
            <w:tcW w:w="4015" w:type="dxa"/>
            <w:tcBorders>
              <w:tl2br w:val="nil"/>
              <w:tr2bl w:val="nil"/>
            </w:tcBorders>
            <w:shd w:val="clear" w:color="auto" w:fill="auto"/>
            <w:noWrap/>
            <w:vAlign w:val="center"/>
          </w:tcPr>
          <w:p w14:paraId="432B8751">
            <w:pPr>
              <w:pStyle w:val="26"/>
              <w:keepNext w:val="0"/>
              <w:keepLines w:val="0"/>
              <w:suppressLineNumbers w:val="0"/>
              <w:bidi w:val="0"/>
              <w:spacing w:before="0" w:beforeAutospacing="0" w:after="0" w:afterAutospacing="0"/>
              <w:ind w:left="0" w:right="0"/>
              <w:rPr>
                <w:rFonts w:hint="default"/>
                <w:b/>
                <w:bCs/>
                <w:u w:val="single"/>
                <w:lang w:val="en-US" w:eastAsia="zh-CN"/>
              </w:rPr>
            </w:pPr>
            <w:r>
              <w:rPr>
                <w:rFonts w:hint="eastAsia"/>
                <w:b/>
                <w:bCs/>
                <w:u w:val="single"/>
                <w:lang w:val="en-US" w:eastAsia="zh-CN"/>
              </w:rPr>
              <w:t>28.3</w:t>
            </w:r>
          </w:p>
        </w:tc>
        <w:tc>
          <w:tcPr>
            <w:tcW w:w="2172" w:type="pct"/>
            <w:tcBorders>
              <w:tl2br w:val="nil"/>
              <w:tr2bl w:val="nil"/>
            </w:tcBorders>
            <w:shd w:val="clear" w:color="auto" w:fill="auto"/>
            <w:noWrap/>
            <w:vAlign w:val="center"/>
          </w:tcPr>
          <w:p w14:paraId="1F81F9E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2"/>
                <w:szCs w:val="22"/>
                <w:highlight w:val="none"/>
                <w:u w:val="single"/>
                <w:lang w:val="en-US" w:eastAsia="zh-CN" w:bidi="ar-SA"/>
              </w:rPr>
            </w:pPr>
            <w:r>
              <w:rPr>
                <w:rFonts w:hint="eastAsia" w:ascii="Times New Roman" w:hAnsi="Times New Roman" w:eastAsia="宋体" w:cs="Times New Roman"/>
                <w:b/>
                <w:bCs/>
                <w:color w:val="auto"/>
                <w:kern w:val="2"/>
                <w:sz w:val="22"/>
                <w:szCs w:val="22"/>
                <w:highlight w:val="none"/>
                <w:u w:val="single"/>
                <w:lang w:val="en-US" w:eastAsia="zh-CN" w:bidi="ar-SA"/>
              </w:rPr>
              <w:t>丰水期</w:t>
            </w:r>
          </w:p>
        </w:tc>
      </w:tr>
      <w:tr w14:paraId="5AE2BD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5150A3A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2"/>
                <w:szCs w:val="22"/>
                <w:highlight w:val="none"/>
                <w:u w:val="single"/>
                <w:lang w:val="en-US" w:eastAsia="zh-CN" w:bidi="ar-SA"/>
              </w:rPr>
            </w:pPr>
            <w:r>
              <w:rPr>
                <w:rFonts w:hint="eastAsia" w:ascii="Times New Roman" w:hAnsi="Times New Roman" w:eastAsia="宋体" w:cs="Times New Roman"/>
                <w:b/>
                <w:bCs/>
                <w:color w:val="auto"/>
                <w:kern w:val="2"/>
                <w:sz w:val="22"/>
                <w:szCs w:val="22"/>
                <w:highlight w:val="none"/>
                <w:u w:val="single"/>
                <w:lang w:val="en-US" w:eastAsia="zh-CN" w:bidi="ar-SA"/>
              </w:rPr>
              <w:t>6月</w:t>
            </w:r>
          </w:p>
        </w:tc>
        <w:tc>
          <w:tcPr>
            <w:tcW w:w="4015" w:type="dxa"/>
            <w:tcBorders>
              <w:tl2br w:val="nil"/>
              <w:tr2bl w:val="nil"/>
            </w:tcBorders>
            <w:shd w:val="clear" w:color="auto" w:fill="auto"/>
            <w:noWrap/>
            <w:vAlign w:val="center"/>
          </w:tcPr>
          <w:p w14:paraId="4D02A5A2">
            <w:pPr>
              <w:pStyle w:val="26"/>
              <w:keepNext w:val="0"/>
              <w:keepLines w:val="0"/>
              <w:suppressLineNumbers w:val="0"/>
              <w:bidi w:val="0"/>
              <w:spacing w:before="0" w:beforeAutospacing="0" w:after="0" w:afterAutospacing="0"/>
              <w:ind w:left="0" w:right="0"/>
              <w:rPr>
                <w:rFonts w:hint="default"/>
                <w:b/>
                <w:bCs/>
                <w:u w:val="single"/>
                <w:lang w:val="en-US" w:eastAsia="zh-CN"/>
              </w:rPr>
            </w:pPr>
            <w:r>
              <w:rPr>
                <w:rFonts w:hint="eastAsia"/>
                <w:b/>
                <w:bCs/>
                <w:u w:val="single"/>
                <w:lang w:val="en-US" w:eastAsia="zh-CN"/>
              </w:rPr>
              <w:t>31.8</w:t>
            </w:r>
          </w:p>
        </w:tc>
        <w:tc>
          <w:tcPr>
            <w:tcW w:w="2172" w:type="pct"/>
            <w:tcBorders>
              <w:tl2br w:val="nil"/>
              <w:tr2bl w:val="nil"/>
            </w:tcBorders>
            <w:shd w:val="clear" w:color="auto" w:fill="auto"/>
            <w:noWrap/>
            <w:vAlign w:val="center"/>
          </w:tcPr>
          <w:p w14:paraId="136B8E4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2"/>
                <w:szCs w:val="22"/>
                <w:highlight w:val="none"/>
                <w:u w:val="single"/>
                <w:lang w:val="en-US" w:eastAsia="zh-CN" w:bidi="ar-SA"/>
              </w:rPr>
            </w:pPr>
            <w:r>
              <w:rPr>
                <w:rFonts w:hint="eastAsia" w:ascii="Times New Roman" w:hAnsi="Times New Roman" w:eastAsia="宋体" w:cs="Times New Roman"/>
                <w:b/>
                <w:bCs/>
                <w:color w:val="auto"/>
                <w:kern w:val="2"/>
                <w:sz w:val="22"/>
                <w:szCs w:val="22"/>
                <w:highlight w:val="none"/>
                <w:u w:val="single"/>
                <w:lang w:val="en-US" w:eastAsia="zh-CN" w:bidi="ar-SA"/>
              </w:rPr>
              <w:t>丰水期</w:t>
            </w:r>
          </w:p>
        </w:tc>
      </w:tr>
      <w:tr w14:paraId="584FE2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2F632A1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2"/>
                <w:szCs w:val="22"/>
                <w:highlight w:val="none"/>
                <w:u w:val="single"/>
                <w:lang w:val="en-US" w:eastAsia="zh-CN" w:bidi="ar-SA"/>
              </w:rPr>
            </w:pPr>
            <w:r>
              <w:rPr>
                <w:rFonts w:hint="eastAsia" w:ascii="Times New Roman" w:hAnsi="Times New Roman" w:eastAsia="宋体" w:cs="Times New Roman"/>
                <w:b/>
                <w:bCs/>
                <w:color w:val="auto"/>
                <w:kern w:val="2"/>
                <w:sz w:val="22"/>
                <w:szCs w:val="22"/>
                <w:highlight w:val="none"/>
                <w:u w:val="single"/>
                <w:lang w:val="en-US" w:eastAsia="zh-CN" w:bidi="ar-SA"/>
              </w:rPr>
              <w:t>7月</w:t>
            </w:r>
          </w:p>
        </w:tc>
        <w:tc>
          <w:tcPr>
            <w:tcW w:w="4015" w:type="dxa"/>
            <w:tcBorders>
              <w:tl2br w:val="nil"/>
              <w:tr2bl w:val="nil"/>
            </w:tcBorders>
            <w:shd w:val="clear" w:color="auto" w:fill="auto"/>
            <w:noWrap/>
            <w:vAlign w:val="center"/>
          </w:tcPr>
          <w:p w14:paraId="5AA8408C">
            <w:pPr>
              <w:pStyle w:val="26"/>
              <w:keepNext w:val="0"/>
              <w:keepLines w:val="0"/>
              <w:suppressLineNumbers w:val="0"/>
              <w:bidi w:val="0"/>
              <w:spacing w:before="0" w:beforeAutospacing="0" w:after="0" w:afterAutospacing="0"/>
              <w:ind w:left="0" w:right="0"/>
              <w:rPr>
                <w:rFonts w:hint="default"/>
                <w:b/>
                <w:bCs/>
                <w:u w:val="single"/>
                <w:lang w:val="en-US" w:eastAsia="zh-CN"/>
              </w:rPr>
            </w:pPr>
            <w:r>
              <w:rPr>
                <w:rFonts w:hint="eastAsia"/>
                <w:b/>
                <w:bCs/>
                <w:u w:val="single"/>
                <w:lang w:val="en-US" w:eastAsia="zh-CN"/>
              </w:rPr>
              <w:t>32.1</w:t>
            </w:r>
          </w:p>
        </w:tc>
        <w:tc>
          <w:tcPr>
            <w:tcW w:w="2172" w:type="pct"/>
            <w:tcBorders>
              <w:tl2br w:val="nil"/>
              <w:tr2bl w:val="nil"/>
            </w:tcBorders>
            <w:shd w:val="clear" w:color="auto" w:fill="auto"/>
            <w:noWrap/>
            <w:vAlign w:val="center"/>
          </w:tcPr>
          <w:p w14:paraId="14CB453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2"/>
                <w:szCs w:val="22"/>
                <w:highlight w:val="none"/>
                <w:u w:val="single"/>
                <w:lang w:val="en-US" w:eastAsia="zh-CN" w:bidi="ar-SA"/>
              </w:rPr>
            </w:pPr>
            <w:r>
              <w:rPr>
                <w:rFonts w:hint="eastAsia" w:ascii="Times New Roman" w:hAnsi="Times New Roman" w:eastAsia="宋体" w:cs="Times New Roman"/>
                <w:b/>
                <w:bCs/>
                <w:color w:val="auto"/>
                <w:kern w:val="2"/>
                <w:sz w:val="22"/>
                <w:szCs w:val="22"/>
                <w:highlight w:val="none"/>
                <w:u w:val="single"/>
                <w:lang w:val="en-US" w:eastAsia="zh-CN" w:bidi="ar-SA"/>
              </w:rPr>
              <w:t>丰水期</w:t>
            </w:r>
          </w:p>
        </w:tc>
      </w:tr>
      <w:tr w14:paraId="641918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7" w:hRule="atLeast"/>
        </w:trPr>
        <w:tc>
          <w:tcPr>
            <w:tcW w:w="655" w:type="pct"/>
            <w:tcBorders>
              <w:tl2br w:val="nil"/>
              <w:tr2bl w:val="nil"/>
            </w:tcBorders>
            <w:shd w:val="clear" w:color="auto" w:fill="auto"/>
            <w:noWrap/>
            <w:vAlign w:val="center"/>
          </w:tcPr>
          <w:p w14:paraId="462BAB3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i/>
                <w:iCs/>
                <w:color w:val="auto"/>
                <w:kern w:val="2"/>
                <w:sz w:val="22"/>
                <w:szCs w:val="22"/>
                <w:highlight w:val="none"/>
                <w:u w:val="single"/>
                <w:lang w:val="en-US" w:eastAsia="zh-CN" w:bidi="ar-SA"/>
              </w:rPr>
            </w:pPr>
            <w:r>
              <w:rPr>
                <w:rFonts w:hint="eastAsia" w:ascii="Times New Roman" w:hAnsi="Times New Roman" w:eastAsia="宋体" w:cs="Times New Roman"/>
                <w:i/>
                <w:iCs/>
                <w:color w:val="auto"/>
                <w:kern w:val="2"/>
                <w:sz w:val="22"/>
                <w:szCs w:val="22"/>
                <w:highlight w:val="none"/>
                <w:u w:val="single"/>
                <w:lang w:val="en-US" w:eastAsia="zh-CN" w:bidi="ar-SA"/>
              </w:rPr>
              <w:t>8月</w:t>
            </w:r>
          </w:p>
        </w:tc>
        <w:tc>
          <w:tcPr>
            <w:tcW w:w="4015" w:type="dxa"/>
            <w:tcBorders>
              <w:tl2br w:val="nil"/>
              <w:tr2bl w:val="nil"/>
            </w:tcBorders>
            <w:shd w:val="clear" w:color="auto" w:fill="auto"/>
            <w:noWrap/>
            <w:vAlign w:val="center"/>
          </w:tcPr>
          <w:p w14:paraId="7C740514">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i/>
                <w:iCs/>
                <w:u w:val="single"/>
                <w:lang w:val="en-US" w:eastAsia="zh-CN"/>
              </w:rPr>
              <w:t>13.6</w:t>
            </w:r>
          </w:p>
        </w:tc>
        <w:tc>
          <w:tcPr>
            <w:tcW w:w="2172" w:type="pct"/>
            <w:tcBorders>
              <w:tl2br w:val="nil"/>
              <w:tr2bl w:val="nil"/>
            </w:tcBorders>
            <w:shd w:val="clear" w:color="auto" w:fill="auto"/>
            <w:noWrap/>
            <w:vAlign w:val="center"/>
          </w:tcPr>
          <w:p w14:paraId="01E52FB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i/>
                <w:iCs/>
                <w:color w:val="auto"/>
                <w:kern w:val="2"/>
                <w:sz w:val="22"/>
                <w:szCs w:val="22"/>
                <w:highlight w:val="none"/>
                <w:u w:val="single"/>
                <w:lang w:val="en-US" w:eastAsia="zh-CN" w:bidi="ar-SA"/>
              </w:rPr>
            </w:pPr>
            <w:r>
              <w:rPr>
                <w:rFonts w:hint="eastAsia" w:ascii="Times New Roman" w:hAnsi="Times New Roman" w:eastAsia="宋体" w:cs="Times New Roman"/>
                <w:i/>
                <w:iCs/>
                <w:color w:val="auto"/>
                <w:kern w:val="2"/>
                <w:sz w:val="22"/>
                <w:szCs w:val="22"/>
                <w:highlight w:val="none"/>
                <w:u w:val="single"/>
                <w:lang w:val="en-US" w:eastAsia="zh-CN" w:bidi="ar-SA"/>
              </w:rPr>
              <w:t>平水期</w:t>
            </w:r>
          </w:p>
        </w:tc>
      </w:tr>
      <w:tr w14:paraId="555C49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5160469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9月</w:t>
            </w:r>
          </w:p>
        </w:tc>
        <w:tc>
          <w:tcPr>
            <w:tcW w:w="4015" w:type="dxa"/>
            <w:tcBorders>
              <w:tl2br w:val="nil"/>
              <w:tr2bl w:val="nil"/>
            </w:tcBorders>
            <w:shd w:val="clear" w:color="auto" w:fill="auto"/>
            <w:noWrap/>
            <w:vAlign w:val="center"/>
          </w:tcPr>
          <w:p w14:paraId="47B38C40">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10</w:t>
            </w:r>
          </w:p>
        </w:tc>
        <w:tc>
          <w:tcPr>
            <w:tcW w:w="2172" w:type="pct"/>
            <w:tcBorders>
              <w:tl2br w:val="nil"/>
              <w:tr2bl w:val="nil"/>
            </w:tcBorders>
            <w:shd w:val="clear" w:color="auto" w:fill="auto"/>
            <w:noWrap/>
            <w:vAlign w:val="center"/>
          </w:tcPr>
          <w:p w14:paraId="0C38738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枯水期</w:t>
            </w:r>
          </w:p>
        </w:tc>
      </w:tr>
      <w:tr w14:paraId="05AA66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4A3C054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10月</w:t>
            </w:r>
          </w:p>
        </w:tc>
        <w:tc>
          <w:tcPr>
            <w:tcW w:w="4015" w:type="dxa"/>
            <w:tcBorders>
              <w:tl2br w:val="nil"/>
              <w:tr2bl w:val="nil"/>
            </w:tcBorders>
            <w:shd w:val="clear" w:color="auto" w:fill="auto"/>
            <w:noWrap/>
            <w:vAlign w:val="center"/>
          </w:tcPr>
          <w:p w14:paraId="7522B69B">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6.6</w:t>
            </w:r>
          </w:p>
        </w:tc>
        <w:tc>
          <w:tcPr>
            <w:tcW w:w="2172" w:type="pct"/>
            <w:tcBorders>
              <w:tl2br w:val="nil"/>
              <w:tr2bl w:val="nil"/>
            </w:tcBorders>
            <w:shd w:val="clear" w:color="auto" w:fill="auto"/>
            <w:noWrap/>
            <w:vAlign w:val="center"/>
          </w:tcPr>
          <w:p w14:paraId="545F8E4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枯水期</w:t>
            </w:r>
          </w:p>
        </w:tc>
      </w:tr>
      <w:tr w14:paraId="1A4010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6A7388F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11月</w:t>
            </w:r>
          </w:p>
        </w:tc>
        <w:tc>
          <w:tcPr>
            <w:tcW w:w="4015" w:type="dxa"/>
            <w:tcBorders>
              <w:tl2br w:val="nil"/>
              <w:tr2bl w:val="nil"/>
            </w:tcBorders>
            <w:shd w:val="clear" w:color="auto" w:fill="auto"/>
            <w:noWrap/>
            <w:vAlign w:val="center"/>
          </w:tcPr>
          <w:p w14:paraId="21C75205">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7.4</w:t>
            </w:r>
          </w:p>
        </w:tc>
        <w:tc>
          <w:tcPr>
            <w:tcW w:w="2172" w:type="pct"/>
            <w:tcBorders>
              <w:tl2br w:val="nil"/>
              <w:tr2bl w:val="nil"/>
            </w:tcBorders>
            <w:shd w:val="clear" w:color="auto" w:fill="auto"/>
            <w:noWrap/>
            <w:vAlign w:val="center"/>
          </w:tcPr>
          <w:p w14:paraId="2804ADD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枯水期</w:t>
            </w:r>
          </w:p>
        </w:tc>
      </w:tr>
      <w:tr w14:paraId="612248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23C85D9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12月</w:t>
            </w:r>
          </w:p>
        </w:tc>
        <w:tc>
          <w:tcPr>
            <w:tcW w:w="4015" w:type="dxa"/>
            <w:tcBorders>
              <w:tl2br w:val="nil"/>
              <w:tr2bl w:val="nil"/>
            </w:tcBorders>
            <w:shd w:val="clear" w:color="auto" w:fill="auto"/>
            <w:noWrap/>
            <w:vAlign w:val="center"/>
          </w:tcPr>
          <w:p w14:paraId="62DD4666">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5.2</w:t>
            </w:r>
          </w:p>
        </w:tc>
        <w:tc>
          <w:tcPr>
            <w:tcW w:w="2172" w:type="pct"/>
            <w:tcBorders>
              <w:tl2br w:val="nil"/>
              <w:tr2bl w:val="nil"/>
            </w:tcBorders>
            <w:shd w:val="clear" w:color="auto" w:fill="auto"/>
            <w:noWrap/>
            <w:vAlign w:val="center"/>
          </w:tcPr>
          <w:p w14:paraId="1E59AF4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枯水期</w:t>
            </w:r>
          </w:p>
        </w:tc>
      </w:tr>
    </w:tbl>
    <w:p w14:paraId="21F9DE3E">
      <w:pPr>
        <w:widowControl w:val="0"/>
        <w:pBdr>
          <w:top w:val="none" w:color="auto" w:sz="0" w:space="1"/>
          <w:left w:val="none" w:color="auto" w:sz="0" w:space="4"/>
          <w:bottom w:val="none" w:color="auto" w:sz="0" w:space="1"/>
          <w:right w:val="none" w:color="auto" w:sz="0" w:space="4"/>
        </w:pBdr>
        <w:bidi w:val="0"/>
        <w:spacing w:line="240" w:lineRule="auto"/>
        <w:jc w:val="left"/>
        <w:rPr>
          <w:rFonts w:hint="default" w:ascii="Times New Roman" w:hAnsi="Times New Roman" w:eastAsia="宋体" w:cs="Times New Roman"/>
          <w:color w:val="auto"/>
          <w:kern w:val="2"/>
          <w:sz w:val="22"/>
          <w:szCs w:val="22"/>
          <w:highlight w:val="none"/>
          <w:u w:val="single"/>
          <w:lang w:val="en-US" w:eastAsia="zh-CN" w:bidi="ar-SA"/>
        </w:rPr>
      </w:pPr>
      <w:r>
        <w:rPr>
          <w:rFonts w:hint="eastAsia" w:ascii="Times New Roman" w:hAnsi="Times New Roman" w:eastAsia="宋体" w:cs="Times New Roman"/>
          <w:color w:val="auto"/>
          <w:kern w:val="2"/>
          <w:sz w:val="22"/>
          <w:szCs w:val="22"/>
          <w:highlight w:val="none"/>
          <w:u w:val="single"/>
          <w:lang w:val="en-US" w:eastAsia="zh-CN" w:bidi="ar-SA"/>
        </w:rPr>
        <w:t>注：水期划分为枯水期（1~2月、9~12月）、平水期（3~4月、8月）、丰水期（5~7月）。</w:t>
      </w:r>
    </w:p>
    <w:p w14:paraId="42DFF65E">
      <w:pPr>
        <w:pStyle w:val="28"/>
        <w:bidi w:val="0"/>
        <w:rPr>
          <w:rFonts w:hint="eastAsia"/>
          <w:color w:val="auto"/>
          <w:highlight w:val="none"/>
          <w:u w:val="single"/>
          <w:lang w:val="en-US" w:eastAsia="zh-CN"/>
        </w:rPr>
      </w:pPr>
      <w:r>
        <w:rPr>
          <w:rFonts w:hint="default"/>
          <w:color w:val="auto"/>
          <w:highlight w:val="none"/>
          <w:u w:val="single"/>
          <w:lang w:val="en-US" w:eastAsia="zh-CN"/>
        </w:rPr>
        <w:t>表</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表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14</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w:t>
      </w:r>
      <w:r>
        <w:rPr>
          <w:rFonts w:hint="eastAsia"/>
          <w:color w:val="auto"/>
          <w:highlight w:val="none"/>
          <w:u w:val="single"/>
          <w:lang w:val="en-US" w:eastAsia="zh-CN"/>
        </w:rPr>
        <w:t>废石场淋溶水各水期产生情况一览表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756"/>
        <w:gridCol w:w="3874"/>
        <w:gridCol w:w="2608"/>
      </w:tblGrid>
      <w:tr w14:paraId="3760D6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6" w:hRule="atLeast"/>
        </w:trPr>
        <w:tc>
          <w:tcPr>
            <w:tcW w:w="1491" w:type="pct"/>
            <w:tcBorders>
              <w:tl2br w:val="nil"/>
              <w:tr2bl w:val="nil"/>
            </w:tcBorders>
            <w:shd w:val="clear" w:color="auto" w:fill="auto"/>
            <w:noWrap/>
            <w:vAlign w:val="center"/>
          </w:tcPr>
          <w:p w14:paraId="079356CD">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季节</w:t>
            </w:r>
          </w:p>
        </w:tc>
        <w:tc>
          <w:tcPr>
            <w:tcW w:w="2096" w:type="pct"/>
            <w:tcBorders>
              <w:tl2br w:val="nil"/>
              <w:tr2bl w:val="nil"/>
            </w:tcBorders>
            <w:shd w:val="clear" w:color="auto" w:fill="auto"/>
            <w:noWrap/>
            <w:vAlign w:val="center"/>
          </w:tcPr>
          <w:p w14:paraId="11EE736C">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编号</w:t>
            </w:r>
          </w:p>
        </w:tc>
        <w:tc>
          <w:tcPr>
            <w:tcW w:w="1411" w:type="pct"/>
            <w:tcBorders>
              <w:tl2br w:val="nil"/>
              <w:tr2bl w:val="nil"/>
            </w:tcBorders>
            <w:shd w:val="clear" w:color="auto" w:fill="auto"/>
            <w:noWrap/>
            <w:vAlign w:val="center"/>
          </w:tcPr>
          <w:p w14:paraId="4FEA6A44">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流量</w:t>
            </w:r>
          </w:p>
          <w:p w14:paraId="5DA5E118">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default"/>
                <w:color w:val="auto"/>
                <w:highlight w:val="none"/>
                <w:u w:val="single"/>
                <w:lang w:val="en-US" w:eastAsia="zh-CN"/>
              </w:rPr>
              <w:t>/d)</w:t>
            </w:r>
          </w:p>
        </w:tc>
      </w:tr>
      <w:tr w14:paraId="658280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1491" w:type="pct"/>
            <w:tcBorders>
              <w:tl2br w:val="nil"/>
              <w:tr2bl w:val="nil"/>
            </w:tcBorders>
            <w:shd w:val="clear" w:color="auto" w:fill="auto"/>
            <w:noWrap/>
            <w:vAlign w:val="center"/>
          </w:tcPr>
          <w:p w14:paraId="58E4CD69">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枯水期</w:t>
            </w:r>
          </w:p>
        </w:tc>
        <w:tc>
          <w:tcPr>
            <w:tcW w:w="2096" w:type="pct"/>
            <w:tcBorders>
              <w:tl2br w:val="nil"/>
              <w:tr2bl w:val="nil"/>
            </w:tcBorders>
            <w:shd w:val="clear" w:color="auto" w:fill="auto"/>
            <w:noWrap/>
            <w:vAlign w:val="center"/>
          </w:tcPr>
          <w:p w14:paraId="3AFC195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废石场淋溶水</w:t>
            </w:r>
          </w:p>
        </w:tc>
        <w:tc>
          <w:tcPr>
            <w:tcW w:w="1411" w:type="pct"/>
            <w:tcBorders>
              <w:tl2br w:val="nil"/>
              <w:tr2bl w:val="nil"/>
            </w:tcBorders>
            <w:shd w:val="clear" w:color="auto" w:fill="auto"/>
            <w:noWrap/>
            <w:vAlign w:val="center"/>
          </w:tcPr>
          <w:p w14:paraId="20B4A31F">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7.3</w:t>
            </w:r>
          </w:p>
        </w:tc>
      </w:tr>
      <w:tr w14:paraId="315E4F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1491" w:type="pct"/>
            <w:tcBorders>
              <w:tl2br w:val="nil"/>
              <w:tr2bl w:val="nil"/>
            </w:tcBorders>
            <w:shd w:val="clear" w:color="auto" w:fill="auto"/>
            <w:noWrap/>
            <w:vAlign w:val="center"/>
          </w:tcPr>
          <w:p w14:paraId="3A7D3B38">
            <w:pPr>
              <w:pStyle w:val="26"/>
              <w:keepNext w:val="0"/>
              <w:keepLines w:val="0"/>
              <w:suppressLineNumbers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平水期</w:t>
            </w:r>
          </w:p>
        </w:tc>
        <w:tc>
          <w:tcPr>
            <w:tcW w:w="2096" w:type="pct"/>
            <w:tcBorders>
              <w:tl2br w:val="nil"/>
              <w:tr2bl w:val="nil"/>
            </w:tcBorders>
            <w:shd w:val="clear" w:color="auto" w:fill="auto"/>
            <w:noWrap/>
            <w:vAlign w:val="center"/>
          </w:tcPr>
          <w:p w14:paraId="3A08EFA1">
            <w:pPr>
              <w:pStyle w:val="26"/>
              <w:keepNext w:val="0"/>
              <w:keepLines w:val="0"/>
              <w:suppressLineNumbers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废石场淋溶水</w:t>
            </w:r>
          </w:p>
        </w:tc>
        <w:tc>
          <w:tcPr>
            <w:tcW w:w="1411" w:type="pct"/>
            <w:tcBorders>
              <w:tl2br w:val="nil"/>
              <w:tr2bl w:val="nil"/>
            </w:tcBorders>
            <w:shd w:val="clear" w:color="auto" w:fill="auto"/>
            <w:noWrap/>
            <w:vAlign w:val="center"/>
          </w:tcPr>
          <w:p w14:paraId="2D6C6E60">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17.4</w:t>
            </w:r>
          </w:p>
        </w:tc>
      </w:tr>
      <w:tr w14:paraId="7972A5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491" w:type="pct"/>
            <w:tcBorders>
              <w:tl2br w:val="nil"/>
              <w:tr2bl w:val="nil"/>
            </w:tcBorders>
            <w:shd w:val="clear" w:color="auto" w:fill="auto"/>
            <w:noWrap/>
            <w:vAlign w:val="center"/>
          </w:tcPr>
          <w:p w14:paraId="7A6463C4">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丰水期</w:t>
            </w:r>
          </w:p>
        </w:tc>
        <w:tc>
          <w:tcPr>
            <w:tcW w:w="2096" w:type="pct"/>
            <w:tcBorders>
              <w:tl2br w:val="nil"/>
              <w:tr2bl w:val="nil"/>
            </w:tcBorders>
            <w:shd w:val="clear" w:color="auto" w:fill="auto"/>
            <w:noWrap/>
            <w:vAlign w:val="center"/>
          </w:tcPr>
          <w:p w14:paraId="023E146C">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废石场淋溶水</w:t>
            </w:r>
          </w:p>
        </w:tc>
        <w:tc>
          <w:tcPr>
            <w:tcW w:w="1411" w:type="pct"/>
            <w:tcBorders>
              <w:tl2br w:val="nil"/>
              <w:tr2bl w:val="nil"/>
            </w:tcBorders>
            <w:shd w:val="clear" w:color="auto" w:fill="auto"/>
            <w:noWrap/>
            <w:vAlign w:val="center"/>
          </w:tcPr>
          <w:p w14:paraId="4DBA10CE">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30.7</w:t>
            </w:r>
          </w:p>
        </w:tc>
      </w:tr>
    </w:tbl>
    <w:p w14:paraId="7C00D7A8">
      <w:pPr>
        <w:pStyle w:val="2"/>
        <w:bidi w:val="0"/>
        <w:rPr>
          <w:rFonts w:hint="eastAsia"/>
          <w:lang w:val="en-US" w:eastAsia="zh-CN"/>
        </w:rPr>
      </w:pPr>
    </w:p>
    <w:p w14:paraId="0BC85C5E">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color w:val="auto"/>
          <w:highlight w:val="none"/>
          <w:lang w:val="en-US" w:eastAsia="zh-CN"/>
        </w:rPr>
      </w:pPr>
      <w:r>
        <w:rPr>
          <w:rFonts w:hint="eastAsia"/>
          <w:color w:val="auto"/>
          <w:highlight w:val="none"/>
          <w:lang w:val="en-US" w:eastAsia="zh-CN"/>
        </w:rPr>
        <w:t>（5）充填系统</w:t>
      </w:r>
    </w:p>
    <w:p w14:paraId="0AB1BFAF">
      <w:pPr>
        <w:pStyle w:val="2"/>
        <w:bidi w:val="0"/>
        <w:rPr>
          <w:rFonts w:hint="eastAsia"/>
          <w:color w:val="auto"/>
          <w:highlight w:val="none"/>
          <w:lang w:val="en-US" w:eastAsia="zh-CN"/>
        </w:rPr>
      </w:pPr>
      <w:r>
        <w:rPr>
          <w:rFonts w:hint="eastAsia"/>
          <w:color w:val="auto"/>
          <w:highlight w:val="none"/>
          <w:lang w:val="en-US" w:eastAsia="zh-CN"/>
        </w:rPr>
        <w:t>充填系统耗水量为59.8m</w:t>
      </w:r>
      <w:r>
        <w:rPr>
          <w:rFonts w:hint="eastAsia"/>
          <w:color w:val="auto"/>
          <w:highlight w:val="none"/>
          <w:vertAlign w:val="superscript"/>
          <w:lang w:val="en-US" w:eastAsia="zh-CN"/>
        </w:rPr>
        <w:t>3</w:t>
      </w:r>
      <w:r>
        <w:rPr>
          <w:rFonts w:hint="eastAsia"/>
          <w:color w:val="auto"/>
          <w:highlight w:val="none"/>
          <w:lang w:val="en-US" w:eastAsia="zh-CN"/>
        </w:rPr>
        <w:t>/d，其中1m</w:t>
      </w:r>
      <w:r>
        <w:rPr>
          <w:rFonts w:hint="eastAsia"/>
          <w:color w:val="auto"/>
          <w:highlight w:val="none"/>
          <w:vertAlign w:val="superscript"/>
          <w:lang w:val="en-US" w:eastAsia="zh-CN"/>
        </w:rPr>
        <w:t>3</w:t>
      </w:r>
      <w:r>
        <w:rPr>
          <w:rFonts w:hint="eastAsia"/>
          <w:color w:val="auto"/>
          <w:highlight w:val="none"/>
          <w:lang w:val="en-US" w:eastAsia="zh-CN"/>
        </w:rPr>
        <w:t>/d为管道清洗消耗水量，58.5m</w:t>
      </w:r>
      <w:r>
        <w:rPr>
          <w:rFonts w:hint="eastAsia"/>
          <w:color w:val="auto"/>
          <w:highlight w:val="none"/>
          <w:vertAlign w:val="superscript"/>
          <w:lang w:val="en-US" w:eastAsia="zh-CN"/>
        </w:rPr>
        <w:t>3</w:t>
      </w:r>
      <w:r>
        <w:rPr>
          <w:rFonts w:hint="eastAsia"/>
          <w:color w:val="auto"/>
          <w:highlight w:val="none"/>
          <w:lang w:val="en-US" w:eastAsia="zh-CN"/>
        </w:rPr>
        <w:t>/d充填体消耗水量，0.3m</w:t>
      </w:r>
      <w:r>
        <w:rPr>
          <w:rFonts w:hint="eastAsia"/>
          <w:color w:val="auto"/>
          <w:highlight w:val="none"/>
          <w:vertAlign w:val="superscript"/>
          <w:lang w:val="en-US" w:eastAsia="zh-CN"/>
        </w:rPr>
        <w:t>3</w:t>
      </w:r>
      <w:r>
        <w:rPr>
          <w:rFonts w:hint="eastAsia"/>
          <w:color w:val="auto"/>
          <w:highlight w:val="none"/>
          <w:lang w:val="en-US" w:eastAsia="zh-CN"/>
        </w:rPr>
        <w:t>/d为地面设备清洗消耗水量。</w:t>
      </w:r>
    </w:p>
    <w:p w14:paraId="3E762B64">
      <w:pPr>
        <w:pStyle w:val="2"/>
        <w:keepNext w:val="0"/>
        <w:keepLines w:val="0"/>
        <w:pageBreakBefore w:val="0"/>
        <w:widowControl w:val="0"/>
        <w:kinsoku/>
        <w:wordWrap/>
        <w:overflowPunct/>
        <w:topLinePunct w:val="0"/>
        <w:autoSpaceDE/>
        <w:autoSpaceDN/>
        <w:bidi w:val="0"/>
        <w:adjustRightInd/>
        <w:snapToGrid/>
        <w:textAlignment w:val="auto"/>
        <w:outlineLvl w:val="4"/>
        <w:rPr>
          <w:rFonts w:hint="eastAsia"/>
          <w:color w:val="auto"/>
          <w:highlight w:val="none"/>
          <w:lang w:val="en-US" w:eastAsia="zh-CN"/>
        </w:rPr>
      </w:pPr>
      <w:r>
        <w:rPr>
          <w:rFonts w:hint="eastAsia"/>
          <w:color w:val="auto"/>
          <w:highlight w:val="none"/>
          <w:lang w:val="en-US" w:eastAsia="zh-CN"/>
        </w:rPr>
        <w:t>（6）老尾矿库</w:t>
      </w:r>
    </w:p>
    <w:p w14:paraId="55737E9B">
      <w:pPr>
        <w:pStyle w:val="2"/>
        <w:bidi w:val="0"/>
        <w:rPr>
          <w:rFonts w:hint="default"/>
          <w:color w:val="auto"/>
          <w:highlight w:val="none"/>
          <w:lang w:val="en-US" w:eastAsia="zh-CN"/>
        </w:rPr>
      </w:pPr>
      <w:r>
        <w:rPr>
          <w:rFonts w:hint="eastAsia"/>
          <w:color w:val="auto"/>
          <w:highlight w:val="none"/>
          <w:lang w:val="en-US" w:eastAsia="zh-CN"/>
        </w:rPr>
        <w:t>矿山老尾矿库位于废水处理站上游，已闭库，初期坝尚有少量渗滤液渗出。渣滓溪矿业将老尾矿库渗滤液收集后排入矿山废水处理站处理。本次论证采用距离项目选址30km处的梧桐水文站作为参证站，引用其各月年内分配系数计算各月流量，再计算日均流量。各月日均流量见下</w:t>
      </w:r>
      <w:r>
        <w:rPr>
          <w:rFonts w:hint="eastAsia"/>
          <w:color w:val="auto"/>
          <w:highlight w:val="none"/>
          <w:lang w:val="en-US" w:eastAsia="zh-CN"/>
        </w:rPr>
        <w:fldChar w:fldCharType="begin"/>
      </w:r>
      <w:r>
        <w:rPr>
          <w:rFonts w:hint="eastAsia"/>
          <w:color w:val="auto"/>
          <w:highlight w:val="none"/>
          <w:lang w:val="en-US" w:eastAsia="zh-CN"/>
        </w:rPr>
        <w:instrText xml:space="preserve"> REF _Ref13583 \h </w:instrText>
      </w:r>
      <w:r>
        <w:rPr>
          <w:rFonts w:hint="eastAsia"/>
          <w:color w:val="auto"/>
          <w:highlight w:val="none"/>
          <w:lang w:val="en-US" w:eastAsia="zh-CN"/>
        </w:rPr>
        <w:fldChar w:fldCharType="separate"/>
      </w: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–15</w:t>
      </w:r>
      <w:r>
        <w:rPr>
          <w:rFonts w:hint="eastAsia"/>
          <w:color w:val="auto"/>
          <w:highlight w:val="none"/>
          <w:lang w:val="en-US" w:eastAsia="zh-CN"/>
        </w:rPr>
        <w:fldChar w:fldCharType="end"/>
      </w:r>
      <w:r>
        <w:rPr>
          <w:rFonts w:hint="eastAsia"/>
          <w:color w:val="auto"/>
          <w:highlight w:val="none"/>
          <w:lang w:val="en-US" w:eastAsia="zh-CN"/>
        </w:rPr>
        <w:t>，枯水期日均流量为33.3m</w:t>
      </w:r>
      <w:r>
        <w:rPr>
          <w:rFonts w:hint="eastAsia"/>
          <w:color w:val="auto"/>
          <w:highlight w:val="none"/>
          <w:vertAlign w:val="superscript"/>
          <w:lang w:val="en-US" w:eastAsia="zh-CN"/>
        </w:rPr>
        <w:t>3</w:t>
      </w:r>
      <w:r>
        <w:rPr>
          <w:rFonts w:hint="eastAsia"/>
          <w:color w:val="auto"/>
          <w:highlight w:val="none"/>
          <w:lang w:val="en-US" w:eastAsia="zh-CN"/>
        </w:rPr>
        <w:t>/d，平水期日均流量为79.1m</w:t>
      </w:r>
      <w:r>
        <w:rPr>
          <w:rFonts w:hint="eastAsia"/>
          <w:color w:val="auto"/>
          <w:highlight w:val="none"/>
          <w:vertAlign w:val="superscript"/>
          <w:lang w:val="en-US" w:eastAsia="zh-CN"/>
        </w:rPr>
        <w:t>3</w:t>
      </w:r>
      <w:r>
        <w:rPr>
          <w:rFonts w:hint="eastAsia"/>
          <w:color w:val="auto"/>
          <w:highlight w:val="none"/>
          <w:lang w:val="en-US" w:eastAsia="zh-CN"/>
        </w:rPr>
        <w:t>/d，丰水期日均流量为140.1m</w:t>
      </w:r>
      <w:r>
        <w:rPr>
          <w:rFonts w:hint="eastAsia"/>
          <w:color w:val="auto"/>
          <w:highlight w:val="none"/>
          <w:vertAlign w:val="superscript"/>
          <w:lang w:val="en-US" w:eastAsia="zh-CN"/>
        </w:rPr>
        <w:t>3</w:t>
      </w:r>
      <w:r>
        <w:rPr>
          <w:rFonts w:hint="eastAsia"/>
          <w:color w:val="auto"/>
          <w:highlight w:val="none"/>
          <w:lang w:val="en-US" w:eastAsia="zh-CN"/>
        </w:rPr>
        <w:t>/d。</w:t>
      </w:r>
    </w:p>
    <w:p w14:paraId="66C66155">
      <w:pPr>
        <w:pStyle w:val="28"/>
        <w:bidi w:val="0"/>
        <w:rPr>
          <w:rFonts w:hint="eastAsia"/>
          <w:color w:val="auto"/>
          <w:highlight w:val="none"/>
          <w:lang w:val="en-US" w:eastAsia="zh-CN"/>
        </w:rPr>
      </w:pPr>
      <w:bookmarkStart w:id="29" w:name="_Ref13583"/>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15</w:t>
      </w:r>
      <w:r>
        <w:rPr>
          <w:rFonts w:hint="default"/>
          <w:color w:val="auto"/>
          <w:highlight w:val="none"/>
          <w:lang w:val="en-US" w:eastAsia="zh-CN"/>
        </w:rPr>
        <w:fldChar w:fldCharType="end"/>
      </w:r>
      <w:bookmarkEnd w:id="29"/>
      <w:r>
        <w:rPr>
          <w:rFonts w:hint="default"/>
          <w:color w:val="auto"/>
          <w:highlight w:val="none"/>
          <w:lang w:val="en-US" w:eastAsia="zh-CN"/>
        </w:rPr>
        <w:t xml:space="preserve">  </w:t>
      </w:r>
      <w:r>
        <w:rPr>
          <w:rFonts w:hint="eastAsia"/>
          <w:color w:val="auto"/>
          <w:highlight w:val="none"/>
          <w:lang w:val="en-US" w:eastAsia="zh-CN"/>
        </w:rPr>
        <w:t>老尾矿库各月渗滤液产生量一览表</w:t>
      </w:r>
    </w:p>
    <w:tbl>
      <w:tblPr>
        <w:tblStyle w:val="2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10"/>
        <w:gridCol w:w="4015"/>
        <w:gridCol w:w="4015"/>
      </w:tblGrid>
      <w:tr w14:paraId="66BE39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655" w:type="pct"/>
            <w:tcBorders>
              <w:tl2br w:val="nil"/>
              <w:tr2bl w:val="nil"/>
            </w:tcBorders>
            <w:shd w:val="clear" w:color="auto" w:fill="auto"/>
            <w:noWrap/>
            <w:vAlign w:val="center"/>
          </w:tcPr>
          <w:p w14:paraId="000CC23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月份</w:t>
            </w:r>
          </w:p>
        </w:tc>
        <w:tc>
          <w:tcPr>
            <w:tcW w:w="2172" w:type="pct"/>
            <w:tcBorders>
              <w:tl2br w:val="nil"/>
              <w:tr2bl w:val="nil"/>
            </w:tcBorders>
            <w:shd w:val="clear" w:color="auto" w:fill="auto"/>
            <w:noWrap/>
            <w:vAlign w:val="center"/>
          </w:tcPr>
          <w:p w14:paraId="50079F0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渗滤液产生量</w:t>
            </w:r>
            <w:r>
              <w:rPr>
                <w:rFonts w:hint="default" w:ascii="Times New Roman" w:hAnsi="Times New Roman" w:eastAsia="宋体" w:cs="Times New Roman"/>
                <w:color w:val="auto"/>
                <w:kern w:val="2"/>
                <w:sz w:val="22"/>
                <w:szCs w:val="22"/>
                <w:highlight w:val="none"/>
                <w:lang w:val="en-US" w:eastAsia="zh-CN" w:bidi="ar-SA"/>
              </w:rPr>
              <w:t>(</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default" w:ascii="Times New Roman" w:hAnsi="Times New Roman" w:eastAsia="宋体" w:cs="Times New Roman"/>
                <w:color w:val="auto"/>
                <w:kern w:val="2"/>
                <w:sz w:val="22"/>
                <w:szCs w:val="22"/>
                <w:highlight w:val="none"/>
                <w:lang w:val="en-US" w:eastAsia="zh-CN" w:bidi="ar-SA"/>
              </w:rPr>
              <w:t>/d)</w:t>
            </w:r>
          </w:p>
        </w:tc>
        <w:tc>
          <w:tcPr>
            <w:tcW w:w="2172" w:type="pct"/>
            <w:tcBorders>
              <w:tl2br w:val="nil"/>
              <w:tr2bl w:val="nil"/>
            </w:tcBorders>
            <w:shd w:val="clear" w:color="auto" w:fill="auto"/>
            <w:noWrap/>
            <w:vAlign w:val="center"/>
          </w:tcPr>
          <w:p w14:paraId="01DB7C4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备注</w:t>
            </w:r>
          </w:p>
        </w:tc>
      </w:tr>
      <w:tr w14:paraId="7AF5AC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655" w:type="pct"/>
            <w:tcBorders>
              <w:tl2br w:val="nil"/>
              <w:tr2bl w:val="nil"/>
            </w:tcBorders>
            <w:shd w:val="clear" w:color="auto" w:fill="auto"/>
            <w:noWrap/>
            <w:vAlign w:val="center"/>
          </w:tcPr>
          <w:p w14:paraId="1CC6F9E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1月</w:t>
            </w:r>
          </w:p>
        </w:tc>
        <w:tc>
          <w:tcPr>
            <w:tcW w:w="4015" w:type="dxa"/>
            <w:tcBorders>
              <w:tl2br w:val="nil"/>
              <w:tr2bl w:val="nil"/>
            </w:tcBorders>
            <w:shd w:val="clear" w:color="auto" w:fill="auto"/>
            <w:noWrap/>
            <w:vAlign w:val="center"/>
          </w:tcPr>
          <w:p w14:paraId="5A9D23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26.3</w:t>
            </w:r>
          </w:p>
        </w:tc>
        <w:tc>
          <w:tcPr>
            <w:tcW w:w="2172" w:type="pct"/>
            <w:tcBorders>
              <w:tl2br w:val="nil"/>
              <w:tr2bl w:val="nil"/>
            </w:tcBorders>
            <w:shd w:val="clear" w:color="auto" w:fill="auto"/>
            <w:noWrap/>
            <w:vAlign w:val="center"/>
          </w:tcPr>
          <w:p w14:paraId="58303BE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r w14:paraId="097E17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273707B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2月</w:t>
            </w:r>
          </w:p>
        </w:tc>
        <w:tc>
          <w:tcPr>
            <w:tcW w:w="4015" w:type="dxa"/>
            <w:tcBorders>
              <w:tl2br w:val="nil"/>
              <w:tr2bl w:val="nil"/>
            </w:tcBorders>
            <w:shd w:val="clear" w:color="auto" w:fill="auto"/>
            <w:noWrap/>
            <w:vAlign w:val="center"/>
          </w:tcPr>
          <w:p w14:paraId="2993A8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39.9</w:t>
            </w:r>
          </w:p>
        </w:tc>
        <w:tc>
          <w:tcPr>
            <w:tcW w:w="2172" w:type="pct"/>
            <w:tcBorders>
              <w:tl2br w:val="nil"/>
              <w:tr2bl w:val="nil"/>
            </w:tcBorders>
            <w:shd w:val="clear" w:color="auto" w:fill="auto"/>
            <w:noWrap/>
            <w:vAlign w:val="center"/>
          </w:tcPr>
          <w:p w14:paraId="52BBD62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r w14:paraId="5D4810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117F5A2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3月</w:t>
            </w:r>
          </w:p>
        </w:tc>
        <w:tc>
          <w:tcPr>
            <w:tcW w:w="4015" w:type="dxa"/>
            <w:tcBorders>
              <w:tl2br w:val="nil"/>
              <w:tr2bl w:val="nil"/>
            </w:tcBorders>
            <w:shd w:val="clear" w:color="auto" w:fill="auto"/>
            <w:noWrap/>
            <w:vAlign w:val="center"/>
          </w:tcPr>
          <w:p w14:paraId="6B367E68">
            <w:pPr>
              <w:pStyle w:val="26"/>
              <w:keepNext w:val="0"/>
              <w:keepLines w:val="0"/>
              <w:suppressLineNumbers w:val="0"/>
              <w:bidi w:val="0"/>
              <w:spacing w:before="0" w:beforeAutospacing="0" w:after="0" w:afterAutospacing="0"/>
              <w:ind w:left="0" w:right="0"/>
              <w:rPr>
                <w:rFonts w:hint="default"/>
                <w:i/>
                <w:iCs/>
                <w:color w:val="auto"/>
                <w:highlight w:val="none"/>
                <w:lang w:val="en-US" w:eastAsia="zh-CN"/>
              </w:rPr>
            </w:pPr>
            <w:r>
              <w:rPr>
                <w:rFonts w:hint="eastAsia"/>
                <w:i/>
                <w:iCs/>
                <w:color w:val="auto"/>
                <w:highlight w:val="none"/>
                <w:lang w:val="en-US" w:eastAsia="zh-CN"/>
              </w:rPr>
              <w:t>72.7</w:t>
            </w:r>
          </w:p>
        </w:tc>
        <w:tc>
          <w:tcPr>
            <w:tcW w:w="2172" w:type="pct"/>
            <w:tcBorders>
              <w:tl2br w:val="nil"/>
              <w:tr2bl w:val="nil"/>
            </w:tcBorders>
            <w:shd w:val="clear" w:color="auto" w:fill="auto"/>
            <w:noWrap/>
            <w:vAlign w:val="center"/>
          </w:tcPr>
          <w:p w14:paraId="37DCEF0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平水期</w:t>
            </w:r>
          </w:p>
        </w:tc>
      </w:tr>
      <w:tr w14:paraId="5DD396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7488B0B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4月</w:t>
            </w:r>
          </w:p>
        </w:tc>
        <w:tc>
          <w:tcPr>
            <w:tcW w:w="4015" w:type="dxa"/>
            <w:tcBorders>
              <w:tl2br w:val="nil"/>
              <w:tr2bl w:val="nil"/>
            </w:tcBorders>
            <w:shd w:val="clear" w:color="auto" w:fill="auto"/>
            <w:noWrap/>
            <w:vAlign w:val="center"/>
          </w:tcPr>
          <w:p w14:paraId="3F62FC67">
            <w:pPr>
              <w:pStyle w:val="26"/>
              <w:keepNext w:val="0"/>
              <w:keepLines w:val="0"/>
              <w:suppressLineNumbers w:val="0"/>
              <w:bidi w:val="0"/>
              <w:spacing w:before="0" w:beforeAutospacing="0" w:after="0" w:afterAutospacing="0"/>
              <w:ind w:left="0" w:right="0"/>
              <w:rPr>
                <w:rFonts w:hint="default"/>
                <w:i/>
                <w:iCs/>
                <w:color w:val="auto"/>
                <w:highlight w:val="none"/>
                <w:lang w:val="en-US" w:eastAsia="zh-CN"/>
              </w:rPr>
            </w:pPr>
            <w:r>
              <w:rPr>
                <w:rFonts w:hint="eastAsia"/>
                <w:i/>
                <w:iCs/>
                <w:color w:val="auto"/>
                <w:highlight w:val="none"/>
                <w:lang w:val="en-US" w:eastAsia="zh-CN"/>
              </w:rPr>
              <w:t>102.6</w:t>
            </w:r>
          </w:p>
        </w:tc>
        <w:tc>
          <w:tcPr>
            <w:tcW w:w="2172" w:type="pct"/>
            <w:tcBorders>
              <w:tl2br w:val="nil"/>
              <w:tr2bl w:val="nil"/>
            </w:tcBorders>
            <w:shd w:val="clear" w:color="auto" w:fill="auto"/>
            <w:noWrap/>
            <w:vAlign w:val="center"/>
          </w:tcPr>
          <w:p w14:paraId="2A3BC9C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平水期</w:t>
            </w:r>
          </w:p>
        </w:tc>
      </w:tr>
      <w:tr w14:paraId="44B7BE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2152748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5月</w:t>
            </w:r>
          </w:p>
        </w:tc>
        <w:tc>
          <w:tcPr>
            <w:tcW w:w="4015" w:type="dxa"/>
            <w:tcBorders>
              <w:tl2br w:val="nil"/>
              <w:tr2bl w:val="nil"/>
            </w:tcBorders>
            <w:shd w:val="clear" w:color="auto" w:fill="auto"/>
            <w:noWrap/>
            <w:vAlign w:val="center"/>
          </w:tcPr>
          <w:p w14:paraId="4DEC915C">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129.1</w:t>
            </w:r>
          </w:p>
        </w:tc>
        <w:tc>
          <w:tcPr>
            <w:tcW w:w="2172" w:type="pct"/>
            <w:tcBorders>
              <w:tl2br w:val="nil"/>
              <w:tr2bl w:val="nil"/>
            </w:tcBorders>
            <w:shd w:val="clear" w:color="auto" w:fill="auto"/>
            <w:noWrap/>
            <w:vAlign w:val="center"/>
          </w:tcPr>
          <w:p w14:paraId="514C4F9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丰水期</w:t>
            </w:r>
          </w:p>
        </w:tc>
      </w:tr>
      <w:tr w14:paraId="45BADF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657FB1E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6月</w:t>
            </w:r>
          </w:p>
        </w:tc>
        <w:tc>
          <w:tcPr>
            <w:tcW w:w="4015" w:type="dxa"/>
            <w:tcBorders>
              <w:tl2br w:val="nil"/>
              <w:tr2bl w:val="nil"/>
            </w:tcBorders>
            <w:shd w:val="clear" w:color="auto" w:fill="auto"/>
            <w:noWrap/>
            <w:vAlign w:val="center"/>
          </w:tcPr>
          <w:p w14:paraId="040A317E">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145.0</w:t>
            </w:r>
          </w:p>
        </w:tc>
        <w:tc>
          <w:tcPr>
            <w:tcW w:w="2172" w:type="pct"/>
            <w:tcBorders>
              <w:tl2br w:val="nil"/>
              <w:tr2bl w:val="nil"/>
            </w:tcBorders>
            <w:shd w:val="clear" w:color="auto" w:fill="auto"/>
            <w:noWrap/>
            <w:vAlign w:val="center"/>
          </w:tcPr>
          <w:p w14:paraId="0FDCD03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丰水期</w:t>
            </w:r>
          </w:p>
        </w:tc>
      </w:tr>
      <w:tr w14:paraId="4BF3BA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16BAEAE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7月</w:t>
            </w:r>
          </w:p>
        </w:tc>
        <w:tc>
          <w:tcPr>
            <w:tcW w:w="4015" w:type="dxa"/>
            <w:tcBorders>
              <w:tl2br w:val="nil"/>
              <w:tr2bl w:val="nil"/>
            </w:tcBorders>
            <w:shd w:val="clear" w:color="auto" w:fill="auto"/>
            <w:noWrap/>
            <w:vAlign w:val="center"/>
          </w:tcPr>
          <w:p w14:paraId="4B92540B">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146.3</w:t>
            </w:r>
          </w:p>
        </w:tc>
        <w:tc>
          <w:tcPr>
            <w:tcW w:w="2172" w:type="pct"/>
            <w:tcBorders>
              <w:tl2br w:val="nil"/>
              <w:tr2bl w:val="nil"/>
            </w:tcBorders>
            <w:shd w:val="clear" w:color="auto" w:fill="auto"/>
            <w:noWrap/>
            <w:vAlign w:val="center"/>
          </w:tcPr>
          <w:p w14:paraId="2754F3C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丰水期</w:t>
            </w:r>
          </w:p>
        </w:tc>
      </w:tr>
      <w:tr w14:paraId="280297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7" w:hRule="atLeast"/>
        </w:trPr>
        <w:tc>
          <w:tcPr>
            <w:tcW w:w="655" w:type="pct"/>
            <w:tcBorders>
              <w:tl2br w:val="nil"/>
              <w:tr2bl w:val="nil"/>
            </w:tcBorders>
            <w:shd w:val="clear" w:color="auto" w:fill="auto"/>
            <w:noWrap/>
            <w:vAlign w:val="center"/>
          </w:tcPr>
          <w:p w14:paraId="36D8193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8月</w:t>
            </w:r>
          </w:p>
        </w:tc>
        <w:tc>
          <w:tcPr>
            <w:tcW w:w="4015" w:type="dxa"/>
            <w:tcBorders>
              <w:tl2br w:val="nil"/>
              <w:tr2bl w:val="nil"/>
            </w:tcBorders>
            <w:shd w:val="clear" w:color="auto" w:fill="auto"/>
            <w:noWrap/>
            <w:vAlign w:val="center"/>
          </w:tcPr>
          <w:p w14:paraId="21CF67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i/>
                <w:iCs/>
                <w:color w:val="auto"/>
                <w:highlight w:val="none"/>
                <w:lang w:val="en-US" w:eastAsia="zh-CN"/>
              </w:rPr>
              <w:t>62.0</w:t>
            </w:r>
          </w:p>
        </w:tc>
        <w:tc>
          <w:tcPr>
            <w:tcW w:w="2172" w:type="pct"/>
            <w:tcBorders>
              <w:tl2br w:val="nil"/>
              <w:tr2bl w:val="nil"/>
            </w:tcBorders>
            <w:shd w:val="clear" w:color="auto" w:fill="auto"/>
            <w:noWrap/>
            <w:vAlign w:val="center"/>
          </w:tcPr>
          <w:p w14:paraId="1534D71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i/>
                <w:iCs/>
                <w:color w:val="auto"/>
                <w:kern w:val="2"/>
                <w:sz w:val="22"/>
                <w:szCs w:val="22"/>
                <w:highlight w:val="none"/>
                <w:lang w:val="en-US" w:eastAsia="zh-CN" w:bidi="ar-SA"/>
              </w:rPr>
            </w:pPr>
            <w:r>
              <w:rPr>
                <w:rFonts w:hint="eastAsia" w:ascii="Times New Roman" w:hAnsi="Times New Roman" w:eastAsia="宋体" w:cs="Times New Roman"/>
                <w:i/>
                <w:iCs/>
                <w:color w:val="auto"/>
                <w:kern w:val="2"/>
                <w:sz w:val="22"/>
                <w:szCs w:val="22"/>
                <w:highlight w:val="none"/>
                <w:lang w:val="en-US" w:eastAsia="zh-CN" w:bidi="ar-SA"/>
              </w:rPr>
              <w:t>平水期</w:t>
            </w:r>
          </w:p>
        </w:tc>
      </w:tr>
      <w:tr w14:paraId="779785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4AA3AD9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9月</w:t>
            </w:r>
          </w:p>
        </w:tc>
        <w:tc>
          <w:tcPr>
            <w:tcW w:w="4015" w:type="dxa"/>
            <w:tcBorders>
              <w:tl2br w:val="nil"/>
              <w:tr2bl w:val="nil"/>
            </w:tcBorders>
            <w:shd w:val="clear" w:color="auto" w:fill="auto"/>
            <w:noWrap/>
            <w:vAlign w:val="center"/>
          </w:tcPr>
          <w:p w14:paraId="6FBE74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45.5</w:t>
            </w:r>
          </w:p>
        </w:tc>
        <w:tc>
          <w:tcPr>
            <w:tcW w:w="2172" w:type="pct"/>
            <w:tcBorders>
              <w:tl2br w:val="nil"/>
              <w:tr2bl w:val="nil"/>
            </w:tcBorders>
            <w:shd w:val="clear" w:color="auto" w:fill="auto"/>
            <w:noWrap/>
            <w:vAlign w:val="center"/>
          </w:tcPr>
          <w:p w14:paraId="631386A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r w14:paraId="56DE7D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50A05D6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10月</w:t>
            </w:r>
          </w:p>
        </w:tc>
        <w:tc>
          <w:tcPr>
            <w:tcW w:w="4015" w:type="dxa"/>
            <w:tcBorders>
              <w:tl2br w:val="nil"/>
              <w:tr2bl w:val="nil"/>
            </w:tcBorders>
            <w:shd w:val="clear" w:color="auto" w:fill="auto"/>
            <w:noWrap/>
            <w:vAlign w:val="center"/>
          </w:tcPr>
          <w:p w14:paraId="63E2BD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30.1</w:t>
            </w:r>
          </w:p>
        </w:tc>
        <w:tc>
          <w:tcPr>
            <w:tcW w:w="2172" w:type="pct"/>
            <w:tcBorders>
              <w:tl2br w:val="nil"/>
              <w:tr2bl w:val="nil"/>
            </w:tcBorders>
            <w:shd w:val="clear" w:color="auto" w:fill="auto"/>
            <w:noWrap/>
            <w:vAlign w:val="center"/>
          </w:tcPr>
          <w:p w14:paraId="7083AD3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r w14:paraId="719DFE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7D5E7C8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11月</w:t>
            </w:r>
          </w:p>
        </w:tc>
        <w:tc>
          <w:tcPr>
            <w:tcW w:w="4015" w:type="dxa"/>
            <w:tcBorders>
              <w:tl2br w:val="nil"/>
              <w:tr2bl w:val="nil"/>
            </w:tcBorders>
            <w:shd w:val="clear" w:color="auto" w:fill="auto"/>
            <w:noWrap/>
            <w:vAlign w:val="center"/>
          </w:tcPr>
          <w:p w14:paraId="7F71FB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33.9</w:t>
            </w:r>
          </w:p>
        </w:tc>
        <w:tc>
          <w:tcPr>
            <w:tcW w:w="2172" w:type="pct"/>
            <w:tcBorders>
              <w:tl2br w:val="nil"/>
              <w:tr2bl w:val="nil"/>
            </w:tcBorders>
            <w:shd w:val="clear" w:color="auto" w:fill="auto"/>
            <w:noWrap/>
            <w:vAlign w:val="center"/>
          </w:tcPr>
          <w:p w14:paraId="6A7B5FA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r w14:paraId="2C602C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55" w:type="pct"/>
            <w:tcBorders>
              <w:tl2br w:val="nil"/>
              <w:tr2bl w:val="nil"/>
            </w:tcBorders>
            <w:shd w:val="clear" w:color="auto" w:fill="auto"/>
            <w:noWrap/>
            <w:vAlign w:val="center"/>
          </w:tcPr>
          <w:p w14:paraId="01C10FA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12月</w:t>
            </w:r>
          </w:p>
        </w:tc>
        <w:tc>
          <w:tcPr>
            <w:tcW w:w="4015" w:type="dxa"/>
            <w:tcBorders>
              <w:tl2br w:val="nil"/>
              <w:tr2bl w:val="nil"/>
            </w:tcBorders>
            <w:shd w:val="clear" w:color="auto" w:fill="auto"/>
            <w:noWrap/>
            <w:vAlign w:val="center"/>
          </w:tcPr>
          <w:p w14:paraId="12AF7CE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23.9</w:t>
            </w:r>
          </w:p>
        </w:tc>
        <w:tc>
          <w:tcPr>
            <w:tcW w:w="2172" w:type="pct"/>
            <w:tcBorders>
              <w:tl2br w:val="nil"/>
              <w:tr2bl w:val="nil"/>
            </w:tcBorders>
            <w:shd w:val="clear" w:color="auto" w:fill="auto"/>
            <w:noWrap/>
            <w:vAlign w:val="center"/>
          </w:tcPr>
          <w:p w14:paraId="6608C9C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枯水期</w:t>
            </w:r>
          </w:p>
        </w:tc>
      </w:tr>
    </w:tbl>
    <w:p w14:paraId="48A768DE">
      <w:pPr>
        <w:widowControl w:val="0"/>
        <w:pBdr>
          <w:top w:val="none" w:color="auto" w:sz="0" w:space="1"/>
          <w:left w:val="none" w:color="auto" w:sz="0" w:space="4"/>
          <w:bottom w:val="none" w:color="auto" w:sz="0" w:space="1"/>
          <w:right w:val="none" w:color="auto" w:sz="0" w:space="4"/>
        </w:pBdr>
        <w:bidi w:val="0"/>
        <w:spacing w:line="240" w:lineRule="auto"/>
        <w:jc w:val="left"/>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注：水期划分为枯水期（1~2月、9~12月）、平水期（3~4月、8月）、丰水期（5~7月）。</w:t>
      </w:r>
    </w:p>
    <w:p w14:paraId="2896FDBD">
      <w:pPr>
        <w:pStyle w:val="28"/>
        <w:bidi w:val="0"/>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16</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老尾矿库渗滤液各水期产生情况一览表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756"/>
        <w:gridCol w:w="3874"/>
        <w:gridCol w:w="2608"/>
      </w:tblGrid>
      <w:tr w14:paraId="29608C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6" w:hRule="atLeast"/>
        </w:trPr>
        <w:tc>
          <w:tcPr>
            <w:tcW w:w="1491" w:type="pct"/>
            <w:tcBorders>
              <w:tl2br w:val="nil"/>
              <w:tr2bl w:val="nil"/>
            </w:tcBorders>
            <w:shd w:val="clear" w:color="auto" w:fill="auto"/>
            <w:noWrap/>
            <w:vAlign w:val="center"/>
          </w:tcPr>
          <w:p w14:paraId="6BB31A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2096" w:type="pct"/>
            <w:tcBorders>
              <w:tl2br w:val="nil"/>
              <w:tr2bl w:val="nil"/>
            </w:tcBorders>
            <w:shd w:val="clear" w:color="auto" w:fill="auto"/>
            <w:noWrap/>
            <w:vAlign w:val="center"/>
          </w:tcPr>
          <w:p w14:paraId="4DA8A8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1411" w:type="pct"/>
            <w:tcBorders>
              <w:tl2br w:val="nil"/>
              <w:tr2bl w:val="nil"/>
            </w:tcBorders>
            <w:shd w:val="clear" w:color="auto" w:fill="auto"/>
            <w:noWrap/>
            <w:vAlign w:val="center"/>
          </w:tcPr>
          <w:p w14:paraId="649BC46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流量</w:t>
            </w:r>
          </w:p>
          <w:p w14:paraId="6ED276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r>
      <w:tr w14:paraId="32994B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9" w:hRule="atLeast"/>
        </w:trPr>
        <w:tc>
          <w:tcPr>
            <w:tcW w:w="1491" w:type="pct"/>
            <w:tcBorders>
              <w:tl2br w:val="nil"/>
              <w:tr2bl w:val="nil"/>
            </w:tcBorders>
            <w:shd w:val="clear" w:color="auto" w:fill="auto"/>
            <w:noWrap/>
            <w:vAlign w:val="center"/>
          </w:tcPr>
          <w:p w14:paraId="76CFD7E1">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枯水期</w:t>
            </w:r>
          </w:p>
        </w:tc>
        <w:tc>
          <w:tcPr>
            <w:tcW w:w="2096" w:type="pct"/>
            <w:tcBorders>
              <w:tl2br w:val="nil"/>
              <w:tr2bl w:val="nil"/>
            </w:tcBorders>
            <w:shd w:val="clear" w:color="auto" w:fill="auto"/>
            <w:noWrap/>
            <w:vAlign w:val="center"/>
          </w:tcPr>
          <w:p w14:paraId="688168D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老尾矿库渗滤液</w:t>
            </w:r>
          </w:p>
        </w:tc>
        <w:tc>
          <w:tcPr>
            <w:tcW w:w="1411" w:type="pct"/>
            <w:tcBorders>
              <w:tl2br w:val="nil"/>
              <w:tr2bl w:val="nil"/>
            </w:tcBorders>
            <w:shd w:val="clear" w:color="auto" w:fill="auto"/>
            <w:noWrap/>
            <w:vAlign w:val="center"/>
          </w:tcPr>
          <w:p w14:paraId="33151CFD">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33.3</w:t>
            </w:r>
          </w:p>
        </w:tc>
      </w:tr>
      <w:tr w14:paraId="6321C5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9" w:hRule="atLeast"/>
        </w:trPr>
        <w:tc>
          <w:tcPr>
            <w:tcW w:w="1491" w:type="pct"/>
            <w:tcBorders>
              <w:tl2br w:val="nil"/>
              <w:tr2bl w:val="nil"/>
            </w:tcBorders>
            <w:shd w:val="clear" w:color="auto" w:fill="auto"/>
            <w:noWrap/>
            <w:vAlign w:val="center"/>
          </w:tcPr>
          <w:p w14:paraId="59C4BF36">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平水期</w:t>
            </w:r>
          </w:p>
        </w:tc>
        <w:tc>
          <w:tcPr>
            <w:tcW w:w="2096" w:type="pct"/>
            <w:tcBorders>
              <w:tl2br w:val="nil"/>
              <w:tr2bl w:val="nil"/>
            </w:tcBorders>
            <w:shd w:val="clear" w:color="auto" w:fill="auto"/>
            <w:noWrap/>
            <w:vAlign w:val="center"/>
          </w:tcPr>
          <w:p w14:paraId="29D3FF1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老尾矿库渗滤液</w:t>
            </w:r>
          </w:p>
        </w:tc>
        <w:tc>
          <w:tcPr>
            <w:tcW w:w="1411" w:type="pct"/>
            <w:tcBorders>
              <w:tl2br w:val="nil"/>
              <w:tr2bl w:val="nil"/>
            </w:tcBorders>
            <w:shd w:val="clear" w:color="auto" w:fill="auto"/>
            <w:noWrap/>
            <w:vAlign w:val="center"/>
          </w:tcPr>
          <w:p w14:paraId="2ED1C06D">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79.1</w:t>
            </w:r>
          </w:p>
        </w:tc>
      </w:tr>
      <w:tr w14:paraId="4EC605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91" w:type="pct"/>
            <w:tcBorders>
              <w:tl2br w:val="nil"/>
              <w:tr2bl w:val="nil"/>
            </w:tcBorders>
            <w:shd w:val="clear" w:color="auto" w:fill="auto"/>
            <w:noWrap/>
            <w:vAlign w:val="center"/>
          </w:tcPr>
          <w:p w14:paraId="1963E9B3">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丰水期</w:t>
            </w:r>
          </w:p>
        </w:tc>
        <w:tc>
          <w:tcPr>
            <w:tcW w:w="2096" w:type="pct"/>
            <w:tcBorders>
              <w:tl2br w:val="nil"/>
              <w:tr2bl w:val="nil"/>
            </w:tcBorders>
            <w:shd w:val="clear" w:color="auto" w:fill="auto"/>
            <w:noWrap/>
            <w:vAlign w:val="center"/>
          </w:tcPr>
          <w:p w14:paraId="05BE24A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老尾矿库渗滤液</w:t>
            </w:r>
          </w:p>
        </w:tc>
        <w:tc>
          <w:tcPr>
            <w:tcW w:w="1411" w:type="pct"/>
            <w:tcBorders>
              <w:tl2br w:val="nil"/>
              <w:tr2bl w:val="nil"/>
            </w:tcBorders>
            <w:shd w:val="clear" w:color="auto" w:fill="auto"/>
            <w:noWrap/>
            <w:vAlign w:val="center"/>
          </w:tcPr>
          <w:p w14:paraId="7846D1F1">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140.1</w:t>
            </w:r>
          </w:p>
        </w:tc>
      </w:tr>
    </w:tbl>
    <w:p w14:paraId="7436C6E6">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color w:val="auto"/>
          <w:highlight w:val="none"/>
          <w:lang w:val="en-US" w:eastAsia="zh-CN"/>
        </w:rPr>
      </w:pPr>
      <w:r>
        <w:rPr>
          <w:rFonts w:hint="eastAsia"/>
          <w:color w:val="auto"/>
          <w:highlight w:val="none"/>
          <w:lang w:val="en-US" w:eastAsia="zh-CN"/>
        </w:rPr>
        <w:t>（7）冶炼厂</w:t>
      </w:r>
    </w:p>
    <w:p w14:paraId="72015680">
      <w:pPr>
        <w:pStyle w:val="2"/>
        <w:bidi w:val="0"/>
        <w:rPr>
          <w:rFonts w:hint="eastAsia"/>
          <w:color w:val="auto"/>
          <w:highlight w:val="none"/>
          <w:lang w:val="en-US" w:eastAsia="zh-CN"/>
        </w:rPr>
      </w:pPr>
      <w:r>
        <w:rPr>
          <w:rFonts w:hint="eastAsia"/>
          <w:color w:val="auto"/>
          <w:highlight w:val="none"/>
          <w:lang w:val="en-US" w:eastAsia="zh-CN"/>
        </w:rPr>
        <w:t>冶炼厂采用火法冶炼，其中，精矿冶炼耗水6.8m</w:t>
      </w:r>
      <w:r>
        <w:rPr>
          <w:rFonts w:hint="eastAsia"/>
          <w:color w:val="auto"/>
          <w:highlight w:val="none"/>
          <w:vertAlign w:val="superscript"/>
          <w:lang w:val="en-US" w:eastAsia="zh-CN"/>
        </w:rPr>
        <w:t>3</w:t>
      </w:r>
      <w:r>
        <w:rPr>
          <w:rFonts w:hint="eastAsia"/>
          <w:color w:val="auto"/>
          <w:highlight w:val="none"/>
          <w:lang w:val="en-US" w:eastAsia="zh-CN"/>
        </w:rPr>
        <w:t>/d；另外，冶炼厂需新水900m</w:t>
      </w:r>
      <w:r>
        <w:rPr>
          <w:rFonts w:hint="eastAsia"/>
          <w:color w:val="auto"/>
          <w:highlight w:val="none"/>
          <w:vertAlign w:val="superscript"/>
          <w:lang w:val="en-US" w:eastAsia="zh-CN"/>
        </w:rPr>
        <w:t>3</w:t>
      </w:r>
      <w:r>
        <w:rPr>
          <w:rFonts w:hint="eastAsia"/>
          <w:color w:val="auto"/>
          <w:highlight w:val="none"/>
          <w:lang w:val="en-US" w:eastAsia="zh-CN"/>
        </w:rPr>
        <w:t>/d（来自480井口循环水池），其中高温冷却蒸发200m</w:t>
      </w:r>
      <w:r>
        <w:rPr>
          <w:rFonts w:hint="eastAsia"/>
          <w:color w:val="auto"/>
          <w:highlight w:val="none"/>
          <w:vertAlign w:val="superscript"/>
          <w:lang w:val="en-US" w:eastAsia="zh-CN"/>
        </w:rPr>
        <w:t>3</w:t>
      </w:r>
      <w:r>
        <w:rPr>
          <w:rFonts w:hint="eastAsia"/>
          <w:color w:val="auto"/>
          <w:highlight w:val="none"/>
          <w:lang w:val="en-US" w:eastAsia="zh-CN"/>
        </w:rPr>
        <w:t>/d，冲渣水蒸发100m</w:t>
      </w:r>
      <w:r>
        <w:rPr>
          <w:rFonts w:hint="eastAsia"/>
          <w:color w:val="auto"/>
          <w:highlight w:val="none"/>
          <w:vertAlign w:val="superscript"/>
          <w:lang w:val="en-US" w:eastAsia="zh-CN"/>
        </w:rPr>
        <w:t>3</w:t>
      </w:r>
      <w:r>
        <w:rPr>
          <w:rFonts w:hint="eastAsia"/>
          <w:color w:val="auto"/>
          <w:highlight w:val="none"/>
          <w:lang w:val="en-US" w:eastAsia="zh-CN"/>
        </w:rPr>
        <w:t>/d，设备冷却蒸发200m</w:t>
      </w:r>
      <w:r>
        <w:rPr>
          <w:rFonts w:hint="eastAsia"/>
          <w:color w:val="auto"/>
          <w:highlight w:val="none"/>
          <w:vertAlign w:val="superscript"/>
          <w:lang w:val="en-US" w:eastAsia="zh-CN"/>
        </w:rPr>
        <w:t>3</w:t>
      </w:r>
      <w:r>
        <w:rPr>
          <w:rFonts w:hint="eastAsia"/>
          <w:color w:val="auto"/>
          <w:highlight w:val="none"/>
          <w:lang w:val="en-US" w:eastAsia="zh-CN"/>
        </w:rPr>
        <w:t>/d，脱硫用水蒸发50m</w:t>
      </w:r>
      <w:r>
        <w:rPr>
          <w:rFonts w:hint="eastAsia"/>
          <w:color w:val="auto"/>
          <w:highlight w:val="none"/>
          <w:vertAlign w:val="superscript"/>
          <w:lang w:val="en-US" w:eastAsia="zh-CN"/>
        </w:rPr>
        <w:t>3</w:t>
      </w:r>
      <w:r>
        <w:rPr>
          <w:rFonts w:hint="eastAsia"/>
          <w:color w:val="auto"/>
          <w:highlight w:val="none"/>
          <w:lang w:val="en-US" w:eastAsia="zh-CN"/>
        </w:rPr>
        <w:t>/d，另外脱硫系统废水350m</w:t>
      </w:r>
      <w:r>
        <w:rPr>
          <w:rFonts w:hint="eastAsia"/>
          <w:color w:val="auto"/>
          <w:highlight w:val="none"/>
          <w:vertAlign w:val="superscript"/>
          <w:lang w:val="en-US" w:eastAsia="zh-CN"/>
        </w:rPr>
        <w:t>3</w:t>
      </w:r>
      <w:r>
        <w:rPr>
          <w:rFonts w:hint="eastAsia"/>
          <w:color w:val="auto"/>
          <w:highlight w:val="none"/>
          <w:lang w:val="en-US" w:eastAsia="zh-CN"/>
        </w:rPr>
        <w:t>/d随脱硫石膏渣排入石板冲尾矿库。</w:t>
      </w:r>
    </w:p>
    <w:p w14:paraId="20ADA84D">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color w:val="auto"/>
          <w:highlight w:val="none"/>
          <w:lang w:val="en-US" w:eastAsia="zh-CN"/>
        </w:rPr>
      </w:pPr>
      <w:r>
        <w:rPr>
          <w:rFonts w:hint="eastAsia"/>
          <w:color w:val="auto"/>
          <w:highlight w:val="none"/>
          <w:lang w:val="en-US" w:eastAsia="zh-CN"/>
        </w:rPr>
        <w:t>（8）生活污水</w:t>
      </w:r>
    </w:p>
    <w:p w14:paraId="4E1158A3">
      <w:pPr>
        <w:pStyle w:val="2"/>
        <w:bidi w:val="0"/>
        <w:rPr>
          <w:rFonts w:hint="eastAsia"/>
          <w:color w:val="auto"/>
          <w:highlight w:val="none"/>
          <w:lang w:val="en-US" w:eastAsia="zh-CN"/>
        </w:rPr>
      </w:pPr>
      <w:r>
        <w:rPr>
          <w:rFonts w:hint="eastAsia"/>
          <w:color w:val="auto"/>
          <w:highlight w:val="none"/>
          <w:lang w:val="en-US" w:eastAsia="zh-CN"/>
        </w:rPr>
        <w:t>渣滓溪矿业现有员工800人，其中有600人在奎溪镇食宿，剩余200人在矿区食宿。在奎溪镇居住的员工，在矿区内生活用水量按0.05m</w:t>
      </w:r>
      <w:r>
        <w:rPr>
          <w:rFonts w:hint="eastAsia"/>
          <w:color w:val="auto"/>
          <w:highlight w:val="none"/>
          <w:vertAlign w:val="superscript"/>
          <w:lang w:val="en-US" w:eastAsia="zh-CN"/>
        </w:rPr>
        <w:t>3</w:t>
      </w:r>
      <w:r>
        <w:rPr>
          <w:rFonts w:hint="eastAsia"/>
          <w:color w:val="auto"/>
          <w:highlight w:val="none"/>
          <w:lang w:val="en-US" w:eastAsia="zh-CN"/>
        </w:rPr>
        <w:t>/d·人计；在矿区居住的员工，在矿区内生活用水量按0.12m</w:t>
      </w:r>
      <w:r>
        <w:rPr>
          <w:rFonts w:hint="eastAsia"/>
          <w:color w:val="auto"/>
          <w:highlight w:val="none"/>
          <w:vertAlign w:val="superscript"/>
          <w:lang w:val="en-US" w:eastAsia="zh-CN"/>
        </w:rPr>
        <w:t>3</w:t>
      </w:r>
      <w:r>
        <w:rPr>
          <w:rFonts w:hint="eastAsia"/>
          <w:color w:val="auto"/>
          <w:highlight w:val="none"/>
          <w:lang w:val="en-US" w:eastAsia="zh-CN"/>
        </w:rPr>
        <w:t>/d·人计，则矿区内生活用水水量为54m</w:t>
      </w:r>
      <w:r>
        <w:rPr>
          <w:rFonts w:hint="eastAsia"/>
          <w:color w:val="auto"/>
          <w:highlight w:val="none"/>
          <w:vertAlign w:val="superscript"/>
          <w:lang w:val="en-US" w:eastAsia="zh-CN"/>
        </w:rPr>
        <w:t>3</w:t>
      </w:r>
      <w:r>
        <w:rPr>
          <w:rFonts w:hint="eastAsia"/>
          <w:color w:val="auto"/>
          <w:highlight w:val="none"/>
          <w:lang w:val="en-US" w:eastAsia="zh-CN"/>
        </w:rPr>
        <w:t>/d。生活污水量为用水量的80%，则全厂生活污水产生量为43.2m</w:t>
      </w:r>
      <w:r>
        <w:rPr>
          <w:rFonts w:hint="eastAsia"/>
          <w:color w:val="auto"/>
          <w:highlight w:val="none"/>
          <w:vertAlign w:val="superscript"/>
          <w:lang w:val="en-US" w:eastAsia="zh-CN"/>
        </w:rPr>
        <w:t>3</w:t>
      </w:r>
      <w:r>
        <w:rPr>
          <w:rFonts w:hint="eastAsia"/>
          <w:color w:val="auto"/>
          <w:highlight w:val="none"/>
          <w:lang w:val="en-US" w:eastAsia="zh-CN"/>
        </w:rPr>
        <w:t>/d。</w:t>
      </w:r>
    </w:p>
    <w:p w14:paraId="349F4B05">
      <w:pPr>
        <w:pStyle w:val="2"/>
        <w:bidi w:val="0"/>
        <w:rPr>
          <w:rFonts w:hint="eastAsia"/>
          <w:color w:val="auto"/>
          <w:highlight w:val="none"/>
          <w:lang w:val="en-US" w:eastAsia="zh-CN"/>
        </w:rPr>
      </w:pPr>
      <w:r>
        <w:rPr>
          <w:rFonts w:hint="eastAsia"/>
          <w:color w:val="auto"/>
          <w:highlight w:val="none"/>
          <w:lang w:val="en-US" w:eastAsia="zh-CN"/>
        </w:rPr>
        <w:t>全厂生活污水没有集中收集系统，在各产生生活污水的区域，通过化粪池处理后，排入厂区排洪隧洞。</w:t>
      </w:r>
    </w:p>
    <w:p w14:paraId="5D6A846C">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color w:val="auto"/>
          <w:highlight w:val="none"/>
          <w:lang w:val="en-US" w:eastAsia="zh-CN"/>
        </w:rPr>
      </w:pPr>
      <w:r>
        <w:rPr>
          <w:rFonts w:hint="eastAsia"/>
          <w:color w:val="auto"/>
          <w:highlight w:val="none"/>
          <w:lang w:val="en-US" w:eastAsia="zh-CN"/>
        </w:rPr>
        <w:t>（9）雨水</w:t>
      </w:r>
    </w:p>
    <w:p w14:paraId="5AAF721E">
      <w:pPr>
        <w:pStyle w:val="2"/>
        <w:bidi w:val="0"/>
        <w:rPr>
          <w:rFonts w:hint="default"/>
          <w:color w:val="auto"/>
          <w:highlight w:val="none"/>
          <w:lang w:val="en-US" w:eastAsia="zh-CN"/>
        </w:rPr>
      </w:pPr>
      <w:r>
        <w:rPr>
          <w:rFonts w:hint="eastAsia"/>
          <w:color w:val="auto"/>
          <w:highlight w:val="none"/>
          <w:lang w:val="en-US" w:eastAsia="zh-CN"/>
        </w:rPr>
        <w:t>目前，企业对选厂和冶炼厂的初期雨水进行了收集。选厂和冶炼厂的面积为0.96hm</w:t>
      </w:r>
      <w:r>
        <w:rPr>
          <w:rFonts w:hint="eastAsia"/>
          <w:color w:val="auto"/>
          <w:highlight w:val="none"/>
          <w:vertAlign w:val="superscript"/>
          <w:lang w:val="en-US" w:eastAsia="zh-CN"/>
        </w:rPr>
        <w:t>2</w:t>
      </w:r>
      <w:r>
        <w:rPr>
          <w:rFonts w:hint="eastAsia"/>
          <w:color w:val="auto"/>
          <w:highlight w:val="none"/>
          <w:lang w:val="en-US" w:eastAsia="zh-CN"/>
        </w:rPr>
        <w:t>和3.49hm</w:t>
      </w:r>
      <w:r>
        <w:rPr>
          <w:rFonts w:hint="eastAsia"/>
          <w:color w:val="auto"/>
          <w:highlight w:val="none"/>
          <w:vertAlign w:val="superscript"/>
          <w:lang w:val="en-US" w:eastAsia="zh-CN"/>
        </w:rPr>
        <w:t>2</w:t>
      </w:r>
      <w:r>
        <w:rPr>
          <w:rFonts w:hint="eastAsia"/>
          <w:color w:val="auto"/>
          <w:highlight w:val="none"/>
          <w:lang w:val="en-US" w:eastAsia="zh-CN"/>
        </w:rPr>
        <w:t>，可收集初期雨水的面积按60%计算。根据《有色金属工业环境保护工程设计规范》GB50988-2014的要求，初雨收集量可取15mm。则选厂和冶炼厂初期雨水产生量分别为86.4m</w:t>
      </w:r>
      <w:r>
        <w:rPr>
          <w:rFonts w:hint="eastAsia"/>
          <w:color w:val="auto"/>
          <w:highlight w:val="none"/>
          <w:vertAlign w:val="superscript"/>
          <w:lang w:val="en-US" w:eastAsia="zh-CN"/>
        </w:rPr>
        <w:t>3</w:t>
      </w:r>
      <w:r>
        <w:rPr>
          <w:rFonts w:hint="eastAsia"/>
          <w:color w:val="auto"/>
          <w:highlight w:val="none"/>
          <w:lang w:val="en-US" w:eastAsia="zh-CN"/>
        </w:rPr>
        <w:t>和307.7m</w:t>
      </w:r>
      <w:r>
        <w:rPr>
          <w:rFonts w:hint="eastAsia"/>
          <w:color w:val="auto"/>
          <w:highlight w:val="none"/>
          <w:vertAlign w:val="superscript"/>
          <w:lang w:val="en-US" w:eastAsia="zh-CN"/>
        </w:rPr>
        <w:t>3</w:t>
      </w:r>
      <w:r>
        <w:rPr>
          <w:rFonts w:hint="eastAsia"/>
          <w:color w:val="auto"/>
          <w:highlight w:val="none"/>
          <w:lang w:val="en-US" w:eastAsia="zh-CN"/>
        </w:rPr>
        <w:t>。选厂和冶炼厂均设置了初期雨水收集池。初期雨水经收集后回用于选矿和冶炼，后期雨水排入排洪隧洞。</w:t>
      </w:r>
    </w:p>
    <w:p w14:paraId="2E6207B0">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color w:val="auto"/>
          <w:highlight w:val="none"/>
          <w:lang w:val="en-US" w:eastAsia="zh-CN"/>
        </w:rPr>
      </w:pPr>
      <w:r>
        <w:rPr>
          <w:rFonts w:hint="eastAsia"/>
          <w:color w:val="auto"/>
          <w:highlight w:val="none"/>
          <w:lang w:val="en-US" w:eastAsia="zh-CN"/>
        </w:rPr>
        <w:t>（10）隧洞水</w:t>
      </w:r>
    </w:p>
    <w:p w14:paraId="7138201B">
      <w:pPr>
        <w:pStyle w:val="2"/>
        <w:bidi w:val="0"/>
        <w:rPr>
          <w:rFonts w:hint="eastAsia"/>
          <w:color w:val="auto"/>
          <w:highlight w:val="none"/>
          <w:lang w:val="en-US" w:eastAsia="zh-CN"/>
        </w:rPr>
      </w:pPr>
      <w:r>
        <w:rPr>
          <w:rFonts w:hint="eastAsia"/>
          <w:color w:val="auto"/>
          <w:highlight w:val="none"/>
          <w:lang w:val="en-US" w:eastAsia="zh-CN"/>
        </w:rPr>
        <w:t>渣滓溪锑矿老尾矿库下设一条排洪隧洞，主要排泄渣滓溪溪水，同时也是生产生活区内的生活污水、生产生活区内的后期雨水，以及隧洞内的山体渗水的排泄渠道。渣滓溪隧洞水在矿山废水处理站附近排出。</w:t>
      </w:r>
    </w:p>
    <w:p w14:paraId="43B3DC1D">
      <w:pPr>
        <w:pStyle w:val="2"/>
        <w:bidi w:val="0"/>
        <w:rPr>
          <w:rFonts w:hint="eastAsia"/>
          <w:color w:val="auto"/>
          <w:highlight w:val="none"/>
          <w:lang w:val="en-US" w:eastAsia="zh-CN"/>
        </w:rPr>
      </w:pPr>
      <w:r>
        <w:rPr>
          <w:rFonts w:hint="eastAsia"/>
          <w:color w:val="auto"/>
          <w:highlight w:val="none"/>
          <w:lang w:val="en-US" w:eastAsia="zh-CN"/>
        </w:rPr>
        <w:t>a、渣滓溪水：排洪隧洞内的渣滓溪水量随季节变化而有较大变化。采用水文比拟法进行计算，渣滓溪引水口进口处的月平均流量枯水期为0.053m</w:t>
      </w:r>
      <w:r>
        <w:rPr>
          <w:rFonts w:hint="eastAsia"/>
          <w:color w:val="auto"/>
          <w:highlight w:val="none"/>
          <w:vertAlign w:val="superscript"/>
          <w:lang w:val="en-US" w:eastAsia="zh-CN"/>
        </w:rPr>
        <w:t>3</w:t>
      </w:r>
      <w:r>
        <w:rPr>
          <w:rFonts w:hint="eastAsia"/>
          <w:color w:val="auto"/>
          <w:highlight w:val="none"/>
          <w:lang w:val="en-US" w:eastAsia="zh-CN"/>
        </w:rPr>
        <w:t>/s（4536m</w:t>
      </w:r>
      <w:r>
        <w:rPr>
          <w:rFonts w:hint="eastAsia"/>
          <w:color w:val="auto"/>
          <w:highlight w:val="none"/>
          <w:vertAlign w:val="superscript"/>
          <w:lang w:val="en-US" w:eastAsia="zh-CN"/>
        </w:rPr>
        <w:t>3</w:t>
      </w:r>
      <w:r>
        <w:rPr>
          <w:rFonts w:hint="eastAsia"/>
          <w:color w:val="auto"/>
          <w:highlight w:val="none"/>
          <w:lang w:val="en-US" w:eastAsia="zh-CN"/>
        </w:rPr>
        <w:t>/d），平水期为0.127m</w:t>
      </w:r>
      <w:r>
        <w:rPr>
          <w:rFonts w:hint="eastAsia"/>
          <w:color w:val="auto"/>
          <w:highlight w:val="none"/>
          <w:vertAlign w:val="superscript"/>
          <w:lang w:val="en-US" w:eastAsia="zh-CN"/>
        </w:rPr>
        <w:t>3</w:t>
      </w:r>
      <w:r>
        <w:rPr>
          <w:rFonts w:hint="eastAsia"/>
          <w:color w:val="auto"/>
          <w:highlight w:val="none"/>
          <w:lang w:val="en-US" w:eastAsia="zh-CN"/>
        </w:rPr>
        <w:t>/s（11001.6m</w:t>
      </w:r>
      <w:r>
        <w:rPr>
          <w:rFonts w:hint="eastAsia"/>
          <w:color w:val="auto"/>
          <w:highlight w:val="none"/>
          <w:vertAlign w:val="superscript"/>
          <w:lang w:val="en-US" w:eastAsia="zh-CN"/>
        </w:rPr>
        <w:t>3</w:t>
      </w:r>
      <w:r>
        <w:rPr>
          <w:rFonts w:hint="eastAsia"/>
          <w:color w:val="auto"/>
          <w:highlight w:val="none"/>
          <w:lang w:val="en-US" w:eastAsia="zh-CN"/>
        </w:rPr>
        <w:t>/d），丰水期为0.226m</w:t>
      </w:r>
      <w:r>
        <w:rPr>
          <w:rFonts w:hint="eastAsia"/>
          <w:color w:val="auto"/>
          <w:highlight w:val="none"/>
          <w:vertAlign w:val="superscript"/>
          <w:lang w:val="en-US" w:eastAsia="zh-CN"/>
        </w:rPr>
        <w:t>3</w:t>
      </w:r>
      <w:r>
        <w:rPr>
          <w:rFonts w:hint="eastAsia"/>
          <w:color w:val="auto"/>
          <w:highlight w:val="none"/>
          <w:lang w:val="en-US" w:eastAsia="zh-CN"/>
        </w:rPr>
        <w:t>/s（19526.4m</w:t>
      </w:r>
      <w:r>
        <w:rPr>
          <w:rFonts w:hint="eastAsia"/>
          <w:color w:val="auto"/>
          <w:highlight w:val="none"/>
          <w:vertAlign w:val="superscript"/>
          <w:lang w:val="en-US" w:eastAsia="zh-CN"/>
        </w:rPr>
        <w:t>3</w:t>
      </w:r>
      <w:r>
        <w:rPr>
          <w:rFonts w:hint="eastAsia"/>
          <w:color w:val="auto"/>
          <w:highlight w:val="none"/>
          <w:lang w:val="en-US" w:eastAsia="zh-CN"/>
        </w:rPr>
        <w:t>/d），其中，在排洪隧洞进口处设置了取水点用于选矿，取水规模为326m</w:t>
      </w:r>
      <w:r>
        <w:rPr>
          <w:rFonts w:hint="eastAsia"/>
          <w:color w:val="auto"/>
          <w:highlight w:val="none"/>
          <w:vertAlign w:val="superscript"/>
          <w:lang w:val="en-US" w:eastAsia="zh-CN"/>
        </w:rPr>
        <w:t>3</w:t>
      </w:r>
      <w:r>
        <w:rPr>
          <w:rFonts w:hint="eastAsia"/>
          <w:color w:val="auto"/>
          <w:highlight w:val="none"/>
          <w:lang w:val="en-US" w:eastAsia="zh-CN"/>
        </w:rPr>
        <w:t>/d。</w:t>
      </w:r>
    </w:p>
    <w:p w14:paraId="162ED2DB">
      <w:pPr>
        <w:pStyle w:val="2"/>
        <w:bidi w:val="0"/>
        <w:rPr>
          <w:rFonts w:hint="eastAsia"/>
          <w:color w:val="auto"/>
          <w:highlight w:val="none"/>
          <w:lang w:val="en-US" w:eastAsia="zh-CN"/>
        </w:rPr>
      </w:pPr>
      <w:r>
        <w:rPr>
          <w:rFonts w:hint="eastAsia"/>
          <w:color w:val="auto"/>
          <w:highlight w:val="none"/>
          <w:lang w:val="en-US" w:eastAsia="zh-CN"/>
        </w:rPr>
        <w:t>b、生活污水：根据前文计算，全厂生活污水产生量为43.2m</w:t>
      </w:r>
      <w:r>
        <w:rPr>
          <w:rFonts w:hint="eastAsia"/>
          <w:color w:val="auto"/>
          <w:highlight w:val="none"/>
          <w:vertAlign w:val="superscript"/>
          <w:lang w:val="en-US" w:eastAsia="zh-CN"/>
        </w:rPr>
        <w:t>3</w:t>
      </w:r>
      <w:r>
        <w:rPr>
          <w:rFonts w:hint="eastAsia"/>
          <w:color w:val="auto"/>
          <w:highlight w:val="none"/>
          <w:lang w:val="en-US" w:eastAsia="zh-CN"/>
        </w:rPr>
        <w:t>/d。</w:t>
      </w:r>
    </w:p>
    <w:p w14:paraId="6ED288C2">
      <w:pPr>
        <w:pStyle w:val="2"/>
        <w:bidi w:val="0"/>
        <w:rPr>
          <w:rFonts w:hint="eastAsia"/>
          <w:color w:val="auto"/>
          <w:highlight w:val="none"/>
          <w:lang w:val="en-US" w:eastAsia="zh-CN"/>
        </w:rPr>
      </w:pPr>
      <w:r>
        <w:rPr>
          <w:rFonts w:hint="eastAsia"/>
          <w:color w:val="auto"/>
          <w:highlight w:val="none"/>
          <w:lang w:val="en-US" w:eastAsia="zh-CN"/>
        </w:rPr>
        <w:t>c、隧洞山体渗水：根据企业2021年9月对隧洞内的山体渗水进行的统计，隧洞内可统计的山体渗水水量为83.191t/h（1996.6m</w:t>
      </w:r>
      <w:r>
        <w:rPr>
          <w:rFonts w:hint="eastAsia"/>
          <w:color w:val="auto"/>
          <w:highlight w:val="none"/>
          <w:vertAlign w:val="superscript"/>
          <w:lang w:val="en-US" w:eastAsia="zh-CN"/>
        </w:rPr>
        <w:t>3</w:t>
      </w:r>
      <w:r>
        <w:rPr>
          <w:rFonts w:hint="eastAsia"/>
          <w:color w:val="auto"/>
          <w:highlight w:val="none"/>
          <w:lang w:val="en-US" w:eastAsia="zh-CN"/>
        </w:rPr>
        <w:t>/d）。本报告采用比拟法计算，山体渗水为枯水期为1550.2m</w:t>
      </w:r>
      <w:r>
        <w:rPr>
          <w:rFonts w:hint="eastAsia"/>
          <w:color w:val="auto"/>
          <w:highlight w:val="none"/>
          <w:vertAlign w:val="superscript"/>
          <w:lang w:val="en-US" w:eastAsia="zh-CN"/>
        </w:rPr>
        <w:t>3</w:t>
      </w:r>
      <w:r>
        <w:rPr>
          <w:rFonts w:hint="eastAsia"/>
          <w:color w:val="auto"/>
          <w:highlight w:val="none"/>
          <w:lang w:val="en-US" w:eastAsia="zh-CN"/>
        </w:rPr>
        <w:t>/d，平水期为3577.4m</w:t>
      </w:r>
      <w:r>
        <w:rPr>
          <w:rFonts w:hint="eastAsia"/>
          <w:color w:val="auto"/>
          <w:highlight w:val="none"/>
          <w:vertAlign w:val="superscript"/>
          <w:lang w:val="en-US" w:eastAsia="zh-CN"/>
        </w:rPr>
        <w:t>3</w:t>
      </w:r>
      <w:r>
        <w:rPr>
          <w:rFonts w:hint="eastAsia"/>
          <w:color w:val="auto"/>
          <w:highlight w:val="none"/>
          <w:lang w:val="en-US" w:eastAsia="zh-CN"/>
        </w:rPr>
        <w:t>/d，丰水期为6671.3m</w:t>
      </w:r>
      <w:r>
        <w:rPr>
          <w:rFonts w:hint="eastAsia"/>
          <w:color w:val="auto"/>
          <w:highlight w:val="none"/>
          <w:vertAlign w:val="superscript"/>
          <w:lang w:val="en-US" w:eastAsia="zh-CN"/>
        </w:rPr>
        <w:t>3</w:t>
      </w:r>
      <w:r>
        <w:rPr>
          <w:rFonts w:hint="eastAsia"/>
          <w:color w:val="auto"/>
          <w:highlight w:val="none"/>
          <w:lang w:val="en-US" w:eastAsia="zh-CN"/>
        </w:rPr>
        <w:t>/d。</w:t>
      </w:r>
    </w:p>
    <w:p w14:paraId="6E4AEC75">
      <w:pPr>
        <w:pStyle w:val="2"/>
        <w:bidi w:val="0"/>
        <w:rPr>
          <w:rFonts w:hint="default"/>
          <w:color w:val="auto"/>
          <w:highlight w:val="none"/>
          <w:lang w:val="en-US" w:eastAsia="zh-CN"/>
        </w:rPr>
      </w:pPr>
      <w:r>
        <w:rPr>
          <w:rFonts w:hint="eastAsia"/>
          <w:color w:val="auto"/>
          <w:highlight w:val="none"/>
          <w:lang w:val="en-US" w:eastAsia="zh-CN"/>
        </w:rPr>
        <w:t>调整前，不考虑矿区雨水，枯水期时排洪隧洞水水量为5803.4m</w:t>
      </w:r>
      <w:r>
        <w:rPr>
          <w:rFonts w:hint="eastAsia"/>
          <w:color w:val="auto"/>
          <w:highlight w:val="none"/>
          <w:vertAlign w:val="superscript"/>
          <w:lang w:val="en-US" w:eastAsia="zh-CN"/>
        </w:rPr>
        <w:t>3</w:t>
      </w:r>
      <w:r>
        <w:rPr>
          <w:rFonts w:hint="eastAsia"/>
          <w:color w:val="auto"/>
          <w:highlight w:val="none"/>
          <w:lang w:val="en-US" w:eastAsia="zh-CN"/>
        </w:rPr>
        <w:t>/d，其中约1150m</w:t>
      </w:r>
      <w:r>
        <w:rPr>
          <w:rFonts w:hint="eastAsia"/>
          <w:color w:val="auto"/>
          <w:highlight w:val="none"/>
          <w:vertAlign w:val="superscript"/>
          <w:lang w:val="en-US" w:eastAsia="zh-CN"/>
        </w:rPr>
        <w:t>3</w:t>
      </w:r>
      <w:r>
        <w:rPr>
          <w:rFonts w:hint="eastAsia"/>
          <w:color w:val="auto"/>
          <w:highlight w:val="none"/>
          <w:lang w:val="en-US" w:eastAsia="zh-CN"/>
        </w:rPr>
        <w:t>/d排入矿山废水处理站处理达标后排放至渣滓溪，剩余的4653.4m</w:t>
      </w:r>
      <w:r>
        <w:rPr>
          <w:rFonts w:hint="eastAsia"/>
          <w:color w:val="auto"/>
          <w:highlight w:val="none"/>
          <w:vertAlign w:val="superscript"/>
          <w:lang w:val="en-US" w:eastAsia="zh-CN"/>
        </w:rPr>
        <w:t>3</w:t>
      </w:r>
      <w:r>
        <w:rPr>
          <w:rFonts w:hint="eastAsia"/>
          <w:color w:val="auto"/>
          <w:highlight w:val="none"/>
          <w:lang w:val="en-US" w:eastAsia="zh-CN"/>
        </w:rPr>
        <w:t>/d直接排放；平水期时，排洪隧洞水水量为14474.2m</w:t>
      </w:r>
      <w:r>
        <w:rPr>
          <w:rFonts w:hint="eastAsia"/>
          <w:color w:val="auto"/>
          <w:highlight w:val="none"/>
          <w:vertAlign w:val="superscript"/>
          <w:lang w:val="en-US" w:eastAsia="zh-CN"/>
        </w:rPr>
        <w:t>3</w:t>
      </w:r>
      <w:r>
        <w:rPr>
          <w:rFonts w:hint="eastAsia"/>
          <w:color w:val="auto"/>
          <w:highlight w:val="none"/>
          <w:lang w:val="en-US" w:eastAsia="zh-CN"/>
        </w:rPr>
        <w:t>/d，其中约1150m</w:t>
      </w:r>
      <w:r>
        <w:rPr>
          <w:rFonts w:hint="eastAsia"/>
          <w:color w:val="auto"/>
          <w:highlight w:val="none"/>
          <w:vertAlign w:val="superscript"/>
          <w:lang w:val="en-US" w:eastAsia="zh-CN"/>
        </w:rPr>
        <w:t>3</w:t>
      </w:r>
      <w:r>
        <w:rPr>
          <w:rFonts w:hint="eastAsia"/>
          <w:color w:val="auto"/>
          <w:highlight w:val="none"/>
          <w:lang w:val="en-US" w:eastAsia="zh-CN"/>
        </w:rPr>
        <w:t>/d排入矿山废水处理站处理达标后排放至渣滓溪，剩余的13324.2m</w:t>
      </w:r>
      <w:r>
        <w:rPr>
          <w:rFonts w:hint="eastAsia"/>
          <w:color w:val="auto"/>
          <w:highlight w:val="none"/>
          <w:vertAlign w:val="superscript"/>
          <w:lang w:val="en-US" w:eastAsia="zh-CN"/>
        </w:rPr>
        <w:t>3</w:t>
      </w:r>
      <w:r>
        <w:rPr>
          <w:rFonts w:hint="eastAsia"/>
          <w:color w:val="auto"/>
          <w:highlight w:val="none"/>
          <w:lang w:val="en-US" w:eastAsia="zh-CN"/>
        </w:rPr>
        <w:t>/d直接排放；丰水期时，排洪隧洞水水量为25914.9m</w:t>
      </w:r>
      <w:r>
        <w:rPr>
          <w:rFonts w:hint="eastAsia"/>
          <w:color w:val="auto"/>
          <w:highlight w:val="none"/>
          <w:vertAlign w:val="superscript"/>
          <w:lang w:val="en-US" w:eastAsia="zh-CN"/>
        </w:rPr>
        <w:t>3</w:t>
      </w:r>
      <w:r>
        <w:rPr>
          <w:rFonts w:hint="eastAsia"/>
          <w:color w:val="auto"/>
          <w:highlight w:val="none"/>
          <w:lang w:val="en-US" w:eastAsia="zh-CN"/>
        </w:rPr>
        <w:t>/d，其中约1150m</w:t>
      </w:r>
      <w:r>
        <w:rPr>
          <w:rFonts w:hint="eastAsia"/>
          <w:color w:val="auto"/>
          <w:highlight w:val="none"/>
          <w:vertAlign w:val="superscript"/>
          <w:lang w:val="en-US" w:eastAsia="zh-CN"/>
        </w:rPr>
        <w:t>3</w:t>
      </w:r>
      <w:r>
        <w:rPr>
          <w:rFonts w:hint="eastAsia"/>
          <w:color w:val="auto"/>
          <w:highlight w:val="none"/>
          <w:lang w:val="en-US" w:eastAsia="zh-CN"/>
        </w:rPr>
        <w:t>/d排入矿山废水处理站处理达标后排放至渣滓溪，剩余的24764.9m</w:t>
      </w:r>
      <w:r>
        <w:rPr>
          <w:rFonts w:hint="eastAsia"/>
          <w:color w:val="auto"/>
          <w:highlight w:val="none"/>
          <w:vertAlign w:val="superscript"/>
          <w:lang w:val="en-US" w:eastAsia="zh-CN"/>
        </w:rPr>
        <w:t>3</w:t>
      </w:r>
      <w:r>
        <w:rPr>
          <w:rFonts w:hint="eastAsia"/>
          <w:color w:val="auto"/>
          <w:highlight w:val="none"/>
          <w:lang w:val="en-US" w:eastAsia="zh-CN"/>
        </w:rPr>
        <w:t>/d直接排放。</w:t>
      </w:r>
    </w:p>
    <w:p w14:paraId="12121D71">
      <w:pPr>
        <w:widowControl w:val="0"/>
        <w:bidi w:val="0"/>
        <w:spacing w:line="360" w:lineRule="auto"/>
        <w:jc w:val="center"/>
        <w:rPr>
          <w:rFonts w:hint="default" w:ascii="Times New Roman" w:hAnsi="Times New Roman" w:eastAsia="宋体" w:cs="Times New Roman"/>
          <w:color w:val="auto"/>
          <w:kern w:val="2"/>
          <w:sz w:val="24"/>
          <w:highlight w:val="none"/>
          <w:u w:val="single"/>
          <w:lang w:val="en-US" w:eastAsia="zh-CN" w:bidi="ar-SA"/>
        </w:rPr>
      </w:pPr>
      <w:r>
        <w:rPr>
          <w:rFonts w:hint="default" w:ascii="Times New Roman" w:hAnsi="Times New Roman" w:eastAsia="宋体" w:cs="Times New Roman"/>
          <w:color w:val="auto"/>
          <w:kern w:val="2"/>
          <w:sz w:val="24"/>
          <w:highlight w:val="none"/>
          <w:u w:val="single"/>
          <w:lang w:val="en-US" w:eastAsia="zh-CN" w:bidi="ar-SA"/>
        </w:rPr>
        <w:drawing>
          <wp:inline distT="0" distB="0" distL="114300" distR="114300">
            <wp:extent cx="5730875" cy="4415155"/>
            <wp:effectExtent l="0" t="0" r="0" b="0"/>
            <wp:docPr id="26"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B019B1-382A-4266-B25C-5B523AA43C14-3" descr="wps"/>
                    <pic:cNvPicPr>
                      <a:picLocks noChangeAspect="1"/>
                    </pic:cNvPicPr>
                  </pic:nvPicPr>
                  <pic:blipFill>
                    <a:blip r:embed="rId25"/>
                    <a:stretch>
                      <a:fillRect/>
                    </a:stretch>
                  </pic:blipFill>
                  <pic:spPr>
                    <a:xfrm>
                      <a:off x="0" y="0"/>
                      <a:ext cx="5730875" cy="4415155"/>
                    </a:xfrm>
                    <a:prstGeom prst="rect">
                      <a:avLst/>
                    </a:prstGeom>
                  </pic:spPr>
                </pic:pic>
              </a:graphicData>
            </a:graphic>
          </wp:inline>
        </w:drawing>
      </w:r>
    </w:p>
    <w:p w14:paraId="547867D4">
      <w:pPr>
        <w:pStyle w:val="28"/>
        <w:bidi w:val="0"/>
        <w:rPr>
          <w:color w:val="auto"/>
          <w:highlight w:val="none"/>
          <w:u w:val="single"/>
          <w:lang w:val="en-US" w:eastAsia="zh-CN"/>
        </w:rPr>
      </w:pPr>
      <w:bookmarkStart w:id="30" w:name="_Ref25840"/>
      <w:r>
        <w:rPr>
          <w:rFonts w:hint="default"/>
          <w:color w:val="auto"/>
          <w:highlight w:val="none"/>
          <w:u w:val="single"/>
          <w:lang w:val="en-US" w:eastAsia="zh-CN"/>
        </w:rPr>
        <w:t>图</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图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4</w:t>
      </w:r>
      <w:r>
        <w:rPr>
          <w:rFonts w:hint="default"/>
          <w:color w:val="auto"/>
          <w:highlight w:val="none"/>
          <w:u w:val="single"/>
          <w:lang w:val="en-US" w:eastAsia="zh-CN"/>
        </w:rPr>
        <w:fldChar w:fldCharType="end"/>
      </w:r>
      <w:bookmarkEnd w:id="30"/>
      <w:r>
        <w:rPr>
          <w:rFonts w:hint="default"/>
          <w:color w:val="auto"/>
          <w:highlight w:val="none"/>
          <w:u w:val="single"/>
          <w:lang w:val="en-US" w:eastAsia="zh-CN"/>
        </w:rPr>
        <w:t xml:space="preserve">  矿山现状</w:t>
      </w:r>
      <w:r>
        <w:rPr>
          <w:rFonts w:hint="eastAsia"/>
          <w:color w:val="auto"/>
          <w:highlight w:val="none"/>
          <w:u w:val="single"/>
          <w:lang w:val="en-US" w:eastAsia="zh-CN"/>
        </w:rPr>
        <w:t>枯水期</w:t>
      </w:r>
      <w:r>
        <w:rPr>
          <w:rFonts w:hint="default"/>
          <w:color w:val="auto"/>
          <w:highlight w:val="none"/>
          <w:u w:val="single"/>
          <w:lang w:val="en-US" w:eastAsia="zh-CN"/>
        </w:rPr>
        <w:t>水平衡图（单位：</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r>
        <w:rPr>
          <w:rFonts w:hint="default"/>
          <w:color w:val="auto"/>
          <w:highlight w:val="none"/>
          <w:u w:val="single"/>
          <w:lang w:val="en-US" w:eastAsia="zh-CN"/>
        </w:rPr>
        <w:t>）</w:t>
      </w:r>
    </w:p>
    <w:p w14:paraId="0FE1499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4"/>
          <w:highlight w:val="none"/>
          <w:u w:val="single"/>
          <w:lang w:val="en-US" w:eastAsia="zh-CN" w:bidi="ar-SA"/>
        </w:rPr>
      </w:pPr>
      <w:r>
        <w:rPr>
          <w:rFonts w:hint="eastAsia" w:ascii="Times New Roman" w:hAnsi="Times New Roman" w:eastAsia="宋体" w:cs="Times New Roman"/>
          <w:color w:val="auto"/>
          <w:kern w:val="2"/>
          <w:sz w:val="24"/>
          <w:highlight w:val="none"/>
          <w:u w:val="single"/>
          <w:lang w:val="en-US" w:eastAsia="zh-CN" w:bidi="ar-SA"/>
        </w:rPr>
        <w:drawing>
          <wp:inline distT="0" distB="0" distL="114300" distR="114300">
            <wp:extent cx="5176520" cy="3987800"/>
            <wp:effectExtent l="0" t="0" r="0" b="0"/>
            <wp:docPr id="27"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B019B1-382A-4266-B25C-5B523AA43C14-4" descr="wps"/>
                    <pic:cNvPicPr>
                      <a:picLocks noChangeAspect="1"/>
                    </pic:cNvPicPr>
                  </pic:nvPicPr>
                  <pic:blipFill>
                    <a:blip r:embed="rId26"/>
                    <a:stretch>
                      <a:fillRect/>
                    </a:stretch>
                  </pic:blipFill>
                  <pic:spPr>
                    <a:xfrm>
                      <a:off x="0" y="0"/>
                      <a:ext cx="5176520" cy="3987800"/>
                    </a:xfrm>
                    <a:prstGeom prst="rect">
                      <a:avLst/>
                    </a:prstGeom>
                  </pic:spPr>
                </pic:pic>
              </a:graphicData>
            </a:graphic>
          </wp:inline>
        </w:drawing>
      </w:r>
    </w:p>
    <w:p w14:paraId="582C0B5E">
      <w:pPr>
        <w:pStyle w:val="28"/>
        <w:bidi w:val="0"/>
        <w:rPr>
          <w:color w:val="auto"/>
          <w:highlight w:val="none"/>
          <w:u w:val="single"/>
          <w:lang w:val="en-US" w:eastAsia="zh-CN"/>
        </w:rPr>
      </w:pPr>
      <w:r>
        <w:rPr>
          <w:rFonts w:hint="default"/>
          <w:color w:val="auto"/>
          <w:highlight w:val="none"/>
          <w:u w:val="single"/>
          <w:lang w:val="en-US" w:eastAsia="zh-CN"/>
        </w:rPr>
        <w:t>图</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图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5</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矿山现状</w:t>
      </w:r>
      <w:r>
        <w:rPr>
          <w:rFonts w:hint="eastAsia"/>
          <w:color w:val="auto"/>
          <w:highlight w:val="none"/>
          <w:u w:val="single"/>
          <w:lang w:val="en-US" w:eastAsia="zh-CN"/>
        </w:rPr>
        <w:t>平水期</w:t>
      </w:r>
      <w:r>
        <w:rPr>
          <w:rFonts w:hint="default"/>
          <w:color w:val="auto"/>
          <w:highlight w:val="none"/>
          <w:u w:val="single"/>
          <w:lang w:val="en-US" w:eastAsia="zh-CN"/>
        </w:rPr>
        <w:t>水平衡图（单位：</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r>
        <w:rPr>
          <w:rFonts w:hint="default"/>
          <w:color w:val="auto"/>
          <w:highlight w:val="none"/>
          <w:u w:val="single"/>
          <w:lang w:val="en-US" w:eastAsia="zh-CN"/>
        </w:rPr>
        <w:t>）</w:t>
      </w:r>
    </w:p>
    <w:p w14:paraId="4AAA0F8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color w:val="auto"/>
          <w:kern w:val="2"/>
          <w:sz w:val="24"/>
          <w:highlight w:val="none"/>
          <w:u w:val="single"/>
          <w:lang w:val="en-US" w:eastAsia="zh-CN" w:bidi="ar-SA"/>
        </w:rPr>
      </w:pPr>
      <w:bookmarkStart w:id="31" w:name="_Ref21944"/>
      <w:r>
        <w:rPr>
          <w:rFonts w:hint="eastAsia" w:ascii="Times New Roman" w:hAnsi="Times New Roman" w:eastAsia="宋体" w:cs="Times New Roman"/>
          <w:color w:val="auto"/>
          <w:kern w:val="2"/>
          <w:sz w:val="24"/>
          <w:highlight w:val="none"/>
          <w:u w:val="single"/>
          <w:lang w:val="en-US" w:eastAsia="zh-CN" w:bidi="ar-SA"/>
        </w:rPr>
        <w:drawing>
          <wp:inline distT="0" distB="0" distL="114300" distR="114300">
            <wp:extent cx="5405755" cy="4164965"/>
            <wp:effectExtent l="0" t="0" r="0" b="0"/>
            <wp:docPr id="28" name="ECB019B1-382A-4266-B25C-5B523AA43C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B019B1-382A-4266-B25C-5B523AA43C14-5" descr="wps"/>
                    <pic:cNvPicPr>
                      <a:picLocks noChangeAspect="1"/>
                    </pic:cNvPicPr>
                  </pic:nvPicPr>
                  <pic:blipFill>
                    <a:blip r:embed="rId27"/>
                    <a:stretch>
                      <a:fillRect/>
                    </a:stretch>
                  </pic:blipFill>
                  <pic:spPr>
                    <a:xfrm>
                      <a:off x="0" y="0"/>
                      <a:ext cx="5405755" cy="4164965"/>
                    </a:xfrm>
                    <a:prstGeom prst="rect">
                      <a:avLst/>
                    </a:prstGeom>
                  </pic:spPr>
                </pic:pic>
              </a:graphicData>
            </a:graphic>
          </wp:inline>
        </w:drawing>
      </w:r>
    </w:p>
    <w:p w14:paraId="2BB3F9EF">
      <w:pPr>
        <w:pStyle w:val="28"/>
        <w:bidi w:val="0"/>
        <w:rPr>
          <w:color w:val="auto"/>
          <w:highlight w:val="none"/>
          <w:u w:val="single"/>
          <w:lang w:val="en-US" w:eastAsia="zh-CN"/>
        </w:rPr>
      </w:pPr>
      <w:r>
        <w:rPr>
          <w:rFonts w:hint="default"/>
          <w:color w:val="auto"/>
          <w:highlight w:val="none"/>
          <w:u w:val="single"/>
          <w:lang w:val="en-US" w:eastAsia="zh-CN"/>
        </w:rPr>
        <w:t>图</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图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6</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矿山现状</w:t>
      </w:r>
      <w:r>
        <w:rPr>
          <w:rFonts w:hint="eastAsia"/>
          <w:color w:val="auto"/>
          <w:highlight w:val="none"/>
          <w:u w:val="single"/>
          <w:lang w:val="en-US" w:eastAsia="zh-CN"/>
        </w:rPr>
        <w:t>丰水期</w:t>
      </w:r>
      <w:r>
        <w:rPr>
          <w:rFonts w:hint="default"/>
          <w:color w:val="auto"/>
          <w:highlight w:val="none"/>
          <w:u w:val="single"/>
          <w:lang w:val="en-US" w:eastAsia="zh-CN"/>
        </w:rPr>
        <w:t>水平衡图（单位：</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r>
        <w:rPr>
          <w:rFonts w:hint="default"/>
          <w:color w:val="auto"/>
          <w:highlight w:val="none"/>
          <w:u w:val="single"/>
          <w:lang w:val="en-US" w:eastAsia="zh-CN"/>
        </w:rPr>
        <w:t>）</w:t>
      </w:r>
    </w:p>
    <w:p w14:paraId="10A64927">
      <w:pPr>
        <w:pStyle w:val="37"/>
        <w:bidi w:val="0"/>
        <w:rPr>
          <w:color w:val="auto"/>
          <w:highlight w:val="none"/>
          <w:lang w:val="en-US" w:eastAsia="zh-CN"/>
        </w:rPr>
      </w:pPr>
      <w:bookmarkStart w:id="32" w:name="_Ref19688"/>
      <w:r>
        <w:rPr>
          <w:rFonts w:hint="eastAsia"/>
          <w:color w:val="auto"/>
          <w:highlight w:val="none"/>
          <w:lang w:val="en-US" w:eastAsia="zh-CN"/>
        </w:rPr>
        <w:t>冶炼工程概述</w:t>
      </w:r>
      <w:bookmarkEnd w:id="31"/>
      <w:bookmarkEnd w:id="32"/>
    </w:p>
    <w:p w14:paraId="313468F3">
      <w:pPr>
        <w:widowControl w:val="0"/>
        <w:tabs>
          <w:tab w:val="left" w:pos="1021"/>
        </w:tabs>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渣滓溪冶炼厂于1986年进行了改扩建，生产规模由原来年产1000吨精锑扩大到2500吨/年精锑规模，同年获得安化县环境保护局环评批复（湘环冶字第63号）。</w:t>
      </w:r>
    </w:p>
    <w:p w14:paraId="6FAFDA7E">
      <w:pPr>
        <w:widowControl w:val="0"/>
        <w:tabs>
          <w:tab w:val="left" w:pos="1021"/>
        </w:tabs>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2013年，企业拟实施</w:t>
      </w:r>
      <w:r>
        <w:rPr>
          <w:rFonts w:hint="eastAsia" w:cs="Times New Roman"/>
          <w:color w:val="auto"/>
          <w:kern w:val="2"/>
          <w:sz w:val="24"/>
          <w:highlight w:val="none"/>
          <w:lang w:val="en-US" w:eastAsia="zh-CN" w:bidi="ar-SA"/>
        </w:rPr>
        <w:t>节能环保技改工程</w:t>
      </w:r>
      <w:r>
        <w:rPr>
          <w:rFonts w:hint="eastAsia" w:ascii="Times New Roman" w:hAnsi="Times New Roman" w:eastAsia="宋体" w:cs="Times New Roman"/>
          <w:color w:val="auto"/>
          <w:kern w:val="2"/>
          <w:sz w:val="24"/>
          <w:highlight w:val="none"/>
          <w:lang w:val="en-US" w:eastAsia="zh-CN" w:bidi="ar-SA"/>
        </w:rPr>
        <w:t>，采选规模扩大至21万t/a，同步对冶炼部分进行</w:t>
      </w:r>
      <w:r>
        <w:rPr>
          <w:rFonts w:hint="eastAsia" w:cs="Times New Roman"/>
          <w:color w:val="auto"/>
          <w:kern w:val="2"/>
          <w:sz w:val="24"/>
          <w:highlight w:val="none"/>
          <w:lang w:val="en-US" w:eastAsia="zh-CN" w:bidi="ar-SA"/>
        </w:rPr>
        <w:t>调整</w:t>
      </w:r>
      <w:r>
        <w:rPr>
          <w:rFonts w:hint="eastAsia" w:ascii="Times New Roman" w:hAnsi="Times New Roman" w:eastAsia="宋体" w:cs="Times New Roman"/>
          <w:color w:val="auto"/>
          <w:kern w:val="2"/>
          <w:sz w:val="24"/>
          <w:highlight w:val="none"/>
          <w:lang w:val="en-US" w:eastAsia="zh-CN" w:bidi="ar-SA"/>
        </w:rPr>
        <w:t>扩能，以自产锑矿为原料对冶炼系统改扩建，形成一条年产5250吨精锑生产线，配套建设废水、废气等环保设施。项目于2012年12月开工建设，在2013年8月委托环境保护部南京环境科学研究所编制完成《湖南安化渣滓溪矿业有限公司渣滓溪锑矿</w:t>
      </w:r>
      <w:r>
        <w:rPr>
          <w:rFonts w:hint="eastAsia" w:cs="Times New Roman"/>
          <w:color w:val="auto"/>
          <w:kern w:val="2"/>
          <w:sz w:val="24"/>
          <w:highlight w:val="none"/>
          <w:lang w:val="en-US" w:eastAsia="zh-CN" w:bidi="ar-SA"/>
        </w:rPr>
        <w:t>节能环保技改工程</w:t>
      </w:r>
      <w:r>
        <w:rPr>
          <w:rFonts w:hint="eastAsia" w:ascii="Times New Roman" w:hAnsi="Times New Roman" w:eastAsia="宋体" w:cs="Times New Roman"/>
          <w:color w:val="auto"/>
          <w:kern w:val="2"/>
          <w:sz w:val="24"/>
          <w:highlight w:val="none"/>
          <w:lang w:val="en-US" w:eastAsia="zh-CN" w:bidi="ar-SA"/>
        </w:rPr>
        <w:t>(冶炼部分)环境影响报告书》，于2013年8月29日取得了《湖南省环境保护厅关于湖南安化渣滓溪矿业有限公司渣滓溪锑矿</w:t>
      </w:r>
      <w:r>
        <w:rPr>
          <w:rFonts w:hint="eastAsia" w:cs="Times New Roman"/>
          <w:color w:val="auto"/>
          <w:kern w:val="2"/>
          <w:sz w:val="24"/>
          <w:highlight w:val="none"/>
          <w:lang w:val="en-US" w:eastAsia="zh-CN" w:bidi="ar-SA"/>
        </w:rPr>
        <w:t>节能环保技改工程</w:t>
      </w:r>
      <w:r>
        <w:rPr>
          <w:rFonts w:hint="eastAsia" w:ascii="Times New Roman" w:hAnsi="Times New Roman" w:eastAsia="宋体" w:cs="Times New Roman"/>
          <w:color w:val="auto"/>
          <w:kern w:val="2"/>
          <w:sz w:val="24"/>
          <w:highlight w:val="none"/>
          <w:lang w:val="en-US" w:eastAsia="zh-CN" w:bidi="ar-SA"/>
        </w:rPr>
        <w:t>（冶炼部分）环境影响报告书的批复》（湘环评〔2013〕218号）。2016年项目建成，</w:t>
      </w:r>
      <w:r>
        <w:rPr>
          <w:rFonts w:hint="default" w:ascii="Times New Roman" w:hAnsi="Times New Roman" w:eastAsia="宋体" w:cs="Times New Roman"/>
          <w:color w:val="auto"/>
          <w:kern w:val="2"/>
          <w:sz w:val="24"/>
          <w:highlight w:val="none"/>
          <w:lang w:val="en-US" w:eastAsia="zh-CN" w:bidi="ar-SA"/>
        </w:rPr>
        <w:t>2018年2月11日</w:t>
      </w:r>
      <w:r>
        <w:rPr>
          <w:rFonts w:hint="eastAsia" w:ascii="Times New Roman" w:hAnsi="Times New Roman" w:eastAsia="宋体" w:cs="Times New Roman"/>
          <w:color w:val="auto"/>
          <w:kern w:val="2"/>
          <w:sz w:val="24"/>
          <w:highlight w:val="none"/>
          <w:lang w:val="en-US" w:eastAsia="zh-CN" w:bidi="ar-SA"/>
        </w:rPr>
        <w:t>，</w:t>
      </w:r>
      <w:r>
        <w:rPr>
          <w:rFonts w:hint="default" w:ascii="Times New Roman" w:hAnsi="Times New Roman" w:eastAsia="宋体" w:cs="Times New Roman"/>
          <w:color w:val="auto"/>
          <w:kern w:val="2"/>
          <w:sz w:val="24"/>
          <w:highlight w:val="none"/>
          <w:lang w:val="en-US" w:eastAsia="zh-CN" w:bidi="ar-SA"/>
        </w:rPr>
        <w:t>湖南省环境保护</w:t>
      </w:r>
      <w:r>
        <w:rPr>
          <w:rFonts w:hint="eastAsia" w:ascii="Times New Roman" w:hAnsi="Times New Roman" w:eastAsia="宋体" w:cs="Times New Roman"/>
          <w:color w:val="auto"/>
          <w:kern w:val="2"/>
          <w:sz w:val="24"/>
          <w:highlight w:val="none"/>
          <w:lang w:val="en-US" w:eastAsia="zh-CN" w:bidi="ar-SA"/>
        </w:rPr>
        <w:t>厅</w:t>
      </w:r>
      <w:r>
        <w:rPr>
          <w:rFonts w:hint="default" w:ascii="Times New Roman" w:hAnsi="Times New Roman" w:eastAsia="宋体" w:cs="Times New Roman"/>
          <w:color w:val="auto"/>
          <w:kern w:val="2"/>
          <w:sz w:val="24"/>
          <w:highlight w:val="none"/>
          <w:lang w:val="en-US" w:eastAsia="zh-CN" w:bidi="ar-SA"/>
        </w:rPr>
        <w:t>出具了《湖南省环境保护厅关于湖南安化渣滓溪矿业有限公司渣滓溪锑矿</w:t>
      </w:r>
      <w:r>
        <w:rPr>
          <w:rFonts w:hint="eastAsia" w:cs="Times New Roman"/>
          <w:color w:val="auto"/>
          <w:kern w:val="2"/>
          <w:sz w:val="24"/>
          <w:highlight w:val="none"/>
          <w:lang w:val="en-US" w:eastAsia="zh-CN" w:bidi="ar-SA"/>
        </w:rPr>
        <w:t>节能环保技改工程</w:t>
      </w:r>
      <w:r>
        <w:rPr>
          <w:rFonts w:hint="default" w:ascii="Times New Roman" w:hAnsi="Times New Roman" w:eastAsia="宋体" w:cs="Times New Roman"/>
          <w:color w:val="auto"/>
          <w:kern w:val="2"/>
          <w:sz w:val="24"/>
          <w:highlight w:val="none"/>
          <w:lang w:val="en-US" w:eastAsia="zh-CN" w:bidi="ar-SA"/>
        </w:rPr>
        <w:t>（冶炼部分）环境保护竣工验收的函》（湘环评验〔2018〕7号）</w:t>
      </w:r>
      <w:r>
        <w:rPr>
          <w:rFonts w:hint="eastAsia" w:cs="Times New Roman"/>
          <w:color w:val="auto"/>
          <w:kern w:val="2"/>
          <w:sz w:val="24"/>
          <w:highlight w:val="none"/>
          <w:lang w:val="en-US" w:eastAsia="zh-CN" w:bidi="ar-SA"/>
        </w:rPr>
        <w:t>。根据原节能环保技改工程环评及验收资料，</w:t>
      </w:r>
      <w:r>
        <w:rPr>
          <w:rFonts w:hint="eastAsia" w:ascii="Times New Roman" w:hAnsi="Times New Roman" w:eastAsia="宋体" w:cs="Times New Roman"/>
          <w:color w:val="auto"/>
          <w:kern w:val="2"/>
          <w:sz w:val="24"/>
          <w:highlight w:val="none"/>
          <w:lang w:val="en-US" w:eastAsia="zh-CN" w:bidi="ar-SA"/>
        </w:rPr>
        <w:t>该项目基本情况见下表。</w:t>
      </w:r>
    </w:p>
    <w:p w14:paraId="1D9FF973">
      <w:pPr>
        <w:pStyle w:val="28"/>
        <w:bidi w:val="0"/>
        <w:rPr>
          <w:rFonts w:hint="default"/>
          <w:color w:val="auto"/>
          <w:highlight w:val="none"/>
          <w:lang w:val="en-US" w:eastAsia="en-US"/>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17</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节能环保技改工程</w:t>
      </w:r>
      <w:r>
        <w:rPr>
          <w:rFonts w:hint="default"/>
          <w:color w:val="auto"/>
          <w:highlight w:val="none"/>
          <w:lang w:val="en-US" w:eastAsia="zh-CN"/>
        </w:rPr>
        <w:t>（冶炼部分）</w:t>
      </w:r>
      <w:r>
        <w:rPr>
          <w:rFonts w:hint="default"/>
          <w:color w:val="auto"/>
          <w:highlight w:val="none"/>
          <w:lang w:val="en-US" w:eastAsia="en-US"/>
        </w:rPr>
        <w:t>工程基本情况一览表</w:t>
      </w:r>
    </w:p>
    <w:tbl>
      <w:tblPr>
        <w:tblStyle w:val="5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19"/>
        <w:gridCol w:w="1324"/>
        <w:gridCol w:w="728"/>
        <w:gridCol w:w="6381"/>
      </w:tblGrid>
      <w:tr w14:paraId="0BF71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61B3D3AF">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序号</w:t>
            </w:r>
          </w:p>
        </w:tc>
        <w:tc>
          <w:tcPr>
            <w:tcW w:w="731" w:type="pct"/>
            <w:tcBorders>
              <w:tl2br w:val="nil"/>
              <w:tr2bl w:val="nil"/>
            </w:tcBorders>
            <w:shd w:val="clear" w:color="auto" w:fill="auto"/>
            <w:vAlign w:val="center"/>
          </w:tcPr>
          <w:p w14:paraId="79D2BB15">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项目</w:t>
            </w:r>
          </w:p>
        </w:tc>
        <w:tc>
          <w:tcPr>
            <w:tcW w:w="3925" w:type="pct"/>
            <w:gridSpan w:val="2"/>
            <w:tcBorders>
              <w:tl2br w:val="nil"/>
              <w:tr2bl w:val="nil"/>
            </w:tcBorders>
            <w:shd w:val="clear" w:color="auto" w:fill="auto"/>
            <w:vAlign w:val="center"/>
          </w:tcPr>
          <w:p w14:paraId="19A8C5BE">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内    容</w:t>
            </w:r>
          </w:p>
        </w:tc>
      </w:tr>
      <w:tr w14:paraId="032F6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1ACFCF22">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1</w:t>
            </w:r>
          </w:p>
        </w:tc>
        <w:tc>
          <w:tcPr>
            <w:tcW w:w="731" w:type="pct"/>
            <w:tcBorders>
              <w:tl2br w:val="nil"/>
              <w:tr2bl w:val="nil"/>
            </w:tcBorders>
            <w:shd w:val="clear" w:color="auto" w:fill="auto"/>
            <w:vAlign w:val="center"/>
          </w:tcPr>
          <w:p w14:paraId="1F2ACCFE">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项目名称</w:t>
            </w:r>
          </w:p>
        </w:tc>
        <w:tc>
          <w:tcPr>
            <w:tcW w:w="3925" w:type="pct"/>
            <w:gridSpan w:val="2"/>
            <w:tcBorders>
              <w:tl2br w:val="nil"/>
              <w:tr2bl w:val="nil"/>
            </w:tcBorders>
            <w:shd w:val="clear" w:color="auto" w:fill="auto"/>
            <w:vAlign w:val="center"/>
          </w:tcPr>
          <w:p w14:paraId="5995057D">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hint="eastAsia" w:ascii="Times New Roman" w:hAnsi="Times New Roman" w:eastAsia="宋体" w:cs="Times New Roman"/>
                <w:b w:val="0"/>
                <w:color w:val="auto"/>
                <w:kern w:val="2"/>
                <w:sz w:val="22"/>
                <w:szCs w:val="22"/>
                <w:highlight w:val="none"/>
                <w:lang w:val="en-US" w:eastAsia="zh-CN" w:bidi="ar-SA"/>
              </w:rPr>
            </w:pPr>
            <w:r>
              <w:rPr>
                <w:rFonts w:ascii="Times New Roman" w:hAnsi="Times New Roman" w:eastAsia="宋体" w:cs="Times New Roman"/>
                <w:b w:val="0"/>
                <w:color w:val="auto"/>
                <w:kern w:val="2"/>
                <w:sz w:val="22"/>
                <w:szCs w:val="22"/>
                <w:highlight w:val="none"/>
                <w:lang w:val="en-US" w:eastAsia="en-US" w:bidi="ar-SA"/>
              </w:rPr>
              <w:t>湖南安化渣滓溪矿业有限公司锑矿</w:t>
            </w:r>
            <w:r>
              <w:rPr>
                <w:rFonts w:hint="eastAsia" w:cs="Times New Roman"/>
                <w:b w:val="0"/>
                <w:color w:val="auto"/>
                <w:kern w:val="2"/>
                <w:sz w:val="22"/>
                <w:szCs w:val="22"/>
                <w:highlight w:val="none"/>
                <w:lang w:val="en-US" w:eastAsia="zh-CN" w:bidi="ar-SA"/>
              </w:rPr>
              <w:t>节能环保技改工程</w:t>
            </w:r>
          </w:p>
        </w:tc>
      </w:tr>
      <w:tr w14:paraId="71CC0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3C443D6A">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2</w:t>
            </w:r>
          </w:p>
        </w:tc>
        <w:tc>
          <w:tcPr>
            <w:tcW w:w="731" w:type="pct"/>
            <w:tcBorders>
              <w:tl2br w:val="nil"/>
              <w:tr2bl w:val="nil"/>
            </w:tcBorders>
            <w:shd w:val="clear" w:color="auto" w:fill="auto"/>
            <w:vAlign w:val="center"/>
          </w:tcPr>
          <w:p w14:paraId="5038E3E3">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建设单位</w:t>
            </w:r>
          </w:p>
        </w:tc>
        <w:tc>
          <w:tcPr>
            <w:tcW w:w="3925" w:type="pct"/>
            <w:gridSpan w:val="2"/>
            <w:tcBorders>
              <w:tl2br w:val="nil"/>
              <w:tr2bl w:val="nil"/>
            </w:tcBorders>
            <w:shd w:val="clear" w:color="auto" w:fill="auto"/>
            <w:vAlign w:val="center"/>
          </w:tcPr>
          <w:p w14:paraId="42564CAA">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湖南安化渣滓溪矿业有限公司</w:t>
            </w:r>
          </w:p>
        </w:tc>
      </w:tr>
      <w:tr w14:paraId="2F5E7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762EDE66">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3</w:t>
            </w:r>
          </w:p>
        </w:tc>
        <w:tc>
          <w:tcPr>
            <w:tcW w:w="731" w:type="pct"/>
            <w:tcBorders>
              <w:tl2br w:val="nil"/>
              <w:tr2bl w:val="nil"/>
            </w:tcBorders>
            <w:shd w:val="clear" w:color="auto" w:fill="auto"/>
            <w:vAlign w:val="center"/>
          </w:tcPr>
          <w:p w14:paraId="72504A17">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建设性质</w:t>
            </w:r>
          </w:p>
        </w:tc>
        <w:tc>
          <w:tcPr>
            <w:tcW w:w="3925" w:type="pct"/>
            <w:gridSpan w:val="2"/>
            <w:tcBorders>
              <w:tl2br w:val="nil"/>
              <w:tr2bl w:val="nil"/>
            </w:tcBorders>
            <w:shd w:val="clear" w:color="auto" w:fill="auto"/>
            <w:vAlign w:val="center"/>
          </w:tcPr>
          <w:p w14:paraId="69A29458">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技术改造</w:t>
            </w:r>
          </w:p>
        </w:tc>
      </w:tr>
      <w:tr w14:paraId="597A0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6B304188">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4</w:t>
            </w:r>
          </w:p>
        </w:tc>
        <w:tc>
          <w:tcPr>
            <w:tcW w:w="731" w:type="pct"/>
            <w:tcBorders>
              <w:tl2br w:val="nil"/>
              <w:tr2bl w:val="nil"/>
            </w:tcBorders>
            <w:shd w:val="clear" w:color="auto" w:fill="auto"/>
            <w:vAlign w:val="center"/>
          </w:tcPr>
          <w:p w14:paraId="0C796F6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建设地点</w:t>
            </w:r>
          </w:p>
        </w:tc>
        <w:tc>
          <w:tcPr>
            <w:tcW w:w="3925" w:type="pct"/>
            <w:gridSpan w:val="2"/>
            <w:tcBorders>
              <w:tl2br w:val="nil"/>
              <w:tr2bl w:val="nil"/>
            </w:tcBorders>
            <w:shd w:val="clear" w:color="auto" w:fill="auto"/>
            <w:vAlign w:val="center"/>
          </w:tcPr>
          <w:p w14:paraId="6744B70C">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安化县奎溪镇白洋村湖南安化渣滓溪矿业有限公司原有锑冶炼厂区内</w:t>
            </w:r>
          </w:p>
        </w:tc>
      </w:tr>
      <w:tr w14:paraId="1FDA1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vMerge w:val="restart"/>
            <w:tcBorders>
              <w:tl2br w:val="nil"/>
              <w:tr2bl w:val="nil"/>
            </w:tcBorders>
            <w:shd w:val="clear" w:color="auto" w:fill="auto"/>
            <w:vAlign w:val="center"/>
          </w:tcPr>
          <w:p w14:paraId="0A7F2C72">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5</w:t>
            </w:r>
          </w:p>
        </w:tc>
        <w:tc>
          <w:tcPr>
            <w:tcW w:w="731" w:type="pct"/>
            <w:vMerge w:val="restart"/>
            <w:tcBorders>
              <w:tl2br w:val="nil"/>
              <w:tr2bl w:val="nil"/>
            </w:tcBorders>
            <w:shd w:val="clear" w:color="auto" w:fill="auto"/>
            <w:vAlign w:val="center"/>
          </w:tcPr>
          <w:p w14:paraId="2A723300">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建设规模</w:t>
            </w:r>
          </w:p>
        </w:tc>
        <w:tc>
          <w:tcPr>
            <w:tcW w:w="402" w:type="pct"/>
            <w:tcBorders>
              <w:tl2br w:val="nil"/>
              <w:tr2bl w:val="nil"/>
            </w:tcBorders>
            <w:shd w:val="clear" w:color="auto" w:fill="auto"/>
            <w:vAlign w:val="center"/>
          </w:tcPr>
          <w:p w14:paraId="614AB71B">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拆除</w:t>
            </w:r>
          </w:p>
        </w:tc>
        <w:tc>
          <w:tcPr>
            <w:tcW w:w="3522" w:type="pct"/>
            <w:tcBorders>
              <w:tl2br w:val="nil"/>
              <w:tr2bl w:val="nil"/>
            </w:tcBorders>
            <w:shd w:val="clear" w:color="auto" w:fill="auto"/>
            <w:vAlign w:val="center"/>
          </w:tcPr>
          <w:p w14:paraId="5F5C24C1">
            <w:pPr>
              <w:widowControl w:val="0"/>
              <w:pBdr>
                <w:top w:val="none" w:color="auto" w:sz="0" w:space="1"/>
                <w:left w:val="none" w:color="auto" w:sz="0" w:space="4"/>
                <w:bottom w:val="none" w:color="auto" w:sz="0" w:space="1"/>
                <w:right w:val="none" w:color="auto" w:sz="0" w:space="4"/>
              </w:pBdr>
              <w:bidi w:val="0"/>
              <w:spacing w:line="240" w:lineRule="auto"/>
              <w:jc w:val="left"/>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①拆除原有厂房（正在拆除）</w:t>
            </w:r>
          </w:p>
          <w:p w14:paraId="07737BE9">
            <w:pPr>
              <w:widowControl w:val="0"/>
              <w:pBdr>
                <w:top w:val="none" w:color="auto" w:sz="0" w:space="1"/>
                <w:left w:val="none" w:color="auto" w:sz="0" w:space="4"/>
                <w:bottom w:val="none" w:color="auto" w:sz="0" w:space="1"/>
                <w:right w:val="none" w:color="auto" w:sz="0" w:space="4"/>
              </w:pBdr>
              <w:bidi w:val="0"/>
              <w:spacing w:line="240" w:lineRule="auto"/>
              <w:jc w:val="left"/>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②淘汰原有生产线及生产设备（已淘汰）</w:t>
            </w:r>
          </w:p>
          <w:p w14:paraId="57A71EFC">
            <w:pPr>
              <w:widowControl w:val="0"/>
              <w:pBdr>
                <w:top w:val="none" w:color="auto" w:sz="0" w:space="1"/>
                <w:left w:val="none" w:color="auto" w:sz="0" w:space="4"/>
                <w:bottom w:val="none" w:color="auto" w:sz="0" w:space="1"/>
                <w:right w:val="none" w:color="auto" w:sz="0" w:space="4"/>
              </w:pBdr>
              <w:bidi w:val="0"/>
              <w:spacing w:line="240" w:lineRule="auto"/>
              <w:jc w:val="left"/>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③淘汰原有废水处理、废气治理及废渣库等环保设施（已淘汰）；保留 160m高的爬山烟道和36m烟囱。（保留160m爬山烟道）</w:t>
            </w:r>
          </w:p>
        </w:tc>
      </w:tr>
      <w:tr w14:paraId="2968E6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vMerge w:val="continue"/>
            <w:tcBorders>
              <w:tl2br w:val="nil"/>
              <w:tr2bl w:val="nil"/>
            </w:tcBorders>
            <w:shd w:val="clear" w:color="auto" w:fill="auto"/>
            <w:vAlign w:val="center"/>
          </w:tcPr>
          <w:p w14:paraId="5944DC30">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p>
        </w:tc>
        <w:tc>
          <w:tcPr>
            <w:tcW w:w="731" w:type="pct"/>
            <w:vMerge w:val="continue"/>
            <w:tcBorders>
              <w:tl2br w:val="nil"/>
              <w:tr2bl w:val="nil"/>
            </w:tcBorders>
            <w:shd w:val="clear" w:color="auto" w:fill="auto"/>
            <w:vAlign w:val="center"/>
          </w:tcPr>
          <w:p w14:paraId="5E875B1E">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p>
        </w:tc>
        <w:tc>
          <w:tcPr>
            <w:tcW w:w="402" w:type="pct"/>
            <w:tcBorders>
              <w:tl2br w:val="nil"/>
              <w:tr2bl w:val="nil"/>
            </w:tcBorders>
            <w:shd w:val="clear" w:color="auto" w:fill="auto"/>
            <w:vAlign w:val="center"/>
          </w:tcPr>
          <w:p w14:paraId="3B07D031">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新建</w:t>
            </w:r>
          </w:p>
        </w:tc>
        <w:tc>
          <w:tcPr>
            <w:tcW w:w="3522" w:type="pct"/>
            <w:tcBorders>
              <w:tl2br w:val="nil"/>
              <w:tr2bl w:val="nil"/>
            </w:tcBorders>
            <w:shd w:val="clear" w:color="auto" w:fill="auto"/>
            <w:vAlign w:val="center"/>
          </w:tcPr>
          <w:p w14:paraId="0084F1EB">
            <w:pPr>
              <w:widowControl w:val="0"/>
              <w:pBdr>
                <w:top w:val="none" w:color="auto" w:sz="0" w:space="1"/>
                <w:left w:val="none" w:color="auto" w:sz="0" w:space="4"/>
                <w:bottom w:val="none" w:color="auto" w:sz="0" w:space="1"/>
                <w:right w:val="none" w:color="auto" w:sz="0" w:space="4"/>
              </w:pBdr>
              <w:bidi w:val="0"/>
              <w:spacing w:line="240" w:lineRule="auto"/>
              <w:jc w:val="left"/>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新建一条5250t/a精锑生产线</w:t>
            </w:r>
          </w:p>
          <w:p w14:paraId="1EE692BA">
            <w:pPr>
              <w:widowControl w:val="0"/>
              <w:pBdr>
                <w:top w:val="none" w:color="auto" w:sz="0" w:space="1"/>
                <w:left w:val="none" w:color="auto" w:sz="0" w:space="4"/>
                <w:bottom w:val="none" w:color="auto" w:sz="0" w:space="1"/>
                <w:right w:val="none" w:color="auto" w:sz="0" w:space="4"/>
              </w:pBdr>
              <w:bidi w:val="0"/>
              <w:spacing w:line="240" w:lineRule="auto"/>
              <w:jc w:val="left"/>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①新建厂房、原料库、产品库等；</w:t>
            </w:r>
          </w:p>
          <w:p w14:paraId="5D4F1653">
            <w:pPr>
              <w:widowControl w:val="0"/>
              <w:pBdr>
                <w:top w:val="none" w:color="auto" w:sz="0" w:space="1"/>
                <w:left w:val="none" w:color="auto" w:sz="0" w:space="4"/>
                <w:bottom w:val="none" w:color="auto" w:sz="0" w:space="1"/>
                <w:right w:val="none" w:color="auto" w:sz="0" w:space="4"/>
              </w:pBdr>
              <w:bidi w:val="0"/>
              <w:spacing w:line="240" w:lineRule="auto"/>
              <w:jc w:val="left"/>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②鼓风炉、反射炉、制粒、上料、物料传输等生产设施；</w:t>
            </w:r>
          </w:p>
          <w:p w14:paraId="2AB21416">
            <w:pPr>
              <w:widowControl w:val="0"/>
              <w:pBdr>
                <w:top w:val="none" w:color="auto" w:sz="0" w:space="1"/>
                <w:left w:val="none" w:color="auto" w:sz="0" w:space="4"/>
                <w:bottom w:val="none" w:color="auto" w:sz="0" w:space="1"/>
                <w:right w:val="none" w:color="auto" w:sz="0" w:space="4"/>
              </w:pBdr>
              <w:bidi w:val="0"/>
              <w:spacing w:line="240" w:lineRule="auto"/>
              <w:jc w:val="left"/>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③新建初期雨水收集池、烟气处理、废水处理循环、废渣库等环保设施</w:t>
            </w:r>
          </w:p>
        </w:tc>
      </w:tr>
      <w:tr w14:paraId="2C27D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12E3D37F">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6</w:t>
            </w:r>
          </w:p>
        </w:tc>
        <w:tc>
          <w:tcPr>
            <w:tcW w:w="731" w:type="pct"/>
            <w:tcBorders>
              <w:tl2br w:val="nil"/>
              <w:tr2bl w:val="nil"/>
            </w:tcBorders>
            <w:shd w:val="clear" w:color="auto" w:fill="auto"/>
            <w:vAlign w:val="center"/>
          </w:tcPr>
          <w:p w14:paraId="7CD7706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开工建设时间</w:t>
            </w:r>
          </w:p>
        </w:tc>
        <w:tc>
          <w:tcPr>
            <w:tcW w:w="3925" w:type="pct"/>
            <w:gridSpan w:val="2"/>
            <w:tcBorders>
              <w:tl2br w:val="nil"/>
              <w:tr2bl w:val="nil"/>
            </w:tcBorders>
            <w:shd w:val="clear" w:color="auto" w:fill="auto"/>
            <w:vAlign w:val="center"/>
          </w:tcPr>
          <w:p w14:paraId="38607008">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2012年12月</w:t>
            </w:r>
          </w:p>
        </w:tc>
      </w:tr>
      <w:tr w14:paraId="718D8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6F7D395C">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7</w:t>
            </w:r>
          </w:p>
        </w:tc>
        <w:tc>
          <w:tcPr>
            <w:tcW w:w="731" w:type="pct"/>
            <w:tcBorders>
              <w:tl2br w:val="nil"/>
              <w:tr2bl w:val="nil"/>
            </w:tcBorders>
            <w:shd w:val="clear" w:color="auto" w:fill="auto"/>
            <w:vAlign w:val="center"/>
          </w:tcPr>
          <w:p w14:paraId="11082A92">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环保设施设计单位</w:t>
            </w:r>
          </w:p>
        </w:tc>
        <w:tc>
          <w:tcPr>
            <w:tcW w:w="3925" w:type="pct"/>
            <w:gridSpan w:val="2"/>
            <w:tcBorders>
              <w:tl2br w:val="nil"/>
              <w:tr2bl w:val="nil"/>
            </w:tcBorders>
            <w:shd w:val="clear" w:color="auto" w:fill="auto"/>
            <w:vAlign w:val="center"/>
          </w:tcPr>
          <w:p w14:paraId="54D23338">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长沙奥邦环保科技有限公司</w:t>
            </w:r>
          </w:p>
        </w:tc>
      </w:tr>
      <w:tr w14:paraId="43F8E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0340E58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8</w:t>
            </w:r>
          </w:p>
        </w:tc>
        <w:tc>
          <w:tcPr>
            <w:tcW w:w="731" w:type="pct"/>
            <w:tcBorders>
              <w:tl2br w:val="nil"/>
              <w:tr2bl w:val="nil"/>
            </w:tcBorders>
            <w:shd w:val="clear" w:color="auto" w:fill="auto"/>
            <w:vAlign w:val="center"/>
          </w:tcPr>
          <w:p w14:paraId="3CB4B85F">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环保设施监理单位</w:t>
            </w:r>
          </w:p>
        </w:tc>
        <w:tc>
          <w:tcPr>
            <w:tcW w:w="3925" w:type="pct"/>
            <w:gridSpan w:val="2"/>
            <w:tcBorders>
              <w:tl2br w:val="nil"/>
              <w:tr2bl w:val="nil"/>
            </w:tcBorders>
            <w:shd w:val="clear" w:color="auto" w:fill="auto"/>
            <w:vAlign w:val="center"/>
          </w:tcPr>
          <w:p w14:paraId="457B53FD">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湖南华顺建设项目管理有限公司</w:t>
            </w:r>
          </w:p>
        </w:tc>
      </w:tr>
      <w:tr w14:paraId="345F0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17B52006">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9</w:t>
            </w:r>
          </w:p>
        </w:tc>
        <w:tc>
          <w:tcPr>
            <w:tcW w:w="731" w:type="pct"/>
            <w:tcBorders>
              <w:tl2br w:val="nil"/>
              <w:tr2bl w:val="nil"/>
            </w:tcBorders>
            <w:shd w:val="clear" w:color="auto" w:fill="auto"/>
            <w:vAlign w:val="center"/>
          </w:tcPr>
          <w:p w14:paraId="2F5A3778">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试生产时间</w:t>
            </w:r>
          </w:p>
        </w:tc>
        <w:tc>
          <w:tcPr>
            <w:tcW w:w="3925" w:type="pct"/>
            <w:gridSpan w:val="2"/>
            <w:tcBorders>
              <w:tl2br w:val="nil"/>
              <w:tr2bl w:val="nil"/>
            </w:tcBorders>
            <w:shd w:val="clear" w:color="auto" w:fill="auto"/>
            <w:vAlign w:val="center"/>
          </w:tcPr>
          <w:p w14:paraId="33D25BB2">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2016年3月</w:t>
            </w:r>
          </w:p>
        </w:tc>
      </w:tr>
      <w:tr w14:paraId="38A1A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01A3FD07">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10</w:t>
            </w:r>
          </w:p>
        </w:tc>
        <w:tc>
          <w:tcPr>
            <w:tcW w:w="731" w:type="pct"/>
            <w:tcBorders>
              <w:tl2br w:val="nil"/>
              <w:tr2bl w:val="nil"/>
            </w:tcBorders>
            <w:shd w:val="clear" w:color="auto" w:fill="auto"/>
            <w:vAlign w:val="center"/>
          </w:tcPr>
          <w:p w14:paraId="2E85BFC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年工作时间</w:t>
            </w:r>
          </w:p>
        </w:tc>
        <w:tc>
          <w:tcPr>
            <w:tcW w:w="3925" w:type="pct"/>
            <w:gridSpan w:val="2"/>
            <w:tcBorders>
              <w:tl2br w:val="nil"/>
              <w:tr2bl w:val="nil"/>
            </w:tcBorders>
            <w:shd w:val="clear" w:color="auto" w:fill="auto"/>
            <w:vAlign w:val="center"/>
          </w:tcPr>
          <w:p w14:paraId="7F5DA8E2">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每年工作277天，年工作277×24=6648h</w:t>
            </w:r>
          </w:p>
        </w:tc>
      </w:tr>
      <w:tr w14:paraId="713DF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599B2352">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11</w:t>
            </w:r>
          </w:p>
        </w:tc>
        <w:tc>
          <w:tcPr>
            <w:tcW w:w="731" w:type="pct"/>
            <w:tcBorders>
              <w:tl2br w:val="nil"/>
              <w:tr2bl w:val="nil"/>
            </w:tcBorders>
            <w:shd w:val="clear" w:color="auto" w:fill="auto"/>
            <w:vAlign w:val="center"/>
          </w:tcPr>
          <w:p w14:paraId="1C01D395">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工程投资</w:t>
            </w:r>
          </w:p>
        </w:tc>
        <w:tc>
          <w:tcPr>
            <w:tcW w:w="3925" w:type="pct"/>
            <w:gridSpan w:val="2"/>
            <w:tcBorders>
              <w:tl2br w:val="nil"/>
              <w:tr2bl w:val="nil"/>
            </w:tcBorders>
            <w:shd w:val="clear" w:color="auto" w:fill="auto"/>
            <w:vAlign w:val="center"/>
          </w:tcPr>
          <w:p w14:paraId="414F50EA">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总投资9225万元，其中环保投资1243万元，占总投资额的13.5%。</w:t>
            </w:r>
          </w:p>
        </w:tc>
      </w:tr>
      <w:tr w14:paraId="37209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035E765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12</w:t>
            </w:r>
          </w:p>
        </w:tc>
        <w:tc>
          <w:tcPr>
            <w:tcW w:w="731" w:type="pct"/>
            <w:tcBorders>
              <w:tl2br w:val="nil"/>
              <w:tr2bl w:val="nil"/>
            </w:tcBorders>
            <w:shd w:val="clear" w:color="auto" w:fill="auto"/>
            <w:vAlign w:val="center"/>
          </w:tcPr>
          <w:p w14:paraId="1D487F41">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环评情况</w:t>
            </w:r>
          </w:p>
        </w:tc>
        <w:tc>
          <w:tcPr>
            <w:tcW w:w="3925" w:type="pct"/>
            <w:gridSpan w:val="2"/>
            <w:tcBorders>
              <w:tl2br w:val="nil"/>
              <w:tr2bl w:val="nil"/>
            </w:tcBorders>
            <w:shd w:val="clear" w:color="auto" w:fill="auto"/>
            <w:vAlign w:val="center"/>
          </w:tcPr>
          <w:p w14:paraId="0FF94707">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2013年8月环境保护部南京环境科学研究所完成了《湖南安化渣滓溪矿业有限公司 渣滓溪锑矿</w:t>
            </w:r>
            <w:r>
              <w:rPr>
                <w:rFonts w:hint="eastAsia" w:cs="Times New Roman"/>
                <w:b w:val="0"/>
                <w:color w:val="auto"/>
                <w:kern w:val="2"/>
                <w:sz w:val="22"/>
                <w:szCs w:val="22"/>
                <w:highlight w:val="none"/>
                <w:lang w:val="en-US" w:eastAsia="zh-CN" w:bidi="ar-SA"/>
              </w:rPr>
              <w:t>节能环保技改工程</w:t>
            </w:r>
            <w:r>
              <w:rPr>
                <w:rFonts w:ascii="Times New Roman" w:hAnsi="Times New Roman" w:eastAsia="宋体" w:cs="Times New Roman"/>
                <w:b w:val="0"/>
                <w:color w:val="auto"/>
                <w:kern w:val="2"/>
                <w:sz w:val="22"/>
                <w:szCs w:val="22"/>
                <w:highlight w:val="none"/>
                <w:lang w:val="en-US" w:eastAsia="en-US" w:bidi="ar-SA"/>
              </w:rPr>
              <w:t>(冶炼部分)环境影响报告书》，湖南省环境保护厅于 2013年8月29日以湘环评[2013]218号文予以批复。</w:t>
            </w:r>
          </w:p>
        </w:tc>
      </w:tr>
      <w:tr w14:paraId="646EB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342" w:type="pct"/>
            <w:tcBorders>
              <w:tl2br w:val="nil"/>
              <w:tr2bl w:val="nil"/>
            </w:tcBorders>
            <w:shd w:val="clear" w:color="auto" w:fill="auto"/>
            <w:vAlign w:val="center"/>
          </w:tcPr>
          <w:p w14:paraId="3B944F4B">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13</w:t>
            </w:r>
          </w:p>
        </w:tc>
        <w:tc>
          <w:tcPr>
            <w:tcW w:w="731" w:type="pct"/>
            <w:tcBorders>
              <w:tl2br w:val="nil"/>
              <w:tr2bl w:val="nil"/>
            </w:tcBorders>
            <w:shd w:val="clear" w:color="auto" w:fill="auto"/>
            <w:vAlign w:val="center"/>
          </w:tcPr>
          <w:p w14:paraId="3235E4CA">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工程纳污水体</w:t>
            </w:r>
          </w:p>
        </w:tc>
        <w:tc>
          <w:tcPr>
            <w:tcW w:w="3925" w:type="pct"/>
            <w:gridSpan w:val="2"/>
            <w:tcBorders>
              <w:tl2br w:val="nil"/>
              <w:tr2bl w:val="nil"/>
            </w:tcBorders>
            <w:shd w:val="clear" w:color="auto" w:fill="auto"/>
            <w:vAlign w:val="center"/>
          </w:tcPr>
          <w:p w14:paraId="6F53C616">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b w:val="0"/>
                <w:color w:val="auto"/>
                <w:kern w:val="2"/>
                <w:sz w:val="22"/>
                <w:szCs w:val="22"/>
                <w:highlight w:val="none"/>
                <w:lang w:val="en-US" w:eastAsia="en-US" w:bidi="ar-SA"/>
              </w:rPr>
            </w:pPr>
            <w:r>
              <w:rPr>
                <w:rFonts w:ascii="Times New Roman" w:hAnsi="Times New Roman" w:eastAsia="宋体" w:cs="Times New Roman"/>
                <w:b w:val="0"/>
                <w:color w:val="auto"/>
                <w:kern w:val="2"/>
                <w:sz w:val="22"/>
                <w:szCs w:val="22"/>
                <w:highlight w:val="none"/>
                <w:lang w:val="en-US" w:eastAsia="en-US" w:bidi="ar-SA"/>
              </w:rPr>
              <w:t>渣滓溪</w:t>
            </w:r>
          </w:p>
        </w:tc>
      </w:tr>
    </w:tbl>
    <w:p w14:paraId="4176D963">
      <w:pPr>
        <w:widowControl w:val="0"/>
        <w:tabs>
          <w:tab w:val="left" w:pos="1021"/>
        </w:tabs>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p>
    <w:p w14:paraId="4B746493">
      <w:pPr>
        <w:widowControl w:val="0"/>
        <w:tabs>
          <w:tab w:val="left" w:pos="1021"/>
        </w:tabs>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目前，渣滓溪矿业冶炼厂基本情况见下表。</w:t>
      </w:r>
    </w:p>
    <w:p w14:paraId="364002B8">
      <w:pPr>
        <w:pStyle w:val="28"/>
        <w:bidi w:val="0"/>
        <w:rPr>
          <w:rFonts w:hint="default"/>
          <w:color w:val="auto"/>
          <w:highlight w:val="none"/>
          <w:lang w:val="en-US" w:eastAsia="en-US"/>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18</w:t>
      </w:r>
      <w:r>
        <w:rPr>
          <w:rFonts w:hint="default"/>
          <w:color w:val="auto"/>
          <w:highlight w:val="none"/>
          <w:lang w:val="en-US" w:eastAsia="zh-CN"/>
        </w:rPr>
        <w:fldChar w:fldCharType="end"/>
      </w:r>
      <w:r>
        <w:rPr>
          <w:rFonts w:hint="default"/>
          <w:color w:val="auto"/>
          <w:highlight w:val="none"/>
          <w:lang w:val="en-US" w:eastAsia="zh-CN"/>
        </w:rPr>
        <w:t xml:space="preserve">  </w:t>
      </w:r>
      <w:r>
        <w:rPr>
          <w:rFonts w:hint="default"/>
          <w:color w:val="auto"/>
          <w:highlight w:val="none"/>
          <w:lang w:val="en-US" w:eastAsia="en-US"/>
        </w:rPr>
        <w:t>渣滓溪矿业冶炼厂基本情况一览表</w:t>
      </w:r>
    </w:p>
    <w:tbl>
      <w:tblPr>
        <w:tblStyle w:val="5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47"/>
        <w:gridCol w:w="795"/>
        <w:gridCol w:w="1753"/>
        <w:gridCol w:w="5959"/>
      </w:tblGrid>
      <w:tr w14:paraId="5B456E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tcBorders>
              <w:tl2br w:val="nil"/>
              <w:tr2bl w:val="nil"/>
            </w:tcBorders>
            <w:vAlign w:val="center"/>
          </w:tcPr>
          <w:p w14:paraId="1893569A">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序号</w:t>
            </w:r>
          </w:p>
        </w:tc>
        <w:tc>
          <w:tcPr>
            <w:tcW w:w="439" w:type="pct"/>
            <w:tcBorders>
              <w:tl2br w:val="nil"/>
              <w:tr2bl w:val="nil"/>
            </w:tcBorders>
            <w:vAlign w:val="center"/>
          </w:tcPr>
          <w:p w14:paraId="2561A6A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类别</w:t>
            </w:r>
          </w:p>
        </w:tc>
        <w:tc>
          <w:tcPr>
            <w:tcW w:w="4258" w:type="pct"/>
            <w:gridSpan w:val="2"/>
            <w:tcBorders>
              <w:tl2br w:val="nil"/>
              <w:tr2bl w:val="nil"/>
            </w:tcBorders>
            <w:vAlign w:val="center"/>
          </w:tcPr>
          <w:p w14:paraId="321C5937">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工程建设内容</w:t>
            </w:r>
          </w:p>
        </w:tc>
      </w:tr>
      <w:tr w14:paraId="4ED823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restart"/>
            <w:tcBorders>
              <w:tl2br w:val="nil"/>
              <w:tr2bl w:val="nil"/>
            </w:tcBorders>
            <w:vAlign w:val="center"/>
          </w:tcPr>
          <w:p w14:paraId="7EDA80EE">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1</w:t>
            </w:r>
          </w:p>
        </w:tc>
        <w:tc>
          <w:tcPr>
            <w:tcW w:w="439" w:type="pct"/>
            <w:vMerge w:val="restart"/>
            <w:tcBorders>
              <w:tl2br w:val="nil"/>
              <w:tr2bl w:val="nil"/>
            </w:tcBorders>
            <w:vAlign w:val="center"/>
          </w:tcPr>
          <w:p w14:paraId="67E81A88">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主体工程</w:t>
            </w:r>
          </w:p>
        </w:tc>
        <w:tc>
          <w:tcPr>
            <w:tcW w:w="968" w:type="pct"/>
            <w:tcBorders>
              <w:tl2br w:val="nil"/>
              <w:tr2bl w:val="nil"/>
            </w:tcBorders>
            <w:vAlign w:val="center"/>
          </w:tcPr>
          <w:p w14:paraId="69C7FDF0">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鼓风炉</w:t>
            </w:r>
          </w:p>
        </w:tc>
        <w:tc>
          <w:tcPr>
            <w:tcW w:w="3289" w:type="pct"/>
            <w:tcBorders>
              <w:tl2br w:val="nil"/>
              <w:tr2bl w:val="nil"/>
            </w:tcBorders>
            <w:vAlign w:val="center"/>
          </w:tcPr>
          <w:p w14:paraId="042960A2">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新建1.8</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2</w:t>
            </w:r>
            <w:r>
              <w:rPr>
                <w:rFonts w:ascii="Times New Roman" w:hAnsi="Times New Roman" w:eastAsia="宋体" w:cs="Times New Roman"/>
                <w:color w:val="auto"/>
                <w:kern w:val="2"/>
                <w:sz w:val="22"/>
                <w:szCs w:val="22"/>
                <w:highlight w:val="none"/>
                <w:lang w:val="en-US" w:eastAsia="en-US" w:bidi="ar-SA"/>
              </w:rPr>
              <w:t>的鼓风炉1座。</w:t>
            </w:r>
          </w:p>
        </w:tc>
      </w:tr>
      <w:tr w14:paraId="5C9921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423C4D09">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178BFFF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206B8A6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反射炉</w:t>
            </w:r>
          </w:p>
        </w:tc>
        <w:tc>
          <w:tcPr>
            <w:tcW w:w="3289" w:type="pct"/>
            <w:tcBorders>
              <w:tl2br w:val="nil"/>
              <w:tr2bl w:val="nil"/>
            </w:tcBorders>
            <w:vAlign w:val="center"/>
          </w:tcPr>
          <w:p w14:paraId="4F558C18">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新建炉床面积为16</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2</w:t>
            </w:r>
            <w:r>
              <w:rPr>
                <w:rFonts w:ascii="Times New Roman" w:hAnsi="Times New Roman" w:eastAsia="宋体" w:cs="Times New Roman"/>
                <w:color w:val="auto"/>
                <w:kern w:val="2"/>
                <w:sz w:val="22"/>
                <w:szCs w:val="22"/>
                <w:highlight w:val="none"/>
                <w:lang w:val="en-US" w:eastAsia="en-US" w:bidi="ar-SA"/>
              </w:rPr>
              <w:t>反射炉2座。</w:t>
            </w:r>
          </w:p>
        </w:tc>
      </w:tr>
      <w:tr w14:paraId="615F36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restart"/>
            <w:tcBorders>
              <w:tl2br w:val="nil"/>
              <w:tr2bl w:val="nil"/>
            </w:tcBorders>
            <w:vAlign w:val="center"/>
          </w:tcPr>
          <w:p w14:paraId="0727A55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2</w:t>
            </w:r>
          </w:p>
        </w:tc>
        <w:tc>
          <w:tcPr>
            <w:tcW w:w="439" w:type="pct"/>
            <w:vMerge w:val="restart"/>
            <w:tcBorders>
              <w:tl2br w:val="nil"/>
              <w:tr2bl w:val="nil"/>
            </w:tcBorders>
            <w:vAlign w:val="center"/>
          </w:tcPr>
          <w:p w14:paraId="416F9F23">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辅助设施</w:t>
            </w:r>
          </w:p>
        </w:tc>
        <w:tc>
          <w:tcPr>
            <w:tcW w:w="968" w:type="pct"/>
            <w:tcBorders>
              <w:tl2br w:val="nil"/>
              <w:tr2bl w:val="nil"/>
            </w:tcBorders>
            <w:vAlign w:val="center"/>
          </w:tcPr>
          <w:p w14:paraId="6BEF1F91">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原料车间</w:t>
            </w:r>
          </w:p>
        </w:tc>
        <w:tc>
          <w:tcPr>
            <w:tcW w:w="3289" w:type="pct"/>
            <w:tcBorders>
              <w:tl2br w:val="nil"/>
              <w:tr2bl w:val="nil"/>
            </w:tcBorders>
            <w:vAlign w:val="center"/>
          </w:tcPr>
          <w:p w14:paraId="2A0A18AD">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ascii="Times New Roman" w:hAnsi="Times New Roman" w:eastAsia="宋体" w:cs="Times New Roman"/>
                <w:color w:val="auto"/>
                <w:kern w:val="2"/>
                <w:sz w:val="22"/>
                <w:szCs w:val="22"/>
                <w:highlight w:val="none"/>
                <w:lang w:val="en-US" w:eastAsia="en-US" w:bidi="ar-SA"/>
              </w:rPr>
              <w:t>720</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2</w:t>
            </w:r>
          </w:p>
        </w:tc>
      </w:tr>
      <w:tr w14:paraId="4901C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4D0B3B07">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448A039D">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0044789C">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石灰罐</w:t>
            </w:r>
          </w:p>
        </w:tc>
        <w:tc>
          <w:tcPr>
            <w:tcW w:w="3289" w:type="pct"/>
            <w:tcBorders>
              <w:tl2br w:val="nil"/>
              <w:tr2bl w:val="nil"/>
            </w:tcBorders>
            <w:vAlign w:val="center"/>
          </w:tcPr>
          <w:p w14:paraId="58E57E6C">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40</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ascii="Times New Roman" w:hAnsi="Times New Roman" w:eastAsia="宋体" w:cs="Times New Roman"/>
                <w:color w:val="auto"/>
                <w:kern w:val="2"/>
                <w:sz w:val="22"/>
                <w:szCs w:val="22"/>
                <w:highlight w:val="none"/>
                <w:lang w:val="en-US" w:eastAsia="en-US" w:bidi="ar-SA"/>
              </w:rPr>
              <w:t>/30t</w:t>
            </w:r>
          </w:p>
        </w:tc>
      </w:tr>
      <w:tr w14:paraId="36BCCF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7D02D1B9">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4560E03E">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4E1A541B">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药剂库</w:t>
            </w:r>
          </w:p>
        </w:tc>
        <w:tc>
          <w:tcPr>
            <w:tcW w:w="3289" w:type="pct"/>
            <w:tcBorders>
              <w:tl2br w:val="nil"/>
              <w:tr2bl w:val="nil"/>
            </w:tcBorders>
            <w:vAlign w:val="center"/>
          </w:tcPr>
          <w:p w14:paraId="0F2AFFD3">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ascii="Times New Roman" w:hAnsi="Times New Roman" w:eastAsia="宋体" w:cs="Times New Roman"/>
                <w:color w:val="auto"/>
                <w:kern w:val="2"/>
                <w:sz w:val="22"/>
                <w:szCs w:val="22"/>
                <w:highlight w:val="none"/>
                <w:lang w:val="en-US" w:eastAsia="en-US" w:bidi="ar-SA"/>
              </w:rPr>
              <w:t>1440</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2</w:t>
            </w:r>
          </w:p>
        </w:tc>
      </w:tr>
      <w:tr w14:paraId="52E3A6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64FA569C">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0BBFE68A">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45058E07">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材料工具房</w:t>
            </w:r>
          </w:p>
        </w:tc>
        <w:tc>
          <w:tcPr>
            <w:tcW w:w="3289" w:type="pct"/>
            <w:tcBorders>
              <w:tl2br w:val="nil"/>
              <w:tr2bl w:val="nil"/>
            </w:tcBorders>
            <w:vAlign w:val="center"/>
          </w:tcPr>
          <w:p w14:paraId="08AB99CD">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ascii="Times New Roman" w:hAnsi="Times New Roman" w:eastAsia="宋体" w:cs="Times New Roman"/>
                <w:color w:val="auto"/>
                <w:kern w:val="2"/>
                <w:sz w:val="22"/>
                <w:szCs w:val="22"/>
                <w:highlight w:val="none"/>
                <w:lang w:val="en-US" w:eastAsia="en-US" w:bidi="ar-SA"/>
              </w:rPr>
              <w:t>250</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2</w:t>
            </w:r>
          </w:p>
        </w:tc>
      </w:tr>
      <w:tr w14:paraId="73DAFA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372AC120">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06968158">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072F814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罗茨风机房</w:t>
            </w:r>
          </w:p>
        </w:tc>
        <w:tc>
          <w:tcPr>
            <w:tcW w:w="3289" w:type="pct"/>
            <w:tcBorders>
              <w:tl2br w:val="nil"/>
              <w:tr2bl w:val="nil"/>
            </w:tcBorders>
            <w:vAlign w:val="center"/>
          </w:tcPr>
          <w:p w14:paraId="472BDFBA">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ascii="Times New Roman" w:hAnsi="Times New Roman" w:eastAsia="宋体" w:cs="Times New Roman"/>
                <w:color w:val="auto"/>
                <w:kern w:val="2"/>
                <w:sz w:val="22"/>
                <w:szCs w:val="22"/>
                <w:highlight w:val="none"/>
                <w:lang w:val="en-US" w:eastAsia="en-US" w:bidi="ar-SA"/>
              </w:rPr>
              <w:t>108</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2</w:t>
            </w:r>
          </w:p>
        </w:tc>
      </w:tr>
      <w:tr w14:paraId="665F37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08290819">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37BBEE99">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61979E5F">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中间风机房</w:t>
            </w:r>
          </w:p>
        </w:tc>
        <w:tc>
          <w:tcPr>
            <w:tcW w:w="3289" w:type="pct"/>
            <w:tcBorders>
              <w:tl2br w:val="nil"/>
              <w:tr2bl w:val="nil"/>
            </w:tcBorders>
            <w:vAlign w:val="center"/>
          </w:tcPr>
          <w:p w14:paraId="25D7963D">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ascii="Times New Roman" w:hAnsi="Times New Roman" w:eastAsia="宋体" w:cs="Times New Roman"/>
                <w:color w:val="auto"/>
                <w:kern w:val="2"/>
                <w:sz w:val="22"/>
                <w:szCs w:val="22"/>
                <w:highlight w:val="none"/>
                <w:lang w:val="en-US" w:eastAsia="en-US" w:bidi="ar-SA"/>
              </w:rPr>
              <w:t>48</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2</w:t>
            </w:r>
          </w:p>
        </w:tc>
      </w:tr>
      <w:tr w14:paraId="1BF453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62CC64C3">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3925B1C0">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7F998ADE">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主抽风机房</w:t>
            </w:r>
          </w:p>
        </w:tc>
        <w:tc>
          <w:tcPr>
            <w:tcW w:w="3289" w:type="pct"/>
            <w:tcBorders>
              <w:tl2br w:val="nil"/>
              <w:tr2bl w:val="nil"/>
            </w:tcBorders>
            <w:vAlign w:val="center"/>
          </w:tcPr>
          <w:p w14:paraId="4BEDA797">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ascii="Times New Roman" w:hAnsi="Times New Roman" w:eastAsia="宋体" w:cs="Times New Roman"/>
                <w:color w:val="auto"/>
                <w:kern w:val="2"/>
                <w:sz w:val="22"/>
                <w:szCs w:val="22"/>
                <w:highlight w:val="none"/>
                <w:lang w:val="en-US" w:eastAsia="en-US" w:bidi="ar-SA"/>
              </w:rPr>
              <w:t>72</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2</w:t>
            </w:r>
          </w:p>
        </w:tc>
      </w:tr>
      <w:tr w14:paraId="0FF852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183FF8AA">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3D0DA638">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258F927E">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压风机房</w:t>
            </w:r>
          </w:p>
        </w:tc>
        <w:tc>
          <w:tcPr>
            <w:tcW w:w="3289" w:type="pct"/>
            <w:tcBorders>
              <w:tl2br w:val="nil"/>
              <w:tr2bl w:val="nil"/>
            </w:tcBorders>
            <w:vAlign w:val="center"/>
          </w:tcPr>
          <w:p w14:paraId="6B60AF67">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ascii="Times New Roman" w:hAnsi="Times New Roman" w:eastAsia="宋体" w:cs="Times New Roman"/>
                <w:color w:val="auto"/>
                <w:kern w:val="2"/>
                <w:sz w:val="22"/>
                <w:szCs w:val="22"/>
                <w:highlight w:val="none"/>
                <w:lang w:val="en-US" w:eastAsia="en-US" w:bidi="ar-SA"/>
              </w:rPr>
              <w:t>135</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2</w:t>
            </w:r>
          </w:p>
        </w:tc>
      </w:tr>
      <w:tr w14:paraId="319A1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restart"/>
            <w:tcBorders>
              <w:tl2br w:val="nil"/>
              <w:tr2bl w:val="nil"/>
            </w:tcBorders>
            <w:vAlign w:val="center"/>
          </w:tcPr>
          <w:p w14:paraId="673A10B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3</w:t>
            </w:r>
          </w:p>
        </w:tc>
        <w:tc>
          <w:tcPr>
            <w:tcW w:w="439" w:type="pct"/>
            <w:vMerge w:val="restart"/>
            <w:tcBorders>
              <w:tl2br w:val="nil"/>
              <w:tr2bl w:val="nil"/>
            </w:tcBorders>
            <w:vAlign w:val="center"/>
          </w:tcPr>
          <w:p w14:paraId="2CE4DD23">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环保设施</w:t>
            </w:r>
          </w:p>
        </w:tc>
        <w:tc>
          <w:tcPr>
            <w:tcW w:w="968" w:type="pct"/>
            <w:tcBorders>
              <w:tl2br w:val="nil"/>
              <w:tr2bl w:val="nil"/>
            </w:tcBorders>
            <w:vAlign w:val="center"/>
          </w:tcPr>
          <w:p w14:paraId="381F37D6">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反射炉烟气</w:t>
            </w:r>
          </w:p>
        </w:tc>
        <w:tc>
          <w:tcPr>
            <w:tcW w:w="3289" w:type="pct"/>
            <w:tcBorders>
              <w:tl2br w:val="nil"/>
              <w:tr2bl w:val="nil"/>
            </w:tcBorders>
            <w:vAlign w:val="center"/>
          </w:tcPr>
          <w:p w14:paraId="794783C9">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表冷+布袋收尘+碱液喷淋+160m爬山烟道+22m排气筒</w:t>
            </w:r>
          </w:p>
        </w:tc>
      </w:tr>
      <w:tr w14:paraId="7DECB7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2BFA09D1">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4987B74E">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694EF0CC">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鼓风炉烟气</w:t>
            </w:r>
          </w:p>
        </w:tc>
        <w:tc>
          <w:tcPr>
            <w:tcW w:w="3289" w:type="pct"/>
            <w:tcBorders>
              <w:tl2br w:val="nil"/>
              <w:tr2bl w:val="nil"/>
            </w:tcBorders>
            <w:vAlign w:val="center"/>
          </w:tcPr>
          <w:p w14:paraId="13AD1C50">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表冷+布袋收尘+碱液喷淋+160m爬山烟道+22m排气筒</w:t>
            </w:r>
          </w:p>
        </w:tc>
      </w:tr>
      <w:tr w14:paraId="56D433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0030A19C">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1EB542E9">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356D3332">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配料系统</w:t>
            </w:r>
          </w:p>
        </w:tc>
        <w:tc>
          <w:tcPr>
            <w:tcW w:w="3289" w:type="pct"/>
            <w:tcBorders>
              <w:tl2br w:val="nil"/>
              <w:tr2bl w:val="nil"/>
            </w:tcBorders>
            <w:vAlign w:val="center"/>
          </w:tcPr>
          <w:p w14:paraId="560C39E7">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布袋收尘+10m排气筒</w:t>
            </w:r>
          </w:p>
        </w:tc>
      </w:tr>
      <w:tr w14:paraId="6A2B83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38C35940">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68DCCC15">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968" w:type="pct"/>
            <w:tcBorders>
              <w:tl2br w:val="nil"/>
              <w:tr2bl w:val="nil"/>
            </w:tcBorders>
            <w:vAlign w:val="center"/>
          </w:tcPr>
          <w:p w14:paraId="0D762916">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废水处理设施</w:t>
            </w:r>
          </w:p>
        </w:tc>
        <w:tc>
          <w:tcPr>
            <w:tcW w:w="3289" w:type="pct"/>
            <w:tcBorders>
              <w:tl2br w:val="nil"/>
              <w:tr2bl w:val="nil"/>
            </w:tcBorders>
            <w:vAlign w:val="center"/>
          </w:tcPr>
          <w:p w14:paraId="3555C14D">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废水采用二次反应—二沉淀法；新建调节池（1100</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ascii="Times New Roman" w:hAnsi="Times New Roman" w:eastAsia="宋体" w:cs="Times New Roman"/>
                <w:color w:val="auto"/>
                <w:kern w:val="2"/>
                <w:sz w:val="22"/>
                <w:szCs w:val="22"/>
                <w:highlight w:val="none"/>
                <w:lang w:val="en-US" w:eastAsia="en-US" w:bidi="ar-SA"/>
              </w:rPr>
              <w:t>）；冲渣废水沉淀池及回用设施</w:t>
            </w:r>
          </w:p>
        </w:tc>
      </w:tr>
      <w:tr w14:paraId="576649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779FEBDA">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116E4B68">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258" w:type="pct"/>
            <w:gridSpan w:val="2"/>
            <w:tcBorders>
              <w:tl2br w:val="nil"/>
              <w:tr2bl w:val="nil"/>
            </w:tcBorders>
            <w:vAlign w:val="center"/>
          </w:tcPr>
          <w:p w14:paraId="16EFCEA9">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一般固废暂存间</w:t>
            </w:r>
          </w:p>
        </w:tc>
      </w:tr>
      <w:tr w14:paraId="4D5AF5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2" w:type="pct"/>
            <w:vMerge w:val="continue"/>
            <w:tcBorders>
              <w:tl2br w:val="nil"/>
              <w:tr2bl w:val="nil"/>
            </w:tcBorders>
            <w:vAlign w:val="center"/>
          </w:tcPr>
          <w:p w14:paraId="6FAC6F16">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39" w:type="pct"/>
            <w:vMerge w:val="continue"/>
            <w:tcBorders>
              <w:tl2br w:val="nil"/>
              <w:tr2bl w:val="nil"/>
            </w:tcBorders>
            <w:vAlign w:val="center"/>
          </w:tcPr>
          <w:p w14:paraId="6382F374">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p>
        </w:tc>
        <w:tc>
          <w:tcPr>
            <w:tcW w:w="4258" w:type="pct"/>
            <w:gridSpan w:val="2"/>
            <w:tcBorders>
              <w:tl2br w:val="nil"/>
              <w:tr2bl w:val="nil"/>
            </w:tcBorders>
            <w:vAlign w:val="center"/>
          </w:tcPr>
          <w:p w14:paraId="53EEA287">
            <w:pPr>
              <w:widowControl w:val="0"/>
              <w:pBdr>
                <w:top w:val="none" w:color="auto" w:sz="0" w:space="1"/>
                <w:left w:val="none" w:color="auto" w:sz="0" w:space="4"/>
                <w:bottom w:val="none" w:color="auto" w:sz="0" w:space="1"/>
                <w:right w:val="none" w:color="auto" w:sz="0" w:space="4"/>
              </w:pBdr>
              <w:tabs>
                <w:tab w:val="left" w:pos="1021"/>
              </w:tabs>
              <w:bidi w:val="0"/>
              <w:spacing w:line="240" w:lineRule="auto"/>
              <w:jc w:val="center"/>
              <w:rPr>
                <w:rFonts w:ascii="Times New Roman" w:hAnsi="Times New Roman" w:eastAsia="宋体" w:cs="Times New Roman"/>
                <w:color w:val="auto"/>
                <w:kern w:val="2"/>
                <w:sz w:val="22"/>
                <w:szCs w:val="22"/>
                <w:highlight w:val="none"/>
                <w:lang w:val="en-US" w:eastAsia="en-US" w:bidi="ar-SA"/>
              </w:rPr>
            </w:pPr>
            <w:r>
              <w:rPr>
                <w:rFonts w:ascii="Times New Roman" w:hAnsi="Times New Roman" w:eastAsia="宋体" w:cs="Times New Roman"/>
                <w:color w:val="auto"/>
                <w:kern w:val="2"/>
                <w:sz w:val="22"/>
                <w:szCs w:val="22"/>
                <w:highlight w:val="none"/>
                <w:lang w:val="en-US" w:eastAsia="en-US" w:bidi="ar-SA"/>
              </w:rPr>
              <w:t>危险废物暂存间</w:t>
            </w:r>
          </w:p>
        </w:tc>
      </w:tr>
    </w:tbl>
    <w:p w14:paraId="1C40F229">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p>
    <w:p w14:paraId="088075D6">
      <w:pPr>
        <w:pStyle w:val="34"/>
        <w:widowControl w:val="0"/>
        <w:spacing w:line="360" w:lineRule="auto"/>
        <w:ind w:firstLine="482" w:firstLineChars="200"/>
        <w:jc w:val="both"/>
        <w:rPr>
          <w:rFonts w:hint="default"/>
          <w:color w:val="auto"/>
          <w:highlight w:val="none"/>
          <w:lang w:val="en-US" w:eastAsia="zh-CN"/>
        </w:rPr>
      </w:pPr>
      <w:r>
        <w:rPr>
          <w:rFonts w:hint="eastAsia"/>
          <w:color w:val="auto"/>
          <w:highlight w:val="none"/>
          <w:lang w:val="en-US" w:eastAsia="zh-CN"/>
        </w:rPr>
        <w:t>冶炼工艺</w:t>
      </w:r>
    </w:p>
    <w:p w14:paraId="39D8FD1B">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工程采用火法冶炼工艺，其主体设备为鼓风炉、反射炉。</w:t>
      </w:r>
    </w:p>
    <w:p w14:paraId="056BD657">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锑火法冶炼主体流程简述如下：</w:t>
      </w:r>
    </w:p>
    <w:p w14:paraId="257E2715">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1、配料制团（粒）</w:t>
      </w:r>
    </w:p>
    <w:p w14:paraId="76CCBFFE">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渣滓溪选厂浮选锑精矿含水量高，通过管道直接输送至冶炼厂旁的过滤车间，通过陶瓷过滤机脱水至10~15%，滤液返回至选厂用于选矿，压滤后的精矿按比例加入粘结剂石灰进行混合及初步消化，经自然干燥4～6天，然后进行压密压团，制团后存入配料仓待用。</w:t>
      </w:r>
    </w:p>
    <w:p w14:paraId="217AF7E1">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2、鼓风炉挥发熔炼</w:t>
      </w:r>
    </w:p>
    <w:p w14:paraId="5C92A421">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鼓风炉熔炼工序具体包括原料的运输，熔剂配比、进料、放渣、敲打布袋等。团矿、焦炭、铁矿石、石灰石、锑块矿等按配料比要求分别经给料机及电子皮带秤计量后，输送至配料胶带运输机，输送至鼓风炉顶上料并进行挥发熔炼。电子皮带秤可以瞬时计量和累计，给料量可以根据生产的需要及时调整。</w:t>
      </w:r>
    </w:p>
    <w:p w14:paraId="4014139A">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配比好的原料在鼓风炉中挥发熔炼，在鼓风炉中达到锑与精矿中的脉石成分（主要是SiO</w:t>
      </w:r>
      <w:r>
        <w:rPr>
          <w:rFonts w:hint="default" w:ascii="Times New Roman" w:hAnsi="Times New Roman" w:eastAsia="宋体" w:cs="Times New Roman"/>
          <w:color w:val="auto"/>
          <w:kern w:val="2"/>
          <w:sz w:val="24"/>
          <w:highlight w:val="none"/>
          <w:vertAlign w:val="subscript"/>
          <w:lang w:val="en-US" w:eastAsia="zh-CN" w:bidi="ar-SA"/>
        </w:rPr>
        <w:t>2</w:t>
      </w:r>
      <w:r>
        <w:rPr>
          <w:rFonts w:hint="default" w:ascii="Times New Roman" w:hAnsi="Times New Roman" w:eastAsia="宋体" w:cs="Times New Roman"/>
          <w:color w:val="auto"/>
          <w:kern w:val="2"/>
          <w:sz w:val="24"/>
          <w:highlight w:val="none"/>
          <w:lang w:val="en-US" w:eastAsia="zh-CN" w:bidi="ar-SA"/>
        </w:rPr>
        <w:t>、FeO、CaO）有效分离。渣、锑锍实现澄清分离，产物主要有炉渣、锑锍，由于渣滓溪锑矿中Pb含量低，该工序不产出高铅锑。炉渣经水淬后外售水泥厂；锑锍返回鼓风炉配料。在鼓风炉挥发熔炼过程中，绝大部分锑以Sb</w:t>
      </w:r>
      <w:r>
        <w:rPr>
          <w:rFonts w:hint="default" w:ascii="Times New Roman" w:hAnsi="Times New Roman" w:eastAsia="宋体" w:cs="Times New Roman"/>
          <w:color w:val="auto"/>
          <w:kern w:val="2"/>
          <w:sz w:val="24"/>
          <w:highlight w:val="none"/>
          <w:vertAlign w:val="subscript"/>
          <w:lang w:val="en-US" w:eastAsia="zh-CN" w:bidi="ar-SA"/>
        </w:rPr>
        <w:t>2</w:t>
      </w:r>
      <w:r>
        <w:rPr>
          <w:rFonts w:hint="default" w:ascii="Times New Roman" w:hAnsi="Times New Roman" w:eastAsia="宋体" w:cs="Times New Roman"/>
          <w:color w:val="auto"/>
          <w:kern w:val="2"/>
          <w:sz w:val="24"/>
          <w:highlight w:val="none"/>
          <w:lang w:val="en-US" w:eastAsia="zh-CN" w:bidi="ar-SA"/>
        </w:rPr>
        <w:t>O</w:t>
      </w:r>
      <w:r>
        <w:rPr>
          <w:rFonts w:hint="default" w:ascii="Times New Roman" w:hAnsi="Times New Roman" w:eastAsia="宋体" w:cs="Times New Roman"/>
          <w:color w:val="auto"/>
          <w:kern w:val="2"/>
          <w:sz w:val="24"/>
          <w:highlight w:val="none"/>
          <w:vertAlign w:val="subscript"/>
          <w:lang w:val="en-US" w:eastAsia="zh-CN" w:bidi="ar-SA"/>
        </w:rPr>
        <w:t>3</w:t>
      </w:r>
      <w:r>
        <w:rPr>
          <w:rFonts w:hint="default" w:ascii="Times New Roman" w:hAnsi="Times New Roman" w:eastAsia="宋体" w:cs="Times New Roman"/>
          <w:color w:val="auto"/>
          <w:kern w:val="2"/>
          <w:sz w:val="24"/>
          <w:highlight w:val="none"/>
          <w:lang w:val="en-US" w:eastAsia="zh-CN" w:bidi="ar-SA"/>
        </w:rPr>
        <w:t>的形式挥发进入烟气，经冷却系统冷却后进布袋收尘室除尘，烟气再经脱硫系统脱硫处理后通过爬山烟道及烟囱外排，被收尘系统收集后的烟灰（锑氧）进入反射炉精炼。</w:t>
      </w:r>
    </w:p>
    <w:p w14:paraId="453F96FC">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3、反射炉精炼</w:t>
      </w:r>
    </w:p>
    <w:p w14:paraId="450D9EE5">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反射炉精炼包括锑氧粉与还原煤配比、进料、扒渣、除砷、除铅、铸锭、产品包装、敲打布袋等。鼓风炉挥发熔炼产出的锑氧是含有多种杂质的金属氧化物和非金属氧化物的中间产品，主要的杂质有As</w:t>
      </w:r>
      <w:r>
        <w:rPr>
          <w:rFonts w:hint="default" w:ascii="Times New Roman" w:hAnsi="Times New Roman" w:eastAsia="宋体" w:cs="Times New Roman"/>
          <w:color w:val="auto"/>
          <w:kern w:val="2"/>
          <w:sz w:val="24"/>
          <w:highlight w:val="none"/>
          <w:vertAlign w:val="subscript"/>
          <w:lang w:val="en-US" w:eastAsia="zh-CN" w:bidi="ar-SA"/>
        </w:rPr>
        <w:t>2</w:t>
      </w:r>
      <w:r>
        <w:rPr>
          <w:rFonts w:hint="default" w:ascii="Times New Roman" w:hAnsi="Times New Roman" w:eastAsia="宋体" w:cs="Times New Roman"/>
          <w:color w:val="auto"/>
          <w:kern w:val="2"/>
          <w:sz w:val="24"/>
          <w:highlight w:val="none"/>
          <w:lang w:val="en-US" w:eastAsia="zh-CN" w:bidi="ar-SA"/>
        </w:rPr>
        <w:t>O</w:t>
      </w:r>
      <w:r>
        <w:rPr>
          <w:rFonts w:hint="default" w:ascii="Times New Roman" w:hAnsi="Times New Roman" w:eastAsia="宋体" w:cs="Times New Roman"/>
          <w:color w:val="auto"/>
          <w:kern w:val="2"/>
          <w:sz w:val="24"/>
          <w:highlight w:val="none"/>
          <w:vertAlign w:val="subscript"/>
          <w:lang w:val="en-US" w:eastAsia="zh-CN" w:bidi="ar-SA"/>
        </w:rPr>
        <w:t>3</w:t>
      </w:r>
      <w:r>
        <w:rPr>
          <w:rFonts w:hint="default" w:ascii="Times New Roman" w:hAnsi="Times New Roman" w:eastAsia="宋体" w:cs="Times New Roman"/>
          <w:color w:val="auto"/>
          <w:kern w:val="2"/>
          <w:sz w:val="24"/>
          <w:highlight w:val="none"/>
          <w:lang w:val="en-US" w:eastAsia="zh-CN" w:bidi="ar-SA"/>
        </w:rPr>
        <w:t>、PbO和SiO</w:t>
      </w:r>
      <w:r>
        <w:rPr>
          <w:rFonts w:hint="default" w:ascii="Times New Roman" w:hAnsi="Times New Roman" w:eastAsia="宋体" w:cs="Times New Roman"/>
          <w:color w:val="auto"/>
          <w:kern w:val="2"/>
          <w:sz w:val="24"/>
          <w:highlight w:val="none"/>
          <w:vertAlign w:val="subscript"/>
          <w:lang w:val="en-US" w:eastAsia="zh-CN" w:bidi="ar-SA"/>
        </w:rPr>
        <w:t>2</w:t>
      </w:r>
      <w:r>
        <w:rPr>
          <w:rFonts w:hint="default" w:ascii="Times New Roman" w:hAnsi="Times New Roman" w:eastAsia="宋体" w:cs="Times New Roman"/>
          <w:color w:val="auto"/>
          <w:kern w:val="2"/>
          <w:sz w:val="24"/>
          <w:highlight w:val="none"/>
          <w:lang w:val="en-US" w:eastAsia="zh-CN" w:bidi="ar-SA"/>
        </w:rPr>
        <w:t>及少量的Cu、Fe和S等。该锑氧和反射炉收尘烟灰（锑氧）与还原煤配料混合后加入反射炉进行还原熔炼，加纯碱、除铅剂精炼除去砷、铁、硫、铜等杂质，产出的合格锑液经铸锭去衣子包装出售。反射炉精炼过程为负压操作，避免烟气外溢。</w:t>
      </w:r>
    </w:p>
    <w:p w14:paraId="2558DC77">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反射炉内发生的主要化学反应方程式如下：</w:t>
      </w:r>
    </w:p>
    <w:p w14:paraId="237882EE">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Sb</w:t>
      </w:r>
      <w:r>
        <w:rPr>
          <w:rFonts w:hint="default" w:ascii="Times New Roman" w:hAnsi="Times New Roman" w:eastAsia="宋体" w:cs="Times New Roman"/>
          <w:color w:val="auto"/>
          <w:kern w:val="2"/>
          <w:sz w:val="24"/>
          <w:highlight w:val="none"/>
          <w:vertAlign w:val="subscript"/>
          <w:lang w:val="en-US" w:eastAsia="zh-CN" w:bidi="ar-SA"/>
        </w:rPr>
        <w:t>2</w:t>
      </w:r>
      <w:r>
        <w:rPr>
          <w:rFonts w:hint="default" w:ascii="Times New Roman" w:hAnsi="Times New Roman" w:eastAsia="宋体" w:cs="Times New Roman"/>
          <w:color w:val="auto"/>
          <w:kern w:val="2"/>
          <w:sz w:val="24"/>
          <w:highlight w:val="none"/>
          <w:lang w:val="en-US" w:eastAsia="zh-CN" w:bidi="ar-SA"/>
        </w:rPr>
        <w:t>O</w:t>
      </w:r>
      <w:r>
        <w:rPr>
          <w:rFonts w:hint="default" w:ascii="Times New Roman" w:hAnsi="Times New Roman" w:eastAsia="宋体" w:cs="Times New Roman"/>
          <w:color w:val="auto"/>
          <w:kern w:val="2"/>
          <w:sz w:val="24"/>
          <w:highlight w:val="none"/>
          <w:vertAlign w:val="subscript"/>
          <w:lang w:val="en-US" w:eastAsia="zh-CN" w:bidi="ar-SA"/>
        </w:rPr>
        <w:t>3</w:t>
      </w:r>
      <w:r>
        <w:rPr>
          <w:rFonts w:hint="default" w:ascii="Times New Roman" w:hAnsi="Times New Roman" w:eastAsia="宋体" w:cs="Times New Roman"/>
          <w:color w:val="auto"/>
          <w:kern w:val="2"/>
          <w:sz w:val="24"/>
          <w:highlight w:val="none"/>
          <w:lang w:val="en-US" w:eastAsia="zh-CN" w:bidi="ar-SA"/>
        </w:rPr>
        <w:t>+3C=2Sb+3CO</w:t>
      </w:r>
    </w:p>
    <w:p w14:paraId="7773D512">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vertAlign w:val="baseline"/>
          <w:lang w:val="en-US" w:eastAsia="zh-CN" w:bidi="ar-SA"/>
        </w:rPr>
        <w:t>2</w:t>
      </w:r>
      <w:r>
        <w:rPr>
          <w:rFonts w:hint="default" w:ascii="Times New Roman" w:hAnsi="Times New Roman" w:eastAsia="宋体" w:cs="Times New Roman"/>
          <w:color w:val="auto"/>
          <w:kern w:val="2"/>
          <w:sz w:val="24"/>
          <w:highlight w:val="none"/>
          <w:lang w:val="en-US" w:eastAsia="zh-CN" w:bidi="ar-SA"/>
        </w:rPr>
        <w:t>Sb</w:t>
      </w:r>
      <w:r>
        <w:rPr>
          <w:rFonts w:hint="default" w:ascii="Times New Roman" w:hAnsi="Times New Roman" w:eastAsia="宋体" w:cs="Times New Roman"/>
          <w:color w:val="auto"/>
          <w:kern w:val="2"/>
          <w:sz w:val="24"/>
          <w:highlight w:val="none"/>
          <w:vertAlign w:val="subscript"/>
          <w:lang w:val="en-US" w:eastAsia="zh-CN" w:bidi="ar-SA"/>
        </w:rPr>
        <w:t>2</w:t>
      </w:r>
      <w:r>
        <w:rPr>
          <w:rFonts w:hint="default" w:ascii="Times New Roman" w:hAnsi="Times New Roman" w:eastAsia="宋体" w:cs="Times New Roman"/>
          <w:color w:val="auto"/>
          <w:kern w:val="2"/>
          <w:sz w:val="24"/>
          <w:highlight w:val="none"/>
          <w:lang w:val="en-US" w:eastAsia="zh-CN" w:bidi="ar-SA"/>
        </w:rPr>
        <w:t>O</w:t>
      </w:r>
      <w:r>
        <w:rPr>
          <w:rFonts w:hint="default" w:ascii="Times New Roman" w:hAnsi="Times New Roman" w:eastAsia="宋体" w:cs="Times New Roman"/>
          <w:color w:val="auto"/>
          <w:kern w:val="2"/>
          <w:sz w:val="24"/>
          <w:highlight w:val="none"/>
          <w:vertAlign w:val="subscript"/>
          <w:lang w:val="en-US" w:eastAsia="zh-CN" w:bidi="ar-SA"/>
        </w:rPr>
        <w:t>3</w:t>
      </w:r>
      <w:r>
        <w:rPr>
          <w:rFonts w:hint="default" w:ascii="Times New Roman" w:hAnsi="Times New Roman" w:eastAsia="宋体" w:cs="Times New Roman"/>
          <w:color w:val="auto"/>
          <w:kern w:val="2"/>
          <w:sz w:val="24"/>
          <w:highlight w:val="none"/>
          <w:lang w:val="en-US" w:eastAsia="zh-CN" w:bidi="ar-SA"/>
        </w:rPr>
        <w:t>+3C=4Sb+3CO</w:t>
      </w:r>
      <w:r>
        <w:rPr>
          <w:rFonts w:hint="default" w:ascii="Times New Roman" w:hAnsi="Times New Roman" w:eastAsia="宋体" w:cs="Times New Roman"/>
          <w:color w:val="auto"/>
          <w:kern w:val="2"/>
          <w:sz w:val="24"/>
          <w:highlight w:val="none"/>
          <w:vertAlign w:val="subscript"/>
          <w:lang w:val="en-US" w:eastAsia="zh-CN" w:bidi="ar-SA"/>
        </w:rPr>
        <w:t>2</w:t>
      </w:r>
      <w:r>
        <w:rPr>
          <w:rFonts w:hint="default" w:ascii="Times New Roman" w:hAnsi="Times New Roman" w:eastAsia="宋体" w:cs="Times New Roman"/>
          <w:color w:val="auto"/>
          <w:kern w:val="2"/>
          <w:sz w:val="24"/>
          <w:highlight w:val="none"/>
          <w:lang w:val="en-US" w:eastAsia="zh-CN" w:bidi="ar-SA"/>
        </w:rPr>
        <w:t>↑</w:t>
      </w:r>
    </w:p>
    <w:p w14:paraId="3AFB8155">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vertAlign w:val="subscript"/>
          <w:lang w:val="en-US" w:eastAsia="zh-CN" w:bidi="ar-SA"/>
        </w:rPr>
      </w:pPr>
      <w:r>
        <w:rPr>
          <w:rFonts w:hint="default" w:ascii="Times New Roman" w:hAnsi="Times New Roman" w:eastAsia="宋体" w:cs="Times New Roman"/>
          <w:color w:val="auto"/>
          <w:kern w:val="2"/>
          <w:sz w:val="24"/>
          <w:highlight w:val="none"/>
          <w:lang w:val="en-US" w:eastAsia="zh-CN" w:bidi="ar-SA"/>
        </w:rPr>
        <w:t>Sb</w:t>
      </w:r>
      <w:r>
        <w:rPr>
          <w:rFonts w:hint="default" w:ascii="Times New Roman" w:hAnsi="Times New Roman" w:eastAsia="宋体" w:cs="Times New Roman"/>
          <w:color w:val="auto"/>
          <w:kern w:val="2"/>
          <w:sz w:val="24"/>
          <w:highlight w:val="none"/>
          <w:vertAlign w:val="subscript"/>
          <w:lang w:val="en-US" w:eastAsia="zh-CN" w:bidi="ar-SA"/>
        </w:rPr>
        <w:t>2</w:t>
      </w:r>
      <w:r>
        <w:rPr>
          <w:rFonts w:hint="default" w:ascii="Times New Roman" w:hAnsi="Times New Roman" w:eastAsia="宋体" w:cs="Times New Roman"/>
          <w:color w:val="auto"/>
          <w:kern w:val="2"/>
          <w:sz w:val="24"/>
          <w:highlight w:val="none"/>
          <w:lang w:val="en-US" w:eastAsia="zh-CN" w:bidi="ar-SA"/>
        </w:rPr>
        <w:t>O</w:t>
      </w:r>
      <w:r>
        <w:rPr>
          <w:rFonts w:hint="default" w:ascii="Times New Roman" w:hAnsi="Times New Roman" w:eastAsia="宋体" w:cs="Times New Roman"/>
          <w:color w:val="auto"/>
          <w:kern w:val="2"/>
          <w:sz w:val="24"/>
          <w:highlight w:val="none"/>
          <w:vertAlign w:val="subscript"/>
          <w:lang w:val="en-US" w:eastAsia="zh-CN" w:bidi="ar-SA"/>
        </w:rPr>
        <w:t>3</w:t>
      </w:r>
      <w:r>
        <w:rPr>
          <w:rFonts w:hint="default" w:ascii="Times New Roman" w:hAnsi="Times New Roman" w:eastAsia="宋体" w:cs="Times New Roman"/>
          <w:color w:val="auto"/>
          <w:kern w:val="2"/>
          <w:sz w:val="24"/>
          <w:highlight w:val="none"/>
          <w:lang w:val="en-US" w:eastAsia="zh-CN" w:bidi="ar-SA"/>
        </w:rPr>
        <w:t>+</w:t>
      </w:r>
      <w:r>
        <w:rPr>
          <w:rFonts w:hint="default" w:ascii="Times New Roman" w:hAnsi="Times New Roman" w:eastAsia="宋体" w:cs="Times New Roman"/>
          <w:color w:val="auto"/>
          <w:kern w:val="2"/>
          <w:sz w:val="24"/>
          <w:highlight w:val="none"/>
          <w:vertAlign w:val="subscript"/>
          <w:lang w:val="en-US" w:eastAsia="zh-CN" w:bidi="ar-SA"/>
        </w:rPr>
        <w:t>3</w:t>
      </w:r>
      <w:r>
        <w:rPr>
          <w:rFonts w:hint="default" w:ascii="Times New Roman" w:hAnsi="Times New Roman" w:eastAsia="宋体" w:cs="Times New Roman"/>
          <w:color w:val="auto"/>
          <w:kern w:val="2"/>
          <w:sz w:val="24"/>
          <w:highlight w:val="none"/>
          <w:lang w:val="en-US" w:eastAsia="zh-CN" w:bidi="ar-SA"/>
        </w:rPr>
        <w:t>CO=2Sb+3CO</w:t>
      </w:r>
      <w:r>
        <w:rPr>
          <w:rFonts w:hint="default" w:ascii="Times New Roman" w:hAnsi="Times New Roman" w:eastAsia="宋体" w:cs="Times New Roman"/>
          <w:color w:val="auto"/>
          <w:kern w:val="2"/>
          <w:sz w:val="24"/>
          <w:highlight w:val="none"/>
          <w:vertAlign w:val="subscript"/>
          <w:lang w:val="en-US" w:eastAsia="zh-CN" w:bidi="ar-SA"/>
        </w:rPr>
        <w:t>2</w:t>
      </w:r>
    </w:p>
    <w:p w14:paraId="4EA6FC60">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3C+3CO</w:t>
      </w:r>
      <w:r>
        <w:rPr>
          <w:rFonts w:hint="default" w:ascii="Times New Roman" w:hAnsi="Times New Roman" w:eastAsia="宋体" w:cs="Times New Roman"/>
          <w:color w:val="auto"/>
          <w:kern w:val="2"/>
          <w:sz w:val="24"/>
          <w:highlight w:val="none"/>
          <w:vertAlign w:val="subscript"/>
          <w:lang w:val="en-US" w:eastAsia="zh-CN" w:bidi="ar-SA"/>
        </w:rPr>
        <w:t>2</w:t>
      </w:r>
      <w:r>
        <w:rPr>
          <w:rFonts w:hint="default" w:ascii="Times New Roman" w:hAnsi="Times New Roman" w:eastAsia="宋体" w:cs="Times New Roman"/>
          <w:color w:val="auto"/>
          <w:kern w:val="2"/>
          <w:sz w:val="24"/>
          <w:highlight w:val="none"/>
          <w:lang w:val="en-US" w:eastAsia="zh-CN" w:bidi="ar-SA"/>
        </w:rPr>
        <w:t>=6CO</w:t>
      </w:r>
    </w:p>
    <w:p w14:paraId="40DCA9E0">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4、烟气处理</w:t>
      </w:r>
    </w:p>
    <w:p w14:paraId="6A828392">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鼓风炉烟气经冷却系统冷却后进布袋收尘室、脱硫系统处理后经爬山烟道和烟囱排放。反射炉烟气经冷却系统冷却后进布袋收尘室、脱硫系统处理后，再经爬山烟道和烟囱排放。</w:t>
      </w:r>
    </w:p>
    <w:p w14:paraId="1415F2B6">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工程工艺流程图详见下图：</w:t>
      </w:r>
    </w:p>
    <w:p w14:paraId="661347E2">
      <w:pPr>
        <w:widowControl w:val="0"/>
        <w:bidi w:val="0"/>
        <w:spacing w:line="360" w:lineRule="auto"/>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drawing>
          <wp:inline distT="0" distB="0" distL="0" distR="0">
            <wp:extent cx="5753100" cy="8561705"/>
            <wp:effectExtent l="0" t="0" r="0" b="10795"/>
            <wp:docPr id="6" name="IM 8"/>
            <wp:cNvGraphicFramePr/>
            <a:graphic xmlns:a="http://schemas.openxmlformats.org/drawingml/2006/main">
              <a:graphicData uri="http://schemas.openxmlformats.org/drawingml/2006/picture">
                <pic:pic xmlns:pic="http://schemas.openxmlformats.org/drawingml/2006/picture">
                  <pic:nvPicPr>
                    <pic:cNvPr id="6" name="IM 8"/>
                    <pic:cNvPicPr/>
                  </pic:nvPicPr>
                  <pic:blipFill>
                    <a:blip r:embed="rId28"/>
                    <a:stretch>
                      <a:fillRect/>
                    </a:stretch>
                  </pic:blipFill>
                  <pic:spPr>
                    <a:xfrm>
                      <a:off x="0" y="0"/>
                      <a:ext cx="5753100" cy="8561831"/>
                    </a:xfrm>
                    <a:prstGeom prst="rect">
                      <a:avLst/>
                    </a:prstGeom>
                  </pic:spPr>
                </pic:pic>
              </a:graphicData>
            </a:graphic>
          </wp:inline>
        </w:drawing>
      </w:r>
    </w:p>
    <w:p w14:paraId="20BC472A">
      <w:pPr>
        <w:pStyle w:val="40"/>
        <w:bidi w:val="0"/>
        <w:rPr>
          <w:rFonts w:hint="default"/>
          <w:color w:val="auto"/>
          <w:highlight w:val="none"/>
          <w:lang w:val="en-US" w:eastAsia="zh-CN"/>
        </w:rPr>
      </w:pPr>
      <w:r>
        <w:rPr>
          <w:rFonts w:hint="default"/>
          <w:color w:val="auto"/>
          <w:highlight w:val="none"/>
          <w:lang w:val="en-US" w:eastAsia="zh-CN"/>
        </w:rPr>
        <w:t>图</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图 \* ARABIC \s 2 </w:instrText>
      </w:r>
      <w:r>
        <w:rPr>
          <w:rFonts w:hint="default"/>
          <w:color w:val="auto"/>
          <w:highlight w:val="none"/>
          <w:lang w:val="en-US" w:eastAsia="zh-CN"/>
        </w:rPr>
        <w:fldChar w:fldCharType="separate"/>
      </w:r>
      <w:r>
        <w:rPr>
          <w:rFonts w:hint="default"/>
          <w:color w:val="auto"/>
          <w:highlight w:val="none"/>
          <w:lang w:val="en-US" w:eastAsia="zh-CN"/>
        </w:rPr>
        <w:t>7</w:t>
      </w:r>
      <w:r>
        <w:rPr>
          <w:rFonts w:hint="default"/>
          <w:color w:val="auto"/>
          <w:highlight w:val="none"/>
          <w:lang w:val="en-US" w:eastAsia="zh-CN"/>
        </w:rPr>
        <w:fldChar w:fldCharType="end"/>
      </w:r>
      <w:r>
        <w:rPr>
          <w:rFonts w:hint="default"/>
          <w:color w:val="auto"/>
          <w:highlight w:val="none"/>
          <w:lang w:val="en-US" w:eastAsia="zh-CN"/>
        </w:rPr>
        <w:t xml:space="preserve">  生产工艺流程以及产污节点图</w:t>
      </w:r>
    </w:p>
    <w:p w14:paraId="45F84AC8">
      <w:pPr>
        <w:pStyle w:val="34"/>
        <w:keepNext/>
        <w:keepLines/>
        <w:widowControl w:val="0"/>
        <w:numPr>
          <w:ilvl w:val="2"/>
          <w:numId w:val="2"/>
        </w:numPr>
        <w:bidi w:val="0"/>
        <w:spacing w:before="20" w:after="20" w:line="360" w:lineRule="auto"/>
        <w:ind w:firstLine="562" w:firstLineChars="0"/>
        <w:jc w:val="left"/>
        <w:outlineLvl w:val="2"/>
        <w:rPr>
          <w:rFonts w:hint="eastAsia"/>
          <w:color w:val="auto"/>
          <w:highlight w:val="none"/>
          <w:lang w:val="en-US" w:eastAsia="en-US"/>
        </w:rPr>
      </w:pPr>
      <w:r>
        <w:rPr>
          <w:rFonts w:hint="eastAsia"/>
          <w:color w:val="auto"/>
          <w:highlight w:val="none"/>
          <w:lang w:val="en-US" w:eastAsia="en-US"/>
        </w:rPr>
        <w:t>工程主要原、辅材料</w:t>
      </w:r>
    </w:p>
    <w:p w14:paraId="6DDD478A">
      <w:pPr>
        <w:widowControl w:val="0"/>
        <w:tabs>
          <w:tab w:val="left" w:pos="1021"/>
        </w:tabs>
        <w:bidi w:val="0"/>
        <w:spacing w:line="360" w:lineRule="auto"/>
        <w:ind w:firstLine="480" w:firstLineChars="200"/>
        <w:jc w:val="both"/>
        <w:rPr>
          <w:rFonts w:ascii="Times New Roman" w:hAnsi="Times New Roman" w:eastAsia="宋体" w:cs="Times New Roman"/>
          <w:color w:val="auto"/>
          <w:kern w:val="2"/>
          <w:sz w:val="24"/>
          <w:highlight w:val="none"/>
          <w:lang w:val="en-US" w:eastAsia="en-US" w:bidi="ar-SA"/>
        </w:rPr>
      </w:pPr>
      <w:r>
        <w:rPr>
          <w:rFonts w:ascii="Times New Roman" w:hAnsi="Times New Roman" w:eastAsia="宋体" w:cs="Times New Roman"/>
          <w:color w:val="auto"/>
          <w:kern w:val="2"/>
          <w:sz w:val="24"/>
          <w:highlight w:val="none"/>
          <w:lang w:val="en-US" w:eastAsia="en-US" w:bidi="ar-SA"/>
        </w:rPr>
        <w:t>工程主要原材料</w:t>
      </w:r>
      <w:r>
        <w:rPr>
          <w:rFonts w:hint="eastAsia" w:ascii="Times New Roman" w:hAnsi="Times New Roman" w:eastAsia="宋体" w:cs="Times New Roman"/>
          <w:color w:val="auto"/>
          <w:kern w:val="2"/>
          <w:sz w:val="24"/>
          <w:highlight w:val="none"/>
          <w:lang w:val="en-US" w:eastAsia="zh-CN" w:bidi="ar-SA"/>
        </w:rPr>
        <w:t>消耗</w:t>
      </w:r>
      <w:r>
        <w:rPr>
          <w:rFonts w:ascii="Times New Roman" w:hAnsi="Times New Roman" w:eastAsia="宋体" w:cs="Times New Roman"/>
          <w:color w:val="auto"/>
          <w:kern w:val="2"/>
          <w:sz w:val="24"/>
          <w:highlight w:val="none"/>
          <w:lang w:val="en-US" w:eastAsia="en-US" w:bidi="ar-SA"/>
        </w:rPr>
        <w:t>量见</w:t>
      </w:r>
      <w:r>
        <w:rPr>
          <w:rFonts w:hint="eastAsia" w:ascii="Times New Roman" w:hAnsi="Times New Roman" w:eastAsia="宋体" w:cs="Times New Roman"/>
          <w:color w:val="auto"/>
          <w:kern w:val="2"/>
          <w:sz w:val="24"/>
          <w:highlight w:val="none"/>
          <w:lang w:val="en-US" w:eastAsia="zh-CN" w:bidi="ar-SA"/>
        </w:rPr>
        <w:t>下表。</w:t>
      </w:r>
    </w:p>
    <w:p w14:paraId="04B2EF20">
      <w:pPr>
        <w:pStyle w:val="28"/>
        <w:widowControl w:val="0"/>
        <w:bidi w:val="0"/>
        <w:spacing w:line="300" w:lineRule="auto"/>
        <w:jc w:val="center"/>
        <w:outlineLvl w:val="4"/>
        <w:rPr>
          <w:rFonts w:ascii="Times New Roman" w:hAnsi="Times New Roman" w:eastAsia="黑体" w:cs="Times New Roman"/>
          <w:color w:val="auto"/>
          <w:kern w:val="2"/>
          <w:sz w:val="24"/>
          <w:highlight w:val="none"/>
          <w:lang w:val="en-US" w:eastAsia="en-US"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19</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w:t>
      </w:r>
      <w:r>
        <w:rPr>
          <w:rFonts w:hint="default" w:ascii="Times New Roman" w:hAnsi="Times New Roman" w:eastAsia="黑体" w:cs="Times New Roman"/>
          <w:color w:val="auto"/>
          <w:kern w:val="2"/>
          <w:sz w:val="24"/>
          <w:highlight w:val="none"/>
          <w:lang w:val="en-US" w:eastAsia="en-US" w:bidi="ar-SA"/>
        </w:rPr>
        <w:t>工程主要原辅材料及能源消耗</w:t>
      </w:r>
    </w:p>
    <w:tbl>
      <w:tblPr>
        <w:tblStyle w:val="5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025"/>
        <w:gridCol w:w="1346"/>
        <w:gridCol w:w="2021"/>
        <w:gridCol w:w="2195"/>
        <w:gridCol w:w="2465"/>
      </w:tblGrid>
      <w:tr w14:paraId="7FE3F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379" w:hRule="atLeast"/>
        </w:trPr>
        <w:tc>
          <w:tcPr>
            <w:tcW w:w="566" w:type="pct"/>
            <w:tcBorders>
              <w:top w:val="single" w:color="000000" w:sz="12" w:space="0"/>
              <w:left w:val="single" w:color="000000" w:sz="12" w:space="0"/>
              <w:tl2br w:val="nil"/>
            </w:tcBorders>
            <w:shd w:val="clear" w:color="auto" w:fill="auto"/>
            <w:vAlign w:val="center"/>
          </w:tcPr>
          <w:p w14:paraId="5046802C">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序号</w:t>
            </w:r>
          </w:p>
        </w:tc>
        <w:tc>
          <w:tcPr>
            <w:tcW w:w="743" w:type="pct"/>
            <w:tcBorders>
              <w:top w:val="single" w:color="000000" w:sz="12" w:space="0"/>
            </w:tcBorders>
            <w:shd w:val="clear" w:color="auto" w:fill="auto"/>
            <w:vAlign w:val="center"/>
          </w:tcPr>
          <w:p w14:paraId="08921CAA">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名称</w:t>
            </w:r>
          </w:p>
        </w:tc>
        <w:tc>
          <w:tcPr>
            <w:tcW w:w="1116" w:type="pct"/>
            <w:tcBorders>
              <w:top w:val="single" w:color="000000" w:sz="12" w:space="0"/>
            </w:tcBorders>
            <w:shd w:val="clear" w:color="auto" w:fill="auto"/>
            <w:vAlign w:val="center"/>
          </w:tcPr>
          <w:p w14:paraId="385C4898">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粒度规格（mm）</w:t>
            </w:r>
          </w:p>
        </w:tc>
        <w:tc>
          <w:tcPr>
            <w:tcW w:w="1212" w:type="pct"/>
            <w:tcBorders>
              <w:top w:val="single" w:color="000000" w:sz="12" w:space="0"/>
            </w:tcBorders>
            <w:shd w:val="clear" w:color="auto" w:fill="auto"/>
            <w:vAlign w:val="center"/>
          </w:tcPr>
          <w:p w14:paraId="34316A9F">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环评预估消耗量（t/a）</w:t>
            </w:r>
          </w:p>
        </w:tc>
        <w:tc>
          <w:tcPr>
            <w:tcW w:w="1361" w:type="pct"/>
            <w:tcBorders>
              <w:top w:val="single" w:color="000000" w:sz="12" w:space="0"/>
              <w:right w:val="single" w:color="000000" w:sz="12" w:space="0"/>
            </w:tcBorders>
            <w:shd w:val="clear" w:color="auto" w:fill="auto"/>
            <w:vAlign w:val="center"/>
          </w:tcPr>
          <w:p w14:paraId="752F7799">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实际消耗量（t/a）</w:t>
            </w:r>
          </w:p>
        </w:tc>
      </w:tr>
      <w:tr w14:paraId="7CEA9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1" w:hRule="atLeast"/>
        </w:trPr>
        <w:tc>
          <w:tcPr>
            <w:tcW w:w="566" w:type="pct"/>
            <w:vMerge w:val="restart"/>
            <w:tcBorders>
              <w:left w:val="single" w:color="000000" w:sz="12" w:space="0"/>
              <w:bottom w:val="single" w:color="000000" w:sz="4" w:space="0"/>
            </w:tcBorders>
            <w:shd w:val="clear" w:color="auto" w:fill="auto"/>
            <w:vAlign w:val="center"/>
          </w:tcPr>
          <w:p w14:paraId="4F4FF3DD">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原料</w:t>
            </w:r>
          </w:p>
        </w:tc>
        <w:tc>
          <w:tcPr>
            <w:tcW w:w="743" w:type="pct"/>
            <w:shd w:val="clear" w:color="auto" w:fill="auto"/>
            <w:vAlign w:val="center"/>
          </w:tcPr>
          <w:p w14:paraId="7BFA8764">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锑块矿</w:t>
            </w:r>
          </w:p>
        </w:tc>
        <w:tc>
          <w:tcPr>
            <w:tcW w:w="1116" w:type="pct"/>
            <w:shd w:val="clear" w:color="auto" w:fill="auto"/>
            <w:vAlign w:val="center"/>
          </w:tcPr>
          <w:p w14:paraId="0B6F7F87">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15-70</w:t>
            </w:r>
          </w:p>
        </w:tc>
        <w:tc>
          <w:tcPr>
            <w:tcW w:w="1212" w:type="pct"/>
            <w:shd w:val="clear" w:color="auto" w:fill="auto"/>
            <w:vAlign w:val="center"/>
          </w:tcPr>
          <w:p w14:paraId="7F0420CD">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3000</w:t>
            </w:r>
          </w:p>
        </w:tc>
        <w:tc>
          <w:tcPr>
            <w:tcW w:w="1361" w:type="pct"/>
            <w:tcBorders>
              <w:right w:val="single" w:color="000000" w:sz="12" w:space="0"/>
            </w:tcBorders>
            <w:shd w:val="clear" w:color="auto" w:fill="auto"/>
            <w:vAlign w:val="center"/>
          </w:tcPr>
          <w:p w14:paraId="2F347776">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5910</w:t>
            </w:r>
          </w:p>
        </w:tc>
      </w:tr>
      <w:tr w14:paraId="516AE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2" w:hRule="atLeast"/>
        </w:trPr>
        <w:tc>
          <w:tcPr>
            <w:tcW w:w="566" w:type="pct"/>
            <w:vMerge w:val="continue"/>
            <w:tcBorders>
              <w:top w:val="single" w:color="000000" w:sz="4" w:space="0"/>
              <w:left w:val="single" w:color="000000" w:sz="12" w:space="0"/>
            </w:tcBorders>
            <w:shd w:val="clear" w:color="auto" w:fill="auto"/>
            <w:vAlign w:val="center"/>
          </w:tcPr>
          <w:p w14:paraId="4306BB43">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p>
        </w:tc>
        <w:tc>
          <w:tcPr>
            <w:tcW w:w="743" w:type="pct"/>
            <w:shd w:val="clear" w:color="auto" w:fill="auto"/>
            <w:vAlign w:val="center"/>
          </w:tcPr>
          <w:p w14:paraId="35411293">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锑精矿（团球）</w:t>
            </w:r>
          </w:p>
        </w:tc>
        <w:tc>
          <w:tcPr>
            <w:tcW w:w="1116" w:type="pct"/>
            <w:shd w:val="clear" w:color="auto" w:fill="auto"/>
            <w:vAlign w:val="center"/>
          </w:tcPr>
          <w:p w14:paraId="62662149">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20-50</w:t>
            </w:r>
          </w:p>
        </w:tc>
        <w:tc>
          <w:tcPr>
            <w:tcW w:w="1212" w:type="pct"/>
            <w:shd w:val="clear" w:color="auto" w:fill="auto"/>
            <w:vAlign w:val="center"/>
          </w:tcPr>
          <w:p w14:paraId="272DFBEB">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7896</w:t>
            </w:r>
          </w:p>
        </w:tc>
        <w:tc>
          <w:tcPr>
            <w:tcW w:w="1361" w:type="pct"/>
            <w:tcBorders>
              <w:right w:val="single" w:color="000000" w:sz="12" w:space="0"/>
            </w:tcBorders>
            <w:shd w:val="clear" w:color="auto" w:fill="auto"/>
            <w:vAlign w:val="center"/>
          </w:tcPr>
          <w:p w14:paraId="2609F8E8">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6248</w:t>
            </w:r>
          </w:p>
        </w:tc>
      </w:tr>
      <w:tr w14:paraId="78D18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2" w:hRule="atLeast"/>
        </w:trPr>
        <w:tc>
          <w:tcPr>
            <w:tcW w:w="566" w:type="pct"/>
            <w:vMerge w:val="restart"/>
            <w:tcBorders>
              <w:left w:val="single" w:color="000000" w:sz="12" w:space="0"/>
              <w:bottom w:val="single" w:color="000000" w:sz="4" w:space="0"/>
            </w:tcBorders>
            <w:shd w:val="clear" w:color="auto" w:fill="auto"/>
            <w:vAlign w:val="center"/>
          </w:tcPr>
          <w:p w14:paraId="0A2C7EE0">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辅料</w:t>
            </w:r>
          </w:p>
        </w:tc>
        <w:tc>
          <w:tcPr>
            <w:tcW w:w="743" w:type="pct"/>
            <w:shd w:val="clear" w:color="auto" w:fill="auto"/>
            <w:vAlign w:val="center"/>
          </w:tcPr>
          <w:p w14:paraId="7ACC618A">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焦炭</w:t>
            </w:r>
          </w:p>
        </w:tc>
        <w:tc>
          <w:tcPr>
            <w:tcW w:w="1116" w:type="pct"/>
            <w:shd w:val="clear" w:color="auto" w:fill="auto"/>
            <w:vAlign w:val="center"/>
          </w:tcPr>
          <w:p w14:paraId="5B04B93E">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90-120</w:t>
            </w:r>
          </w:p>
        </w:tc>
        <w:tc>
          <w:tcPr>
            <w:tcW w:w="1212" w:type="pct"/>
            <w:shd w:val="clear" w:color="auto" w:fill="auto"/>
            <w:vAlign w:val="center"/>
          </w:tcPr>
          <w:p w14:paraId="1B838860">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4200</w:t>
            </w:r>
          </w:p>
        </w:tc>
        <w:tc>
          <w:tcPr>
            <w:tcW w:w="1361" w:type="pct"/>
            <w:tcBorders>
              <w:right w:val="single" w:color="000000" w:sz="12" w:space="0"/>
            </w:tcBorders>
            <w:shd w:val="clear" w:color="auto" w:fill="auto"/>
            <w:vAlign w:val="center"/>
          </w:tcPr>
          <w:p w14:paraId="59B46BD2">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5824</w:t>
            </w:r>
          </w:p>
        </w:tc>
      </w:tr>
      <w:tr w14:paraId="34EDA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2" w:hRule="atLeast"/>
        </w:trPr>
        <w:tc>
          <w:tcPr>
            <w:tcW w:w="566" w:type="pct"/>
            <w:vMerge w:val="continue"/>
            <w:tcBorders>
              <w:top w:val="single" w:color="000000" w:sz="4" w:space="0"/>
              <w:left w:val="single" w:color="000000" w:sz="12" w:space="0"/>
              <w:bottom w:val="single" w:color="000000" w:sz="4" w:space="0"/>
            </w:tcBorders>
            <w:shd w:val="clear" w:color="auto" w:fill="auto"/>
            <w:vAlign w:val="center"/>
          </w:tcPr>
          <w:p w14:paraId="75F29EC0">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p>
        </w:tc>
        <w:tc>
          <w:tcPr>
            <w:tcW w:w="743" w:type="pct"/>
            <w:shd w:val="clear" w:color="auto" w:fill="auto"/>
            <w:vAlign w:val="center"/>
          </w:tcPr>
          <w:p w14:paraId="3E65EEDF">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铁矿石</w:t>
            </w:r>
          </w:p>
        </w:tc>
        <w:tc>
          <w:tcPr>
            <w:tcW w:w="1116" w:type="pct"/>
            <w:shd w:val="clear" w:color="auto" w:fill="auto"/>
            <w:vAlign w:val="center"/>
          </w:tcPr>
          <w:p w14:paraId="62DC10B8">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30-80</w:t>
            </w:r>
          </w:p>
        </w:tc>
        <w:tc>
          <w:tcPr>
            <w:tcW w:w="1212" w:type="pct"/>
            <w:shd w:val="clear" w:color="auto" w:fill="auto"/>
            <w:vAlign w:val="center"/>
          </w:tcPr>
          <w:p w14:paraId="7BC03820">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3000</w:t>
            </w:r>
          </w:p>
        </w:tc>
        <w:tc>
          <w:tcPr>
            <w:tcW w:w="1361" w:type="pct"/>
            <w:tcBorders>
              <w:right w:val="single" w:color="000000" w:sz="12" w:space="0"/>
            </w:tcBorders>
            <w:shd w:val="clear" w:color="auto" w:fill="auto"/>
            <w:vAlign w:val="center"/>
          </w:tcPr>
          <w:p w14:paraId="1985948B">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4279</w:t>
            </w:r>
          </w:p>
        </w:tc>
      </w:tr>
      <w:tr w14:paraId="13AAF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5" w:hRule="atLeast"/>
        </w:trPr>
        <w:tc>
          <w:tcPr>
            <w:tcW w:w="566" w:type="pct"/>
            <w:vMerge w:val="continue"/>
            <w:tcBorders>
              <w:top w:val="single" w:color="000000" w:sz="4" w:space="0"/>
              <w:left w:val="single" w:color="000000" w:sz="12" w:space="0"/>
              <w:bottom w:val="single" w:color="000000" w:sz="4" w:space="0"/>
            </w:tcBorders>
            <w:shd w:val="clear" w:color="auto" w:fill="auto"/>
            <w:vAlign w:val="center"/>
          </w:tcPr>
          <w:p w14:paraId="04C9546A">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p>
        </w:tc>
        <w:tc>
          <w:tcPr>
            <w:tcW w:w="743" w:type="pct"/>
            <w:shd w:val="clear" w:color="auto" w:fill="auto"/>
            <w:vAlign w:val="center"/>
          </w:tcPr>
          <w:p w14:paraId="01D9824F">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石灰石</w:t>
            </w:r>
          </w:p>
        </w:tc>
        <w:tc>
          <w:tcPr>
            <w:tcW w:w="1116" w:type="pct"/>
            <w:shd w:val="clear" w:color="auto" w:fill="auto"/>
            <w:vAlign w:val="center"/>
          </w:tcPr>
          <w:p w14:paraId="29E3D35F">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20-50</w:t>
            </w:r>
          </w:p>
        </w:tc>
        <w:tc>
          <w:tcPr>
            <w:tcW w:w="1212" w:type="pct"/>
            <w:shd w:val="clear" w:color="auto" w:fill="auto"/>
            <w:vAlign w:val="center"/>
          </w:tcPr>
          <w:p w14:paraId="09DF3BAB">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2400</w:t>
            </w:r>
          </w:p>
        </w:tc>
        <w:tc>
          <w:tcPr>
            <w:tcW w:w="1361" w:type="pct"/>
            <w:tcBorders>
              <w:right w:val="single" w:color="000000" w:sz="12" w:space="0"/>
            </w:tcBorders>
            <w:shd w:val="clear" w:color="auto" w:fill="auto"/>
            <w:vAlign w:val="center"/>
          </w:tcPr>
          <w:p w14:paraId="3BCD7749">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1512</w:t>
            </w:r>
          </w:p>
        </w:tc>
      </w:tr>
      <w:tr w14:paraId="059EE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2" w:hRule="atLeast"/>
        </w:trPr>
        <w:tc>
          <w:tcPr>
            <w:tcW w:w="566" w:type="pct"/>
            <w:vMerge w:val="continue"/>
            <w:tcBorders>
              <w:top w:val="single" w:color="000000" w:sz="4" w:space="0"/>
              <w:left w:val="single" w:color="000000" w:sz="12" w:space="0"/>
              <w:bottom w:val="single" w:color="000000" w:sz="4" w:space="0"/>
            </w:tcBorders>
            <w:shd w:val="clear" w:color="auto" w:fill="auto"/>
            <w:vAlign w:val="center"/>
          </w:tcPr>
          <w:p w14:paraId="78651270">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p>
        </w:tc>
        <w:tc>
          <w:tcPr>
            <w:tcW w:w="743" w:type="pct"/>
            <w:shd w:val="clear" w:color="auto" w:fill="auto"/>
            <w:vAlign w:val="center"/>
          </w:tcPr>
          <w:p w14:paraId="37D856E8">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石灰</w:t>
            </w:r>
          </w:p>
        </w:tc>
        <w:tc>
          <w:tcPr>
            <w:tcW w:w="1116" w:type="pct"/>
            <w:shd w:val="clear" w:color="auto" w:fill="auto"/>
            <w:vAlign w:val="center"/>
          </w:tcPr>
          <w:p w14:paraId="24CC4CD4">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w:t>
            </w:r>
          </w:p>
        </w:tc>
        <w:tc>
          <w:tcPr>
            <w:tcW w:w="1212" w:type="pct"/>
            <w:shd w:val="clear" w:color="auto" w:fill="auto"/>
            <w:vAlign w:val="center"/>
          </w:tcPr>
          <w:p w14:paraId="3F5FD671">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8000</w:t>
            </w:r>
          </w:p>
        </w:tc>
        <w:tc>
          <w:tcPr>
            <w:tcW w:w="1361" w:type="pct"/>
            <w:tcBorders>
              <w:right w:val="single" w:color="000000" w:sz="12" w:space="0"/>
            </w:tcBorders>
            <w:shd w:val="clear" w:color="auto" w:fill="auto"/>
            <w:vAlign w:val="center"/>
          </w:tcPr>
          <w:p w14:paraId="040DD61A">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9104.66</w:t>
            </w:r>
          </w:p>
        </w:tc>
      </w:tr>
      <w:tr w14:paraId="1568D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2" w:hRule="atLeast"/>
        </w:trPr>
        <w:tc>
          <w:tcPr>
            <w:tcW w:w="566" w:type="pct"/>
            <w:vMerge w:val="continue"/>
            <w:tcBorders>
              <w:top w:val="single" w:color="000000" w:sz="4" w:space="0"/>
              <w:left w:val="single" w:color="000000" w:sz="12" w:space="0"/>
              <w:bottom w:val="single" w:color="000000" w:sz="4" w:space="0"/>
            </w:tcBorders>
            <w:shd w:val="clear" w:color="auto" w:fill="auto"/>
            <w:vAlign w:val="center"/>
          </w:tcPr>
          <w:p w14:paraId="6F54B936">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p>
        </w:tc>
        <w:tc>
          <w:tcPr>
            <w:tcW w:w="743" w:type="pct"/>
            <w:shd w:val="clear" w:color="auto" w:fill="auto"/>
            <w:vAlign w:val="center"/>
          </w:tcPr>
          <w:p w14:paraId="296B96EE">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烟煤</w:t>
            </w:r>
          </w:p>
        </w:tc>
        <w:tc>
          <w:tcPr>
            <w:tcW w:w="1116" w:type="pct"/>
            <w:shd w:val="clear" w:color="auto" w:fill="auto"/>
            <w:vAlign w:val="center"/>
          </w:tcPr>
          <w:p w14:paraId="337EF9B2">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20-50</w:t>
            </w:r>
          </w:p>
        </w:tc>
        <w:tc>
          <w:tcPr>
            <w:tcW w:w="1212" w:type="pct"/>
            <w:shd w:val="clear" w:color="auto" w:fill="auto"/>
            <w:vAlign w:val="center"/>
          </w:tcPr>
          <w:p w14:paraId="3EBE0249">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1680</w:t>
            </w:r>
          </w:p>
        </w:tc>
        <w:tc>
          <w:tcPr>
            <w:tcW w:w="1361" w:type="pct"/>
            <w:tcBorders>
              <w:right w:val="single" w:color="000000" w:sz="12" w:space="0"/>
            </w:tcBorders>
            <w:shd w:val="clear" w:color="auto" w:fill="auto"/>
            <w:vAlign w:val="center"/>
          </w:tcPr>
          <w:p w14:paraId="777257D3">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1494</w:t>
            </w:r>
          </w:p>
        </w:tc>
      </w:tr>
      <w:tr w14:paraId="6B49A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2" w:hRule="atLeast"/>
        </w:trPr>
        <w:tc>
          <w:tcPr>
            <w:tcW w:w="566" w:type="pct"/>
            <w:vMerge w:val="continue"/>
            <w:tcBorders>
              <w:top w:val="single" w:color="000000" w:sz="4" w:space="0"/>
              <w:left w:val="single" w:color="000000" w:sz="12" w:space="0"/>
              <w:bottom w:val="single" w:color="000000" w:sz="4" w:space="0"/>
            </w:tcBorders>
            <w:shd w:val="clear" w:color="auto" w:fill="auto"/>
            <w:vAlign w:val="center"/>
          </w:tcPr>
          <w:p w14:paraId="455F97E6">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p>
        </w:tc>
        <w:tc>
          <w:tcPr>
            <w:tcW w:w="743" w:type="pct"/>
            <w:shd w:val="clear" w:color="auto" w:fill="auto"/>
            <w:vAlign w:val="center"/>
          </w:tcPr>
          <w:p w14:paraId="375AFE06">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无烟煤</w:t>
            </w:r>
          </w:p>
        </w:tc>
        <w:tc>
          <w:tcPr>
            <w:tcW w:w="1116" w:type="pct"/>
            <w:shd w:val="clear" w:color="auto" w:fill="auto"/>
            <w:vAlign w:val="center"/>
          </w:tcPr>
          <w:p w14:paraId="326DB980">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80  目</w:t>
            </w:r>
          </w:p>
        </w:tc>
        <w:tc>
          <w:tcPr>
            <w:tcW w:w="1212" w:type="pct"/>
            <w:shd w:val="clear" w:color="auto" w:fill="auto"/>
            <w:vAlign w:val="center"/>
          </w:tcPr>
          <w:p w14:paraId="148C2960">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735</w:t>
            </w:r>
          </w:p>
        </w:tc>
        <w:tc>
          <w:tcPr>
            <w:tcW w:w="1361" w:type="pct"/>
            <w:tcBorders>
              <w:right w:val="single" w:color="000000" w:sz="12" w:space="0"/>
            </w:tcBorders>
            <w:shd w:val="clear" w:color="auto" w:fill="auto"/>
            <w:vAlign w:val="center"/>
          </w:tcPr>
          <w:p w14:paraId="4B6ECE79">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579</w:t>
            </w:r>
          </w:p>
        </w:tc>
      </w:tr>
      <w:tr w14:paraId="016E5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2" w:hRule="atLeast"/>
        </w:trPr>
        <w:tc>
          <w:tcPr>
            <w:tcW w:w="566" w:type="pct"/>
            <w:vMerge w:val="continue"/>
            <w:tcBorders>
              <w:top w:val="single" w:color="000000" w:sz="4" w:space="0"/>
              <w:left w:val="single" w:color="000000" w:sz="12" w:space="0"/>
              <w:bottom w:val="single" w:color="000000" w:sz="4" w:space="0"/>
            </w:tcBorders>
            <w:shd w:val="clear" w:color="auto" w:fill="auto"/>
            <w:vAlign w:val="center"/>
          </w:tcPr>
          <w:p w14:paraId="62673D24">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p>
        </w:tc>
        <w:tc>
          <w:tcPr>
            <w:tcW w:w="743" w:type="pct"/>
            <w:shd w:val="clear" w:color="auto" w:fill="auto"/>
            <w:vAlign w:val="center"/>
          </w:tcPr>
          <w:p w14:paraId="166FACA2">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纯碱</w:t>
            </w:r>
          </w:p>
        </w:tc>
        <w:tc>
          <w:tcPr>
            <w:tcW w:w="1116" w:type="pct"/>
            <w:shd w:val="clear" w:color="auto" w:fill="auto"/>
            <w:vAlign w:val="center"/>
          </w:tcPr>
          <w:p w14:paraId="670013D3">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w:t>
            </w:r>
          </w:p>
        </w:tc>
        <w:tc>
          <w:tcPr>
            <w:tcW w:w="1212" w:type="pct"/>
            <w:shd w:val="clear" w:color="auto" w:fill="auto"/>
            <w:vAlign w:val="center"/>
          </w:tcPr>
          <w:p w14:paraId="4CC636AE">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525</w:t>
            </w:r>
          </w:p>
        </w:tc>
        <w:tc>
          <w:tcPr>
            <w:tcW w:w="1361" w:type="pct"/>
            <w:tcBorders>
              <w:right w:val="single" w:color="000000" w:sz="12" w:space="0"/>
            </w:tcBorders>
            <w:shd w:val="clear" w:color="auto" w:fill="auto"/>
            <w:vAlign w:val="center"/>
          </w:tcPr>
          <w:p w14:paraId="5FAF7CDD">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547</w:t>
            </w:r>
          </w:p>
        </w:tc>
      </w:tr>
      <w:tr w14:paraId="71582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2" w:hRule="atLeast"/>
        </w:trPr>
        <w:tc>
          <w:tcPr>
            <w:tcW w:w="566" w:type="pct"/>
            <w:vMerge w:val="continue"/>
            <w:tcBorders>
              <w:top w:val="single" w:color="000000" w:sz="4" w:space="0"/>
              <w:left w:val="single" w:color="000000" w:sz="12" w:space="0"/>
              <w:bottom w:val="single" w:color="000000" w:sz="4" w:space="0"/>
            </w:tcBorders>
            <w:shd w:val="clear" w:color="auto" w:fill="auto"/>
            <w:vAlign w:val="center"/>
          </w:tcPr>
          <w:p w14:paraId="2698C4CB">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p>
        </w:tc>
        <w:tc>
          <w:tcPr>
            <w:tcW w:w="743" w:type="pct"/>
            <w:shd w:val="clear" w:color="auto" w:fill="auto"/>
            <w:vAlign w:val="center"/>
          </w:tcPr>
          <w:p w14:paraId="108317A5">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除铅剂</w:t>
            </w:r>
          </w:p>
        </w:tc>
        <w:tc>
          <w:tcPr>
            <w:tcW w:w="1116" w:type="pct"/>
            <w:shd w:val="clear" w:color="auto" w:fill="auto"/>
            <w:vAlign w:val="center"/>
          </w:tcPr>
          <w:p w14:paraId="02FB36E8">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w:t>
            </w:r>
          </w:p>
        </w:tc>
        <w:tc>
          <w:tcPr>
            <w:tcW w:w="1212" w:type="pct"/>
            <w:shd w:val="clear" w:color="auto" w:fill="auto"/>
            <w:vAlign w:val="center"/>
          </w:tcPr>
          <w:p w14:paraId="6F5E6EB9">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50</w:t>
            </w:r>
          </w:p>
        </w:tc>
        <w:tc>
          <w:tcPr>
            <w:tcW w:w="1361" w:type="pct"/>
            <w:tcBorders>
              <w:right w:val="single" w:color="000000" w:sz="12" w:space="0"/>
            </w:tcBorders>
            <w:shd w:val="clear" w:color="auto" w:fill="auto"/>
            <w:vAlign w:val="center"/>
          </w:tcPr>
          <w:p w14:paraId="3DB369F7">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74.5</w:t>
            </w:r>
          </w:p>
        </w:tc>
      </w:tr>
      <w:tr w14:paraId="7C2E0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3" w:hRule="atLeast"/>
        </w:trPr>
        <w:tc>
          <w:tcPr>
            <w:tcW w:w="566" w:type="pct"/>
            <w:vMerge w:val="continue"/>
            <w:tcBorders>
              <w:top w:val="single" w:color="000000" w:sz="4" w:space="0"/>
              <w:left w:val="single" w:color="000000" w:sz="12" w:space="0"/>
              <w:bottom w:val="single" w:color="000000" w:sz="12" w:space="0"/>
            </w:tcBorders>
            <w:shd w:val="clear" w:color="auto" w:fill="auto"/>
            <w:vAlign w:val="center"/>
          </w:tcPr>
          <w:p w14:paraId="55BFFAED">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p>
        </w:tc>
        <w:tc>
          <w:tcPr>
            <w:tcW w:w="743" w:type="pct"/>
            <w:tcBorders>
              <w:bottom w:val="single" w:color="000000" w:sz="12" w:space="0"/>
            </w:tcBorders>
            <w:shd w:val="clear" w:color="auto" w:fill="auto"/>
            <w:vAlign w:val="center"/>
          </w:tcPr>
          <w:p w14:paraId="09472BC2">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电</w:t>
            </w:r>
          </w:p>
        </w:tc>
        <w:tc>
          <w:tcPr>
            <w:tcW w:w="1116" w:type="pct"/>
            <w:tcBorders>
              <w:bottom w:val="single" w:color="000000" w:sz="12" w:space="0"/>
            </w:tcBorders>
            <w:shd w:val="clear" w:color="auto" w:fill="auto"/>
            <w:vAlign w:val="center"/>
          </w:tcPr>
          <w:p w14:paraId="6F25067C">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w:t>
            </w:r>
          </w:p>
        </w:tc>
        <w:tc>
          <w:tcPr>
            <w:tcW w:w="1212" w:type="pct"/>
            <w:tcBorders>
              <w:bottom w:val="single" w:color="000000" w:sz="12" w:space="0"/>
            </w:tcBorders>
            <w:shd w:val="clear" w:color="auto" w:fill="auto"/>
            <w:vAlign w:val="center"/>
          </w:tcPr>
          <w:p w14:paraId="3C3C31DD">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 xml:space="preserve">236 万 </w:t>
            </w:r>
            <w:r>
              <w:rPr>
                <w:rFonts w:hint="eastAsia"/>
                <w:color w:val="auto"/>
                <w:highlight w:val="none"/>
                <w:lang w:val="en-US" w:eastAsia="zh-CN"/>
              </w:rPr>
              <w:t>kW</w:t>
            </w:r>
          </w:p>
        </w:tc>
        <w:tc>
          <w:tcPr>
            <w:tcW w:w="1361" w:type="pct"/>
            <w:tcBorders>
              <w:bottom w:val="single" w:color="000000" w:sz="12" w:space="0"/>
              <w:right w:val="single" w:color="000000" w:sz="12" w:space="0"/>
            </w:tcBorders>
            <w:shd w:val="clear" w:color="auto" w:fill="auto"/>
            <w:vAlign w:val="center"/>
          </w:tcPr>
          <w:p w14:paraId="6F876B09">
            <w:pPr>
              <w:pStyle w:val="26"/>
              <w:widowControl w:val="0"/>
              <w:pBdr>
                <w:top w:val="none" w:color="auto" w:sz="0" w:space="1"/>
                <w:left w:val="none" w:color="auto" w:sz="0" w:space="4"/>
                <w:bottom w:val="none" w:color="auto" w:sz="0" w:space="1"/>
                <w:right w:val="none" w:color="auto" w:sz="0" w:space="4"/>
              </w:pBdr>
              <w:bidi w:val="0"/>
              <w:spacing w:line="240" w:lineRule="auto"/>
              <w:jc w:val="center"/>
              <w:rPr>
                <w:color w:val="auto"/>
                <w:highlight w:val="none"/>
                <w:lang w:val="en-US" w:eastAsia="en-US"/>
              </w:rPr>
            </w:pPr>
            <w:r>
              <w:rPr>
                <w:color w:val="auto"/>
                <w:highlight w:val="none"/>
                <w:lang w:val="en-US" w:eastAsia="en-US"/>
              </w:rPr>
              <w:t xml:space="preserve">320 万 </w:t>
            </w:r>
            <w:r>
              <w:rPr>
                <w:rFonts w:hint="eastAsia"/>
                <w:color w:val="auto"/>
                <w:highlight w:val="none"/>
                <w:lang w:val="en-US" w:eastAsia="zh-CN"/>
              </w:rPr>
              <w:t>kW</w:t>
            </w:r>
          </w:p>
        </w:tc>
      </w:tr>
    </w:tbl>
    <w:p w14:paraId="312AD990">
      <w:pPr>
        <w:pStyle w:val="37"/>
        <w:bidi w:val="0"/>
        <w:rPr>
          <w:rFonts w:hint="default"/>
          <w:color w:val="auto"/>
          <w:highlight w:val="none"/>
          <w:lang w:val="en-US" w:eastAsia="zh-CN"/>
        </w:rPr>
      </w:pPr>
      <w:r>
        <w:rPr>
          <w:rFonts w:hint="eastAsia"/>
          <w:color w:val="auto"/>
          <w:highlight w:val="none"/>
          <w:lang w:val="en-US" w:eastAsia="zh-CN"/>
        </w:rPr>
        <w:t>调整内容</w:t>
      </w:r>
    </w:p>
    <w:p w14:paraId="0D9CE162">
      <w:pPr>
        <w:pStyle w:val="34"/>
        <w:bidi w:val="0"/>
        <w:rPr>
          <w:rFonts w:hint="default"/>
          <w:color w:val="auto"/>
          <w:highlight w:val="none"/>
          <w:lang w:val="en-US" w:eastAsia="zh-CN"/>
        </w:rPr>
      </w:pPr>
      <w:r>
        <w:rPr>
          <w:rFonts w:hint="default"/>
          <w:color w:val="auto"/>
          <w:highlight w:val="none"/>
          <w:lang w:val="en-US" w:eastAsia="zh-CN"/>
        </w:rPr>
        <w:t>拟建项目概况</w:t>
      </w:r>
    </w:p>
    <w:p w14:paraId="3ED8FD14">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fldChar w:fldCharType="begin"/>
      </w:r>
      <w:r>
        <w:rPr>
          <w:rFonts w:hint="default" w:ascii="Times New Roman" w:hAnsi="Times New Roman" w:eastAsia="宋体" w:cs="Times New Roman"/>
          <w:color w:val="auto"/>
          <w:kern w:val="2"/>
          <w:sz w:val="24"/>
          <w:highlight w:val="none"/>
          <w:lang w:val="en-US" w:eastAsia="zh-CN" w:bidi="ar-SA"/>
        </w:rPr>
        <w:instrText xml:space="preserve"> = 1 \* GB2 \* MERGEFORMAT </w:instrText>
      </w:r>
      <w:r>
        <w:rPr>
          <w:rFonts w:hint="default" w:ascii="Times New Roman" w:hAnsi="Times New Roman" w:eastAsia="宋体" w:cs="Times New Roman"/>
          <w:color w:val="auto"/>
          <w:kern w:val="2"/>
          <w:sz w:val="24"/>
          <w:highlight w:val="none"/>
          <w:lang w:val="en-US" w:eastAsia="zh-CN" w:bidi="ar-SA"/>
        </w:rPr>
        <w:fldChar w:fldCharType="separate"/>
      </w:r>
      <w:r>
        <w:rPr>
          <w:rFonts w:hint="default" w:ascii="Times New Roman" w:hAnsi="Times New Roman" w:eastAsia="宋体" w:cs="Times New Roman"/>
          <w:color w:val="auto"/>
          <w:kern w:val="2"/>
          <w:sz w:val="24"/>
          <w:highlight w:val="none"/>
          <w:lang w:val="en-US" w:eastAsia="zh-CN" w:bidi="ar-SA"/>
        </w:rPr>
        <w:t>⑴</w:t>
      </w:r>
      <w:r>
        <w:rPr>
          <w:rFonts w:hint="default" w:ascii="Times New Roman" w:hAnsi="Times New Roman" w:eastAsia="宋体" w:cs="Times New Roman"/>
          <w:color w:val="auto"/>
          <w:kern w:val="2"/>
          <w:sz w:val="24"/>
          <w:highlight w:val="none"/>
          <w:lang w:val="en-US" w:eastAsia="zh-CN" w:bidi="ar-SA"/>
        </w:rPr>
        <w:fldChar w:fldCharType="end"/>
      </w:r>
      <w:r>
        <w:rPr>
          <w:rFonts w:hint="default" w:ascii="Times New Roman" w:hAnsi="Times New Roman" w:eastAsia="宋体" w:cs="Times New Roman"/>
          <w:color w:val="auto"/>
          <w:kern w:val="2"/>
          <w:sz w:val="24"/>
          <w:highlight w:val="none"/>
          <w:lang w:val="en-US" w:eastAsia="zh-CN" w:bidi="ar-SA"/>
        </w:rPr>
        <w:t xml:space="preserve"> 项目名称：安化渣滓溪矿业</w:t>
      </w:r>
      <w:r>
        <w:rPr>
          <w:rFonts w:hint="eastAsia" w:cs="Times New Roman"/>
          <w:color w:val="auto"/>
          <w:kern w:val="2"/>
          <w:sz w:val="24"/>
          <w:highlight w:val="none"/>
          <w:lang w:val="en-US" w:eastAsia="zh-CN" w:bidi="ar-SA"/>
        </w:rPr>
        <w:t>智能化设备升级改造项目</w:t>
      </w:r>
    </w:p>
    <w:p w14:paraId="132E0C02">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⑵ 建设地点：</w:t>
      </w:r>
      <w:r>
        <w:rPr>
          <w:rFonts w:hint="eastAsia" w:ascii="Times New Roman" w:hAnsi="Times New Roman" w:eastAsia="宋体" w:cs="Times New Roman"/>
          <w:color w:val="auto"/>
          <w:kern w:val="2"/>
          <w:sz w:val="24"/>
          <w:highlight w:val="none"/>
          <w:lang w:val="en-US" w:eastAsia="zh-CN" w:bidi="ar-SA"/>
        </w:rPr>
        <w:t>益阳市安化县奎溪镇白羊社区</w:t>
      </w:r>
    </w:p>
    <w:p w14:paraId="4FC84A1A">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⑶ 建设单位：湖南安化渣滓溪矿业有限公司</w:t>
      </w:r>
    </w:p>
    <w:p w14:paraId="102C613A">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⑷ 工程性质：</w:t>
      </w:r>
      <w:r>
        <w:rPr>
          <w:rFonts w:hint="eastAsia" w:cs="Times New Roman"/>
          <w:color w:val="auto"/>
          <w:kern w:val="2"/>
          <w:sz w:val="24"/>
          <w:highlight w:val="none"/>
          <w:lang w:val="en-US" w:eastAsia="zh-CN" w:bidi="ar-SA"/>
        </w:rPr>
        <w:t>技改</w:t>
      </w:r>
    </w:p>
    <w:p w14:paraId="7C1C5F15">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⑸ 开采方式：地下开采</w:t>
      </w:r>
    </w:p>
    <w:p w14:paraId="57DAD2B1">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⑹ 建设规模：</w:t>
      </w:r>
      <w:r>
        <w:rPr>
          <w:rFonts w:hint="eastAsia" w:ascii="Times New Roman" w:hAnsi="Times New Roman" w:eastAsia="宋体" w:cs="Times New Roman"/>
          <w:color w:val="auto"/>
          <w:kern w:val="2"/>
          <w:sz w:val="24"/>
          <w:highlight w:val="none"/>
          <w:lang w:val="en-US" w:eastAsia="zh-CN" w:bidi="ar-SA"/>
        </w:rPr>
        <w:t>保持21</w:t>
      </w:r>
      <w:r>
        <w:rPr>
          <w:rFonts w:hint="default" w:ascii="Times New Roman" w:hAnsi="Times New Roman" w:eastAsia="宋体" w:cs="Times New Roman"/>
          <w:color w:val="auto"/>
          <w:kern w:val="2"/>
          <w:sz w:val="24"/>
          <w:highlight w:val="none"/>
          <w:lang w:val="en-US" w:eastAsia="zh-CN" w:bidi="ar-SA"/>
        </w:rPr>
        <w:t>万t/a</w:t>
      </w:r>
      <w:r>
        <w:rPr>
          <w:rFonts w:hint="eastAsia" w:ascii="Times New Roman" w:hAnsi="Times New Roman" w:eastAsia="宋体" w:cs="Times New Roman"/>
          <w:color w:val="auto"/>
          <w:kern w:val="2"/>
          <w:sz w:val="24"/>
          <w:highlight w:val="none"/>
          <w:lang w:val="en-US" w:eastAsia="zh-CN" w:bidi="ar-SA"/>
        </w:rPr>
        <w:t>采选规模不变</w:t>
      </w:r>
    </w:p>
    <w:p w14:paraId="2F17E4F1">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⑺ 服务年限：矿山</w:t>
      </w:r>
      <w:r>
        <w:rPr>
          <w:rFonts w:hint="eastAsia" w:ascii="Times New Roman" w:hAnsi="Times New Roman" w:eastAsia="宋体" w:cs="Times New Roman"/>
          <w:color w:val="auto"/>
          <w:kern w:val="2"/>
          <w:sz w:val="24"/>
          <w:highlight w:val="none"/>
          <w:lang w:val="en-US" w:eastAsia="zh-CN" w:bidi="ar-SA"/>
        </w:rPr>
        <w:t>剩余</w:t>
      </w:r>
      <w:r>
        <w:rPr>
          <w:rFonts w:hint="default" w:ascii="Times New Roman" w:hAnsi="Times New Roman" w:eastAsia="宋体" w:cs="Times New Roman"/>
          <w:color w:val="auto"/>
          <w:kern w:val="2"/>
          <w:sz w:val="24"/>
          <w:highlight w:val="none"/>
          <w:lang w:val="en-US" w:eastAsia="zh-CN" w:bidi="ar-SA"/>
        </w:rPr>
        <w:t>服务年限为</w:t>
      </w:r>
      <w:r>
        <w:rPr>
          <w:rFonts w:hint="eastAsia" w:ascii="Times New Roman" w:hAnsi="Times New Roman" w:eastAsia="宋体" w:cs="Times New Roman"/>
          <w:color w:val="auto"/>
          <w:kern w:val="2"/>
          <w:sz w:val="24"/>
          <w:highlight w:val="none"/>
          <w:lang w:val="en-US" w:eastAsia="zh-CN" w:bidi="ar-SA"/>
        </w:rPr>
        <w:t>4.2</w:t>
      </w:r>
      <w:r>
        <w:rPr>
          <w:rFonts w:hint="default" w:ascii="Times New Roman" w:hAnsi="Times New Roman" w:eastAsia="宋体" w:cs="Times New Roman"/>
          <w:color w:val="auto"/>
          <w:kern w:val="2"/>
          <w:sz w:val="24"/>
          <w:highlight w:val="none"/>
          <w:lang w:val="en-US" w:eastAsia="zh-CN" w:bidi="ar-SA"/>
        </w:rPr>
        <w:t>年</w:t>
      </w:r>
    </w:p>
    <w:p w14:paraId="3E9DF048">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⑻ 项目投资：项目总投资共计</w:t>
      </w:r>
      <w:r>
        <w:rPr>
          <w:rFonts w:hint="eastAsia" w:ascii="Times New Roman" w:hAnsi="Times New Roman" w:eastAsia="宋体" w:cs="Times New Roman"/>
          <w:color w:val="auto"/>
          <w:kern w:val="2"/>
          <w:sz w:val="24"/>
          <w:highlight w:val="none"/>
          <w:lang w:val="en-US" w:eastAsia="zh-CN" w:bidi="ar-SA"/>
        </w:rPr>
        <w:t>1</w:t>
      </w:r>
      <w:r>
        <w:rPr>
          <w:rFonts w:hint="eastAsia" w:cs="Times New Roman"/>
          <w:color w:val="auto"/>
          <w:kern w:val="2"/>
          <w:sz w:val="24"/>
          <w:highlight w:val="none"/>
          <w:lang w:val="en-US" w:eastAsia="zh-CN" w:bidi="ar-SA"/>
        </w:rPr>
        <w:t>00</w:t>
      </w:r>
      <w:r>
        <w:rPr>
          <w:rFonts w:hint="eastAsia" w:ascii="Times New Roman" w:hAnsi="Times New Roman" w:eastAsia="宋体" w:cs="Times New Roman"/>
          <w:color w:val="auto"/>
          <w:kern w:val="2"/>
          <w:sz w:val="24"/>
          <w:highlight w:val="none"/>
          <w:lang w:val="en-US" w:eastAsia="zh-CN" w:bidi="ar-SA"/>
        </w:rPr>
        <w:t>00</w:t>
      </w:r>
      <w:r>
        <w:rPr>
          <w:rFonts w:hint="default" w:ascii="Times New Roman" w:hAnsi="Times New Roman" w:eastAsia="宋体" w:cs="Times New Roman"/>
          <w:color w:val="auto"/>
          <w:kern w:val="2"/>
          <w:sz w:val="24"/>
          <w:highlight w:val="none"/>
          <w:lang w:val="en-US" w:eastAsia="zh-CN" w:bidi="ar-SA"/>
        </w:rPr>
        <w:t>万元，其中环保投资</w:t>
      </w:r>
      <w:r>
        <w:rPr>
          <w:rFonts w:hint="eastAsia" w:cs="Times New Roman"/>
          <w:color w:val="auto"/>
          <w:kern w:val="2"/>
          <w:sz w:val="24"/>
          <w:highlight w:val="none"/>
          <w:lang w:val="en-US" w:eastAsia="zh-CN" w:bidi="ar-SA"/>
        </w:rPr>
        <w:t>527.1</w:t>
      </w:r>
      <w:r>
        <w:rPr>
          <w:rFonts w:hint="default" w:ascii="Times New Roman" w:hAnsi="Times New Roman" w:eastAsia="宋体" w:cs="Times New Roman"/>
          <w:color w:val="auto"/>
          <w:kern w:val="2"/>
          <w:sz w:val="24"/>
          <w:highlight w:val="none"/>
          <w:lang w:val="en-US" w:eastAsia="zh-CN" w:bidi="ar-SA"/>
        </w:rPr>
        <w:t>万元，占工程总投资的</w:t>
      </w:r>
      <w:r>
        <w:rPr>
          <w:rFonts w:hint="eastAsia" w:cs="Times New Roman"/>
          <w:color w:val="auto"/>
          <w:kern w:val="2"/>
          <w:sz w:val="24"/>
          <w:highlight w:val="none"/>
          <w:lang w:val="en-US" w:eastAsia="zh-CN" w:bidi="ar-SA"/>
        </w:rPr>
        <w:t>5</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2</w:t>
      </w:r>
      <w:r>
        <w:rPr>
          <w:rFonts w:hint="eastAsia" w:ascii="Times New Roman" w:hAnsi="Times New Roman" w:eastAsia="宋体" w:cs="Times New Roman"/>
          <w:color w:val="auto"/>
          <w:kern w:val="2"/>
          <w:sz w:val="24"/>
          <w:highlight w:val="none"/>
          <w:lang w:val="en-US" w:eastAsia="zh-CN" w:bidi="ar-SA"/>
        </w:rPr>
        <w:t>7</w:t>
      </w:r>
      <w:r>
        <w:rPr>
          <w:rFonts w:hint="default" w:ascii="Times New Roman" w:hAnsi="Times New Roman" w:eastAsia="宋体" w:cs="Times New Roman"/>
          <w:color w:val="auto"/>
          <w:kern w:val="2"/>
          <w:sz w:val="24"/>
          <w:highlight w:val="none"/>
          <w:lang w:val="en-US" w:eastAsia="zh-CN" w:bidi="ar-SA"/>
        </w:rPr>
        <w:t>%</w:t>
      </w:r>
    </w:p>
    <w:p w14:paraId="32E015D6">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⑼ 劳动定员：全厂现有员工</w:t>
      </w:r>
      <w:r>
        <w:rPr>
          <w:rFonts w:hint="eastAsia" w:ascii="Times New Roman" w:hAnsi="Times New Roman" w:eastAsia="宋体" w:cs="Times New Roman"/>
          <w:color w:val="auto"/>
          <w:kern w:val="2"/>
          <w:sz w:val="24"/>
          <w:highlight w:val="none"/>
          <w:lang w:val="en-US" w:eastAsia="zh-CN" w:bidi="ar-SA"/>
        </w:rPr>
        <w:t>80</w:t>
      </w:r>
      <w:r>
        <w:rPr>
          <w:rFonts w:hint="default" w:ascii="Times New Roman" w:hAnsi="Times New Roman" w:eastAsia="宋体" w:cs="Times New Roman"/>
          <w:color w:val="auto"/>
          <w:kern w:val="2"/>
          <w:sz w:val="24"/>
          <w:highlight w:val="none"/>
          <w:lang w:val="en-US" w:eastAsia="zh-CN" w:bidi="ar-SA"/>
        </w:rPr>
        <w:t>0人。本次不新增员工。年生产天数为300天，每天三班，每班8小时。</w:t>
      </w:r>
    </w:p>
    <w:p w14:paraId="7315E95E">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本项目为矿山</w:t>
      </w:r>
      <w:r>
        <w:rPr>
          <w:rFonts w:hint="eastAsia" w:cs="Times New Roman"/>
          <w:color w:val="auto"/>
          <w:kern w:val="2"/>
          <w:sz w:val="24"/>
          <w:highlight w:val="none"/>
          <w:lang w:val="en-US" w:eastAsia="zh-CN" w:bidi="ar-SA"/>
        </w:rPr>
        <w:t>调整</w:t>
      </w:r>
      <w:r>
        <w:rPr>
          <w:rFonts w:hint="default" w:ascii="Times New Roman" w:hAnsi="Times New Roman" w:eastAsia="宋体" w:cs="Times New Roman"/>
          <w:color w:val="auto"/>
          <w:kern w:val="2"/>
          <w:sz w:val="24"/>
          <w:highlight w:val="none"/>
          <w:lang w:val="en-US" w:eastAsia="zh-CN" w:bidi="ar-SA"/>
        </w:rPr>
        <w:t>工程，</w:t>
      </w:r>
      <w:r>
        <w:rPr>
          <w:rFonts w:hint="eastAsia" w:ascii="Times New Roman" w:hAnsi="Times New Roman" w:eastAsia="宋体" w:cs="Times New Roman"/>
          <w:color w:val="auto"/>
          <w:kern w:val="2"/>
          <w:sz w:val="24"/>
          <w:highlight w:val="none"/>
          <w:lang w:val="en-US" w:eastAsia="zh-CN" w:bidi="ar-SA"/>
        </w:rPr>
        <w:t>主要是充填站扩建、选矿工艺调整（增加高压辊磨机）</w:t>
      </w:r>
      <w:r>
        <w:rPr>
          <w:rFonts w:hint="eastAsia" w:cs="Times New Roman"/>
          <w:color w:val="auto"/>
          <w:kern w:val="2"/>
          <w:sz w:val="24"/>
          <w:highlight w:val="none"/>
          <w:lang w:val="en-US" w:eastAsia="zh-CN" w:bidi="ar-SA"/>
        </w:rPr>
        <w:t>。另外，企业借此次智能升级改造的契机，拟</w:t>
      </w:r>
      <w:r>
        <w:rPr>
          <w:rFonts w:hint="eastAsia" w:ascii="Times New Roman" w:hAnsi="Times New Roman" w:eastAsia="宋体" w:cs="Times New Roman"/>
          <w:color w:val="auto"/>
          <w:kern w:val="2"/>
          <w:sz w:val="24"/>
          <w:highlight w:val="none"/>
          <w:lang w:val="en-US" w:eastAsia="zh-CN" w:bidi="ar-SA"/>
        </w:rPr>
        <w:t>对全厂水系统进行改造，</w:t>
      </w:r>
      <w:r>
        <w:rPr>
          <w:rFonts w:hint="eastAsia" w:cs="Times New Roman"/>
          <w:color w:val="auto"/>
          <w:kern w:val="2"/>
          <w:sz w:val="24"/>
          <w:highlight w:val="none"/>
          <w:lang w:val="en-US" w:eastAsia="zh-CN" w:bidi="ar-SA"/>
        </w:rPr>
        <w:t>改造内容如下</w:t>
      </w:r>
      <w:r>
        <w:rPr>
          <w:rFonts w:hint="default" w:ascii="Times New Roman" w:hAnsi="Times New Roman" w:eastAsia="宋体" w:cs="Times New Roman"/>
          <w:color w:val="auto"/>
          <w:kern w:val="2"/>
          <w:sz w:val="24"/>
          <w:highlight w:val="none"/>
          <w:lang w:val="en-US" w:eastAsia="zh-CN" w:bidi="ar-SA"/>
        </w:rPr>
        <w:t>：</w:t>
      </w:r>
    </w:p>
    <w:p w14:paraId="53B184D8">
      <w:pPr>
        <w:widowControl w:val="0"/>
        <w:numPr>
          <w:ilvl w:val="0"/>
          <w:numId w:val="9"/>
        </w:numPr>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渣滓溪引水工程。根据地表水环境质量现状监测，渣滓溪上游锑浓度为0.0510~0.0613mg/L，低于矿山废水排放浓度限值0.15mg/L，也低于排洪隧洞山体渗水锑平均浓度1.84mg/L（枯水期1.51mg/L，平水期1.84mg/L，丰水期0.623mg/L）。根据“清污分流”原则，建设单位拟将渣滓溪厂界处的上游来水用3根DN200的管道引流至排洪隧洞下游，避免与隧洞水混合，管线全长3475m。</w:t>
      </w:r>
    </w:p>
    <w:p w14:paraId="05443B00">
      <w:pPr>
        <w:widowControl w:val="0"/>
        <w:numPr>
          <w:ilvl w:val="0"/>
          <w:numId w:val="9"/>
        </w:numPr>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生活污水收集和处理</w:t>
      </w:r>
      <w:r>
        <w:rPr>
          <w:rFonts w:hint="eastAsia" w:cs="Times New Roman"/>
          <w:color w:val="auto"/>
          <w:kern w:val="2"/>
          <w:sz w:val="24"/>
          <w:highlight w:val="none"/>
          <w:lang w:val="en-US" w:eastAsia="zh-CN" w:bidi="ar-SA"/>
        </w:rPr>
        <w:t>。目前，企业生活污水未集中收集和处理，各区域生活污水通过化粪池处理后排入排洪隧洞，再经废水处理站处理后达标排放。本次将企业生活污水集中收集后，排入新建的生活污水处理站，经处理后进入生产废水处理站进一步去除重金属。企业生活污水产生量为43.2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p>
    <w:p w14:paraId="3C9DE329">
      <w:pPr>
        <w:widowControl w:val="0"/>
        <w:numPr>
          <w:ilvl w:val="0"/>
          <w:numId w:val="9"/>
        </w:numPr>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增加隧洞内山体渗水处理</w:t>
      </w:r>
      <w:r>
        <w:rPr>
          <w:rFonts w:hint="eastAsia" w:cs="Times New Roman"/>
          <w:color w:val="auto"/>
          <w:kern w:val="2"/>
          <w:sz w:val="24"/>
          <w:highlight w:val="none"/>
          <w:lang w:val="en-US" w:eastAsia="zh-CN" w:bidi="ar-SA"/>
        </w:rPr>
        <w:t>规模。根据建设单位2021年9月监测及2024年6月、2024年11月监测，隧洞内山体渗水锑含量平均浓度枯水期1.51mg/L，平水期1.84mg/L，丰水期0.623mg/L。为改善下游渣滓溪水环境质量，企业在不扩建现有废水处理站的基础上，利用现有废水处理站富余处理能力，尽可能处理山体渗水，锑因子达到0.15mg/L限值排放。</w:t>
      </w:r>
    </w:p>
    <w:p w14:paraId="0B93A916">
      <w:pPr>
        <w:widowControl w:val="0"/>
        <w:numPr>
          <w:ilvl w:val="0"/>
          <w:numId w:val="9"/>
        </w:numPr>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在废水处理站下游</w:t>
      </w:r>
      <w:r>
        <w:rPr>
          <w:rFonts w:hint="default" w:ascii="Times New Roman" w:hAnsi="Times New Roman" w:eastAsia="宋体" w:cs="Times New Roman"/>
          <w:color w:val="auto"/>
          <w:kern w:val="2"/>
          <w:sz w:val="24"/>
          <w:highlight w:val="none"/>
          <w:lang w:val="en-US" w:eastAsia="zh-CN" w:bidi="ar-SA"/>
        </w:rPr>
        <w:t>新建渗滤液收集池</w:t>
      </w:r>
      <w:r>
        <w:rPr>
          <w:rFonts w:hint="eastAsia" w:cs="Times New Roman"/>
          <w:color w:val="auto"/>
          <w:kern w:val="2"/>
          <w:sz w:val="24"/>
          <w:highlight w:val="none"/>
          <w:lang w:val="en-US" w:eastAsia="zh-CN" w:bidi="ar-SA"/>
        </w:rPr>
        <w:t>。渗滤液收集池由河道内新建坝体及右侧山体组成，</w:t>
      </w:r>
      <w:r>
        <w:rPr>
          <w:rFonts w:hint="default" w:ascii="Times New Roman" w:hAnsi="Times New Roman" w:eastAsia="宋体" w:cs="Times New Roman"/>
          <w:color w:val="auto"/>
          <w:kern w:val="2"/>
          <w:sz w:val="24"/>
          <w:highlight w:val="none"/>
          <w:lang w:val="en-US" w:eastAsia="zh-CN" w:bidi="ar-SA"/>
        </w:rPr>
        <w:t>主要收集下游河道地下渗水及</w:t>
      </w:r>
      <w:r>
        <w:rPr>
          <w:rFonts w:hint="eastAsia" w:cs="Times New Roman"/>
          <w:color w:val="auto"/>
          <w:kern w:val="2"/>
          <w:sz w:val="24"/>
          <w:highlight w:val="none"/>
          <w:lang w:val="en-US" w:eastAsia="zh-CN" w:bidi="ar-SA"/>
        </w:rPr>
        <w:t>周边</w:t>
      </w:r>
      <w:r>
        <w:rPr>
          <w:rFonts w:hint="default" w:ascii="Times New Roman" w:hAnsi="Times New Roman" w:eastAsia="宋体" w:cs="Times New Roman"/>
          <w:color w:val="auto"/>
          <w:kern w:val="2"/>
          <w:sz w:val="24"/>
          <w:highlight w:val="none"/>
          <w:lang w:val="en-US" w:eastAsia="zh-CN" w:bidi="ar-SA"/>
        </w:rPr>
        <w:t>山体渗水，收集后的水通过潜污泵泵送至废水处理站处理后</w:t>
      </w:r>
      <w:r>
        <w:rPr>
          <w:rFonts w:hint="eastAsia" w:cs="Times New Roman"/>
          <w:color w:val="auto"/>
          <w:kern w:val="2"/>
          <w:sz w:val="24"/>
          <w:highlight w:val="none"/>
          <w:lang w:val="en-US" w:eastAsia="zh-CN" w:bidi="ar-SA"/>
        </w:rPr>
        <w:t>达到0.15mg/L限值排放。</w:t>
      </w:r>
    </w:p>
    <w:p w14:paraId="1F16B3EC">
      <w:pPr>
        <w:widowControl w:val="0"/>
        <w:bidi w:val="0"/>
        <w:spacing w:line="360" w:lineRule="auto"/>
        <w:ind w:firstLine="482" w:firstLineChars="200"/>
        <w:jc w:val="both"/>
        <w:rPr>
          <w:rFonts w:hint="default" w:ascii="Times New Roman" w:hAnsi="Times New Roman" w:eastAsia="宋体" w:cs="Times New Roman"/>
          <w:b/>
          <w:bCs/>
          <w:color w:val="auto"/>
          <w:kern w:val="2"/>
          <w:sz w:val="24"/>
          <w:highlight w:val="none"/>
          <w:lang w:val="en-US" w:eastAsia="zh-CN" w:bidi="ar-SA"/>
        </w:rPr>
      </w:pPr>
      <w:r>
        <w:rPr>
          <w:rFonts w:hint="eastAsia" w:cs="Times New Roman"/>
          <w:b/>
          <w:bCs/>
          <w:color w:val="auto"/>
          <w:kern w:val="2"/>
          <w:sz w:val="24"/>
          <w:highlight w:val="none"/>
          <w:lang w:val="en-US" w:eastAsia="zh-CN" w:bidi="ar-SA"/>
        </w:rPr>
        <w:t>本次调整</w:t>
      </w:r>
      <w:r>
        <w:rPr>
          <w:rFonts w:hint="eastAsia" w:ascii="Times New Roman" w:hAnsi="Times New Roman" w:eastAsia="宋体" w:cs="Times New Roman"/>
          <w:b/>
          <w:bCs/>
          <w:color w:val="auto"/>
          <w:kern w:val="2"/>
          <w:sz w:val="24"/>
          <w:highlight w:val="none"/>
          <w:lang w:val="en-US" w:eastAsia="zh-CN" w:bidi="ar-SA"/>
        </w:rPr>
        <w:t>不</w:t>
      </w:r>
      <w:r>
        <w:rPr>
          <w:rFonts w:hint="eastAsia" w:cs="Times New Roman"/>
          <w:b/>
          <w:bCs/>
          <w:color w:val="auto"/>
          <w:kern w:val="2"/>
          <w:sz w:val="24"/>
          <w:highlight w:val="none"/>
          <w:lang w:val="en-US" w:eastAsia="zh-CN" w:bidi="ar-SA"/>
        </w:rPr>
        <w:t>涉及</w:t>
      </w:r>
      <w:r>
        <w:rPr>
          <w:rFonts w:hint="eastAsia" w:ascii="Times New Roman" w:hAnsi="Times New Roman" w:eastAsia="宋体" w:cs="Times New Roman"/>
          <w:b/>
          <w:bCs/>
          <w:color w:val="auto"/>
          <w:kern w:val="2"/>
          <w:sz w:val="24"/>
          <w:highlight w:val="none"/>
          <w:lang w:val="en-US" w:eastAsia="zh-CN" w:bidi="ar-SA"/>
        </w:rPr>
        <w:t>采选规模和产品方案的变化。</w:t>
      </w:r>
    </w:p>
    <w:p w14:paraId="5C1B4675">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调整后</w:t>
      </w:r>
      <w:r>
        <w:rPr>
          <w:rFonts w:hint="default" w:ascii="Times New Roman" w:hAnsi="Times New Roman" w:eastAsia="宋体" w:cs="Times New Roman"/>
          <w:color w:val="auto"/>
          <w:kern w:val="2"/>
          <w:sz w:val="24"/>
          <w:highlight w:val="none"/>
          <w:lang w:val="en-US" w:eastAsia="zh-CN" w:bidi="ar-SA"/>
        </w:rPr>
        <w:t>本项目主要建设内容见下表。</w:t>
      </w:r>
    </w:p>
    <w:p w14:paraId="1E52F741">
      <w:pPr>
        <w:pStyle w:val="28"/>
        <w:bidi w:val="0"/>
        <w:rPr>
          <w:rFonts w:hint="default"/>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20</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调整后项目</w:t>
      </w:r>
      <w:r>
        <w:rPr>
          <w:rFonts w:hint="default"/>
          <w:color w:val="auto"/>
          <w:highlight w:val="none"/>
          <w:lang w:val="en-US" w:eastAsia="zh-CN"/>
        </w:rPr>
        <w:t>建设内容一览表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42"/>
        <w:gridCol w:w="837"/>
        <w:gridCol w:w="1572"/>
        <w:gridCol w:w="4793"/>
        <w:gridCol w:w="1208"/>
      </w:tblGrid>
      <w:tr w14:paraId="46B064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355" w:type="pct"/>
            <w:vMerge w:val="restart"/>
            <w:vAlign w:val="center"/>
          </w:tcPr>
          <w:p w14:paraId="23006FD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序号</w:t>
            </w:r>
          </w:p>
        </w:tc>
        <w:tc>
          <w:tcPr>
            <w:tcW w:w="462" w:type="pct"/>
            <w:vMerge w:val="restart"/>
            <w:vAlign w:val="center"/>
          </w:tcPr>
          <w:p w14:paraId="74575DE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项目组成</w:t>
            </w:r>
          </w:p>
        </w:tc>
        <w:tc>
          <w:tcPr>
            <w:tcW w:w="3515" w:type="pct"/>
            <w:gridSpan w:val="2"/>
            <w:vMerge w:val="restart"/>
            <w:vAlign w:val="center"/>
          </w:tcPr>
          <w:p w14:paraId="5851D73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主要工程内容及功能</w:t>
            </w:r>
          </w:p>
        </w:tc>
        <w:tc>
          <w:tcPr>
            <w:tcW w:w="667" w:type="pct"/>
            <w:vMerge w:val="restart"/>
            <w:vAlign w:val="center"/>
          </w:tcPr>
          <w:p w14:paraId="3AC8ADF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备注</w:t>
            </w:r>
          </w:p>
        </w:tc>
      </w:tr>
      <w:tr w14:paraId="48AE0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355" w:type="pct"/>
            <w:vMerge w:val="continue"/>
            <w:vAlign w:val="center"/>
          </w:tcPr>
          <w:p w14:paraId="4217DB1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00A66E5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3515" w:type="pct"/>
            <w:gridSpan w:val="2"/>
            <w:vMerge w:val="continue"/>
            <w:vAlign w:val="center"/>
          </w:tcPr>
          <w:p w14:paraId="1F7729E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default" w:ascii="Times New Roman" w:hAnsi="Times New Roman" w:eastAsia="宋体" w:cs="Times New Roman"/>
                <w:color w:val="auto"/>
                <w:kern w:val="2"/>
                <w:sz w:val="22"/>
                <w:szCs w:val="22"/>
                <w:highlight w:val="none"/>
                <w:lang w:val="en-US" w:eastAsia="zh-CN" w:bidi="ar-SA"/>
              </w:rPr>
            </w:pPr>
          </w:p>
        </w:tc>
        <w:tc>
          <w:tcPr>
            <w:tcW w:w="667" w:type="pct"/>
            <w:vMerge w:val="continue"/>
            <w:vAlign w:val="center"/>
          </w:tcPr>
          <w:p w14:paraId="4E421AC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r>
      <w:tr w14:paraId="000D2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restart"/>
            <w:vAlign w:val="center"/>
          </w:tcPr>
          <w:p w14:paraId="459617F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462" w:type="pct"/>
            <w:vMerge w:val="restart"/>
            <w:vAlign w:val="center"/>
          </w:tcPr>
          <w:p w14:paraId="2A4469F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充填站</w:t>
            </w:r>
          </w:p>
        </w:tc>
        <w:tc>
          <w:tcPr>
            <w:tcW w:w="868" w:type="pct"/>
            <w:vAlign w:val="center"/>
          </w:tcPr>
          <w:p w14:paraId="33CE625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生产规模</w:t>
            </w:r>
          </w:p>
        </w:tc>
        <w:tc>
          <w:tcPr>
            <w:tcW w:w="2647" w:type="pct"/>
            <w:vAlign w:val="center"/>
          </w:tcPr>
          <w:p w14:paraId="676D3B5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eastAsia" w:ascii="Times New Roman" w:hAnsi="Times New Roman" w:eastAsia="宋体" w:cs="Times New Roman"/>
                <w:b/>
                <w:bCs/>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现有充填站充填规模为3.6万</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eastAsia" w:ascii="Times New Roman" w:hAnsi="Times New Roman" w:eastAsia="宋体" w:cs="Times New Roman"/>
                <w:color w:val="auto"/>
                <w:kern w:val="2"/>
                <w:sz w:val="22"/>
                <w:szCs w:val="22"/>
                <w:highlight w:val="none"/>
                <w:lang w:val="en-US" w:eastAsia="zh-CN" w:bidi="ar-SA"/>
              </w:rPr>
              <w:t>/a，拟扩建至10万</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eastAsia" w:ascii="Times New Roman" w:hAnsi="Times New Roman" w:eastAsia="宋体" w:cs="Times New Roman"/>
                <w:color w:val="auto"/>
                <w:kern w:val="2"/>
                <w:sz w:val="22"/>
                <w:szCs w:val="22"/>
                <w:highlight w:val="none"/>
                <w:lang w:val="en-US" w:eastAsia="zh-CN" w:bidi="ar-SA"/>
              </w:rPr>
              <w:t>/a。</w:t>
            </w:r>
          </w:p>
        </w:tc>
        <w:tc>
          <w:tcPr>
            <w:tcW w:w="667" w:type="pct"/>
            <w:vAlign w:val="center"/>
          </w:tcPr>
          <w:p w14:paraId="201BB52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扩建</w:t>
            </w:r>
          </w:p>
        </w:tc>
      </w:tr>
      <w:tr w14:paraId="70FEA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21BACA3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69B0C4E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868" w:type="pct"/>
            <w:vMerge w:val="restart"/>
            <w:vAlign w:val="center"/>
          </w:tcPr>
          <w:p w14:paraId="7DC0B85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主要设备</w:t>
            </w:r>
          </w:p>
        </w:tc>
        <w:tc>
          <w:tcPr>
            <w:tcW w:w="2647" w:type="pct"/>
            <w:vAlign w:val="center"/>
          </w:tcPr>
          <w:p w14:paraId="5114687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立式砂仓Φ3m（改造为溢流水缓冲仓）</w:t>
            </w:r>
          </w:p>
        </w:tc>
        <w:tc>
          <w:tcPr>
            <w:tcW w:w="667" w:type="pct"/>
            <w:vAlign w:val="center"/>
          </w:tcPr>
          <w:p w14:paraId="3321503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改造</w:t>
            </w:r>
          </w:p>
        </w:tc>
      </w:tr>
      <w:tr w14:paraId="564CC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42BDA0E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6061D0F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868" w:type="pct"/>
            <w:vMerge w:val="continue"/>
            <w:vAlign w:val="center"/>
          </w:tcPr>
          <w:p w14:paraId="5B364E6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2647" w:type="pct"/>
            <w:vAlign w:val="center"/>
          </w:tcPr>
          <w:p w14:paraId="22E4071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立式砂仓Φ5m（特殊工况充填应急）</w:t>
            </w:r>
          </w:p>
        </w:tc>
        <w:tc>
          <w:tcPr>
            <w:tcW w:w="667" w:type="pct"/>
            <w:vAlign w:val="center"/>
          </w:tcPr>
          <w:p w14:paraId="3889359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保留</w:t>
            </w:r>
          </w:p>
        </w:tc>
      </w:tr>
      <w:tr w14:paraId="659AB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4022CF0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6372A54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868" w:type="pct"/>
            <w:vMerge w:val="continue"/>
            <w:vAlign w:val="center"/>
          </w:tcPr>
          <w:p w14:paraId="1EBFDE1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2647" w:type="pct"/>
            <w:vAlign w:val="center"/>
          </w:tcPr>
          <w:p w14:paraId="5EE8EC0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充填管路</w:t>
            </w:r>
          </w:p>
        </w:tc>
        <w:tc>
          <w:tcPr>
            <w:tcW w:w="667" w:type="pct"/>
            <w:vAlign w:val="center"/>
          </w:tcPr>
          <w:p w14:paraId="463316E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保留</w:t>
            </w:r>
          </w:p>
        </w:tc>
      </w:tr>
      <w:tr w14:paraId="1FF43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4CF3C8C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4E7F63C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868" w:type="pct"/>
            <w:vMerge w:val="continue"/>
            <w:vAlign w:val="center"/>
          </w:tcPr>
          <w:p w14:paraId="1A09B2A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2647" w:type="pct"/>
            <w:vAlign w:val="center"/>
          </w:tcPr>
          <w:p w14:paraId="42429FE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水泥仓</w:t>
            </w:r>
          </w:p>
        </w:tc>
        <w:tc>
          <w:tcPr>
            <w:tcW w:w="667" w:type="pct"/>
            <w:vAlign w:val="center"/>
          </w:tcPr>
          <w:p w14:paraId="723734D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39BF1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6AA96CE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54CBE10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868" w:type="pct"/>
            <w:vMerge w:val="continue"/>
            <w:vAlign w:val="center"/>
          </w:tcPr>
          <w:p w14:paraId="41B2981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2647" w:type="pct"/>
            <w:vAlign w:val="center"/>
          </w:tcPr>
          <w:p w14:paraId="65190B7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星型叶轮给料机</w:t>
            </w:r>
          </w:p>
        </w:tc>
        <w:tc>
          <w:tcPr>
            <w:tcW w:w="667" w:type="pct"/>
            <w:vAlign w:val="center"/>
          </w:tcPr>
          <w:p w14:paraId="78D4052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1C6CE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50A8592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351F49D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868" w:type="pct"/>
            <w:vMerge w:val="continue"/>
            <w:vAlign w:val="center"/>
          </w:tcPr>
          <w:p w14:paraId="2531C12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2647" w:type="pct"/>
            <w:vAlign w:val="center"/>
          </w:tcPr>
          <w:p w14:paraId="68BB7AF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螺旋选输送及电子秤</w:t>
            </w:r>
          </w:p>
        </w:tc>
        <w:tc>
          <w:tcPr>
            <w:tcW w:w="667" w:type="pct"/>
            <w:vAlign w:val="center"/>
          </w:tcPr>
          <w:p w14:paraId="5459F8A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0868A2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3B444DA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5B6CBAB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868" w:type="pct"/>
            <w:vAlign w:val="center"/>
          </w:tcPr>
          <w:p w14:paraId="387ED54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生产工艺</w:t>
            </w:r>
          </w:p>
        </w:tc>
        <w:tc>
          <w:tcPr>
            <w:tcW w:w="2647" w:type="pct"/>
            <w:vAlign w:val="center"/>
          </w:tcPr>
          <w:p w14:paraId="1DE7DC6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低浓度全尾砂输送，膏体仓储浓密机浓缩脱水，一段高速柔性搅拌机搅拌，结构流充填料浆自流输送</w:t>
            </w:r>
          </w:p>
        </w:tc>
        <w:tc>
          <w:tcPr>
            <w:tcW w:w="667" w:type="pct"/>
            <w:vAlign w:val="center"/>
          </w:tcPr>
          <w:p w14:paraId="43E2829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r>
      <w:tr w14:paraId="05083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restart"/>
            <w:vAlign w:val="center"/>
          </w:tcPr>
          <w:p w14:paraId="709D5B0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w:t>
            </w:r>
          </w:p>
        </w:tc>
        <w:tc>
          <w:tcPr>
            <w:tcW w:w="462" w:type="pct"/>
            <w:vMerge w:val="restart"/>
            <w:vAlign w:val="center"/>
          </w:tcPr>
          <w:p w14:paraId="186C7F3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选矿工艺调整</w:t>
            </w:r>
          </w:p>
        </w:tc>
        <w:tc>
          <w:tcPr>
            <w:tcW w:w="868" w:type="pct"/>
            <w:vAlign w:val="center"/>
          </w:tcPr>
          <w:p w14:paraId="04BA46F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生产规模</w:t>
            </w:r>
          </w:p>
        </w:tc>
        <w:tc>
          <w:tcPr>
            <w:tcW w:w="2647" w:type="pct"/>
            <w:vAlign w:val="center"/>
          </w:tcPr>
          <w:p w14:paraId="3B96CFE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处理能力50-100t/h，日处理能力500</w:t>
            </w:r>
            <w:r>
              <w:rPr>
                <w:rFonts w:hint="eastAsia" w:cs="Times New Roman"/>
                <w:color w:val="auto"/>
                <w:kern w:val="2"/>
                <w:sz w:val="22"/>
                <w:szCs w:val="22"/>
                <w:highlight w:val="none"/>
                <w:lang w:val="en-US" w:eastAsia="zh-CN" w:bidi="ar-SA"/>
              </w:rPr>
              <w:t>t/d</w:t>
            </w:r>
          </w:p>
        </w:tc>
        <w:tc>
          <w:tcPr>
            <w:tcW w:w="667" w:type="pct"/>
            <w:vAlign w:val="center"/>
          </w:tcPr>
          <w:p w14:paraId="357FAEA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依托</w:t>
            </w:r>
          </w:p>
        </w:tc>
      </w:tr>
      <w:tr w14:paraId="121DC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31A0CCA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2E23840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868" w:type="pct"/>
            <w:vAlign w:val="center"/>
          </w:tcPr>
          <w:p w14:paraId="7BB469F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主要设备</w:t>
            </w:r>
          </w:p>
        </w:tc>
        <w:tc>
          <w:tcPr>
            <w:tcW w:w="2647" w:type="pct"/>
            <w:vAlign w:val="center"/>
          </w:tcPr>
          <w:p w14:paraId="53D27D8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在选厂破碎车间增加一台高压辊磨机</w:t>
            </w:r>
          </w:p>
        </w:tc>
        <w:tc>
          <w:tcPr>
            <w:tcW w:w="667" w:type="pct"/>
            <w:vAlign w:val="center"/>
          </w:tcPr>
          <w:p w14:paraId="017E50C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3C0DC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0ED5252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5F193C1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868" w:type="pct"/>
            <w:vAlign w:val="center"/>
          </w:tcPr>
          <w:p w14:paraId="1E06696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生产工艺</w:t>
            </w:r>
          </w:p>
        </w:tc>
        <w:tc>
          <w:tcPr>
            <w:tcW w:w="2647" w:type="pct"/>
            <w:vAlign w:val="center"/>
          </w:tcPr>
          <w:p w14:paraId="7B0B29D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对筛分后的原矿进一步进行破碎，将矿石破到6mm及以下。破碎后的原矿进入粉矿仓，后续进行磨矿。</w:t>
            </w:r>
          </w:p>
        </w:tc>
        <w:tc>
          <w:tcPr>
            <w:tcW w:w="667" w:type="pct"/>
            <w:vAlign w:val="center"/>
          </w:tcPr>
          <w:p w14:paraId="25F4ABA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1705A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restart"/>
            <w:vAlign w:val="center"/>
          </w:tcPr>
          <w:p w14:paraId="4A58D7E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w:t>
            </w:r>
          </w:p>
        </w:tc>
        <w:tc>
          <w:tcPr>
            <w:tcW w:w="462" w:type="pct"/>
            <w:vMerge w:val="restart"/>
            <w:vAlign w:val="center"/>
          </w:tcPr>
          <w:p w14:paraId="2209E0C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水系统调整</w:t>
            </w:r>
          </w:p>
        </w:tc>
        <w:tc>
          <w:tcPr>
            <w:tcW w:w="868" w:type="pct"/>
            <w:vAlign w:val="center"/>
          </w:tcPr>
          <w:p w14:paraId="050B66D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渣滓溪引水工程</w:t>
            </w:r>
          </w:p>
        </w:tc>
        <w:tc>
          <w:tcPr>
            <w:tcW w:w="2647" w:type="pct"/>
            <w:vAlign w:val="center"/>
          </w:tcPr>
          <w:p w14:paraId="2ED5DA3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left"/>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根据地表水环境质量现状监测，渣滓溪上游锑浓度为0.0510~0.0613mg/L，低于矿山废水排放浓度限值0.15mg/L，也低于排洪隧洞山体渗水锑平均浓度1.84mg/L。根据“清污分流”原则，建设单位拟将渣滓溪厂界处的上游来水用</w:t>
            </w:r>
            <w:r>
              <w:rPr>
                <w:rFonts w:hint="eastAsia" w:cs="Times New Roman"/>
                <w:color w:val="auto"/>
                <w:kern w:val="2"/>
                <w:sz w:val="22"/>
                <w:szCs w:val="22"/>
                <w:highlight w:val="none"/>
                <w:lang w:val="en-US" w:eastAsia="zh-CN" w:bidi="ar-SA"/>
              </w:rPr>
              <w:t>3</w:t>
            </w:r>
            <w:r>
              <w:rPr>
                <w:rFonts w:hint="eastAsia" w:ascii="Times New Roman" w:hAnsi="Times New Roman" w:eastAsia="宋体" w:cs="Times New Roman"/>
                <w:color w:val="auto"/>
                <w:kern w:val="2"/>
                <w:sz w:val="22"/>
                <w:szCs w:val="22"/>
                <w:highlight w:val="none"/>
                <w:lang w:val="en-US" w:eastAsia="zh-CN" w:bidi="ar-SA"/>
              </w:rPr>
              <w:t>根DN200的管道引流至排洪隧洞下游，避免与隧洞水混合，管线全长</w:t>
            </w:r>
            <w:r>
              <w:rPr>
                <w:rFonts w:hint="eastAsia" w:cs="Times New Roman"/>
                <w:color w:val="auto"/>
                <w:kern w:val="2"/>
                <w:sz w:val="22"/>
                <w:szCs w:val="22"/>
                <w:highlight w:val="none"/>
                <w:lang w:val="en-US" w:eastAsia="zh-CN" w:bidi="ar-SA"/>
              </w:rPr>
              <w:t>3</w:t>
            </w:r>
            <w:r>
              <w:rPr>
                <w:rFonts w:hint="eastAsia" w:ascii="Times New Roman" w:hAnsi="Times New Roman" w:eastAsia="宋体" w:cs="Times New Roman"/>
                <w:color w:val="auto"/>
                <w:kern w:val="2"/>
                <w:sz w:val="22"/>
                <w:szCs w:val="22"/>
                <w:highlight w:val="none"/>
                <w:lang w:val="en-US" w:eastAsia="zh-CN" w:bidi="ar-SA"/>
              </w:rPr>
              <w:t>47</w:t>
            </w:r>
            <w:r>
              <w:rPr>
                <w:rFonts w:hint="eastAsia" w:cs="Times New Roman"/>
                <w:color w:val="auto"/>
                <w:kern w:val="2"/>
                <w:sz w:val="22"/>
                <w:szCs w:val="22"/>
                <w:highlight w:val="none"/>
                <w:lang w:val="en-US" w:eastAsia="zh-CN" w:bidi="ar-SA"/>
              </w:rPr>
              <w:t>5</w:t>
            </w:r>
            <w:r>
              <w:rPr>
                <w:rFonts w:hint="eastAsia" w:ascii="Times New Roman" w:hAnsi="Times New Roman" w:eastAsia="宋体" w:cs="Times New Roman"/>
                <w:color w:val="auto"/>
                <w:kern w:val="2"/>
                <w:sz w:val="22"/>
                <w:szCs w:val="22"/>
                <w:highlight w:val="none"/>
                <w:lang w:val="en-US" w:eastAsia="zh-CN" w:bidi="ar-SA"/>
              </w:rPr>
              <w:t>m。</w:t>
            </w:r>
          </w:p>
        </w:tc>
        <w:tc>
          <w:tcPr>
            <w:tcW w:w="667" w:type="pct"/>
            <w:vAlign w:val="center"/>
          </w:tcPr>
          <w:p w14:paraId="6E97F78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532A1A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10F4F2A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6485051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868" w:type="pct"/>
            <w:vAlign w:val="center"/>
          </w:tcPr>
          <w:p w14:paraId="1CE4BAF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生活污水收集和处理</w:t>
            </w:r>
          </w:p>
        </w:tc>
        <w:tc>
          <w:tcPr>
            <w:tcW w:w="2647" w:type="pct"/>
            <w:vAlign w:val="center"/>
          </w:tcPr>
          <w:p w14:paraId="1E3C5CA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left"/>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生活污水收集和处理。目前，企业生活污水未集中收集和处理，各区域生活污水通过化粪池处理后排入排洪隧洞，再经废水处理站处理后达标排放。本次将企业生活污水集中收集后，</w:t>
            </w:r>
            <w:r>
              <w:rPr>
                <w:rFonts w:hint="eastAsia" w:cs="Times New Roman"/>
                <w:color w:val="auto"/>
                <w:kern w:val="2"/>
                <w:sz w:val="22"/>
                <w:szCs w:val="22"/>
                <w:highlight w:val="none"/>
                <w:lang w:val="en-US" w:eastAsia="zh-CN" w:bidi="ar-SA"/>
              </w:rPr>
              <w:t>排入新建的生活污水处理站，经处理后进入生产废水处理站进一步去除重金属。</w:t>
            </w:r>
            <w:r>
              <w:rPr>
                <w:rFonts w:hint="eastAsia" w:ascii="Times New Roman" w:hAnsi="Times New Roman" w:eastAsia="宋体" w:cs="Times New Roman"/>
                <w:color w:val="auto"/>
                <w:kern w:val="2"/>
                <w:sz w:val="22"/>
                <w:szCs w:val="22"/>
                <w:highlight w:val="none"/>
                <w:lang w:val="en-US" w:eastAsia="zh-CN" w:bidi="ar-SA"/>
              </w:rPr>
              <w:t>企业生活污水产生量为43.2</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eastAsia" w:cs="Times New Roman"/>
                <w:color w:val="auto"/>
                <w:kern w:val="2"/>
                <w:sz w:val="22"/>
                <w:szCs w:val="22"/>
                <w:highlight w:val="none"/>
                <w:lang w:val="en-US" w:eastAsia="zh-CN" w:bidi="ar-SA"/>
              </w:rPr>
              <w:t>/d</w:t>
            </w:r>
            <w:r>
              <w:rPr>
                <w:rFonts w:hint="eastAsia" w:ascii="Times New Roman" w:hAnsi="Times New Roman" w:eastAsia="宋体" w:cs="Times New Roman"/>
                <w:color w:val="auto"/>
                <w:kern w:val="2"/>
                <w:sz w:val="22"/>
                <w:szCs w:val="22"/>
                <w:highlight w:val="none"/>
                <w:lang w:val="en-US" w:eastAsia="zh-CN" w:bidi="ar-SA"/>
              </w:rPr>
              <w:t>。</w:t>
            </w:r>
          </w:p>
        </w:tc>
        <w:tc>
          <w:tcPr>
            <w:tcW w:w="667" w:type="pct"/>
            <w:vAlign w:val="center"/>
          </w:tcPr>
          <w:p w14:paraId="3D87FF9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增加收集和输送系统。</w:t>
            </w:r>
          </w:p>
        </w:tc>
      </w:tr>
      <w:tr w14:paraId="0258BC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2F0B383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10EA436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868" w:type="pct"/>
            <w:vAlign w:val="center"/>
          </w:tcPr>
          <w:p w14:paraId="30E3FCC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增加隧洞内山体渗水处理能力</w:t>
            </w:r>
          </w:p>
        </w:tc>
        <w:tc>
          <w:tcPr>
            <w:tcW w:w="2647" w:type="pct"/>
            <w:vAlign w:val="center"/>
          </w:tcPr>
          <w:p w14:paraId="545D7A6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left"/>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增加隧洞内山体渗水处理规模。根据建设单位2021年9月监测，隧洞内山体渗水锑含量平均浓度为1.84mg/L。为改善下游渣滓溪水环境质量，企业在不扩建现有</w:t>
            </w:r>
            <w:r>
              <w:rPr>
                <w:rFonts w:hint="eastAsia" w:cs="Times New Roman"/>
                <w:color w:val="auto"/>
                <w:kern w:val="2"/>
                <w:sz w:val="22"/>
                <w:szCs w:val="22"/>
                <w:highlight w:val="none"/>
                <w:lang w:val="en-US" w:eastAsia="zh-CN" w:bidi="ar-SA"/>
              </w:rPr>
              <w:t>废水处理站</w:t>
            </w:r>
            <w:r>
              <w:rPr>
                <w:rFonts w:hint="eastAsia" w:ascii="Times New Roman" w:hAnsi="Times New Roman" w:eastAsia="宋体" w:cs="Times New Roman"/>
                <w:color w:val="auto"/>
                <w:kern w:val="2"/>
                <w:sz w:val="22"/>
                <w:szCs w:val="22"/>
                <w:highlight w:val="none"/>
                <w:lang w:val="en-US" w:eastAsia="zh-CN" w:bidi="ar-SA"/>
              </w:rPr>
              <w:t>的基础上，利用现有</w:t>
            </w:r>
            <w:r>
              <w:rPr>
                <w:rFonts w:hint="eastAsia" w:cs="Times New Roman"/>
                <w:color w:val="auto"/>
                <w:kern w:val="2"/>
                <w:sz w:val="22"/>
                <w:szCs w:val="22"/>
                <w:highlight w:val="none"/>
                <w:lang w:val="en-US" w:eastAsia="zh-CN" w:bidi="ar-SA"/>
              </w:rPr>
              <w:t>废水处理站</w:t>
            </w:r>
            <w:r>
              <w:rPr>
                <w:rFonts w:hint="eastAsia" w:ascii="Times New Roman" w:hAnsi="Times New Roman" w:eastAsia="宋体" w:cs="Times New Roman"/>
                <w:color w:val="auto"/>
                <w:kern w:val="2"/>
                <w:sz w:val="22"/>
                <w:szCs w:val="22"/>
                <w:highlight w:val="none"/>
                <w:lang w:val="en-US" w:eastAsia="zh-CN" w:bidi="ar-SA"/>
              </w:rPr>
              <w:t>富余处理能力，尽可能处理山体渗水，锑因子达到0.15mg/L限值排放。</w:t>
            </w:r>
          </w:p>
        </w:tc>
        <w:tc>
          <w:tcPr>
            <w:tcW w:w="667" w:type="pct"/>
            <w:vAlign w:val="center"/>
          </w:tcPr>
          <w:p w14:paraId="74EB4A2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利用现有设备，调整处理能力</w:t>
            </w:r>
          </w:p>
        </w:tc>
      </w:tr>
      <w:tr w14:paraId="5BE00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355" w:type="pct"/>
            <w:vMerge w:val="continue"/>
            <w:vAlign w:val="center"/>
          </w:tcPr>
          <w:p w14:paraId="48A1E52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462" w:type="pct"/>
            <w:vMerge w:val="continue"/>
            <w:vAlign w:val="center"/>
          </w:tcPr>
          <w:p w14:paraId="33FB008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868" w:type="pct"/>
            <w:vAlign w:val="center"/>
          </w:tcPr>
          <w:p w14:paraId="7CF9888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废水处理站下游新建渗滤液收集池</w:t>
            </w:r>
          </w:p>
        </w:tc>
        <w:tc>
          <w:tcPr>
            <w:tcW w:w="2647" w:type="pct"/>
            <w:vAlign w:val="center"/>
          </w:tcPr>
          <w:p w14:paraId="046FAEB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left"/>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渗滤液收集池由河道内新建坝体及右侧山体组成，主要收集下游河道地下渗水及周边山体渗水，收集后的水通过潜污泵泵送至废水处理站处理后达到0.15mg/L限值排放</w:t>
            </w:r>
          </w:p>
        </w:tc>
        <w:tc>
          <w:tcPr>
            <w:tcW w:w="667" w:type="pct"/>
            <w:vAlign w:val="center"/>
          </w:tcPr>
          <w:p w14:paraId="3500A29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利用现有设备，调整处理能力</w:t>
            </w:r>
          </w:p>
        </w:tc>
      </w:tr>
    </w:tbl>
    <w:p w14:paraId="1AB9A759">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本次</w:t>
      </w:r>
      <w:r>
        <w:rPr>
          <w:rFonts w:hint="eastAsia" w:cs="Times New Roman"/>
          <w:color w:val="auto"/>
          <w:kern w:val="2"/>
          <w:sz w:val="24"/>
          <w:highlight w:val="none"/>
          <w:lang w:val="en-US" w:eastAsia="zh-CN" w:bidi="ar-SA"/>
        </w:rPr>
        <w:t>调整</w:t>
      </w:r>
      <w:r>
        <w:rPr>
          <w:rFonts w:hint="eastAsia" w:ascii="Times New Roman" w:hAnsi="Times New Roman" w:eastAsia="宋体" w:cs="Times New Roman"/>
          <w:color w:val="auto"/>
          <w:kern w:val="2"/>
          <w:sz w:val="24"/>
          <w:highlight w:val="none"/>
          <w:lang w:val="en-US" w:eastAsia="zh-CN" w:bidi="ar-SA"/>
        </w:rPr>
        <w:t>完成后，全厂采选系统主要建设情况见下表。本次</w:t>
      </w:r>
      <w:r>
        <w:rPr>
          <w:rFonts w:hint="eastAsia" w:cs="Times New Roman"/>
          <w:color w:val="auto"/>
          <w:kern w:val="2"/>
          <w:sz w:val="24"/>
          <w:highlight w:val="none"/>
          <w:lang w:val="en-US" w:eastAsia="zh-CN" w:bidi="ar-SA"/>
        </w:rPr>
        <w:t>调整不涉及冶炼工程，本次调整完成后，冶炼工程情况见上文</w:t>
      </w:r>
      <w:r>
        <w:rPr>
          <w:rFonts w:hint="eastAsia" w:cs="Times New Roman"/>
          <w:color w:val="auto"/>
          <w:kern w:val="2"/>
          <w:sz w:val="24"/>
          <w:highlight w:val="none"/>
          <w:lang w:val="en-US" w:eastAsia="zh-CN" w:bidi="ar-SA"/>
        </w:rPr>
        <w:fldChar w:fldCharType="begin"/>
      </w:r>
      <w:r>
        <w:rPr>
          <w:rFonts w:hint="eastAsia" w:cs="Times New Roman"/>
          <w:color w:val="auto"/>
          <w:kern w:val="2"/>
          <w:sz w:val="24"/>
          <w:highlight w:val="none"/>
          <w:lang w:val="en-US" w:eastAsia="zh-CN" w:bidi="ar-SA"/>
        </w:rPr>
        <w:instrText xml:space="preserve"> REF _Ref19688 \n \h </w:instrText>
      </w:r>
      <w:r>
        <w:rPr>
          <w:rFonts w:hint="eastAsia" w:cs="Times New Roman"/>
          <w:color w:val="auto"/>
          <w:kern w:val="2"/>
          <w:sz w:val="24"/>
          <w:highlight w:val="none"/>
          <w:lang w:val="en-US" w:eastAsia="zh-CN" w:bidi="ar-SA"/>
        </w:rPr>
        <w:fldChar w:fldCharType="separate"/>
      </w:r>
      <w:r>
        <w:rPr>
          <w:rFonts w:hint="eastAsia" w:cs="Times New Roman"/>
          <w:color w:val="auto"/>
          <w:kern w:val="2"/>
          <w:sz w:val="24"/>
          <w:highlight w:val="none"/>
          <w:lang w:val="en-US" w:eastAsia="zh-CN" w:bidi="ar-SA"/>
        </w:rPr>
        <w:t>2.1.2</w:t>
      </w:r>
      <w:r>
        <w:rPr>
          <w:rFonts w:hint="eastAsia" w:cs="Times New Roman"/>
          <w:color w:val="auto"/>
          <w:kern w:val="2"/>
          <w:sz w:val="24"/>
          <w:highlight w:val="none"/>
          <w:lang w:val="en-US" w:eastAsia="zh-CN" w:bidi="ar-SA"/>
        </w:rPr>
        <w:fldChar w:fldCharType="end"/>
      </w:r>
      <w:r>
        <w:rPr>
          <w:rFonts w:hint="eastAsia" w:cs="Times New Roman"/>
          <w:color w:val="auto"/>
          <w:kern w:val="2"/>
          <w:sz w:val="24"/>
          <w:highlight w:val="none"/>
          <w:lang w:val="en-US" w:eastAsia="zh-CN" w:bidi="ar-SA"/>
        </w:rPr>
        <w:t>章节。</w:t>
      </w:r>
    </w:p>
    <w:p w14:paraId="1BE8B6B3">
      <w:pPr>
        <w:widowControl w:val="0"/>
        <w:tabs>
          <w:tab w:val="left" w:pos="1021"/>
        </w:tabs>
        <w:bidi w:val="0"/>
        <w:spacing w:line="300" w:lineRule="auto"/>
        <w:jc w:val="center"/>
        <w:outlineLvl w:val="4"/>
        <w:rPr>
          <w:rFonts w:hint="default" w:ascii="Times New Roman" w:hAnsi="Times New Roman" w:eastAsia="黑体" w:cs="Times New Roman"/>
          <w:color w:val="auto"/>
          <w:kern w:val="2"/>
          <w:sz w:val="24"/>
          <w:szCs w:val="20"/>
          <w:highlight w:val="none"/>
          <w:lang w:val="en-US" w:eastAsia="zh-CN" w:bidi="ar-SA"/>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w:t>
      </w:r>
      <w:r>
        <w:rPr>
          <w:rFonts w:hint="eastAsia" w:ascii="Times New Roman" w:hAnsi="Times New Roman" w:eastAsia="黑体" w:cs="Times New Roman"/>
          <w:color w:val="auto"/>
          <w:kern w:val="2"/>
          <w:sz w:val="24"/>
          <w:szCs w:val="20"/>
          <w:highlight w:val="none"/>
          <w:lang w:val="en-US" w:eastAsia="zh-CN" w:bidi="ar-SA"/>
        </w:rPr>
        <w:t>本次</w:t>
      </w:r>
      <w:r>
        <w:rPr>
          <w:rFonts w:hint="eastAsia" w:eastAsia="黑体" w:cs="Times New Roman"/>
          <w:color w:val="auto"/>
          <w:kern w:val="2"/>
          <w:sz w:val="24"/>
          <w:szCs w:val="20"/>
          <w:highlight w:val="none"/>
          <w:lang w:val="en-US" w:eastAsia="zh-CN" w:bidi="ar-SA"/>
        </w:rPr>
        <w:t>调整</w:t>
      </w:r>
      <w:r>
        <w:rPr>
          <w:rFonts w:hint="eastAsia" w:ascii="Times New Roman" w:hAnsi="Times New Roman" w:eastAsia="黑体" w:cs="Times New Roman"/>
          <w:color w:val="auto"/>
          <w:kern w:val="2"/>
          <w:sz w:val="24"/>
          <w:szCs w:val="20"/>
          <w:highlight w:val="none"/>
          <w:lang w:val="en-US" w:eastAsia="zh-CN" w:bidi="ar-SA"/>
        </w:rPr>
        <w:t>完成后</w:t>
      </w:r>
      <w:r>
        <w:rPr>
          <w:rFonts w:hint="default" w:ascii="Times New Roman" w:hAnsi="Times New Roman" w:eastAsia="黑体" w:cs="Times New Roman"/>
          <w:color w:val="auto"/>
          <w:kern w:val="2"/>
          <w:sz w:val="24"/>
          <w:szCs w:val="20"/>
          <w:highlight w:val="none"/>
          <w:lang w:val="en-US" w:eastAsia="zh-CN" w:bidi="ar-SA"/>
        </w:rPr>
        <w:t>渣滓溪</w:t>
      </w:r>
      <w:r>
        <w:rPr>
          <w:rFonts w:hint="eastAsia" w:ascii="Times New Roman" w:hAnsi="Times New Roman" w:eastAsia="黑体" w:cs="Times New Roman"/>
          <w:color w:val="auto"/>
          <w:kern w:val="2"/>
          <w:sz w:val="24"/>
          <w:szCs w:val="20"/>
          <w:highlight w:val="none"/>
          <w:lang w:val="en-US" w:eastAsia="zh-CN" w:bidi="ar-SA"/>
        </w:rPr>
        <w:t>采选系统</w:t>
      </w:r>
      <w:r>
        <w:rPr>
          <w:rFonts w:hint="default" w:ascii="Times New Roman" w:hAnsi="Times New Roman" w:eastAsia="黑体" w:cs="Times New Roman"/>
          <w:color w:val="auto"/>
          <w:kern w:val="2"/>
          <w:sz w:val="24"/>
          <w:szCs w:val="20"/>
          <w:highlight w:val="none"/>
          <w:lang w:val="en-US" w:eastAsia="zh-CN" w:bidi="ar-SA"/>
        </w:rPr>
        <w:t>建设内容一览表</w:t>
      </w:r>
    </w:p>
    <w:tbl>
      <w:tblPr>
        <w:tblStyle w:val="21"/>
        <w:tblW w:w="5041"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543"/>
        <w:gridCol w:w="2"/>
        <w:gridCol w:w="471"/>
        <w:gridCol w:w="1007"/>
        <w:gridCol w:w="6094"/>
        <w:gridCol w:w="5"/>
        <w:gridCol w:w="1001"/>
        <w:gridCol w:w="7"/>
      </w:tblGrid>
      <w:tr w14:paraId="3D2A54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504" w:hRule="atLeast"/>
        </w:trPr>
        <w:tc>
          <w:tcPr>
            <w:tcW w:w="297" w:type="pct"/>
            <w:vAlign w:val="center"/>
          </w:tcPr>
          <w:p w14:paraId="1896DD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类别</w:t>
            </w:r>
          </w:p>
        </w:tc>
        <w:tc>
          <w:tcPr>
            <w:tcW w:w="810" w:type="pct"/>
            <w:gridSpan w:val="3"/>
            <w:vAlign w:val="center"/>
          </w:tcPr>
          <w:p w14:paraId="5AB784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单项工程</w:t>
            </w:r>
          </w:p>
        </w:tc>
        <w:tc>
          <w:tcPr>
            <w:tcW w:w="3339" w:type="pct"/>
            <w:gridSpan w:val="2"/>
            <w:vAlign w:val="center"/>
          </w:tcPr>
          <w:p w14:paraId="08FA52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工程内容及规模</w:t>
            </w:r>
          </w:p>
        </w:tc>
        <w:tc>
          <w:tcPr>
            <w:tcW w:w="552" w:type="pct"/>
            <w:gridSpan w:val="2"/>
            <w:vAlign w:val="center"/>
          </w:tcPr>
          <w:p w14:paraId="66ED93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备注</w:t>
            </w:r>
          </w:p>
        </w:tc>
      </w:tr>
      <w:tr w14:paraId="1E56D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restart"/>
            <w:vAlign w:val="center"/>
          </w:tcPr>
          <w:p w14:paraId="1ACA7F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采矿工程</w:t>
            </w:r>
          </w:p>
        </w:tc>
        <w:tc>
          <w:tcPr>
            <w:tcW w:w="810" w:type="pct"/>
            <w:gridSpan w:val="3"/>
            <w:vAlign w:val="center"/>
          </w:tcPr>
          <w:p w14:paraId="104238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建设规模</w:t>
            </w:r>
          </w:p>
        </w:tc>
        <w:tc>
          <w:tcPr>
            <w:tcW w:w="3339" w:type="pct"/>
            <w:gridSpan w:val="2"/>
            <w:vAlign w:val="center"/>
          </w:tcPr>
          <w:p w14:paraId="455D9D56">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采矿规模</w:t>
            </w:r>
            <w:r>
              <w:rPr>
                <w:rFonts w:hint="eastAsia"/>
                <w:color w:val="auto"/>
                <w:highlight w:val="none"/>
                <w:lang w:val="en-US" w:eastAsia="zh-CN"/>
              </w:rPr>
              <w:t>21</w:t>
            </w:r>
            <w:r>
              <w:rPr>
                <w:rFonts w:hint="default"/>
                <w:color w:val="auto"/>
                <w:highlight w:val="none"/>
                <w:lang w:val="en-US" w:eastAsia="zh-CN"/>
              </w:rPr>
              <w:t>万t/a。</w:t>
            </w:r>
          </w:p>
        </w:tc>
        <w:tc>
          <w:tcPr>
            <w:tcW w:w="552" w:type="pct"/>
            <w:gridSpan w:val="2"/>
            <w:vAlign w:val="center"/>
          </w:tcPr>
          <w:p w14:paraId="4D2508B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不变</w:t>
            </w:r>
          </w:p>
        </w:tc>
      </w:tr>
      <w:tr w14:paraId="35EFA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09798B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0C62BE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服务年限</w:t>
            </w:r>
          </w:p>
        </w:tc>
        <w:tc>
          <w:tcPr>
            <w:tcW w:w="3339" w:type="pct"/>
            <w:gridSpan w:val="2"/>
            <w:vAlign w:val="center"/>
          </w:tcPr>
          <w:p w14:paraId="45D66F47">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原设计服务年限18.74年</w:t>
            </w:r>
            <w:r>
              <w:rPr>
                <w:rFonts w:hint="eastAsia"/>
                <w:color w:val="auto"/>
                <w:highlight w:val="none"/>
                <w:lang w:val="en-US" w:eastAsia="zh-CN"/>
              </w:rPr>
              <w:t>，剩余服务年限为4.2年</w:t>
            </w:r>
            <w:r>
              <w:rPr>
                <w:rFonts w:hint="default"/>
                <w:color w:val="auto"/>
                <w:highlight w:val="none"/>
                <w:lang w:val="en-US" w:eastAsia="zh-CN"/>
              </w:rPr>
              <w:t>。</w:t>
            </w:r>
          </w:p>
        </w:tc>
        <w:tc>
          <w:tcPr>
            <w:tcW w:w="552" w:type="pct"/>
            <w:gridSpan w:val="2"/>
            <w:vAlign w:val="center"/>
          </w:tcPr>
          <w:p w14:paraId="589317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78B842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212E46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73C887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产品方案</w:t>
            </w:r>
          </w:p>
        </w:tc>
        <w:tc>
          <w:tcPr>
            <w:tcW w:w="3339" w:type="pct"/>
            <w:gridSpan w:val="2"/>
            <w:vAlign w:val="center"/>
          </w:tcPr>
          <w:p w14:paraId="22769B3F">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锑矿</w:t>
            </w:r>
            <w:r>
              <w:rPr>
                <w:rFonts w:hint="default"/>
                <w:color w:val="auto"/>
                <w:highlight w:val="none"/>
                <w:lang w:val="en-US" w:eastAsia="zh-CN"/>
              </w:rPr>
              <w:t>原矿</w:t>
            </w:r>
          </w:p>
        </w:tc>
        <w:tc>
          <w:tcPr>
            <w:tcW w:w="552" w:type="pct"/>
            <w:gridSpan w:val="2"/>
            <w:vAlign w:val="center"/>
          </w:tcPr>
          <w:p w14:paraId="0CA852C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4A005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6303D9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2089A1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开采方式</w:t>
            </w:r>
          </w:p>
        </w:tc>
        <w:tc>
          <w:tcPr>
            <w:tcW w:w="3339" w:type="pct"/>
            <w:gridSpan w:val="2"/>
            <w:vAlign w:val="center"/>
          </w:tcPr>
          <w:p w14:paraId="396C9BF4">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地下开采</w:t>
            </w:r>
          </w:p>
        </w:tc>
        <w:tc>
          <w:tcPr>
            <w:tcW w:w="552" w:type="pct"/>
            <w:gridSpan w:val="2"/>
            <w:vAlign w:val="center"/>
          </w:tcPr>
          <w:p w14:paraId="14489D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2AE45E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17E6D5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25F9FC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开拓方式</w:t>
            </w:r>
          </w:p>
        </w:tc>
        <w:tc>
          <w:tcPr>
            <w:tcW w:w="3339" w:type="pct"/>
            <w:gridSpan w:val="2"/>
            <w:vAlign w:val="center"/>
          </w:tcPr>
          <w:p w14:paraId="79AB4394">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明斜井+盲斜井联合开拓</w:t>
            </w:r>
          </w:p>
        </w:tc>
        <w:tc>
          <w:tcPr>
            <w:tcW w:w="552" w:type="pct"/>
            <w:gridSpan w:val="2"/>
            <w:vAlign w:val="center"/>
          </w:tcPr>
          <w:p w14:paraId="463B35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0E69C0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067CEB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7979F2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开采工艺</w:t>
            </w:r>
          </w:p>
        </w:tc>
        <w:tc>
          <w:tcPr>
            <w:tcW w:w="3339" w:type="pct"/>
            <w:gridSpan w:val="2"/>
            <w:vAlign w:val="center"/>
          </w:tcPr>
          <w:p w14:paraId="11EF049F">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采矿方法调整为</w:t>
            </w:r>
            <w:r>
              <w:rPr>
                <w:rFonts w:hint="default"/>
                <w:color w:val="auto"/>
                <w:highlight w:val="none"/>
                <w:lang w:val="en-US" w:eastAsia="zh-CN"/>
              </w:rPr>
              <w:t>上向水平分层充填采矿法（采用尾砂胶结充填）</w:t>
            </w:r>
          </w:p>
        </w:tc>
        <w:tc>
          <w:tcPr>
            <w:tcW w:w="552" w:type="pct"/>
            <w:gridSpan w:val="2"/>
            <w:vAlign w:val="center"/>
          </w:tcPr>
          <w:p w14:paraId="3F3FEE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0A794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4D9CC9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178863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主井</w:t>
            </w:r>
          </w:p>
        </w:tc>
        <w:tc>
          <w:tcPr>
            <w:tcW w:w="3339" w:type="pct"/>
            <w:gridSpan w:val="2"/>
            <w:vAlign w:val="center"/>
          </w:tcPr>
          <w:p w14:paraId="1BA3C5CB">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井口标高+380m，</w:t>
            </w:r>
            <w:r>
              <w:rPr>
                <w:rFonts w:hint="default"/>
                <w:color w:val="auto"/>
                <w:highlight w:val="none"/>
                <w:lang w:val="en-US" w:eastAsia="zh-CN"/>
              </w:rPr>
              <w:t>提升能力为700</w:t>
            </w:r>
            <w:r>
              <w:rPr>
                <w:rFonts w:hint="eastAsia"/>
                <w:color w:val="auto"/>
                <w:highlight w:val="none"/>
                <w:lang w:val="en-US" w:eastAsia="zh-CN"/>
              </w:rPr>
              <w:t>t/d，位于选厂内；</w:t>
            </w:r>
          </w:p>
        </w:tc>
        <w:tc>
          <w:tcPr>
            <w:tcW w:w="552" w:type="pct"/>
            <w:gridSpan w:val="2"/>
            <w:vAlign w:val="center"/>
          </w:tcPr>
          <w:p w14:paraId="4891A5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61D87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4D62D8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5EB3C9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副井</w:t>
            </w:r>
          </w:p>
        </w:tc>
        <w:tc>
          <w:tcPr>
            <w:tcW w:w="3339" w:type="pct"/>
            <w:gridSpan w:val="2"/>
            <w:vAlign w:val="center"/>
          </w:tcPr>
          <w:p w14:paraId="6AC0995B">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32平硐为副井，井口标高+325m</w:t>
            </w:r>
          </w:p>
        </w:tc>
        <w:tc>
          <w:tcPr>
            <w:tcW w:w="552" w:type="pct"/>
            <w:gridSpan w:val="2"/>
            <w:vAlign w:val="center"/>
          </w:tcPr>
          <w:p w14:paraId="2269AB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192CF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1803C5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1A21D60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通风</w:t>
            </w:r>
          </w:p>
        </w:tc>
        <w:tc>
          <w:tcPr>
            <w:tcW w:w="3339" w:type="pct"/>
            <w:gridSpan w:val="2"/>
            <w:vAlign w:val="center"/>
          </w:tcPr>
          <w:p w14:paraId="5C556370">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单翼对角抽出式。新鲜风流由主提升井、阶段运输平巷、一侧天井、天井联络道进入采场工作面，污风经另一侧天井联络道、天井、回风巷道到回风井。</w:t>
            </w:r>
          </w:p>
        </w:tc>
        <w:tc>
          <w:tcPr>
            <w:tcW w:w="552" w:type="pct"/>
            <w:gridSpan w:val="2"/>
            <w:vAlign w:val="center"/>
          </w:tcPr>
          <w:p w14:paraId="3BAD8A6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7D27F8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24C53B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57D8F3E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中段</w:t>
            </w:r>
            <w:r>
              <w:rPr>
                <w:rFonts w:hint="eastAsia"/>
                <w:color w:val="auto"/>
                <w:highlight w:val="none"/>
                <w:lang w:val="en-US" w:eastAsia="zh-CN"/>
              </w:rPr>
              <w:t>设置</w:t>
            </w:r>
          </w:p>
        </w:tc>
        <w:tc>
          <w:tcPr>
            <w:tcW w:w="3339" w:type="pct"/>
            <w:gridSpan w:val="2"/>
            <w:vAlign w:val="center"/>
          </w:tcPr>
          <w:p w14:paraId="7ED1EF3E">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中段高度：45m。现阶段生产中段为-115～-250m中段</w:t>
            </w:r>
          </w:p>
        </w:tc>
        <w:tc>
          <w:tcPr>
            <w:tcW w:w="552" w:type="pct"/>
            <w:gridSpan w:val="2"/>
            <w:vAlign w:val="center"/>
          </w:tcPr>
          <w:p w14:paraId="69CA8D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24359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1AD737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41AD2A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充填站</w:t>
            </w:r>
          </w:p>
        </w:tc>
        <w:tc>
          <w:tcPr>
            <w:tcW w:w="3339" w:type="pct"/>
            <w:gridSpan w:val="2"/>
            <w:vAlign w:val="center"/>
          </w:tcPr>
          <w:p w14:paraId="0FFE6A66">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现阶段：2018年建设，位于选厂内东北侧，设计充填能力为3.6万m</w:t>
            </w:r>
            <w:r>
              <w:rPr>
                <w:rFonts w:hint="eastAsia"/>
                <w:color w:val="auto"/>
                <w:highlight w:val="none"/>
                <w:vertAlign w:val="superscript"/>
                <w:lang w:val="en-US" w:eastAsia="zh-CN"/>
              </w:rPr>
              <w:t>3</w:t>
            </w:r>
            <w:r>
              <w:rPr>
                <w:rFonts w:hint="eastAsia"/>
                <w:color w:val="auto"/>
                <w:highlight w:val="none"/>
                <w:lang w:val="en-US" w:eastAsia="zh-CN"/>
              </w:rPr>
              <w:t>/a</w:t>
            </w:r>
          </w:p>
          <w:p w14:paraId="58C59222">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调整后：原址扩建，仍在选厂内，设计充填能力为10万m</w:t>
            </w:r>
            <w:r>
              <w:rPr>
                <w:rFonts w:hint="eastAsia"/>
                <w:color w:val="auto"/>
                <w:highlight w:val="none"/>
                <w:vertAlign w:val="superscript"/>
                <w:lang w:val="en-US" w:eastAsia="zh-CN"/>
              </w:rPr>
              <w:t>3</w:t>
            </w:r>
            <w:r>
              <w:rPr>
                <w:rFonts w:hint="eastAsia"/>
                <w:color w:val="auto"/>
                <w:highlight w:val="none"/>
                <w:lang w:val="en-US" w:eastAsia="zh-CN"/>
              </w:rPr>
              <w:t>/a</w:t>
            </w:r>
          </w:p>
        </w:tc>
        <w:tc>
          <w:tcPr>
            <w:tcW w:w="552" w:type="pct"/>
            <w:gridSpan w:val="2"/>
            <w:vAlign w:val="center"/>
          </w:tcPr>
          <w:p w14:paraId="628857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扩建</w:t>
            </w:r>
          </w:p>
        </w:tc>
      </w:tr>
      <w:tr w14:paraId="5AF73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116F80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2F5ADB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采矿</w:t>
            </w:r>
            <w:r>
              <w:rPr>
                <w:rFonts w:hint="default"/>
                <w:color w:val="auto"/>
                <w:highlight w:val="none"/>
                <w:lang w:val="en-US" w:eastAsia="zh-CN"/>
              </w:rPr>
              <w:t>工业场地</w:t>
            </w:r>
          </w:p>
        </w:tc>
        <w:tc>
          <w:tcPr>
            <w:tcW w:w="3339" w:type="pct"/>
            <w:gridSpan w:val="2"/>
            <w:vAlign w:val="center"/>
          </w:tcPr>
          <w:p w14:paraId="7330B97F">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位于副井井口，占地0.94hm</w:t>
            </w:r>
            <w:r>
              <w:rPr>
                <w:rFonts w:hint="eastAsia"/>
                <w:color w:val="auto"/>
                <w:highlight w:val="none"/>
                <w:vertAlign w:val="superscript"/>
                <w:lang w:val="en-US" w:eastAsia="zh-CN"/>
              </w:rPr>
              <w:t>2</w:t>
            </w:r>
            <w:r>
              <w:rPr>
                <w:rFonts w:hint="eastAsia"/>
                <w:color w:val="auto"/>
                <w:highlight w:val="none"/>
                <w:lang w:val="en-US" w:eastAsia="zh-CN"/>
              </w:rPr>
              <w:t>，主要建有采矿办公楼、废石转运站、480井口循环水池（井下涌水收集池）、食堂、宿舍等。</w:t>
            </w:r>
          </w:p>
        </w:tc>
        <w:tc>
          <w:tcPr>
            <w:tcW w:w="552" w:type="pct"/>
            <w:gridSpan w:val="2"/>
            <w:vAlign w:val="center"/>
          </w:tcPr>
          <w:p w14:paraId="00A394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3D320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restart"/>
            <w:vAlign w:val="center"/>
          </w:tcPr>
          <w:p w14:paraId="6067F2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选矿工程</w:t>
            </w:r>
          </w:p>
        </w:tc>
        <w:tc>
          <w:tcPr>
            <w:tcW w:w="810" w:type="pct"/>
            <w:gridSpan w:val="3"/>
            <w:vAlign w:val="center"/>
          </w:tcPr>
          <w:p w14:paraId="24E2BD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选矿规模</w:t>
            </w:r>
          </w:p>
        </w:tc>
        <w:tc>
          <w:tcPr>
            <w:tcW w:w="3339" w:type="pct"/>
            <w:gridSpan w:val="2"/>
            <w:vAlign w:val="center"/>
          </w:tcPr>
          <w:p w14:paraId="2C0344AE">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破碎700t/d，手选规模200t/d，浮选规模500t/d</w:t>
            </w:r>
          </w:p>
        </w:tc>
        <w:tc>
          <w:tcPr>
            <w:tcW w:w="552" w:type="pct"/>
            <w:gridSpan w:val="2"/>
            <w:vAlign w:val="center"/>
          </w:tcPr>
          <w:p w14:paraId="6241B1B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52CA62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503594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7A3941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选矿工艺</w:t>
            </w:r>
          </w:p>
        </w:tc>
        <w:tc>
          <w:tcPr>
            <w:tcW w:w="3339" w:type="pct"/>
            <w:gridSpan w:val="2"/>
            <w:vAlign w:val="center"/>
          </w:tcPr>
          <w:p w14:paraId="7624A826">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原节能技改工程选矿工艺为：粗碎-手选-细碎-筛分-磨矿-浮选工艺；</w:t>
            </w:r>
          </w:p>
          <w:p w14:paraId="6A2071F3">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2023年12月新增智能分选系统，2024年8月增加高压辊磨机，选矿工艺变为：粗碎-中细碎-筛分-手选（原矿）+智能分选（废石）-高压辊磨-磨矿-浮选工艺；</w:t>
            </w:r>
          </w:p>
        </w:tc>
        <w:tc>
          <w:tcPr>
            <w:tcW w:w="552" w:type="pct"/>
            <w:gridSpan w:val="2"/>
            <w:vAlign w:val="center"/>
          </w:tcPr>
          <w:p w14:paraId="29B0C9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不变</w:t>
            </w:r>
          </w:p>
        </w:tc>
      </w:tr>
      <w:tr w14:paraId="7A92F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2AE300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5CD5D9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产品方案</w:t>
            </w:r>
          </w:p>
        </w:tc>
        <w:tc>
          <w:tcPr>
            <w:tcW w:w="3339" w:type="pct"/>
            <w:gridSpan w:val="2"/>
            <w:vAlign w:val="center"/>
          </w:tcPr>
          <w:p w14:paraId="0409E58D">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锑块矿10m</w:t>
            </w:r>
            <w:r>
              <w:rPr>
                <w:rFonts w:hint="eastAsia"/>
                <w:color w:val="auto"/>
                <w:highlight w:val="none"/>
                <w:vertAlign w:val="superscript"/>
                <w:lang w:val="en-US" w:eastAsia="zh-CN"/>
              </w:rPr>
              <w:t>3</w:t>
            </w:r>
            <w:r>
              <w:rPr>
                <w:rFonts w:hint="eastAsia"/>
                <w:color w:val="auto"/>
                <w:highlight w:val="none"/>
                <w:lang w:val="en-US" w:eastAsia="zh-CN"/>
              </w:rPr>
              <w:t>/d，锑精矿26.32m</w:t>
            </w:r>
            <w:r>
              <w:rPr>
                <w:rFonts w:hint="eastAsia"/>
                <w:color w:val="auto"/>
                <w:highlight w:val="none"/>
                <w:vertAlign w:val="superscript"/>
                <w:lang w:val="en-US" w:eastAsia="zh-CN"/>
              </w:rPr>
              <w:t>3</w:t>
            </w:r>
            <w:r>
              <w:rPr>
                <w:rFonts w:hint="eastAsia"/>
                <w:color w:val="auto"/>
                <w:highlight w:val="none"/>
                <w:lang w:val="en-US" w:eastAsia="zh-CN"/>
              </w:rPr>
              <w:t>/d。</w:t>
            </w:r>
          </w:p>
        </w:tc>
        <w:tc>
          <w:tcPr>
            <w:tcW w:w="552" w:type="pct"/>
            <w:gridSpan w:val="2"/>
            <w:vAlign w:val="center"/>
          </w:tcPr>
          <w:p w14:paraId="59E082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不变</w:t>
            </w:r>
          </w:p>
        </w:tc>
      </w:tr>
      <w:tr w14:paraId="5C248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97" w:type="pct"/>
            <w:vMerge w:val="continue"/>
            <w:vAlign w:val="center"/>
          </w:tcPr>
          <w:p w14:paraId="3E22BC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10" w:type="pct"/>
            <w:gridSpan w:val="3"/>
            <w:vAlign w:val="center"/>
          </w:tcPr>
          <w:p w14:paraId="43EB9F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主要构筑物</w:t>
            </w:r>
          </w:p>
        </w:tc>
        <w:tc>
          <w:tcPr>
            <w:tcW w:w="3339" w:type="pct"/>
            <w:gridSpan w:val="2"/>
            <w:vAlign w:val="center"/>
          </w:tcPr>
          <w:p w14:paraId="7F8D7FF1">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破碎车间、筛分车间、磨浮车间、皮带廊、砂泵房、配电房、危废间、等。（高压辊磨机位于破碎车间内）。</w:t>
            </w:r>
          </w:p>
        </w:tc>
        <w:tc>
          <w:tcPr>
            <w:tcW w:w="552" w:type="pct"/>
            <w:gridSpan w:val="2"/>
            <w:vAlign w:val="center"/>
          </w:tcPr>
          <w:p w14:paraId="3CB636A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222BD6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restart"/>
            <w:vAlign w:val="center"/>
          </w:tcPr>
          <w:p w14:paraId="095E02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尾矿库</w:t>
            </w:r>
          </w:p>
        </w:tc>
        <w:tc>
          <w:tcPr>
            <w:tcW w:w="4145" w:type="pct"/>
            <w:gridSpan w:val="3"/>
            <w:vAlign w:val="center"/>
          </w:tcPr>
          <w:p w14:paraId="71CF16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石板冲尾矿库</w:t>
            </w:r>
          </w:p>
        </w:tc>
        <w:tc>
          <w:tcPr>
            <w:tcW w:w="551" w:type="pct"/>
            <w:gridSpan w:val="2"/>
            <w:vMerge w:val="restart"/>
            <w:vAlign w:val="center"/>
          </w:tcPr>
          <w:p w14:paraId="01A501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7F27D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56EAEF9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pct"/>
            <w:gridSpan w:val="2"/>
            <w:vAlign w:val="center"/>
          </w:tcPr>
          <w:p w14:paraId="3D3DF5A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选址</w:t>
            </w:r>
          </w:p>
        </w:tc>
        <w:tc>
          <w:tcPr>
            <w:tcW w:w="3336" w:type="pct"/>
            <w:vAlign w:val="center"/>
          </w:tcPr>
          <w:p w14:paraId="5717F16B">
            <w:pPr>
              <w:pStyle w:val="26"/>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选厂东面直线距离约1.5km的石板冲，总占地17.9hm</w:t>
            </w:r>
            <w:r>
              <w:rPr>
                <w:rFonts w:hint="eastAsia"/>
                <w:color w:val="auto"/>
                <w:highlight w:val="none"/>
                <w:vertAlign w:val="superscript"/>
                <w:lang w:val="en-US" w:eastAsia="zh-CN"/>
              </w:rPr>
              <w:t>2</w:t>
            </w:r>
            <w:r>
              <w:rPr>
                <w:rFonts w:hint="eastAsia"/>
                <w:color w:val="auto"/>
                <w:highlight w:val="none"/>
                <w:lang w:val="en-US" w:eastAsia="zh-CN"/>
              </w:rPr>
              <w:t>。</w:t>
            </w:r>
          </w:p>
        </w:tc>
        <w:tc>
          <w:tcPr>
            <w:tcW w:w="551" w:type="pct"/>
            <w:gridSpan w:val="2"/>
            <w:vMerge w:val="continue"/>
            <w:vAlign w:val="center"/>
          </w:tcPr>
          <w:p w14:paraId="667A25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851A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5C9EFBA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pct"/>
            <w:gridSpan w:val="2"/>
            <w:vAlign w:val="center"/>
          </w:tcPr>
          <w:p w14:paraId="3FA040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坝高及库容</w:t>
            </w:r>
          </w:p>
        </w:tc>
        <w:tc>
          <w:tcPr>
            <w:tcW w:w="3336" w:type="pct"/>
            <w:vAlign w:val="center"/>
          </w:tcPr>
          <w:p w14:paraId="23C1CEB9">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尾矿库初期坝坝底标高295m，坝高35m，库容29.40万m</w:t>
            </w:r>
            <w:r>
              <w:rPr>
                <w:rFonts w:hint="eastAsia"/>
                <w:color w:val="auto"/>
                <w:highlight w:val="none"/>
                <w:vertAlign w:val="superscript"/>
                <w:lang w:val="en-US" w:eastAsia="zh-CN"/>
              </w:rPr>
              <w:t>3</w:t>
            </w:r>
            <w:r>
              <w:rPr>
                <w:rFonts w:hint="eastAsia"/>
                <w:color w:val="auto"/>
                <w:highlight w:val="none"/>
                <w:lang w:val="en-US" w:eastAsia="zh-CN"/>
              </w:rPr>
              <w:t>。后期坝分两期建设：一期堆积坝顶标高370m，总坝高75m，总库容228.65万m</w:t>
            </w:r>
            <w:r>
              <w:rPr>
                <w:rFonts w:hint="eastAsia"/>
                <w:color w:val="auto"/>
                <w:highlight w:val="none"/>
                <w:vertAlign w:val="superscript"/>
                <w:lang w:val="en-US" w:eastAsia="zh-CN"/>
              </w:rPr>
              <w:t>3</w:t>
            </w:r>
            <w:r>
              <w:rPr>
                <w:rFonts w:hint="eastAsia"/>
                <w:color w:val="auto"/>
                <w:highlight w:val="none"/>
                <w:lang w:val="en-US" w:eastAsia="zh-CN"/>
              </w:rPr>
              <w:t>，服务年限25.75年；二期堆积坝顶标高391m，即最终堆积标高，总坝高96m，总库容442.85万m</w:t>
            </w:r>
            <w:r>
              <w:rPr>
                <w:rFonts w:hint="eastAsia"/>
                <w:color w:val="auto"/>
                <w:highlight w:val="none"/>
                <w:vertAlign w:val="superscript"/>
                <w:lang w:val="en-US" w:eastAsia="zh-CN"/>
              </w:rPr>
              <w:t>3</w:t>
            </w:r>
            <w:r>
              <w:rPr>
                <w:rFonts w:hint="eastAsia"/>
                <w:color w:val="auto"/>
                <w:highlight w:val="none"/>
                <w:lang w:val="en-US" w:eastAsia="zh-CN"/>
              </w:rPr>
              <w:t>。</w:t>
            </w:r>
          </w:p>
          <w:p w14:paraId="1C285D60">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尾矿库现状堆积标高352.5m，坝高57.5m，已用库容113万m</w:t>
            </w:r>
            <w:r>
              <w:rPr>
                <w:rFonts w:hint="eastAsia"/>
                <w:color w:val="auto"/>
                <w:highlight w:val="none"/>
                <w:vertAlign w:val="superscript"/>
                <w:lang w:val="en-US" w:eastAsia="zh-CN"/>
              </w:rPr>
              <w:t>3</w:t>
            </w:r>
            <w:r>
              <w:rPr>
                <w:rFonts w:hint="eastAsia"/>
                <w:color w:val="auto"/>
                <w:highlight w:val="none"/>
                <w:lang w:val="en-US" w:eastAsia="zh-CN"/>
              </w:rPr>
              <w:t>，剩余库容329.85万m</w:t>
            </w:r>
            <w:r>
              <w:rPr>
                <w:rFonts w:hint="eastAsia"/>
                <w:color w:val="auto"/>
                <w:highlight w:val="none"/>
                <w:vertAlign w:val="superscript"/>
                <w:lang w:val="en-US" w:eastAsia="zh-CN"/>
              </w:rPr>
              <w:t>3</w:t>
            </w:r>
            <w:r>
              <w:rPr>
                <w:rFonts w:hint="eastAsia"/>
                <w:color w:val="auto"/>
                <w:highlight w:val="none"/>
                <w:lang w:val="en-US" w:eastAsia="zh-CN"/>
              </w:rPr>
              <w:t>。</w:t>
            </w:r>
          </w:p>
        </w:tc>
        <w:tc>
          <w:tcPr>
            <w:tcW w:w="551" w:type="pct"/>
            <w:gridSpan w:val="2"/>
            <w:vMerge w:val="continue"/>
            <w:vAlign w:val="center"/>
          </w:tcPr>
          <w:p w14:paraId="5A99BD6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2014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0A2AF72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pct"/>
            <w:gridSpan w:val="2"/>
            <w:vAlign w:val="center"/>
          </w:tcPr>
          <w:p w14:paraId="424793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服务年限</w:t>
            </w:r>
          </w:p>
        </w:tc>
        <w:tc>
          <w:tcPr>
            <w:tcW w:w="3336" w:type="pct"/>
            <w:vAlign w:val="center"/>
          </w:tcPr>
          <w:p w14:paraId="2B196918">
            <w:pPr>
              <w:pStyle w:val="26"/>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设计服务年限49.86年</w:t>
            </w:r>
          </w:p>
        </w:tc>
        <w:tc>
          <w:tcPr>
            <w:tcW w:w="551" w:type="pct"/>
            <w:gridSpan w:val="2"/>
            <w:vMerge w:val="continue"/>
            <w:vAlign w:val="center"/>
          </w:tcPr>
          <w:p w14:paraId="56328D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8BB7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4D5C49C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pct"/>
            <w:gridSpan w:val="2"/>
            <w:vAlign w:val="center"/>
          </w:tcPr>
          <w:p w14:paraId="59A56F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等别</w:t>
            </w:r>
          </w:p>
        </w:tc>
        <w:tc>
          <w:tcPr>
            <w:tcW w:w="3336" w:type="pct"/>
            <w:vAlign w:val="center"/>
          </w:tcPr>
          <w:p w14:paraId="3135A6C0">
            <w:pPr>
              <w:pStyle w:val="26"/>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Ⅲ等库</w:t>
            </w:r>
          </w:p>
        </w:tc>
        <w:tc>
          <w:tcPr>
            <w:tcW w:w="551" w:type="pct"/>
            <w:gridSpan w:val="2"/>
            <w:vMerge w:val="continue"/>
            <w:vAlign w:val="center"/>
          </w:tcPr>
          <w:p w14:paraId="7EFD261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D86C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15CD1CD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pct"/>
            <w:gridSpan w:val="2"/>
            <w:vAlign w:val="center"/>
          </w:tcPr>
          <w:p w14:paraId="0D0907A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放矿工艺</w:t>
            </w:r>
          </w:p>
        </w:tc>
        <w:tc>
          <w:tcPr>
            <w:tcW w:w="3336" w:type="pct"/>
            <w:vAlign w:val="center"/>
          </w:tcPr>
          <w:p w14:paraId="2138A6E8">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上游法</w:t>
            </w:r>
          </w:p>
        </w:tc>
        <w:tc>
          <w:tcPr>
            <w:tcW w:w="551" w:type="pct"/>
            <w:gridSpan w:val="2"/>
            <w:vMerge w:val="continue"/>
            <w:vAlign w:val="center"/>
          </w:tcPr>
          <w:p w14:paraId="4DB600C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650F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2800512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pct"/>
            <w:gridSpan w:val="2"/>
            <w:vAlign w:val="center"/>
          </w:tcPr>
          <w:p w14:paraId="29B143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排洪系统</w:t>
            </w:r>
          </w:p>
        </w:tc>
        <w:tc>
          <w:tcPr>
            <w:tcW w:w="3336" w:type="pct"/>
            <w:vAlign w:val="center"/>
          </w:tcPr>
          <w:p w14:paraId="368BC21A">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排水竖井-排洪隧洞；分为库外排洪及库内排洪系统。</w:t>
            </w:r>
          </w:p>
        </w:tc>
        <w:tc>
          <w:tcPr>
            <w:tcW w:w="551" w:type="pct"/>
            <w:gridSpan w:val="2"/>
            <w:vMerge w:val="continue"/>
            <w:vAlign w:val="center"/>
          </w:tcPr>
          <w:p w14:paraId="49B82A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358F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153E31D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pct"/>
            <w:gridSpan w:val="2"/>
            <w:vAlign w:val="center"/>
          </w:tcPr>
          <w:p w14:paraId="21056E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防渗系统</w:t>
            </w:r>
          </w:p>
        </w:tc>
        <w:tc>
          <w:tcPr>
            <w:tcW w:w="3336" w:type="pct"/>
            <w:vAlign w:val="center"/>
          </w:tcPr>
          <w:p w14:paraId="72BE0EA3">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由下至上结构为：地基整平夯实+细粒土（0.2m厚）+1.5mmHDPE膜+过渡层、保护层</w:t>
            </w:r>
          </w:p>
        </w:tc>
        <w:tc>
          <w:tcPr>
            <w:tcW w:w="551" w:type="pct"/>
            <w:gridSpan w:val="2"/>
            <w:vMerge w:val="continue"/>
            <w:vAlign w:val="center"/>
          </w:tcPr>
          <w:p w14:paraId="59D9F8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7CF59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54F4CD0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09" w:type="pct"/>
            <w:gridSpan w:val="2"/>
            <w:vAlign w:val="center"/>
          </w:tcPr>
          <w:p w14:paraId="5447AF1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回水方案</w:t>
            </w:r>
          </w:p>
        </w:tc>
        <w:tc>
          <w:tcPr>
            <w:tcW w:w="3336" w:type="pct"/>
            <w:vAlign w:val="center"/>
          </w:tcPr>
          <w:p w14:paraId="42F5C62A">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排洪隧洞出口建有一座400m</w:t>
            </w:r>
            <w:r>
              <w:rPr>
                <w:rFonts w:hint="eastAsia"/>
                <w:color w:val="auto"/>
                <w:highlight w:val="none"/>
                <w:vertAlign w:val="superscript"/>
                <w:lang w:val="en-US" w:eastAsia="zh-CN"/>
              </w:rPr>
              <w:t>3</w:t>
            </w:r>
            <w:r>
              <w:rPr>
                <w:rFonts w:hint="eastAsia"/>
                <w:color w:val="auto"/>
                <w:highlight w:val="none"/>
                <w:lang w:val="en-US" w:eastAsia="zh-CN"/>
              </w:rPr>
              <w:t>澄清水池，收集尾矿库溢流水及渗滤液。回水路线为澄清水池-基础坝+375平硐-管道自流+325平巷-480井口循环水池。</w:t>
            </w:r>
          </w:p>
        </w:tc>
        <w:tc>
          <w:tcPr>
            <w:tcW w:w="551" w:type="pct"/>
            <w:gridSpan w:val="2"/>
            <w:vMerge w:val="continue"/>
            <w:vAlign w:val="center"/>
          </w:tcPr>
          <w:p w14:paraId="18357FB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97E8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2C44CD5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145" w:type="pct"/>
            <w:gridSpan w:val="3"/>
            <w:vAlign w:val="center"/>
          </w:tcPr>
          <w:p w14:paraId="27DDF0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老尾矿库</w:t>
            </w:r>
          </w:p>
        </w:tc>
        <w:tc>
          <w:tcPr>
            <w:tcW w:w="551" w:type="pct"/>
            <w:gridSpan w:val="2"/>
            <w:vMerge w:val="restart"/>
            <w:vAlign w:val="center"/>
          </w:tcPr>
          <w:p w14:paraId="6BBEDB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7C175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502636E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145" w:type="pct"/>
            <w:gridSpan w:val="3"/>
            <w:vAlign w:val="center"/>
          </w:tcPr>
          <w:p w14:paraId="76C75111">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位于厂区中南部。已按要求于2018年进行了闭库。尾矿库渗滤液排入生产废水处理站处理。</w:t>
            </w:r>
          </w:p>
        </w:tc>
        <w:tc>
          <w:tcPr>
            <w:tcW w:w="551" w:type="pct"/>
            <w:gridSpan w:val="2"/>
            <w:vMerge w:val="continue"/>
            <w:vAlign w:val="center"/>
          </w:tcPr>
          <w:p w14:paraId="37175C7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361E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Align w:val="center"/>
          </w:tcPr>
          <w:p w14:paraId="280CA4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辅助工程</w:t>
            </w:r>
          </w:p>
        </w:tc>
        <w:tc>
          <w:tcPr>
            <w:tcW w:w="809" w:type="pct"/>
            <w:gridSpan w:val="2"/>
            <w:vAlign w:val="center"/>
          </w:tcPr>
          <w:p w14:paraId="31D125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办公生活</w:t>
            </w:r>
          </w:p>
        </w:tc>
        <w:tc>
          <w:tcPr>
            <w:tcW w:w="3336" w:type="pct"/>
            <w:vAlign w:val="center"/>
          </w:tcPr>
          <w:p w14:paraId="1C13616D">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采矿工业广场设有矿部和宿舍；选厂设有办公楼和食堂、浴室等；</w:t>
            </w:r>
          </w:p>
          <w:p w14:paraId="75A7DE48">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厂区中部设有2座办公楼及宿舍15栋。</w:t>
            </w:r>
          </w:p>
        </w:tc>
        <w:tc>
          <w:tcPr>
            <w:tcW w:w="551" w:type="pct"/>
            <w:gridSpan w:val="2"/>
            <w:vAlign w:val="center"/>
          </w:tcPr>
          <w:p w14:paraId="42F7B24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56EF5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restart"/>
            <w:vAlign w:val="center"/>
          </w:tcPr>
          <w:p w14:paraId="0E07F5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储运工程</w:t>
            </w:r>
          </w:p>
        </w:tc>
        <w:tc>
          <w:tcPr>
            <w:tcW w:w="809" w:type="pct"/>
            <w:gridSpan w:val="2"/>
            <w:vAlign w:val="center"/>
          </w:tcPr>
          <w:p w14:paraId="600483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废石场</w:t>
            </w:r>
          </w:p>
        </w:tc>
        <w:tc>
          <w:tcPr>
            <w:tcW w:w="3336" w:type="pct"/>
            <w:vAlign w:val="center"/>
          </w:tcPr>
          <w:p w14:paraId="005FAD5B">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位于厂区中部，占地10160m</w:t>
            </w:r>
            <w:r>
              <w:rPr>
                <w:rFonts w:hint="eastAsia"/>
                <w:color w:val="auto"/>
                <w:highlight w:val="none"/>
                <w:vertAlign w:val="superscript"/>
                <w:lang w:val="en-US" w:eastAsia="zh-CN"/>
              </w:rPr>
              <w:t>2</w:t>
            </w:r>
            <w:r>
              <w:rPr>
                <w:rFonts w:hint="eastAsia"/>
                <w:color w:val="auto"/>
                <w:highlight w:val="none"/>
                <w:lang w:val="en-US" w:eastAsia="zh-CN"/>
              </w:rPr>
              <w:t>，废石来自井下生产和选厂智能分选系统，临时堆存后用于井下充填。</w:t>
            </w:r>
          </w:p>
        </w:tc>
        <w:tc>
          <w:tcPr>
            <w:tcW w:w="551" w:type="pct"/>
            <w:gridSpan w:val="2"/>
            <w:vAlign w:val="center"/>
          </w:tcPr>
          <w:p w14:paraId="19A7B8D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6DD2E8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50D148B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Align w:val="center"/>
          </w:tcPr>
          <w:p w14:paraId="49418E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炸药库</w:t>
            </w:r>
          </w:p>
        </w:tc>
        <w:tc>
          <w:tcPr>
            <w:tcW w:w="3336" w:type="pct"/>
            <w:vAlign w:val="center"/>
          </w:tcPr>
          <w:p w14:paraId="79A29AEA">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工业广场南侧300m，分别建有值班室、雷管库（8000发）和炸药库（TNT2吨）。</w:t>
            </w:r>
          </w:p>
        </w:tc>
        <w:tc>
          <w:tcPr>
            <w:tcW w:w="551" w:type="pct"/>
            <w:gridSpan w:val="2"/>
            <w:vAlign w:val="center"/>
          </w:tcPr>
          <w:p w14:paraId="52CC8F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2FA6B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7ADB2F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Align w:val="center"/>
          </w:tcPr>
          <w:p w14:paraId="22ACF7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运输工程</w:t>
            </w:r>
          </w:p>
        </w:tc>
        <w:tc>
          <w:tcPr>
            <w:tcW w:w="3336" w:type="pct"/>
            <w:vAlign w:val="center"/>
          </w:tcPr>
          <w:p w14:paraId="0EEE9236">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default"/>
                <w:color w:val="auto"/>
                <w:highlight w:val="none"/>
                <w:lang w:val="en-US" w:eastAsia="zh-CN"/>
              </w:rPr>
              <w:t>矿石运输采用“U”型翻斗矿车，轻便铁轨，机车运输</w:t>
            </w:r>
            <w:r>
              <w:rPr>
                <w:rFonts w:hint="eastAsia"/>
                <w:color w:val="auto"/>
                <w:highlight w:val="none"/>
                <w:lang w:val="en-US" w:eastAsia="zh-CN"/>
              </w:rPr>
              <w:t>。运输路线为：采场出矿——中段运输平巷——溜井——斜井提升——地表矿仓。</w:t>
            </w:r>
          </w:p>
          <w:p w14:paraId="10CADF1C">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锑精矿泵送至冶炼厂压滤车间。</w:t>
            </w:r>
          </w:p>
        </w:tc>
        <w:tc>
          <w:tcPr>
            <w:tcW w:w="551" w:type="pct"/>
            <w:gridSpan w:val="2"/>
            <w:vAlign w:val="center"/>
          </w:tcPr>
          <w:p w14:paraId="7C94BC7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0EB053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restart"/>
            <w:vAlign w:val="center"/>
          </w:tcPr>
          <w:p w14:paraId="1E885F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公用工程</w:t>
            </w:r>
          </w:p>
        </w:tc>
        <w:tc>
          <w:tcPr>
            <w:tcW w:w="809" w:type="pct"/>
            <w:gridSpan w:val="2"/>
            <w:vAlign w:val="center"/>
          </w:tcPr>
          <w:p w14:paraId="30D527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供水</w:t>
            </w:r>
          </w:p>
        </w:tc>
        <w:tc>
          <w:tcPr>
            <w:tcW w:w="3336" w:type="pct"/>
            <w:vAlign w:val="center"/>
          </w:tcPr>
          <w:p w14:paraId="2BC35204">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全厂生活水源为木榴村水源地；</w:t>
            </w:r>
          </w:p>
          <w:p w14:paraId="19E5BC62">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采选生产用水主要是井下涌水和尾矿库溢流水，枯水期通过排洪隧洞口水源地（渣滓溪）补充。</w:t>
            </w:r>
          </w:p>
        </w:tc>
        <w:tc>
          <w:tcPr>
            <w:tcW w:w="551" w:type="pct"/>
            <w:gridSpan w:val="2"/>
            <w:vAlign w:val="center"/>
          </w:tcPr>
          <w:p w14:paraId="228092A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不变</w:t>
            </w:r>
          </w:p>
        </w:tc>
      </w:tr>
      <w:tr w14:paraId="55655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47C30C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Merge w:val="restart"/>
            <w:vAlign w:val="center"/>
          </w:tcPr>
          <w:p w14:paraId="58D8EB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排水</w:t>
            </w:r>
          </w:p>
        </w:tc>
        <w:tc>
          <w:tcPr>
            <w:tcW w:w="3336" w:type="pct"/>
            <w:vAlign w:val="center"/>
          </w:tcPr>
          <w:p w14:paraId="6B394F08">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现阶段：</w:t>
            </w:r>
          </w:p>
          <w:p w14:paraId="6C202F5A">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井下生产废水和井下涌水通过井下水仓收集后排入480井口循环水池；</w:t>
            </w:r>
          </w:p>
          <w:p w14:paraId="09ECDFE5">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尾矿库溢流水和渗滤液通过坝下澄清水池收集后排入480井口循环水池；</w:t>
            </w:r>
          </w:p>
          <w:p w14:paraId="304AECB1">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480井口循环水池供应选厂、冶炼厂用水，多余的，同老尾矿库渗滤液一起，排入生产废水处理站，处理后达标排放。</w:t>
            </w:r>
          </w:p>
        </w:tc>
        <w:tc>
          <w:tcPr>
            <w:tcW w:w="551" w:type="pct"/>
            <w:gridSpan w:val="2"/>
            <w:vAlign w:val="center"/>
          </w:tcPr>
          <w:p w14:paraId="2EF2B9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改造</w:t>
            </w:r>
          </w:p>
        </w:tc>
      </w:tr>
      <w:tr w14:paraId="3C822D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75D29F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Merge w:val="continue"/>
            <w:vAlign w:val="center"/>
          </w:tcPr>
          <w:p w14:paraId="5FAF64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36" w:type="pct"/>
            <w:vAlign w:val="center"/>
          </w:tcPr>
          <w:p w14:paraId="2B83EAC0">
            <w:pPr>
              <w:pStyle w:val="39"/>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生活污水无统一的收集和处理系统，通过化粪池处理后就近排入排洪隧洞，部分进入生产废水处理站与生产废水一同处理后排入渣滓溪，部分直接排放。</w:t>
            </w:r>
          </w:p>
          <w:p w14:paraId="6E92F807">
            <w:pPr>
              <w:pStyle w:val="39"/>
              <w:keepNext w:val="0"/>
              <w:keepLines w:val="0"/>
              <w:suppressLineNumbers w:val="0"/>
              <w:bidi w:val="0"/>
              <w:spacing w:before="0" w:beforeAutospacing="0" w:after="0" w:afterAutospacing="0"/>
              <w:ind w:left="0" w:right="0"/>
              <w:jc w:val="both"/>
              <w:rPr>
                <w:rFonts w:hint="eastAsia"/>
                <w:b/>
                <w:bCs/>
                <w:color w:val="auto"/>
                <w:highlight w:val="none"/>
                <w:lang w:val="en-US" w:eastAsia="zh-CN"/>
              </w:rPr>
            </w:pPr>
            <w:r>
              <w:rPr>
                <w:rFonts w:hint="eastAsia"/>
                <w:b/>
                <w:bCs/>
                <w:color w:val="auto"/>
                <w:highlight w:val="none"/>
                <w:lang w:val="en-US" w:eastAsia="zh-CN"/>
              </w:rPr>
              <w:t>调整后：</w:t>
            </w:r>
          </w:p>
          <w:p w14:paraId="4D941920">
            <w:pPr>
              <w:pStyle w:val="39"/>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由于增加了充填量，充填耗水量增加，废水处理站处理的企业生产废水水量减少；增加山体渗水处理量，枯水期处理1550.2m</w:t>
            </w:r>
            <w:r>
              <w:rPr>
                <w:rFonts w:hint="eastAsia"/>
                <w:color w:val="auto"/>
                <w:highlight w:val="none"/>
                <w:vertAlign w:val="superscript"/>
                <w:lang w:val="en-US" w:eastAsia="zh-CN"/>
              </w:rPr>
              <w:t>3</w:t>
            </w:r>
            <w:r>
              <w:rPr>
                <w:rFonts w:hint="eastAsia"/>
                <w:color w:val="auto"/>
                <w:highlight w:val="none"/>
                <w:lang w:val="en-US" w:eastAsia="zh-CN"/>
              </w:rPr>
              <w:t>/d，平水期2161.45m</w:t>
            </w:r>
            <w:r>
              <w:rPr>
                <w:rFonts w:hint="eastAsia"/>
                <w:color w:val="auto"/>
                <w:highlight w:val="none"/>
                <w:vertAlign w:val="superscript"/>
                <w:lang w:val="en-US" w:eastAsia="zh-CN"/>
              </w:rPr>
              <w:t>3</w:t>
            </w:r>
            <w:r>
              <w:rPr>
                <w:rFonts w:hint="eastAsia"/>
                <w:color w:val="auto"/>
                <w:highlight w:val="none"/>
                <w:lang w:val="en-US" w:eastAsia="zh-CN"/>
              </w:rPr>
              <w:t>/d，丰水期1200.85m</w:t>
            </w:r>
            <w:r>
              <w:rPr>
                <w:rFonts w:hint="eastAsia"/>
                <w:color w:val="auto"/>
                <w:highlight w:val="none"/>
                <w:vertAlign w:val="superscript"/>
                <w:lang w:val="en-US" w:eastAsia="zh-CN"/>
              </w:rPr>
              <w:t>3</w:t>
            </w:r>
            <w:r>
              <w:rPr>
                <w:rFonts w:hint="eastAsia"/>
                <w:color w:val="auto"/>
                <w:highlight w:val="none"/>
                <w:lang w:val="en-US" w:eastAsia="zh-CN"/>
              </w:rPr>
              <w:t>/d；新建生活废水处理站及相关管道，对生活污水进行集中收集和处理，处理后的生活污水送厂内生产废水进一步去除重金属。</w:t>
            </w:r>
          </w:p>
          <w:p w14:paraId="0914C2B4">
            <w:pPr>
              <w:pStyle w:val="39"/>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其他不变。</w:t>
            </w:r>
          </w:p>
        </w:tc>
        <w:tc>
          <w:tcPr>
            <w:tcW w:w="551" w:type="pct"/>
            <w:gridSpan w:val="2"/>
            <w:vAlign w:val="center"/>
          </w:tcPr>
          <w:p w14:paraId="725EA0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b/>
                <w:bCs/>
                <w:color w:val="auto"/>
                <w:highlight w:val="none"/>
                <w:lang w:val="en-US" w:eastAsia="zh-CN"/>
              </w:rPr>
              <w:t>新增生活污水处理系统</w:t>
            </w:r>
          </w:p>
        </w:tc>
      </w:tr>
      <w:tr w14:paraId="3E21E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674C08A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Merge w:val="continue"/>
            <w:vAlign w:val="center"/>
          </w:tcPr>
          <w:p w14:paraId="05BA61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36" w:type="pct"/>
            <w:vAlign w:val="center"/>
          </w:tcPr>
          <w:p w14:paraId="17590374">
            <w:pPr>
              <w:pStyle w:val="39"/>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雨水及事故水：选厂内设置了截排水沟；选矿厂在地势最低点设置了一个10m</w:t>
            </w:r>
            <w:r>
              <w:rPr>
                <w:rFonts w:hint="eastAsia"/>
                <w:color w:val="auto"/>
                <w:highlight w:val="none"/>
                <w:vertAlign w:val="superscript"/>
                <w:lang w:val="en-US" w:eastAsia="zh-CN"/>
              </w:rPr>
              <w:t>3</w:t>
            </w:r>
            <w:r>
              <w:rPr>
                <w:rFonts w:hint="eastAsia"/>
                <w:color w:val="auto"/>
                <w:highlight w:val="none"/>
                <w:lang w:val="en-US" w:eastAsia="zh-CN"/>
              </w:rPr>
              <w:t>容积的初期雨水抽提井，兼做事故池，并在雨水抽提井周围建设了积水围堰，用于收集初期雨水，初期雨水抽提至选矿车间内应急池，回用于选矿。选厂后期雨水通过管道排入了排洪隧洞。</w:t>
            </w:r>
          </w:p>
        </w:tc>
        <w:tc>
          <w:tcPr>
            <w:tcW w:w="551" w:type="pct"/>
            <w:gridSpan w:val="2"/>
            <w:vAlign w:val="center"/>
          </w:tcPr>
          <w:p w14:paraId="09A33D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不变</w:t>
            </w:r>
          </w:p>
        </w:tc>
      </w:tr>
      <w:tr w14:paraId="2341C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140674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Align w:val="center"/>
          </w:tcPr>
          <w:p w14:paraId="27F886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供电</w:t>
            </w:r>
          </w:p>
        </w:tc>
        <w:tc>
          <w:tcPr>
            <w:tcW w:w="3336" w:type="pct"/>
            <w:vAlign w:val="center"/>
          </w:tcPr>
          <w:p w14:paraId="0B1A230B">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35KV变电站1座，各分厂或车间分别设置配电室</w:t>
            </w:r>
          </w:p>
        </w:tc>
        <w:tc>
          <w:tcPr>
            <w:tcW w:w="551" w:type="pct"/>
            <w:gridSpan w:val="2"/>
            <w:vAlign w:val="center"/>
          </w:tcPr>
          <w:p w14:paraId="6A10F7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6FE298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restart"/>
            <w:vAlign w:val="center"/>
          </w:tcPr>
          <w:p w14:paraId="110F765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环保工程</w:t>
            </w:r>
          </w:p>
        </w:tc>
        <w:tc>
          <w:tcPr>
            <w:tcW w:w="809" w:type="pct"/>
            <w:gridSpan w:val="2"/>
            <w:vMerge w:val="restart"/>
            <w:vAlign w:val="center"/>
          </w:tcPr>
          <w:p w14:paraId="07DF5C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废气治理</w:t>
            </w:r>
          </w:p>
        </w:tc>
        <w:tc>
          <w:tcPr>
            <w:tcW w:w="3336" w:type="pct"/>
            <w:vAlign w:val="center"/>
          </w:tcPr>
          <w:p w14:paraId="41AFD259">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井下采取湿式凿岩、喷雾洒水、洗壁等降尘措施，采用机械通风对地下采场进行通风换气。</w:t>
            </w:r>
          </w:p>
        </w:tc>
        <w:tc>
          <w:tcPr>
            <w:tcW w:w="551" w:type="pct"/>
            <w:gridSpan w:val="2"/>
            <w:vAlign w:val="center"/>
          </w:tcPr>
          <w:p w14:paraId="14A8EC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1DF28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3D19E5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Merge w:val="continue"/>
            <w:vAlign w:val="center"/>
          </w:tcPr>
          <w:p w14:paraId="413A37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36" w:type="pct"/>
            <w:vAlign w:val="center"/>
          </w:tcPr>
          <w:p w14:paraId="18C124D7">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选厂矿石破碎、筛分将粉尘，</w:t>
            </w:r>
            <w:r>
              <w:rPr>
                <w:rFonts w:hint="eastAsia"/>
                <w:color w:val="auto"/>
                <w:highlight w:val="none"/>
                <w:lang w:val="en-US" w:eastAsia="zh-CN"/>
              </w:rPr>
              <w:t>主要是通过洒水抑尘处理</w:t>
            </w:r>
            <w:r>
              <w:rPr>
                <w:rFonts w:hint="default"/>
                <w:color w:val="auto"/>
                <w:highlight w:val="none"/>
                <w:lang w:val="en-US" w:eastAsia="zh-CN"/>
              </w:rPr>
              <w:t>。</w:t>
            </w:r>
          </w:p>
        </w:tc>
        <w:tc>
          <w:tcPr>
            <w:tcW w:w="551" w:type="pct"/>
            <w:gridSpan w:val="2"/>
            <w:vAlign w:val="center"/>
          </w:tcPr>
          <w:p w14:paraId="74CE2E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77865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4B99CA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restart"/>
            <w:vAlign w:val="center"/>
          </w:tcPr>
          <w:p w14:paraId="4D9638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废水治理</w:t>
            </w:r>
          </w:p>
        </w:tc>
        <w:tc>
          <w:tcPr>
            <w:tcW w:w="550" w:type="pct"/>
            <w:vAlign w:val="center"/>
          </w:tcPr>
          <w:p w14:paraId="3DEDB3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选矿废水</w:t>
            </w:r>
          </w:p>
        </w:tc>
        <w:tc>
          <w:tcPr>
            <w:tcW w:w="3336" w:type="pct"/>
            <w:vAlign w:val="center"/>
          </w:tcPr>
          <w:p w14:paraId="38F5B6AA">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选矿废水主要包括各类浓密水、选厂冲洗水，全部回用于选矿生产。</w:t>
            </w:r>
          </w:p>
        </w:tc>
        <w:tc>
          <w:tcPr>
            <w:tcW w:w="551" w:type="pct"/>
            <w:gridSpan w:val="2"/>
            <w:vAlign w:val="center"/>
          </w:tcPr>
          <w:p w14:paraId="766F95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67D80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718AD4A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52FEFE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498B991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采矿废水</w:t>
            </w:r>
          </w:p>
        </w:tc>
        <w:tc>
          <w:tcPr>
            <w:tcW w:w="3336" w:type="pct"/>
            <w:vAlign w:val="center"/>
          </w:tcPr>
          <w:p w14:paraId="06EDA304">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default"/>
                <w:color w:val="auto"/>
                <w:highlight w:val="none"/>
                <w:lang w:val="en-US" w:eastAsia="zh-CN"/>
              </w:rPr>
              <w:t>井下生产废水和井下涌水通过井下水仓收集后排入480井口循环水池</w:t>
            </w:r>
            <w:r>
              <w:rPr>
                <w:rFonts w:hint="eastAsia"/>
                <w:color w:val="auto"/>
                <w:highlight w:val="none"/>
                <w:lang w:val="en-US" w:eastAsia="zh-CN"/>
              </w:rPr>
              <w:t>，用于选矿和冶炼，多余的排入废水处理站</w:t>
            </w:r>
            <w:r>
              <w:rPr>
                <w:rFonts w:hint="default"/>
                <w:color w:val="auto"/>
                <w:highlight w:val="none"/>
                <w:lang w:val="en-US" w:eastAsia="zh-CN"/>
              </w:rPr>
              <w:t>；</w:t>
            </w:r>
          </w:p>
        </w:tc>
        <w:tc>
          <w:tcPr>
            <w:tcW w:w="551" w:type="pct"/>
            <w:gridSpan w:val="2"/>
            <w:vAlign w:val="center"/>
          </w:tcPr>
          <w:p w14:paraId="60F023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694BD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03A7FB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234875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40EE3D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尾矿库废水</w:t>
            </w:r>
          </w:p>
        </w:tc>
        <w:tc>
          <w:tcPr>
            <w:tcW w:w="3336" w:type="pct"/>
            <w:vAlign w:val="center"/>
          </w:tcPr>
          <w:p w14:paraId="43C61ACD">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default"/>
                <w:color w:val="auto"/>
                <w:highlight w:val="none"/>
                <w:lang w:val="en-US" w:eastAsia="zh-CN"/>
              </w:rPr>
              <w:t>矿库溢流水和渗滤液通过坝下澄清水池收集后排入480井口循环水池，用于选矿和冶炼，多余的排入废水处理站；</w:t>
            </w:r>
          </w:p>
        </w:tc>
        <w:tc>
          <w:tcPr>
            <w:tcW w:w="551" w:type="pct"/>
            <w:gridSpan w:val="2"/>
            <w:vAlign w:val="center"/>
          </w:tcPr>
          <w:p w14:paraId="6F7AF2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30FD6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4A1C3D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212E289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2A918A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排洪隧洞水</w:t>
            </w:r>
          </w:p>
        </w:tc>
        <w:tc>
          <w:tcPr>
            <w:tcW w:w="3336" w:type="pct"/>
            <w:vAlign w:val="center"/>
          </w:tcPr>
          <w:p w14:paraId="73C6C709">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排洪隧洞内有山体渗水，随溪水排放至下游。在隧洞口，部分进入生产废水处理站与生产废水一同处理后排入渣滓溪，部分直接排放。</w:t>
            </w:r>
          </w:p>
          <w:p w14:paraId="206567AE">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调整后增加排洪隧洞中山体渗水的处理规模。</w:t>
            </w:r>
          </w:p>
        </w:tc>
        <w:tc>
          <w:tcPr>
            <w:tcW w:w="551" w:type="pct"/>
            <w:gridSpan w:val="2"/>
            <w:vAlign w:val="center"/>
          </w:tcPr>
          <w:p w14:paraId="6F3A66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调整</w:t>
            </w:r>
          </w:p>
        </w:tc>
      </w:tr>
      <w:tr w14:paraId="63487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1EF3B9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3EE695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2520C7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生产废水处理站</w:t>
            </w:r>
          </w:p>
        </w:tc>
        <w:tc>
          <w:tcPr>
            <w:tcW w:w="3336" w:type="pct"/>
            <w:vAlign w:val="center"/>
          </w:tcPr>
          <w:p w14:paraId="5FB7B4DB">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老尾矿库下游建有企业生产废水处理站，处理能力为140m</w:t>
            </w:r>
            <w:r>
              <w:rPr>
                <w:rFonts w:hint="eastAsia"/>
                <w:color w:val="auto"/>
                <w:highlight w:val="none"/>
                <w:vertAlign w:val="superscript"/>
                <w:lang w:val="en-US" w:eastAsia="zh-CN"/>
              </w:rPr>
              <w:t>3</w:t>
            </w:r>
            <w:r>
              <w:rPr>
                <w:rFonts w:hint="eastAsia"/>
                <w:color w:val="auto"/>
                <w:highlight w:val="none"/>
                <w:lang w:val="en-US" w:eastAsia="zh-CN"/>
              </w:rPr>
              <w:t>/h，采用混凝沉淀工艺，处理后达标排放至渣滓溪。</w:t>
            </w:r>
          </w:p>
        </w:tc>
        <w:tc>
          <w:tcPr>
            <w:tcW w:w="551" w:type="pct"/>
            <w:gridSpan w:val="2"/>
            <w:vAlign w:val="center"/>
          </w:tcPr>
          <w:p w14:paraId="3C2010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0CC42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4AB9DA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6297C7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706D5E2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生活污水</w:t>
            </w:r>
          </w:p>
        </w:tc>
        <w:tc>
          <w:tcPr>
            <w:tcW w:w="3336" w:type="pct"/>
            <w:vAlign w:val="center"/>
          </w:tcPr>
          <w:p w14:paraId="51D1B0B2">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目前：生活污水未集中收集，各区域生活污水通过化粪池处理，排入排洪隧洞，后经生产废水处理站处理后达标排放。</w:t>
            </w:r>
          </w:p>
          <w:p w14:paraId="7B9B6553">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调整后：新建生活废水处理站及相关管道，对生活污水进行集中收集和处理，处理后的生活污水送厂内生产废水进一步去除重金属。</w:t>
            </w:r>
          </w:p>
        </w:tc>
        <w:tc>
          <w:tcPr>
            <w:tcW w:w="551" w:type="pct"/>
            <w:gridSpan w:val="2"/>
            <w:vAlign w:val="center"/>
          </w:tcPr>
          <w:p w14:paraId="135995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调整</w:t>
            </w:r>
          </w:p>
        </w:tc>
      </w:tr>
      <w:tr w14:paraId="01A9F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395757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5D130C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16AFF8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渣滓溪引流</w:t>
            </w:r>
          </w:p>
        </w:tc>
        <w:tc>
          <w:tcPr>
            <w:tcW w:w="3336" w:type="pct"/>
            <w:vAlign w:val="center"/>
          </w:tcPr>
          <w:p w14:paraId="0758A596">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目前：渣滓溪通过排洪隧洞排泄，与隧洞内的山体渗水混流后，锑浓度升高。</w:t>
            </w:r>
          </w:p>
          <w:p w14:paraId="43279436">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调整后：将渣滓溪用3根DN200的管道从上游引流至排洪隧洞下游。</w:t>
            </w:r>
          </w:p>
        </w:tc>
        <w:tc>
          <w:tcPr>
            <w:tcW w:w="551" w:type="pct"/>
            <w:gridSpan w:val="2"/>
            <w:vAlign w:val="center"/>
          </w:tcPr>
          <w:p w14:paraId="4642D4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b/>
                <w:bCs/>
                <w:color w:val="auto"/>
                <w:highlight w:val="none"/>
                <w:lang w:val="en-US" w:eastAsia="zh-CN"/>
              </w:rPr>
              <w:t>新增</w:t>
            </w:r>
          </w:p>
        </w:tc>
      </w:tr>
      <w:tr w14:paraId="6AA03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186118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restart"/>
            <w:vAlign w:val="center"/>
          </w:tcPr>
          <w:p w14:paraId="2C9B33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固废处理</w:t>
            </w:r>
          </w:p>
        </w:tc>
        <w:tc>
          <w:tcPr>
            <w:tcW w:w="550" w:type="pct"/>
            <w:vAlign w:val="center"/>
          </w:tcPr>
          <w:p w14:paraId="707687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尾砂</w:t>
            </w:r>
          </w:p>
        </w:tc>
        <w:tc>
          <w:tcPr>
            <w:tcW w:w="3336" w:type="pct"/>
            <w:vAlign w:val="center"/>
          </w:tcPr>
          <w:p w14:paraId="15EA672E">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目前：</w:t>
            </w:r>
            <w:r>
              <w:rPr>
                <w:rFonts w:hint="default"/>
                <w:color w:val="auto"/>
                <w:highlight w:val="none"/>
                <w:lang w:val="en-US" w:eastAsia="zh-CN"/>
              </w:rPr>
              <w:t>20</w:t>
            </w:r>
            <w:r>
              <w:rPr>
                <w:rFonts w:hint="eastAsia"/>
                <w:color w:val="auto"/>
                <w:highlight w:val="none"/>
                <w:lang w:val="en-US" w:eastAsia="zh-CN"/>
              </w:rPr>
              <w:t>18</w:t>
            </w:r>
            <w:r>
              <w:rPr>
                <w:rFonts w:hint="default"/>
                <w:color w:val="auto"/>
                <w:highlight w:val="none"/>
                <w:lang w:val="en-US" w:eastAsia="zh-CN"/>
              </w:rPr>
              <w:t>年建设</w:t>
            </w:r>
            <w:r>
              <w:rPr>
                <w:rFonts w:hint="eastAsia"/>
                <w:color w:val="auto"/>
                <w:highlight w:val="none"/>
                <w:lang w:val="en-US" w:eastAsia="zh-CN"/>
              </w:rPr>
              <w:t>充填站后，尾砂产生量为473.68t/d，其中154.56t/d尾砂用于井下充填，剩余319.12t/d尾砂排放至尾矿库。</w:t>
            </w:r>
          </w:p>
          <w:p w14:paraId="0B3F5774">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eastAsia"/>
                <w:color w:val="auto"/>
                <w:highlight w:val="none"/>
                <w:lang w:val="en-US" w:eastAsia="zh-CN"/>
              </w:rPr>
              <w:t>调整后：设计充填能力由3.6万m³/a提升至10万m³/a。</w:t>
            </w:r>
          </w:p>
          <w:p w14:paraId="137B3E17">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尾砂产生量为473.68t/d，其中154.56t/d尾砂用于井下充填，剩余319.12t/d尾砂排放至尾矿库。</w:t>
            </w:r>
          </w:p>
        </w:tc>
        <w:tc>
          <w:tcPr>
            <w:tcW w:w="551" w:type="pct"/>
            <w:gridSpan w:val="2"/>
            <w:vAlign w:val="center"/>
          </w:tcPr>
          <w:p w14:paraId="4EB265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扩建充填站</w:t>
            </w:r>
          </w:p>
        </w:tc>
      </w:tr>
      <w:tr w14:paraId="68958E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2BE4A1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7D359F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14643EE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采矿废石</w:t>
            </w:r>
          </w:p>
        </w:tc>
        <w:tc>
          <w:tcPr>
            <w:tcW w:w="3336" w:type="pct"/>
            <w:vAlign w:val="center"/>
          </w:tcPr>
          <w:p w14:paraId="5C7AE8CE">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90%不出井，剩余10%采矿废石和选厂废石临时堆存至废石堆场，随后用于井下充填。</w:t>
            </w:r>
          </w:p>
        </w:tc>
        <w:tc>
          <w:tcPr>
            <w:tcW w:w="551" w:type="pct"/>
            <w:gridSpan w:val="2"/>
            <w:vAlign w:val="center"/>
          </w:tcPr>
          <w:p w14:paraId="523FE7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19DCEE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2D7CD2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29CE9C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7340696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选矿废石</w:t>
            </w:r>
          </w:p>
        </w:tc>
        <w:tc>
          <w:tcPr>
            <w:tcW w:w="3336" w:type="pct"/>
            <w:vAlign w:val="center"/>
          </w:tcPr>
          <w:p w14:paraId="3F1B9D2D">
            <w:pPr>
              <w:pStyle w:val="26"/>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default"/>
                <w:color w:val="auto"/>
                <w:highlight w:val="none"/>
                <w:lang w:val="en-US" w:eastAsia="zh-CN"/>
              </w:rPr>
              <w:t>原环评及验收阶段：</w:t>
            </w:r>
            <w:r>
              <w:rPr>
                <w:rFonts w:hint="eastAsia"/>
                <w:color w:val="auto"/>
                <w:highlight w:val="none"/>
                <w:lang w:val="en-US" w:eastAsia="zh-CN"/>
              </w:rPr>
              <w:t>产生量为190t/d，临时堆存于废石场，后用于井下充填。</w:t>
            </w:r>
          </w:p>
          <w:p w14:paraId="6E6EE688">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现阶段：产生量为200t/d，临时堆存于废石场，后用于井下充填。</w:t>
            </w:r>
          </w:p>
        </w:tc>
        <w:tc>
          <w:tcPr>
            <w:tcW w:w="551" w:type="pct"/>
            <w:gridSpan w:val="2"/>
            <w:vAlign w:val="center"/>
          </w:tcPr>
          <w:p w14:paraId="0D90E4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1AB5A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7138FD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437995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4C8970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生活垃圾</w:t>
            </w:r>
          </w:p>
        </w:tc>
        <w:tc>
          <w:tcPr>
            <w:tcW w:w="3336" w:type="pct"/>
            <w:vAlign w:val="center"/>
          </w:tcPr>
          <w:p w14:paraId="7495C651">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在厂内收集，定期交由乡镇环卫部门处理。</w:t>
            </w:r>
          </w:p>
        </w:tc>
        <w:tc>
          <w:tcPr>
            <w:tcW w:w="551" w:type="pct"/>
            <w:gridSpan w:val="2"/>
            <w:vAlign w:val="center"/>
          </w:tcPr>
          <w:p w14:paraId="2525FC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4736D9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67F060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1DD8FA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06ACF4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废水处理站污泥</w:t>
            </w:r>
          </w:p>
        </w:tc>
        <w:tc>
          <w:tcPr>
            <w:tcW w:w="3336" w:type="pct"/>
            <w:vAlign w:val="center"/>
          </w:tcPr>
          <w:p w14:paraId="36B5780E">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排放至尾矿库。</w:t>
            </w:r>
          </w:p>
        </w:tc>
        <w:tc>
          <w:tcPr>
            <w:tcW w:w="551" w:type="pct"/>
            <w:gridSpan w:val="2"/>
            <w:vAlign w:val="center"/>
          </w:tcPr>
          <w:p w14:paraId="34D659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54E97A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6F23C4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58" w:type="pct"/>
            <w:vMerge w:val="continue"/>
            <w:vAlign w:val="center"/>
          </w:tcPr>
          <w:p w14:paraId="5E90A8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50" w:type="pct"/>
            <w:vAlign w:val="center"/>
          </w:tcPr>
          <w:p w14:paraId="57A320D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危险废物</w:t>
            </w:r>
          </w:p>
        </w:tc>
        <w:tc>
          <w:tcPr>
            <w:tcW w:w="3336" w:type="pct"/>
            <w:vAlign w:val="center"/>
          </w:tcPr>
          <w:p w14:paraId="1CAB6B6C">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采选危险废物主要是采选过程中产生的危险废物主要是废机油、空油桶。储存在选厂危废临时储存点内，废机油复用于采矿设备润滑，空油桶等交由益阳鑫诚环境科技有限公司处置</w:t>
            </w:r>
          </w:p>
        </w:tc>
        <w:tc>
          <w:tcPr>
            <w:tcW w:w="551" w:type="pct"/>
            <w:gridSpan w:val="2"/>
            <w:vAlign w:val="center"/>
          </w:tcPr>
          <w:p w14:paraId="3D70CE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01151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1A29CC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Merge w:val="restart"/>
            <w:vAlign w:val="center"/>
          </w:tcPr>
          <w:p w14:paraId="0AC475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地下水污染防治</w:t>
            </w:r>
          </w:p>
        </w:tc>
        <w:tc>
          <w:tcPr>
            <w:tcW w:w="3336" w:type="pct"/>
            <w:vAlign w:val="center"/>
          </w:tcPr>
          <w:p w14:paraId="70CB9346">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选厂地面全部使用混凝土硬化；尾矿库采用采用HDPE膜防渗；选厂事故池、尾矿库渗滤液回水池、各循环水池、废水处理站等均进行了防渗。</w:t>
            </w:r>
          </w:p>
        </w:tc>
        <w:tc>
          <w:tcPr>
            <w:tcW w:w="551" w:type="pct"/>
            <w:gridSpan w:val="2"/>
            <w:vAlign w:val="center"/>
          </w:tcPr>
          <w:p w14:paraId="17886E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791DB7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345518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Merge w:val="continue"/>
            <w:vAlign w:val="center"/>
          </w:tcPr>
          <w:p w14:paraId="671A1D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36" w:type="pct"/>
            <w:vAlign w:val="center"/>
          </w:tcPr>
          <w:p w14:paraId="59C3A7B4">
            <w:pPr>
              <w:pStyle w:val="26"/>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厂区内共设置了5座地下水监控井。</w:t>
            </w:r>
          </w:p>
        </w:tc>
        <w:tc>
          <w:tcPr>
            <w:tcW w:w="551" w:type="pct"/>
            <w:gridSpan w:val="2"/>
            <w:vAlign w:val="center"/>
          </w:tcPr>
          <w:p w14:paraId="18A2B7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477EF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78085F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Merge w:val="restart"/>
            <w:vAlign w:val="center"/>
          </w:tcPr>
          <w:p w14:paraId="5CC811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环境风险管控</w:t>
            </w:r>
          </w:p>
        </w:tc>
        <w:tc>
          <w:tcPr>
            <w:tcW w:w="3336" w:type="pct"/>
            <w:vAlign w:val="center"/>
          </w:tcPr>
          <w:p w14:paraId="5B7AE727">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企业按要求编制了突发环境事件应急预案，最近一次修编为2021年.</w:t>
            </w:r>
          </w:p>
        </w:tc>
        <w:tc>
          <w:tcPr>
            <w:tcW w:w="551" w:type="pct"/>
            <w:gridSpan w:val="2"/>
            <w:vAlign w:val="center"/>
          </w:tcPr>
          <w:p w14:paraId="376649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r w14:paraId="0867D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gridAfter w:val="1"/>
          <w:wAfter w:w="3" w:type="pct"/>
        </w:trPr>
        <w:tc>
          <w:tcPr>
            <w:tcW w:w="298" w:type="pct"/>
            <w:gridSpan w:val="2"/>
            <w:vMerge w:val="continue"/>
            <w:vAlign w:val="center"/>
          </w:tcPr>
          <w:p w14:paraId="3A3E89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809" w:type="pct"/>
            <w:gridSpan w:val="2"/>
            <w:vMerge w:val="continue"/>
            <w:vAlign w:val="center"/>
          </w:tcPr>
          <w:p w14:paraId="2655A2C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336" w:type="pct"/>
            <w:vAlign w:val="center"/>
          </w:tcPr>
          <w:p w14:paraId="0C5D991C">
            <w:pPr>
              <w:pStyle w:val="26"/>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企业按要求编制了《湖南安化渣滓溪矿业有限公司土壤污染隐患排查报告》，最近一次修编为2022年。</w:t>
            </w:r>
          </w:p>
        </w:tc>
        <w:tc>
          <w:tcPr>
            <w:tcW w:w="551" w:type="pct"/>
            <w:gridSpan w:val="2"/>
            <w:vAlign w:val="center"/>
          </w:tcPr>
          <w:p w14:paraId="43CE58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不变</w:t>
            </w:r>
          </w:p>
        </w:tc>
      </w:tr>
    </w:tbl>
    <w:p w14:paraId="7D260610">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p>
    <w:p w14:paraId="338CFCAA">
      <w:pPr>
        <w:pStyle w:val="34"/>
        <w:bidi w:val="0"/>
        <w:rPr>
          <w:rFonts w:hint="eastAsia"/>
          <w:color w:val="auto"/>
          <w:highlight w:val="none"/>
          <w:lang w:val="en-US" w:eastAsia="zh-CN"/>
        </w:rPr>
      </w:pPr>
      <w:r>
        <w:rPr>
          <w:rFonts w:hint="eastAsia"/>
          <w:color w:val="auto"/>
          <w:highlight w:val="none"/>
          <w:lang w:val="en-US" w:eastAsia="zh-CN"/>
        </w:rPr>
        <w:t>充填站扩建工程</w:t>
      </w:r>
    </w:p>
    <w:p w14:paraId="7534DC8E">
      <w:pPr>
        <w:pStyle w:val="2"/>
        <w:numPr>
          <w:ilvl w:val="0"/>
          <w:numId w:val="0"/>
        </w:numPr>
        <w:tabs>
          <w:tab w:val="left" w:pos="0"/>
          <w:tab w:val="clear" w:pos="1021"/>
        </w:tabs>
        <w:bidi w:val="0"/>
        <w:ind w:leftChars="200"/>
        <w:rPr>
          <w:b/>
          <w:bCs/>
          <w:color w:val="auto"/>
          <w:highlight w:val="none"/>
          <w:lang w:val="en-US" w:eastAsia="zh-CN"/>
        </w:rPr>
      </w:pPr>
      <w:bookmarkStart w:id="33" w:name="_Toc16693"/>
      <w:r>
        <w:rPr>
          <w:rFonts w:hint="eastAsia"/>
          <w:b/>
          <w:bCs/>
          <w:color w:val="auto"/>
          <w:highlight w:val="none"/>
          <w:lang w:val="en-US" w:eastAsia="zh-CN"/>
        </w:rPr>
        <w:t>一、充填系统设计能力</w:t>
      </w:r>
      <w:bookmarkEnd w:id="33"/>
    </w:p>
    <w:p w14:paraId="04F395AD">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bookmarkStart w:id="34" w:name="_Hlk162220184"/>
      <w:r>
        <w:rPr>
          <w:rFonts w:hint="eastAsia" w:ascii="Times New Roman" w:hAnsi="Times New Roman" w:eastAsia="宋体" w:cs="Times New Roman"/>
          <w:color w:val="auto"/>
          <w:kern w:val="2"/>
          <w:sz w:val="24"/>
          <w:highlight w:val="none"/>
          <w:lang w:val="en-US" w:eastAsia="zh-CN" w:bidi="ar-SA"/>
        </w:rPr>
        <w:t>根据当前生产对充填系统能力需求、后续扩大生产及深部安全高效开采需要，</w:t>
      </w:r>
      <w:r>
        <w:rPr>
          <w:rFonts w:hint="eastAsia" w:cs="Times New Roman"/>
          <w:color w:val="auto"/>
          <w:kern w:val="2"/>
          <w:sz w:val="24"/>
          <w:highlight w:val="none"/>
          <w:lang w:val="en-US" w:eastAsia="zh-CN" w:bidi="ar-SA"/>
        </w:rPr>
        <w:t>调整</w:t>
      </w:r>
      <w:r>
        <w:rPr>
          <w:rFonts w:hint="eastAsia" w:ascii="Times New Roman" w:hAnsi="Times New Roman" w:eastAsia="宋体" w:cs="Times New Roman"/>
          <w:color w:val="auto"/>
          <w:kern w:val="2"/>
          <w:sz w:val="24"/>
          <w:highlight w:val="none"/>
          <w:lang w:val="en-US" w:eastAsia="zh-CN" w:bidi="ar-SA"/>
        </w:rPr>
        <w:t>后的充填系统能力确定为</w:t>
      </w:r>
      <w:r>
        <w:rPr>
          <w:rFonts w:ascii="Times New Roman" w:hAnsi="Times New Roman" w:eastAsia="宋体" w:cs="Times New Roman"/>
          <w:color w:val="auto"/>
          <w:kern w:val="2"/>
          <w:sz w:val="24"/>
          <w:highlight w:val="none"/>
          <w:lang w:val="en-US" w:eastAsia="zh-CN" w:bidi="ar-SA"/>
        </w:rPr>
        <w:t>6</w:t>
      </w:r>
      <w:r>
        <w:rPr>
          <w:rFonts w:hint="eastAsia" w:ascii="Times New Roman" w:hAnsi="Times New Roman" w:eastAsia="宋体" w:cs="Times New Roman"/>
          <w:color w:val="auto"/>
          <w:kern w:val="2"/>
          <w:sz w:val="24"/>
          <w:highlight w:val="none"/>
          <w:lang w:val="en-US" w:eastAsia="zh-CN" w:bidi="ar-SA"/>
        </w:rPr>
        <w:t>0</w:t>
      </w:r>
      <w:r>
        <w:rPr>
          <w:rFonts w:ascii="Times New Roman" w:hAnsi="Times New Roman" w:eastAsia="宋体" w:cs="Times New Roman"/>
          <w:color w:val="auto"/>
          <w:kern w:val="2"/>
          <w:sz w:val="24"/>
          <w:highlight w:val="none"/>
          <w:lang w:val="en-US" w:eastAsia="zh-CN" w:bidi="ar-SA"/>
        </w:rPr>
        <w:t>~80</w:t>
      </w:r>
      <w:r>
        <w:rPr>
          <w:rFonts w:hint="eastAsia" w:ascii="Times New Roman" w:hAnsi="Times New Roman" w:eastAsia="宋体" w:cs="Times New Roman"/>
          <w:color w:val="auto"/>
          <w:kern w:val="2"/>
          <w:sz w:val="24"/>
          <w:highlight w:val="none"/>
          <w:lang w:val="en-US" w:eastAsia="zh-CN" w:bidi="ar-SA"/>
        </w:rPr>
        <w:t>m³/h，年充填能力不低于</w:t>
      </w:r>
      <w:r>
        <w:rPr>
          <w:rFonts w:ascii="Times New Roman" w:hAnsi="Times New Roman" w:eastAsia="宋体" w:cs="Times New Roman"/>
          <w:color w:val="auto"/>
          <w:kern w:val="2"/>
          <w:sz w:val="24"/>
          <w:highlight w:val="none"/>
          <w:lang w:val="en-US" w:eastAsia="zh-CN" w:bidi="ar-SA"/>
        </w:rPr>
        <w:t>10</w:t>
      </w:r>
      <w:r>
        <w:rPr>
          <w:rFonts w:hint="eastAsia" w:ascii="Times New Roman" w:hAnsi="Times New Roman" w:eastAsia="宋体" w:cs="Times New Roman"/>
          <w:color w:val="auto"/>
          <w:kern w:val="2"/>
          <w:sz w:val="24"/>
          <w:highlight w:val="none"/>
          <w:lang w:val="en-US" w:eastAsia="zh-CN" w:bidi="ar-SA"/>
        </w:rPr>
        <w:t>万m³。</w:t>
      </w:r>
      <w:bookmarkEnd w:id="34"/>
    </w:p>
    <w:p w14:paraId="2DF57E2A">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①日</w:t>
      </w:r>
      <w:r>
        <w:rPr>
          <w:rFonts w:ascii="Times New Roman" w:hAnsi="Times New Roman" w:eastAsia="宋体" w:cs="Times New Roman"/>
          <w:color w:val="auto"/>
          <w:kern w:val="2"/>
          <w:sz w:val="24"/>
          <w:highlight w:val="none"/>
          <w:lang w:val="en-US" w:eastAsia="zh-CN" w:bidi="ar-SA"/>
        </w:rPr>
        <w:t>平均充填</w:t>
      </w:r>
      <w:r>
        <w:rPr>
          <w:rFonts w:hint="eastAsia" w:ascii="Times New Roman" w:hAnsi="Times New Roman" w:eastAsia="宋体" w:cs="Times New Roman"/>
          <w:color w:val="auto"/>
          <w:kern w:val="2"/>
          <w:sz w:val="24"/>
          <w:highlight w:val="none"/>
          <w:lang w:val="en-US" w:eastAsia="zh-CN" w:bidi="ar-SA"/>
        </w:rPr>
        <w:t>实体</w:t>
      </w:r>
      <w:r>
        <w:rPr>
          <w:rFonts w:ascii="Times New Roman" w:hAnsi="Times New Roman" w:eastAsia="宋体" w:cs="Times New Roman"/>
          <w:color w:val="auto"/>
          <w:kern w:val="2"/>
          <w:sz w:val="24"/>
          <w:highlight w:val="none"/>
          <w:lang w:val="en-US" w:eastAsia="zh-CN" w:bidi="ar-SA"/>
        </w:rPr>
        <w:t>量</w:t>
      </w:r>
    </w:p>
    <w:p w14:paraId="58FC7498">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全年按工作300天计算，日均充填量为333.3</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ascii="Times New Roman" w:hAnsi="Times New Roman" w:eastAsia="宋体" w:cs="Times New Roman"/>
          <w:color w:val="auto"/>
          <w:kern w:val="2"/>
          <w:sz w:val="24"/>
          <w:highlight w:val="none"/>
          <w:lang w:val="en-US" w:eastAsia="zh-CN" w:bidi="ar-SA"/>
        </w:rPr>
        <w:t>/d</w:t>
      </w:r>
    </w:p>
    <w:p w14:paraId="0B183AAE">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②</w:t>
      </w:r>
      <w:r>
        <w:rPr>
          <w:rFonts w:ascii="Times New Roman" w:hAnsi="Times New Roman" w:eastAsia="宋体" w:cs="Times New Roman"/>
          <w:color w:val="auto"/>
          <w:kern w:val="2"/>
          <w:sz w:val="24"/>
          <w:highlight w:val="none"/>
          <w:lang w:val="en-US" w:eastAsia="zh-CN" w:bidi="ar-SA"/>
        </w:rPr>
        <w:t>日需平均充填</w:t>
      </w:r>
      <w:r>
        <w:rPr>
          <w:rFonts w:hint="eastAsia" w:ascii="Times New Roman" w:hAnsi="Times New Roman" w:eastAsia="宋体" w:cs="Times New Roman"/>
          <w:color w:val="auto"/>
          <w:kern w:val="2"/>
          <w:sz w:val="24"/>
          <w:highlight w:val="none"/>
          <w:lang w:val="en-US" w:eastAsia="zh-CN" w:bidi="ar-SA"/>
        </w:rPr>
        <w:t>料浆</w:t>
      </w:r>
      <w:r>
        <w:rPr>
          <w:rFonts w:ascii="Times New Roman" w:hAnsi="Times New Roman" w:eastAsia="宋体" w:cs="Times New Roman"/>
          <w:color w:val="auto"/>
          <w:kern w:val="2"/>
          <w:sz w:val="24"/>
          <w:highlight w:val="none"/>
          <w:lang w:val="en-US" w:eastAsia="zh-CN" w:bidi="ar-SA"/>
        </w:rPr>
        <w:t>量</w:t>
      </w:r>
    </w:p>
    <w:p w14:paraId="500FDCAB">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position w:val="-12"/>
          <w:sz w:val="24"/>
          <w:szCs w:val="22"/>
          <w:highlight w:val="none"/>
          <w:lang w:val="en-US" w:eastAsia="zh-CN" w:bidi="ar-SA"/>
        </w:rPr>
        <w:object>
          <v:shape id="_x0000_i1025" o:spt="75" type="#_x0000_t75" style="height:19.2pt;width:230.5pt;" o:ole="t" filled="f" o:preferrelative="t" stroked="f" coordsize="21600,21600">
            <v:path/>
            <v:fill on="f" focussize="0,0"/>
            <v:stroke on="f"/>
            <v:imagedata r:id="rId30" o:title=""/>
            <o:lock v:ext="edit" aspectratio="t"/>
            <w10:wrap type="none"/>
            <w10:anchorlock/>
          </v:shape>
          <o:OLEObject Type="Embed" ProgID="Equation.3" ShapeID="_x0000_i1025" DrawAspect="Content" ObjectID="_1468075725" r:id="rId29">
            <o:LockedField>false</o:LockedField>
          </o:OLEObject>
        </w:object>
      </w:r>
    </w:p>
    <w:p w14:paraId="5A377EA6">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式中：</w:t>
      </w:r>
      <w:r>
        <w:rPr>
          <w:rFonts w:ascii="Times New Roman" w:hAnsi="Times New Roman" w:eastAsia="宋体" w:cs="Times New Roman"/>
          <w:color w:val="auto"/>
          <w:kern w:val="2"/>
          <w:position w:val="-10"/>
          <w:sz w:val="24"/>
          <w:szCs w:val="22"/>
          <w:highlight w:val="none"/>
          <w:lang w:val="en-US" w:eastAsia="zh-CN" w:bidi="ar-SA"/>
        </w:rPr>
        <w:object>
          <v:shape id="_x0000_i1026" o:spt="75" type="#_x0000_t75" style="height:19.2pt;width:12pt;" o:ole="t" filled="f" o:preferrelative="t" stroked="f" coordsize="21600,21600">
            <v:path/>
            <v:fill on="f" focussize="0,0"/>
            <v:stroke on="f" joinstyle="miter"/>
            <v:imagedata r:id="rId32" o:title=""/>
            <o:lock v:ext="edit" aspectratio="t"/>
            <w10:wrap type="none"/>
            <w10:anchorlock/>
          </v:shape>
          <o:OLEObject Type="Embed" ProgID="Equation.3" ShapeID="_x0000_i1026" DrawAspect="Content" ObjectID="_1468075726" r:id="rId31">
            <o:LockedField>false</o:LockedField>
          </o:OLEObject>
        </w:object>
      </w:r>
      <w:r>
        <w:rPr>
          <w:rFonts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日</w:t>
      </w:r>
      <w:r>
        <w:rPr>
          <w:rFonts w:ascii="Times New Roman" w:hAnsi="Times New Roman" w:eastAsia="宋体" w:cs="Times New Roman"/>
          <w:color w:val="auto"/>
          <w:kern w:val="2"/>
          <w:sz w:val="24"/>
          <w:highlight w:val="none"/>
          <w:lang w:val="en-US" w:eastAsia="zh-CN" w:bidi="ar-SA"/>
        </w:rPr>
        <w:t>平均充填料浆体积，</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d</w:t>
      </w:r>
      <w:r>
        <w:rPr>
          <w:rFonts w:ascii="Times New Roman" w:hAnsi="Times New Roman" w:eastAsia="宋体" w:cs="Times New Roman"/>
          <w:color w:val="auto"/>
          <w:kern w:val="2"/>
          <w:sz w:val="24"/>
          <w:highlight w:val="none"/>
          <w:lang w:val="en-US" w:eastAsia="zh-CN" w:bidi="ar-SA"/>
        </w:rPr>
        <w:t>；</w:t>
      </w:r>
    </w:p>
    <w:p w14:paraId="21C9F28C">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 xml:space="preserve">      </w:t>
      </w:r>
      <w:r>
        <w:rPr>
          <w:rFonts w:hint="eastAsia" w:ascii="Times New Roman" w:hAnsi="Times New Roman" w:eastAsia="宋体" w:cs="Times New Roman"/>
          <w:color w:val="auto"/>
          <w:kern w:val="2"/>
          <w:sz w:val="24"/>
          <w:highlight w:val="none"/>
          <w:lang w:val="en-US" w:eastAsia="zh-CN" w:bidi="ar-SA"/>
        </w:rPr>
        <w:t>K1－沉缩比，取K1=1.</w:t>
      </w:r>
      <w:r>
        <w:rPr>
          <w:rFonts w:ascii="Times New Roman" w:hAnsi="Times New Roman" w:eastAsia="宋体" w:cs="Times New Roman"/>
          <w:color w:val="auto"/>
          <w:kern w:val="2"/>
          <w:sz w:val="24"/>
          <w:highlight w:val="none"/>
          <w:lang w:val="en-US" w:eastAsia="zh-CN" w:bidi="ar-SA"/>
        </w:rPr>
        <w:t>0</w:t>
      </w:r>
      <w:r>
        <w:rPr>
          <w:rFonts w:hint="eastAsia" w:ascii="Times New Roman" w:hAnsi="Times New Roman" w:eastAsia="宋体" w:cs="Times New Roman"/>
          <w:color w:val="auto"/>
          <w:kern w:val="2"/>
          <w:sz w:val="24"/>
          <w:highlight w:val="none"/>
          <w:lang w:val="en-US" w:eastAsia="zh-CN" w:bidi="ar-SA"/>
        </w:rPr>
        <w:t>5；</w:t>
      </w:r>
    </w:p>
    <w:p w14:paraId="7C7DF9D6">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 xml:space="preserve">      K2－流失率，取K2=1.0</w:t>
      </w:r>
      <w:r>
        <w:rPr>
          <w:rFonts w:ascii="Times New Roman" w:hAnsi="Times New Roman" w:eastAsia="宋体" w:cs="Times New Roman"/>
          <w:color w:val="auto"/>
          <w:kern w:val="2"/>
          <w:sz w:val="24"/>
          <w:highlight w:val="none"/>
          <w:lang w:val="en-US" w:eastAsia="zh-CN" w:bidi="ar-SA"/>
        </w:rPr>
        <w:t>2</w:t>
      </w:r>
      <w:r>
        <w:rPr>
          <w:rFonts w:hint="eastAsia" w:ascii="Times New Roman" w:hAnsi="Times New Roman" w:eastAsia="宋体" w:cs="Times New Roman"/>
          <w:color w:val="auto"/>
          <w:kern w:val="2"/>
          <w:sz w:val="24"/>
          <w:highlight w:val="none"/>
          <w:lang w:val="en-US" w:eastAsia="zh-CN" w:bidi="ar-SA"/>
        </w:rPr>
        <w:t>。</w:t>
      </w:r>
    </w:p>
    <w:p w14:paraId="49B546A0">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③</w:t>
      </w:r>
      <w:r>
        <w:rPr>
          <w:rFonts w:ascii="Times New Roman" w:hAnsi="Times New Roman" w:eastAsia="宋体" w:cs="Times New Roman"/>
          <w:color w:val="auto"/>
          <w:kern w:val="2"/>
          <w:sz w:val="24"/>
          <w:highlight w:val="none"/>
          <w:lang w:val="en-US" w:eastAsia="zh-CN" w:bidi="ar-SA"/>
        </w:rPr>
        <w:t>日</w:t>
      </w:r>
      <w:r>
        <w:rPr>
          <w:rFonts w:hint="eastAsia" w:ascii="Times New Roman" w:hAnsi="Times New Roman" w:eastAsia="宋体" w:cs="Times New Roman"/>
          <w:color w:val="auto"/>
          <w:kern w:val="2"/>
          <w:sz w:val="24"/>
          <w:highlight w:val="none"/>
          <w:lang w:val="en-US" w:eastAsia="zh-CN" w:bidi="ar-SA"/>
        </w:rPr>
        <w:t>充填料浆制备能力</w:t>
      </w:r>
    </w:p>
    <w:p w14:paraId="3900B9B3">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szCs w:val="22"/>
          <w:highlight w:val="none"/>
          <w:lang w:val="en-US" w:eastAsia="zh-CN" w:bidi="ar-SA"/>
        </w:rPr>
        <w:object>
          <v:shape id="_x0000_i1027" o:spt="75" type="#_x0000_t75" style="height:16.8pt;width:9pt;" o:ole="t" filled="f" o:preferrelative="t" stroked="f" coordsize="21600,21600">
            <v:path/>
            <v:fill on="f" focussize="0,0"/>
            <v:stroke on="f" joinstyle="miter"/>
            <v:imagedata r:id="rId34" o:title=""/>
            <o:lock v:ext="edit" aspectratio="t"/>
            <w10:wrap type="none"/>
            <w10:anchorlock/>
          </v:shape>
          <o:OLEObject Type="Embed" ProgID="Equation.3" ShapeID="_x0000_i1027" DrawAspect="Content" ObjectID="_1468075727" r:id="rId33">
            <o:LockedField>false</o:LockedField>
          </o:OLEObject>
        </w:object>
      </w:r>
      <w:r>
        <w:rPr>
          <w:rFonts w:ascii="Times New Roman" w:hAnsi="Times New Roman" w:eastAsia="宋体" w:cs="Times New Roman"/>
          <w:color w:val="auto"/>
          <w:kern w:val="2"/>
          <w:position w:val="-12"/>
          <w:sz w:val="24"/>
          <w:szCs w:val="22"/>
          <w:highlight w:val="none"/>
          <w:lang w:val="en-US" w:eastAsia="zh-CN" w:bidi="ar-SA"/>
        </w:rPr>
        <w:object>
          <v:shape id="_x0000_i1028" o:spt="75" type="#_x0000_t75" style="height:19.2pt;width:167.55pt;" o:ole="t" filled="f" o:preferrelative="t" stroked="f" coordsize="21600,21600">
            <v:path/>
            <v:fill on="f" focussize="0,0"/>
            <v:stroke on="f"/>
            <v:imagedata r:id="rId36" o:title=""/>
            <o:lock v:ext="edit" aspectratio="t"/>
            <w10:wrap type="none"/>
            <w10:anchorlock/>
          </v:shape>
          <o:OLEObject Type="Embed" ProgID="Equation.3" ShapeID="_x0000_i1028" DrawAspect="Content" ObjectID="_1468075728" r:id="rId35">
            <o:LockedField>false</o:LockedField>
          </o:OLEObject>
        </w:object>
      </w:r>
    </w:p>
    <w:p w14:paraId="1C34FBEB">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式中：</w:t>
      </w:r>
      <w:r>
        <w:rPr>
          <w:rFonts w:ascii="Times New Roman" w:hAnsi="Times New Roman" w:eastAsia="宋体" w:cs="Times New Roman"/>
          <w:color w:val="auto"/>
          <w:kern w:val="2"/>
          <w:position w:val="-10"/>
          <w:sz w:val="24"/>
          <w:szCs w:val="22"/>
          <w:highlight w:val="none"/>
          <w:lang w:val="en-US" w:eastAsia="zh-CN" w:bidi="ar-SA"/>
        </w:rPr>
        <w:object>
          <v:shape id="_x0000_i1029" o:spt="75" type="#_x0000_t75" style="height:19.2pt;width:14.4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29" r:id="rId37">
            <o:LockedField>false</o:LockedField>
          </o:OLEObject>
        </w:object>
      </w:r>
      <w:r>
        <w:rPr>
          <w:rFonts w:ascii="Times New Roman" w:hAnsi="Times New Roman" w:eastAsia="宋体" w:cs="Times New Roman"/>
          <w:color w:val="auto"/>
          <w:kern w:val="2"/>
          <w:sz w:val="24"/>
          <w:highlight w:val="none"/>
          <w:lang w:val="en-US" w:eastAsia="zh-CN" w:bidi="ar-SA"/>
        </w:rPr>
        <w:t>－矿山日充填能力，</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ascii="Times New Roman" w:hAnsi="Times New Roman" w:eastAsia="宋体" w:cs="Times New Roman"/>
          <w:color w:val="auto"/>
          <w:kern w:val="2"/>
          <w:sz w:val="24"/>
          <w:highlight w:val="none"/>
          <w:lang w:val="en-US" w:eastAsia="zh-CN" w:bidi="ar-SA"/>
        </w:rPr>
        <w:t>/a；</w:t>
      </w:r>
    </w:p>
    <w:p w14:paraId="540CE7D5">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 xml:space="preserve">      K－充填作业不均衡系数，取K=1.3。</w:t>
      </w:r>
    </w:p>
    <w:p w14:paraId="30C80B70">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④</w:t>
      </w:r>
      <w:r>
        <w:rPr>
          <w:rFonts w:ascii="Times New Roman" w:hAnsi="Times New Roman" w:eastAsia="宋体" w:cs="Times New Roman"/>
          <w:color w:val="auto"/>
          <w:kern w:val="2"/>
          <w:sz w:val="24"/>
          <w:highlight w:val="none"/>
          <w:lang w:val="en-US" w:eastAsia="zh-CN" w:bidi="ar-SA"/>
        </w:rPr>
        <w:t>充填系统小时充填能力</w:t>
      </w:r>
    </w:p>
    <w:p w14:paraId="032F4EA5">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position w:val="-24"/>
          <w:sz w:val="24"/>
          <w:szCs w:val="22"/>
          <w:highlight w:val="none"/>
          <w:lang w:val="en-US" w:eastAsia="zh-CN" w:bidi="ar-SA"/>
        </w:rPr>
        <w:object>
          <v:shape id="_x0000_i1030" o:spt="75" type="#_x0000_t75" style="height:32pt;width:148.7pt;" o:ole="t" filled="f" o:preferrelative="t" stroked="f" coordsize="21600,21600">
            <v:path/>
            <v:fill on="f" focussize="0,0"/>
            <v:stroke on="f"/>
            <v:imagedata r:id="rId40" o:title=""/>
            <o:lock v:ext="edit" aspectratio="t"/>
            <w10:wrap type="none"/>
            <w10:anchorlock/>
          </v:shape>
          <o:OLEObject Type="Embed" ProgID="Equation.3" ShapeID="_x0000_i1030" DrawAspect="Content" ObjectID="_1468075730" r:id="rId39">
            <o:LockedField>false</o:LockedField>
          </o:OLEObject>
        </w:object>
      </w:r>
    </w:p>
    <w:p w14:paraId="3EF21C44">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式中：</w:t>
      </w:r>
    </w:p>
    <w:p w14:paraId="3218FE80">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Qh－充填系统小时充填能力，</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ascii="Times New Roman" w:hAnsi="Times New Roman" w:eastAsia="宋体" w:cs="Times New Roman"/>
          <w:color w:val="auto"/>
          <w:kern w:val="2"/>
          <w:sz w:val="24"/>
          <w:highlight w:val="none"/>
          <w:lang w:val="en-US" w:eastAsia="zh-CN" w:bidi="ar-SA"/>
        </w:rPr>
        <w:t>/h；</w:t>
      </w:r>
    </w:p>
    <w:p w14:paraId="395B61F7">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h－每班充填下料时间（不包括准备和清洗时间），h=6.0小时。</w:t>
      </w:r>
    </w:p>
    <w:p w14:paraId="2AF7BAE6">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根据以上计算结果决定：</w:t>
      </w:r>
      <w:r>
        <w:rPr>
          <w:rFonts w:hint="eastAsia" w:cs="Times New Roman"/>
          <w:color w:val="auto"/>
          <w:kern w:val="2"/>
          <w:sz w:val="24"/>
          <w:highlight w:val="none"/>
          <w:lang w:val="en-US" w:eastAsia="zh-CN" w:bidi="ar-SA"/>
        </w:rPr>
        <w:t>调整</w:t>
      </w:r>
      <w:r>
        <w:rPr>
          <w:rFonts w:hint="eastAsia" w:ascii="Times New Roman" w:hAnsi="Times New Roman" w:eastAsia="宋体" w:cs="Times New Roman"/>
          <w:color w:val="auto"/>
          <w:kern w:val="2"/>
          <w:sz w:val="24"/>
          <w:highlight w:val="none"/>
          <w:lang w:val="en-US" w:eastAsia="zh-CN" w:bidi="ar-SA"/>
        </w:rPr>
        <w:t>优化后的</w:t>
      </w:r>
      <w:r>
        <w:rPr>
          <w:rFonts w:ascii="Times New Roman" w:hAnsi="Times New Roman" w:eastAsia="宋体" w:cs="Times New Roman"/>
          <w:color w:val="auto"/>
          <w:kern w:val="2"/>
          <w:sz w:val="24"/>
          <w:highlight w:val="none"/>
          <w:lang w:val="en-US" w:eastAsia="zh-CN" w:bidi="ar-SA"/>
        </w:rPr>
        <w:t>充填系统能力</w:t>
      </w:r>
      <w:r>
        <w:rPr>
          <w:rFonts w:hint="eastAsia" w:ascii="Times New Roman" w:hAnsi="Times New Roman" w:eastAsia="宋体" w:cs="Times New Roman"/>
          <w:color w:val="auto"/>
          <w:kern w:val="2"/>
          <w:sz w:val="24"/>
          <w:highlight w:val="none"/>
          <w:lang w:val="en-US" w:eastAsia="zh-CN" w:bidi="ar-SA"/>
        </w:rPr>
        <w:t>设计</w:t>
      </w:r>
      <w:r>
        <w:rPr>
          <w:rFonts w:ascii="Times New Roman" w:hAnsi="Times New Roman" w:eastAsia="宋体" w:cs="Times New Roman"/>
          <w:color w:val="auto"/>
          <w:kern w:val="2"/>
          <w:sz w:val="24"/>
          <w:highlight w:val="none"/>
          <w:lang w:val="en-US" w:eastAsia="zh-CN" w:bidi="ar-SA"/>
        </w:rPr>
        <w:t>为60～80m³/h，充填站最大充填量</w:t>
      </w:r>
      <w:r>
        <w:rPr>
          <w:rFonts w:hint="eastAsia" w:ascii="Times New Roman" w:hAnsi="Times New Roman" w:eastAsia="宋体" w:cs="Times New Roman"/>
          <w:color w:val="auto"/>
          <w:kern w:val="2"/>
          <w:sz w:val="24"/>
          <w:highlight w:val="none"/>
          <w:lang w:val="en-US" w:eastAsia="zh-CN" w:bidi="ar-SA"/>
        </w:rPr>
        <w:t>464</w:t>
      </w:r>
      <w:r>
        <w:rPr>
          <w:rFonts w:ascii="Times New Roman" w:hAnsi="Times New Roman" w:eastAsia="宋体" w:cs="Times New Roman"/>
          <w:color w:val="auto"/>
          <w:kern w:val="2"/>
          <w:sz w:val="24"/>
          <w:highlight w:val="none"/>
          <w:lang w:val="en-US" w:eastAsia="zh-CN" w:bidi="ar-SA"/>
        </w:rPr>
        <w:t>m³/d。充填站工作制度为：3</w:t>
      </w:r>
      <w:r>
        <w:rPr>
          <w:rFonts w:hint="eastAsia" w:ascii="Times New Roman" w:hAnsi="Times New Roman" w:eastAsia="宋体" w:cs="Times New Roman"/>
          <w:color w:val="auto"/>
          <w:kern w:val="2"/>
          <w:sz w:val="24"/>
          <w:highlight w:val="none"/>
          <w:lang w:val="en-US" w:eastAsia="zh-CN" w:bidi="ar-SA"/>
        </w:rPr>
        <w:t>0</w:t>
      </w:r>
      <w:r>
        <w:rPr>
          <w:rFonts w:ascii="Times New Roman" w:hAnsi="Times New Roman" w:eastAsia="宋体" w:cs="Times New Roman"/>
          <w:color w:val="auto"/>
          <w:kern w:val="2"/>
          <w:sz w:val="24"/>
          <w:highlight w:val="none"/>
          <w:lang w:val="en-US" w:eastAsia="zh-CN" w:bidi="ar-SA"/>
        </w:rPr>
        <w:t>0d/a，1班/d，8h/班（实际充填料浆下料时间为6h）。充填料制备站充填能力计算如表3</w:t>
      </w:r>
      <w:r>
        <w:rPr>
          <w:rFonts w:hint="eastAsia" w:ascii="Times New Roman" w:hAnsi="Times New Roman" w:eastAsia="宋体" w:cs="Times New Roman"/>
          <w:color w:val="auto"/>
          <w:kern w:val="2"/>
          <w:sz w:val="24"/>
          <w:highlight w:val="none"/>
          <w:lang w:val="en-US" w:eastAsia="zh-CN" w:bidi="ar-SA"/>
        </w:rPr>
        <w:t>-</w:t>
      </w:r>
      <w:r>
        <w:rPr>
          <w:rFonts w:ascii="Times New Roman" w:hAnsi="Times New Roman" w:eastAsia="宋体" w:cs="Times New Roman"/>
          <w:color w:val="auto"/>
          <w:kern w:val="2"/>
          <w:sz w:val="24"/>
          <w:highlight w:val="none"/>
          <w:lang w:val="en-US" w:eastAsia="zh-CN" w:bidi="ar-SA"/>
        </w:rPr>
        <w:t>1所示：</w:t>
      </w:r>
    </w:p>
    <w:p w14:paraId="6FCEB58C">
      <w:pPr>
        <w:widowControl w:val="0"/>
        <w:bidi w:val="0"/>
        <w:spacing w:line="300" w:lineRule="auto"/>
        <w:jc w:val="center"/>
        <w:outlineLvl w:val="4"/>
        <w:rPr>
          <w:rFonts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22</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w:t>
      </w:r>
      <w:r>
        <w:rPr>
          <w:rFonts w:ascii="Times New Roman" w:hAnsi="Times New Roman" w:eastAsia="黑体" w:cs="Times New Roman"/>
          <w:color w:val="auto"/>
          <w:kern w:val="2"/>
          <w:sz w:val="24"/>
          <w:highlight w:val="none"/>
          <w:lang w:val="en-US" w:eastAsia="zh-CN" w:bidi="ar-SA"/>
        </w:rPr>
        <w:t>充填料制备站充填能力计算表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3339"/>
        <w:gridCol w:w="1509"/>
        <w:gridCol w:w="1675"/>
        <w:gridCol w:w="1843"/>
      </w:tblGrid>
      <w:tr w14:paraId="018CB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72" w:type="pct"/>
            <w:tcBorders>
              <w:tl2br w:val="nil"/>
              <w:tr2bl w:val="nil"/>
            </w:tcBorders>
            <w:vAlign w:val="center"/>
          </w:tcPr>
          <w:p w14:paraId="7CE379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序号</w:t>
            </w:r>
          </w:p>
        </w:tc>
        <w:tc>
          <w:tcPr>
            <w:tcW w:w="1806" w:type="pct"/>
            <w:tcBorders>
              <w:tl2br w:val="nil"/>
              <w:tr2bl w:val="nil"/>
            </w:tcBorders>
            <w:vAlign w:val="center"/>
          </w:tcPr>
          <w:p w14:paraId="4D2E63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参数</w:t>
            </w:r>
          </w:p>
        </w:tc>
        <w:tc>
          <w:tcPr>
            <w:tcW w:w="816" w:type="pct"/>
            <w:tcBorders>
              <w:tl2br w:val="nil"/>
              <w:tr2bl w:val="nil"/>
            </w:tcBorders>
            <w:vAlign w:val="center"/>
          </w:tcPr>
          <w:p w14:paraId="4886AB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单位</w:t>
            </w:r>
          </w:p>
        </w:tc>
        <w:tc>
          <w:tcPr>
            <w:tcW w:w="906" w:type="pct"/>
            <w:tcBorders>
              <w:tl2br w:val="nil"/>
              <w:tr2bl w:val="nil"/>
            </w:tcBorders>
            <w:vAlign w:val="center"/>
          </w:tcPr>
          <w:p w14:paraId="0BE931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数量</w:t>
            </w:r>
          </w:p>
        </w:tc>
        <w:tc>
          <w:tcPr>
            <w:tcW w:w="997" w:type="pct"/>
            <w:tcBorders>
              <w:tl2br w:val="nil"/>
              <w:tr2bl w:val="nil"/>
            </w:tcBorders>
            <w:vAlign w:val="center"/>
          </w:tcPr>
          <w:p w14:paraId="28045A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备注</w:t>
            </w:r>
          </w:p>
        </w:tc>
      </w:tr>
      <w:tr w14:paraId="07551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72" w:type="pct"/>
            <w:tcBorders>
              <w:tl2br w:val="nil"/>
              <w:tr2bl w:val="nil"/>
            </w:tcBorders>
            <w:vAlign w:val="center"/>
          </w:tcPr>
          <w:p w14:paraId="2C6041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1806" w:type="pct"/>
            <w:tcBorders>
              <w:tl2br w:val="nil"/>
              <w:tr2bl w:val="nil"/>
            </w:tcBorders>
            <w:vAlign w:val="center"/>
          </w:tcPr>
          <w:p w14:paraId="7DB4EC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矿山年平均充填量</w:t>
            </w:r>
          </w:p>
        </w:tc>
        <w:tc>
          <w:tcPr>
            <w:tcW w:w="816" w:type="pct"/>
            <w:tcBorders>
              <w:tl2br w:val="nil"/>
              <w:tr2bl w:val="nil"/>
            </w:tcBorders>
            <w:vAlign w:val="center"/>
          </w:tcPr>
          <w:p w14:paraId="72833E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万</w:t>
            </w:r>
            <w:r>
              <w:rPr>
                <w:rFonts w:hint="eastAsia"/>
                <w:color w:val="auto"/>
                <w:highlight w:val="none"/>
                <w:lang w:val="en-US" w:eastAsia="zh-CN"/>
              </w:rPr>
              <w:t>m</w:t>
            </w:r>
            <w:r>
              <w:rPr>
                <w:rFonts w:hint="eastAsia"/>
                <w:color w:val="auto"/>
                <w:highlight w:val="none"/>
                <w:vertAlign w:val="superscript"/>
                <w:lang w:val="en-US" w:eastAsia="zh-CN"/>
              </w:rPr>
              <w:t>3</w:t>
            </w:r>
          </w:p>
        </w:tc>
        <w:tc>
          <w:tcPr>
            <w:tcW w:w="906" w:type="pct"/>
            <w:tcBorders>
              <w:tl2br w:val="nil"/>
              <w:tr2bl w:val="nil"/>
            </w:tcBorders>
            <w:vAlign w:val="center"/>
          </w:tcPr>
          <w:p w14:paraId="01FD8D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10</w:t>
            </w:r>
          </w:p>
        </w:tc>
        <w:tc>
          <w:tcPr>
            <w:tcW w:w="997" w:type="pct"/>
            <w:tcBorders>
              <w:tl2br w:val="nil"/>
              <w:tr2bl w:val="nil"/>
            </w:tcBorders>
            <w:vAlign w:val="center"/>
          </w:tcPr>
          <w:p w14:paraId="43205F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780E7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72" w:type="pct"/>
            <w:tcBorders>
              <w:tl2br w:val="nil"/>
              <w:tr2bl w:val="nil"/>
            </w:tcBorders>
            <w:vAlign w:val="center"/>
          </w:tcPr>
          <w:p w14:paraId="68235C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w:t>
            </w:r>
          </w:p>
        </w:tc>
        <w:tc>
          <w:tcPr>
            <w:tcW w:w="1806" w:type="pct"/>
            <w:tcBorders>
              <w:tl2br w:val="nil"/>
              <w:tr2bl w:val="nil"/>
            </w:tcBorders>
            <w:vAlign w:val="center"/>
          </w:tcPr>
          <w:p w14:paraId="1D1CDF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矿山日平均充填量</w:t>
            </w:r>
          </w:p>
        </w:tc>
        <w:tc>
          <w:tcPr>
            <w:tcW w:w="816" w:type="pct"/>
            <w:tcBorders>
              <w:tl2br w:val="nil"/>
              <w:tr2bl w:val="nil"/>
            </w:tcBorders>
            <w:vAlign w:val="center"/>
          </w:tcPr>
          <w:p w14:paraId="7B3784A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906" w:type="pct"/>
            <w:tcBorders>
              <w:tl2br w:val="nil"/>
              <w:tr2bl w:val="nil"/>
            </w:tcBorders>
            <w:vAlign w:val="center"/>
          </w:tcPr>
          <w:p w14:paraId="5ACC8D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357</w:t>
            </w:r>
          </w:p>
        </w:tc>
        <w:tc>
          <w:tcPr>
            <w:tcW w:w="997" w:type="pct"/>
            <w:tcBorders>
              <w:tl2br w:val="nil"/>
              <w:tr2bl w:val="nil"/>
            </w:tcBorders>
            <w:vAlign w:val="center"/>
          </w:tcPr>
          <w:p w14:paraId="4A94280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4854D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72" w:type="pct"/>
            <w:tcBorders>
              <w:tl2br w:val="nil"/>
              <w:tr2bl w:val="nil"/>
            </w:tcBorders>
            <w:vAlign w:val="center"/>
          </w:tcPr>
          <w:p w14:paraId="41BAE45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3</w:t>
            </w:r>
          </w:p>
        </w:tc>
        <w:tc>
          <w:tcPr>
            <w:tcW w:w="1806" w:type="pct"/>
            <w:tcBorders>
              <w:tl2br w:val="nil"/>
              <w:tr2bl w:val="nil"/>
            </w:tcBorders>
            <w:vAlign w:val="center"/>
          </w:tcPr>
          <w:p w14:paraId="693FCB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充填不均衡系数</w:t>
            </w:r>
          </w:p>
        </w:tc>
        <w:tc>
          <w:tcPr>
            <w:tcW w:w="816" w:type="pct"/>
            <w:tcBorders>
              <w:tl2br w:val="nil"/>
              <w:tr2bl w:val="nil"/>
            </w:tcBorders>
            <w:vAlign w:val="center"/>
          </w:tcPr>
          <w:p w14:paraId="550CB5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906" w:type="pct"/>
            <w:tcBorders>
              <w:tl2br w:val="nil"/>
              <w:tr2bl w:val="nil"/>
            </w:tcBorders>
            <w:vAlign w:val="center"/>
          </w:tcPr>
          <w:p w14:paraId="4DB741D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1.3</w:t>
            </w:r>
          </w:p>
        </w:tc>
        <w:tc>
          <w:tcPr>
            <w:tcW w:w="997" w:type="pct"/>
            <w:tcBorders>
              <w:tl2br w:val="nil"/>
              <w:tr2bl w:val="nil"/>
            </w:tcBorders>
            <w:vAlign w:val="center"/>
          </w:tcPr>
          <w:p w14:paraId="35A345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232BA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72" w:type="pct"/>
            <w:tcBorders>
              <w:tl2br w:val="nil"/>
              <w:tr2bl w:val="nil"/>
            </w:tcBorders>
            <w:vAlign w:val="center"/>
          </w:tcPr>
          <w:p w14:paraId="43E0DB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4</w:t>
            </w:r>
          </w:p>
        </w:tc>
        <w:tc>
          <w:tcPr>
            <w:tcW w:w="1806" w:type="pct"/>
            <w:tcBorders>
              <w:tl2br w:val="nil"/>
              <w:tr2bl w:val="nil"/>
            </w:tcBorders>
            <w:vAlign w:val="center"/>
          </w:tcPr>
          <w:p w14:paraId="16CD3A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矿山日最大充填能力</w:t>
            </w:r>
          </w:p>
        </w:tc>
        <w:tc>
          <w:tcPr>
            <w:tcW w:w="816" w:type="pct"/>
            <w:tcBorders>
              <w:tl2br w:val="nil"/>
              <w:tr2bl w:val="nil"/>
            </w:tcBorders>
            <w:vAlign w:val="center"/>
          </w:tcPr>
          <w:p w14:paraId="62B277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3</w:t>
            </w:r>
          </w:p>
        </w:tc>
        <w:tc>
          <w:tcPr>
            <w:tcW w:w="906" w:type="pct"/>
            <w:tcBorders>
              <w:tl2br w:val="nil"/>
              <w:tr2bl w:val="nil"/>
            </w:tcBorders>
            <w:vAlign w:val="center"/>
          </w:tcPr>
          <w:p w14:paraId="78A71A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464</w:t>
            </w:r>
          </w:p>
        </w:tc>
        <w:tc>
          <w:tcPr>
            <w:tcW w:w="997" w:type="pct"/>
            <w:tcBorders>
              <w:tl2br w:val="nil"/>
              <w:tr2bl w:val="nil"/>
            </w:tcBorders>
            <w:vAlign w:val="center"/>
          </w:tcPr>
          <w:p w14:paraId="28E5C12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3BA12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72" w:type="pct"/>
            <w:tcBorders>
              <w:tl2br w:val="nil"/>
              <w:tr2bl w:val="nil"/>
            </w:tcBorders>
            <w:vAlign w:val="center"/>
          </w:tcPr>
          <w:p w14:paraId="1AA866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5</w:t>
            </w:r>
          </w:p>
        </w:tc>
        <w:tc>
          <w:tcPr>
            <w:tcW w:w="1806" w:type="pct"/>
            <w:tcBorders>
              <w:tl2br w:val="nil"/>
              <w:tr2bl w:val="nil"/>
            </w:tcBorders>
            <w:vAlign w:val="center"/>
          </w:tcPr>
          <w:p w14:paraId="2D9769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充填站每天工作时间</w:t>
            </w:r>
          </w:p>
        </w:tc>
        <w:tc>
          <w:tcPr>
            <w:tcW w:w="816" w:type="pct"/>
            <w:tcBorders>
              <w:tl2br w:val="nil"/>
              <w:tr2bl w:val="nil"/>
            </w:tcBorders>
            <w:vAlign w:val="center"/>
          </w:tcPr>
          <w:p w14:paraId="0EA61E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h</w:t>
            </w:r>
          </w:p>
        </w:tc>
        <w:tc>
          <w:tcPr>
            <w:tcW w:w="906" w:type="pct"/>
            <w:tcBorders>
              <w:tl2br w:val="nil"/>
              <w:tr2bl w:val="nil"/>
            </w:tcBorders>
            <w:vAlign w:val="center"/>
          </w:tcPr>
          <w:p w14:paraId="333F78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8</w:t>
            </w:r>
          </w:p>
        </w:tc>
        <w:tc>
          <w:tcPr>
            <w:tcW w:w="997" w:type="pct"/>
            <w:tcBorders>
              <w:tl2br w:val="nil"/>
              <w:tr2bl w:val="nil"/>
            </w:tcBorders>
            <w:vAlign w:val="center"/>
          </w:tcPr>
          <w:p w14:paraId="3BADA6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1班</w:t>
            </w:r>
          </w:p>
        </w:tc>
      </w:tr>
      <w:tr w14:paraId="6DB24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72" w:type="pct"/>
            <w:tcBorders>
              <w:tl2br w:val="nil"/>
              <w:tr2bl w:val="nil"/>
            </w:tcBorders>
            <w:vAlign w:val="center"/>
          </w:tcPr>
          <w:p w14:paraId="05D03C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6</w:t>
            </w:r>
          </w:p>
        </w:tc>
        <w:tc>
          <w:tcPr>
            <w:tcW w:w="1806" w:type="pct"/>
            <w:tcBorders>
              <w:tl2br w:val="nil"/>
              <w:tr2bl w:val="nil"/>
            </w:tcBorders>
            <w:vAlign w:val="center"/>
          </w:tcPr>
          <w:p w14:paraId="5F969D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充填站单套系统充填能力</w:t>
            </w:r>
          </w:p>
        </w:tc>
        <w:tc>
          <w:tcPr>
            <w:tcW w:w="816" w:type="pct"/>
            <w:tcBorders>
              <w:tl2br w:val="nil"/>
              <w:tr2bl w:val="nil"/>
            </w:tcBorders>
            <w:vAlign w:val="center"/>
          </w:tcPr>
          <w:p w14:paraId="6EF003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/h</w:t>
            </w:r>
          </w:p>
        </w:tc>
        <w:tc>
          <w:tcPr>
            <w:tcW w:w="906" w:type="pct"/>
            <w:tcBorders>
              <w:tl2br w:val="nil"/>
              <w:tr2bl w:val="nil"/>
            </w:tcBorders>
            <w:vAlign w:val="center"/>
          </w:tcPr>
          <w:p w14:paraId="2B9B8F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60～80</w:t>
            </w:r>
          </w:p>
        </w:tc>
        <w:tc>
          <w:tcPr>
            <w:tcW w:w="997" w:type="pct"/>
            <w:tcBorders>
              <w:tl2br w:val="nil"/>
              <w:tr2bl w:val="nil"/>
            </w:tcBorders>
            <w:vAlign w:val="center"/>
          </w:tcPr>
          <w:p w14:paraId="0DAD31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1套</w:t>
            </w:r>
          </w:p>
        </w:tc>
      </w:tr>
    </w:tbl>
    <w:p w14:paraId="149C4F69">
      <w:pPr>
        <w:pStyle w:val="2"/>
        <w:numPr>
          <w:ilvl w:val="0"/>
          <w:numId w:val="0"/>
        </w:numPr>
        <w:tabs>
          <w:tab w:val="left" w:pos="0"/>
          <w:tab w:val="clear" w:pos="1021"/>
        </w:tabs>
        <w:bidi w:val="0"/>
        <w:ind w:leftChars="200"/>
        <w:rPr>
          <w:rFonts w:hint="eastAsia" w:ascii="Times New Roman" w:hAnsi="Times New Roman" w:eastAsia="宋体" w:cs="Times New Roman"/>
          <w:b/>
          <w:bCs/>
          <w:color w:val="auto"/>
          <w:highlight w:val="none"/>
          <w:lang w:val="en-US" w:eastAsia="zh-CN"/>
        </w:rPr>
      </w:pPr>
      <w:bookmarkStart w:id="35" w:name="_Toc28230"/>
      <w:r>
        <w:rPr>
          <w:rFonts w:hint="eastAsia" w:ascii="Times New Roman" w:hAnsi="Times New Roman" w:eastAsia="宋体" w:cs="Times New Roman"/>
          <w:b/>
          <w:bCs/>
          <w:color w:val="auto"/>
          <w:highlight w:val="none"/>
          <w:lang w:val="en-US" w:eastAsia="zh-CN"/>
        </w:rPr>
        <w:t>二、充填系统工作制度</w:t>
      </w:r>
      <w:bookmarkEnd w:id="35"/>
    </w:p>
    <w:p w14:paraId="588D10BC">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充填站工作制度为间断生产工作制，年工作日300天，每天1班生产，每班工作8小时，需大方量连续充填时可适当延长日作业时间。</w:t>
      </w:r>
    </w:p>
    <w:p w14:paraId="2D0C923F">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全尾砂泵送及浓密系统工作制度为间断生产工作制，年工作日300天，每天2班生产，每班工作6~8小时。</w:t>
      </w:r>
    </w:p>
    <w:p w14:paraId="4AB658D9">
      <w:pPr>
        <w:pStyle w:val="2"/>
        <w:numPr>
          <w:ilvl w:val="0"/>
          <w:numId w:val="0"/>
        </w:numPr>
        <w:tabs>
          <w:tab w:val="left" w:pos="0"/>
          <w:tab w:val="clear" w:pos="1021"/>
        </w:tabs>
        <w:bidi w:val="0"/>
        <w:ind w:leftChars="200"/>
        <w:rPr>
          <w:rFonts w:hint="eastAsia" w:ascii="Times New Roman" w:hAnsi="Times New Roman" w:eastAsia="宋体" w:cs="Times New Roman"/>
          <w:b/>
          <w:bCs/>
          <w:color w:val="auto"/>
          <w:highlight w:val="none"/>
          <w:lang w:val="en-US" w:eastAsia="zh-CN"/>
        </w:rPr>
      </w:pPr>
      <w:bookmarkStart w:id="36" w:name="_Toc10019"/>
      <w:r>
        <w:rPr>
          <w:rFonts w:hint="eastAsia" w:ascii="Times New Roman" w:hAnsi="Times New Roman" w:eastAsia="宋体" w:cs="Times New Roman"/>
          <w:b/>
          <w:bCs/>
          <w:color w:val="auto"/>
          <w:highlight w:val="none"/>
          <w:lang w:val="en-US" w:eastAsia="zh-CN"/>
        </w:rPr>
        <w:t>三、充填系统</w:t>
      </w:r>
      <w:r>
        <w:rPr>
          <w:rFonts w:hint="eastAsia" w:cs="Times New Roman"/>
          <w:b/>
          <w:bCs/>
          <w:color w:val="auto"/>
          <w:highlight w:val="none"/>
          <w:lang w:val="en-US" w:eastAsia="zh-CN"/>
        </w:rPr>
        <w:t>调整</w:t>
      </w:r>
      <w:r>
        <w:rPr>
          <w:rFonts w:hint="eastAsia" w:ascii="Times New Roman" w:hAnsi="Times New Roman" w:eastAsia="宋体" w:cs="Times New Roman"/>
          <w:b/>
          <w:bCs/>
          <w:color w:val="auto"/>
          <w:highlight w:val="none"/>
          <w:lang w:val="en-US" w:eastAsia="zh-CN"/>
        </w:rPr>
        <w:t>建设方案</w:t>
      </w:r>
      <w:bookmarkEnd w:id="36"/>
    </w:p>
    <w:p w14:paraId="0C2CAFB9">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新建一座ϕ8m×16m的膏体仓储浓密机用于全尾砂浓密。</w:t>
      </w:r>
    </w:p>
    <w:p w14:paraId="5372E751">
      <w:pPr>
        <w:pStyle w:val="2"/>
        <w:numPr>
          <w:ilvl w:val="0"/>
          <w:numId w:val="0"/>
        </w:numPr>
        <w:tabs>
          <w:tab w:val="left" w:pos="0"/>
          <w:tab w:val="clear" w:pos="1021"/>
        </w:tabs>
        <w:bidi w:val="0"/>
        <w:ind w:leftChars="200"/>
        <w:rPr>
          <w:rFonts w:hint="eastAsia" w:ascii="Times New Roman" w:hAnsi="Times New Roman" w:eastAsia="宋体" w:cs="Times New Roman"/>
          <w:b/>
          <w:bCs/>
          <w:color w:val="auto"/>
          <w:highlight w:val="none"/>
          <w:lang w:val="en-US" w:eastAsia="zh-CN"/>
        </w:rPr>
      </w:pPr>
      <w:bookmarkStart w:id="37" w:name="_Toc1042"/>
      <w:r>
        <w:rPr>
          <w:rFonts w:hint="eastAsia" w:ascii="Times New Roman" w:hAnsi="Times New Roman" w:eastAsia="宋体" w:cs="Times New Roman"/>
          <w:b/>
          <w:bCs/>
          <w:color w:val="auto"/>
          <w:highlight w:val="none"/>
          <w:lang w:val="en-US" w:eastAsia="zh-CN"/>
        </w:rPr>
        <w:t>四、新建膏体仓储浓密机站址</w:t>
      </w:r>
      <w:bookmarkEnd w:id="37"/>
    </w:p>
    <w:p w14:paraId="4CA49DFC">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结合现有充填站设备布置位置及场地情况，新建膏体仓储浓密机位于现充填系统立式砂仓西南侧，场地标高+385m，浓密机底流可利用高差自流输送至搅拌机内，有利于降低后期充填运营成本。</w:t>
      </w:r>
    </w:p>
    <w:p w14:paraId="02B4D8C9">
      <w:pPr>
        <w:pStyle w:val="2"/>
        <w:numPr>
          <w:ilvl w:val="0"/>
          <w:numId w:val="0"/>
        </w:numPr>
        <w:tabs>
          <w:tab w:val="left" w:pos="0"/>
          <w:tab w:val="clear" w:pos="1021"/>
        </w:tabs>
        <w:bidi w:val="0"/>
        <w:ind w:leftChars="200"/>
        <w:rPr>
          <w:rFonts w:hint="eastAsia" w:ascii="Times New Roman" w:hAnsi="Times New Roman" w:eastAsia="宋体" w:cs="Times New Roman"/>
          <w:b/>
          <w:bCs/>
          <w:color w:val="auto"/>
          <w:highlight w:val="none"/>
          <w:lang w:val="en-US" w:eastAsia="zh-CN"/>
        </w:rPr>
      </w:pPr>
      <w:bookmarkStart w:id="38" w:name="_Toc16292"/>
      <w:r>
        <w:rPr>
          <w:rFonts w:hint="eastAsia" w:ascii="Times New Roman" w:hAnsi="Times New Roman" w:eastAsia="宋体" w:cs="Times New Roman"/>
          <w:b/>
          <w:bCs/>
          <w:color w:val="auto"/>
          <w:highlight w:val="none"/>
          <w:lang w:val="en-US" w:eastAsia="zh-CN"/>
        </w:rPr>
        <w:t>五、</w:t>
      </w:r>
      <w:r>
        <w:rPr>
          <w:rFonts w:hint="eastAsia" w:cs="Times New Roman"/>
          <w:b/>
          <w:bCs/>
          <w:color w:val="auto"/>
          <w:highlight w:val="none"/>
          <w:lang w:val="en-US" w:eastAsia="zh-CN"/>
        </w:rPr>
        <w:t>调整</w:t>
      </w:r>
      <w:r>
        <w:rPr>
          <w:rFonts w:hint="eastAsia" w:ascii="Times New Roman" w:hAnsi="Times New Roman" w:eastAsia="宋体" w:cs="Times New Roman"/>
          <w:b/>
          <w:bCs/>
          <w:color w:val="auto"/>
          <w:highlight w:val="none"/>
          <w:lang w:val="en-US" w:eastAsia="zh-CN"/>
        </w:rPr>
        <w:t>后的工艺流程</w:t>
      </w:r>
      <w:bookmarkEnd w:id="38"/>
    </w:p>
    <w:p w14:paraId="30EEB3EB">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对现有充填系统</w:t>
      </w:r>
      <w:r>
        <w:rPr>
          <w:rFonts w:hint="eastAsia" w:cs="Times New Roman"/>
          <w:color w:val="auto"/>
          <w:kern w:val="2"/>
          <w:sz w:val="24"/>
          <w:highlight w:val="none"/>
          <w:lang w:val="en-US" w:eastAsia="zh-CN" w:bidi="ar-SA"/>
        </w:rPr>
        <w:t>调整</w:t>
      </w:r>
      <w:r>
        <w:rPr>
          <w:rFonts w:hint="eastAsia" w:ascii="Times New Roman" w:hAnsi="Times New Roman" w:eastAsia="宋体" w:cs="Times New Roman"/>
          <w:color w:val="auto"/>
          <w:kern w:val="2"/>
          <w:sz w:val="24"/>
          <w:highlight w:val="none"/>
          <w:lang w:val="en-US" w:eastAsia="zh-CN" w:bidi="ar-SA"/>
        </w:rPr>
        <w:t>后将实现全尾砂高浓度充填，新增设备包括膏体仓储浓密机、高速柔性搅拌机、流量计、浓度计及自动化控制系统、空压机，现有充填系统水泥仓、螺旋电子称及充填管路可利旧继续使用，现有1#立式砂仓改建为溢流水缓存池，现有2#砂仓用于改造后充填系统的备用尾矿浓缩设备。</w:t>
      </w:r>
    </w:p>
    <w:p w14:paraId="4FDFFACD">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调整</w:t>
      </w:r>
      <w:r>
        <w:rPr>
          <w:rFonts w:hint="eastAsia" w:ascii="Times New Roman" w:hAnsi="Times New Roman" w:eastAsia="宋体" w:cs="Times New Roman"/>
          <w:color w:val="auto"/>
          <w:kern w:val="2"/>
          <w:sz w:val="24"/>
          <w:highlight w:val="none"/>
          <w:lang w:val="en-US" w:eastAsia="zh-CN" w:bidi="ar-SA"/>
        </w:rPr>
        <w:t>后的充填工艺流程如下：选矿厂排出的全尾矿通过尾矿输送泵站输送至充填站膏体仓储浓密机顶部中心桶进料环槽内，与配置好的絮凝剂溶液充分发生物理反应形成全尾砂絮团，消能处理后经过分料盘快速沉降至膏体仓储浓密机内，全尾砂絮团经过沉降、浓缩后，浓密机底流浓度达到65%以上。澄清的溢流水从膏体仓储浓密机顶部自流至充填站溢流水缓存池，在自流至选厂回用。浓缩后的高浓度全尾砂浆从膏体仓储浓密机底部排出，依靠高泥层压力自流输送至高速柔性搅拌机中，胶结剂经过微粉秤按设计配比计量后输送搅拌机，调浓水依据设计配比需求经过流量计、电磁阀计量后输送至搅拌机，胶结剂、尾砂浆和调浓水（按需添加）在搅拌机中搅拌均匀后，通过充填管道自流输送至采空区进行充填。充填料浆输送前需用清水润管以排出管道内空气、清理管道内异物并润滑管道，充填结束后亦需用清水清洗管道以清除管道壁附着及局部淤积的充填料浆。</w:t>
      </w:r>
    </w:p>
    <w:p w14:paraId="65004427">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drawing>
          <wp:inline distT="0" distB="0" distL="0" distR="0">
            <wp:extent cx="5400040" cy="3152140"/>
            <wp:effectExtent l="0" t="0" r="635" b="635"/>
            <wp:docPr id="1" name="图片 1" descr="C:\Users\user\Documents\WeChat Files\wxid_i70k7c3gvlbz21\FileStorage\Temp\171042440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user\Documents\WeChat Files\wxid_i70k7c3gvlbz21\FileStorage\Temp\171042440214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00040" cy="3152574"/>
                    </a:xfrm>
                    <a:prstGeom prst="rect">
                      <a:avLst/>
                    </a:prstGeom>
                    <a:noFill/>
                    <a:ln>
                      <a:noFill/>
                    </a:ln>
                  </pic:spPr>
                </pic:pic>
              </a:graphicData>
            </a:graphic>
          </wp:inline>
        </w:drawing>
      </w:r>
    </w:p>
    <w:p w14:paraId="2EFB92E9">
      <w:pPr>
        <w:widowControl w:val="0"/>
        <w:tabs>
          <w:tab w:val="left" w:pos="1021"/>
        </w:tabs>
        <w:bidi w:val="0"/>
        <w:spacing w:after="50" w:afterLines="50" w:line="300" w:lineRule="auto"/>
        <w:jc w:val="center"/>
        <w:outlineLvl w:val="4"/>
        <w:rPr>
          <w:rFonts w:hint="default" w:ascii="Times New Roman" w:hAnsi="Times New Roman" w:eastAsia="黑体" w:cs="Times New Roman"/>
          <w:color w:val="auto"/>
          <w:kern w:val="2"/>
          <w:sz w:val="24"/>
          <w:szCs w:val="20"/>
          <w:highlight w:val="none"/>
          <w:lang w:val="en-US" w:eastAsia="zh-CN" w:bidi="ar-SA"/>
        </w:rPr>
      </w:pPr>
      <w:r>
        <w:rPr>
          <w:rFonts w:hint="default" w:ascii="Times New Roman" w:hAnsi="Times New Roman" w:eastAsia="黑体" w:cs="Times New Roman"/>
          <w:color w:val="auto"/>
          <w:kern w:val="2"/>
          <w:sz w:val="24"/>
          <w:szCs w:val="20"/>
          <w:highlight w:val="none"/>
          <w:lang w:val="en-US" w:eastAsia="zh-CN" w:bidi="ar-SA"/>
        </w:rPr>
        <w:t>图</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图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8</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充填工艺流程图</w:t>
      </w:r>
    </w:p>
    <w:p w14:paraId="5D677FB4">
      <w:pPr>
        <w:pStyle w:val="2"/>
        <w:numPr>
          <w:ilvl w:val="0"/>
          <w:numId w:val="0"/>
        </w:numPr>
        <w:tabs>
          <w:tab w:val="left" w:pos="0"/>
          <w:tab w:val="clear" w:pos="1021"/>
        </w:tabs>
        <w:bidi w:val="0"/>
        <w:ind w:leftChars="20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六、充填材料</w:t>
      </w:r>
    </w:p>
    <w:p w14:paraId="4ACC884E">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根据采矿方法需求，平均灰砂比按1：1</w:t>
      </w:r>
      <w:r>
        <w:rPr>
          <w:rFonts w:ascii="Times New Roman" w:hAnsi="Times New Roman" w:eastAsia="宋体" w:cs="Times New Roman"/>
          <w:color w:val="auto"/>
          <w:kern w:val="2"/>
          <w:sz w:val="24"/>
          <w:highlight w:val="none"/>
          <w:lang w:val="en-US" w:eastAsia="zh-CN" w:bidi="ar-SA"/>
        </w:rPr>
        <w:t>2</w:t>
      </w:r>
      <w:r>
        <w:rPr>
          <w:rFonts w:hint="eastAsia" w:ascii="Times New Roman" w:hAnsi="Times New Roman" w:eastAsia="宋体" w:cs="Times New Roman"/>
          <w:color w:val="auto"/>
          <w:kern w:val="2"/>
          <w:sz w:val="24"/>
          <w:highlight w:val="none"/>
          <w:lang w:val="en-US" w:eastAsia="zh-CN" w:bidi="ar-SA"/>
        </w:rPr>
        <w:t>计算，充填料浆浓度按7</w:t>
      </w:r>
      <w:r>
        <w:rPr>
          <w:rFonts w:ascii="Times New Roman" w:hAnsi="Times New Roman" w:eastAsia="宋体" w:cs="Times New Roman"/>
          <w:color w:val="auto"/>
          <w:kern w:val="2"/>
          <w:sz w:val="24"/>
          <w:highlight w:val="none"/>
          <w:lang w:val="en-US" w:eastAsia="zh-CN" w:bidi="ar-SA"/>
        </w:rPr>
        <w:t>0%</w:t>
      </w:r>
      <w:r>
        <w:rPr>
          <w:rFonts w:hint="eastAsia" w:ascii="Times New Roman" w:hAnsi="Times New Roman" w:eastAsia="宋体" w:cs="Times New Roman"/>
          <w:color w:val="auto"/>
          <w:kern w:val="2"/>
          <w:sz w:val="24"/>
          <w:highlight w:val="none"/>
          <w:lang w:val="en-US" w:eastAsia="zh-CN" w:bidi="ar-SA"/>
        </w:rPr>
        <w:t>，经计算</w:t>
      </w:r>
      <w:r>
        <w:rPr>
          <w:rFonts w:ascii="Times New Roman" w:hAnsi="Times New Roman" w:eastAsia="宋体" w:cs="Times New Roman"/>
          <w:color w:val="auto"/>
          <w:kern w:val="2"/>
          <w:sz w:val="24"/>
          <w:highlight w:val="none"/>
          <w:lang w:val="en-US" w:eastAsia="zh-CN" w:bidi="ar-SA"/>
        </w:rPr>
        <w:t>加权平均后充填1m³</w:t>
      </w:r>
      <w:r>
        <w:rPr>
          <w:rFonts w:hint="eastAsia" w:ascii="Times New Roman" w:hAnsi="Times New Roman" w:eastAsia="宋体" w:cs="Times New Roman"/>
          <w:color w:val="auto"/>
          <w:kern w:val="2"/>
          <w:sz w:val="24"/>
          <w:highlight w:val="none"/>
          <w:lang w:val="en-US" w:eastAsia="zh-CN" w:bidi="ar-SA"/>
        </w:rPr>
        <w:t>空区</w:t>
      </w:r>
      <w:r>
        <w:rPr>
          <w:rFonts w:ascii="Times New Roman" w:hAnsi="Times New Roman" w:eastAsia="宋体" w:cs="Times New Roman"/>
          <w:color w:val="auto"/>
          <w:kern w:val="2"/>
          <w:sz w:val="24"/>
          <w:highlight w:val="none"/>
          <w:lang w:val="en-US" w:eastAsia="zh-CN" w:bidi="ar-SA"/>
        </w:rPr>
        <w:t>材料消耗具体见</w:t>
      </w:r>
      <w:r>
        <w:rPr>
          <w:rFonts w:hint="eastAsia" w:ascii="Times New Roman" w:hAnsi="Times New Roman" w:eastAsia="宋体" w:cs="Times New Roman"/>
          <w:color w:val="auto"/>
          <w:kern w:val="2"/>
          <w:sz w:val="24"/>
          <w:highlight w:val="none"/>
          <w:lang w:val="en-US" w:eastAsia="zh-CN" w:bidi="ar-SA"/>
        </w:rPr>
        <w:t>下表</w:t>
      </w:r>
      <w:r>
        <w:rPr>
          <w:rFonts w:ascii="Times New Roman" w:hAnsi="Times New Roman" w:eastAsia="宋体" w:cs="Times New Roman"/>
          <w:color w:val="auto"/>
          <w:kern w:val="2"/>
          <w:sz w:val="24"/>
          <w:highlight w:val="none"/>
          <w:lang w:val="en-US" w:eastAsia="zh-CN" w:bidi="ar-SA"/>
        </w:rPr>
        <w:t>所示</w:t>
      </w:r>
      <w:r>
        <w:rPr>
          <w:rFonts w:hint="eastAsia" w:ascii="Times New Roman" w:hAnsi="Times New Roman" w:eastAsia="宋体" w:cs="Times New Roman"/>
          <w:color w:val="auto"/>
          <w:kern w:val="2"/>
          <w:sz w:val="24"/>
          <w:highlight w:val="none"/>
          <w:lang w:val="en-US" w:eastAsia="zh-CN" w:bidi="ar-SA"/>
        </w:rPr>
        <w:t>。</w:t>
      </w:r>
    </w:p>
    <w:p w14:paraId="6EB0BD36">
      <w:pPr>
        <w:widowControl w:val="0"/>
        <w:bidi w:val="0"/>
        <w:spacing w:line="360" w:lineRule="auto"/>
        <w:ind w:firstLine="480" w:firstLineChars="200"/>
        <w:jc w:val="both"/>
        <w:rPr>
          <w:rFonts w:ascii="Times New Roman" w:hAnsi="Times New Roman" w:eastAsia="宋体" w:cs="Times New Roman"/>
          <w:bCs/>
          <w:color w:val="auto"/>
          <w:kern w:val="2"/>
          <w:sz w:val="21"/>
          <w:szCs w:val="22"/>
          <w:highlight w:val="none"/>
          <w:lang w:val="en-US" w:eastAsia="zh-CN" w:bidi="ar-SA"/>
        </w:rPr>
      </w:pPr>
      <w:bookmarkStart w:id="39" w:name="OLE_LINK2"/>
      <w:r>
        <w:rPr>
          <w:rFonts w:hint="eastAsia" w:ascii="Times New Roman" w:hAnsi="Times New Roman" w:eastAsia="宋体" w:cs="Times New Roman"/>
          <w:color w:val="auto"/>
          <w:kern w:val="2"/>
          <w:sz w:val="24"/>
          <w:highlight w:val="none"/>
          <w:lang w:val="en-US" w:eastAsia="zh-CN" w:bidi="ar-SA"/>
        </w:rPr>
        <w:t>经计算年产尾砂量14.2万t，</w:t>
      </w:r>
      <w:r>
        <w:rPr>
          <w:rFonts w:ascii="Times New Roman" w:hAnsi="Times New Roman" w:eastAsia="宋体" w:cs="Times New Roman"/>
          <w:color w:val="auto"/>
          <w:kern w:val="2"/>
          <w:sz w:val="24"/>
          <w:highlight w:val="none"/>
          <w:lang w:val="en-US" w:eastAsia="zh-CN" w:bidi="ar-SA"/>
        </w:rPr>
        <w:t>年消耗尾砂量</w:t>
      </w:r>
      <w:r>
        <w:rPr>
          <w:rFonts w:hint="eastAsia" w:ascii="Times New Roman" w:hAnsi="Times New Roman" w:eastAsia="宋体" w:cs="Times New Roman"/>
          <w:color w:val="auto"/>
          <w:kern w:val="2"/>
          <w:sz w:val="24"/>
          <w:highlight w:val="none"/>
          <w:lang w:val="en-US" w:eastAsia="zh-CN" w:bidi="ar-SA"/>
        </w:rPr>
        <w:t>12.6</w:t>
      </w:r>
      <w:r>
        <w:rPr>
          <w:rFonts w:ascii="Times New Roman" w:hAnsi="Times New Roman" w:eastAsia="宋体" w:cs="Times New Roman"/>
          <w:color w:val="auto"/>
          <w:kern w:val="2"/>
          <w:sz w:val="24"/>
          <w:highlight w:val="none"/>
          <w:lang w:val="en-US" w:eastAsia="zh-CN" w:bidi="ar-SA"/>
        </w:rPr>
        <w:t>万t</w:t>
      </w:r>
      <w:r>
        <w:rPr>
          <w:rFonts w:hint="eastAsia" w:ascii="Times New Roman" w:hAnsi="Times New Roman" w:eastAsia="宋体" w:cs="Times New Roman"/>
          <w:color w:val="auto"/>
          <w:kern w:val="2"/>
          <w:sz w:val="24"/>
          <w:highlight w:val="none"/>
          <w:lang w:val="en-US" w:eastAsia="zh-CN" w:bidi="ar-SA"/>
        </w:rPr>
        <w:t>，年</w:t>
      </w:r>
      <w:r>
        <w:rPr>
          <w:rFonts w:ascii="Times New Roman" w:hAnsi="Times New Roman" w:eastAsia="宋体" w:cs="Times New Roman"/>
          <w:color w:val="auto"/>
          <w:kern w:val="2"/>
          <w:sz w:val="24"/>
          <w:highlight w:val="none"/>
          <w:lang w:val="en-US" w:eastAsia="zh-CN" w:bidi="ar-SA"/>
        </w:rPr>
        <w:t>胶固粉</w:t>
      </w:r>
      <w:r>
        <w:rPr>
          <w:rFonts w:hint="eastAsia" w:ascii="Times New Roman" w:hAnsi="Times New Roman" w:eastAsia="宋体" w:cs="Times New Roman"/>
          <w:color w:val="auto"/>
          <w:kern w:val="2"/>
          <w:sz w:val="24"/>
          <w:highlight w:val="none"/>
          <w:lang w:val="en-US" w:eastAsia="zh-CN" w:bidi="ar-SA"/>
        </w:rPr>
        <w:t>（水泥）</w:t>
      </w:r>
      <w:r>
        <w:rPr>
          <w:rFonts w:ascii="Times New Roman" w:hAnsi="Times New Roman" w:eastAsia="宋体" w:cs="Times New Roman"/>
          <w:color w:val="auto"/>
          <w:kern w:val="2"/>
          <w:sz w:val="24"/>
          <w:highlight w:val="none"/>
          <w:lang w:val="en-US" w:eastAsia="zh-CN" w:bidi="ar-SA"/>
        </w:rPr>
        <w:t>消耗量</w:t>
      </w:r>
      <w:r>
        <w:rPr>
          <w:rFonts w:hint="eastAsia" w:ascii="Times New Roman" w:hAnsi="Times New Roman" w:eastAsia="宋体" w:cs="Times New Roman"/>
          <w:color w:val="auto"/>
          <w:kern w:val="2"/>
          <w:sz w:val="24"/>
          <w:highlight w:val="none"/>
          <w:lang w:val="en-US" w:eastAsia="zh-CN" w:bidi="ar-SA"/>
        </w:rPr>
        <w:t>1.05</w:t>
      </w:r>
      <w:r>
        <w:rPr>
          <w:rFonts w:ascii="Times New Roman" w:hAnsi="Times New Roman" w:eastAsia="宋体" w:cs="Times New Roman"/>
          <w:color w:val="auto"/>
          <w:kern w:val="2"/>
          <w:sz w:val="24"/>
          <w:highlight w:val="none"/>
          <w:lang w:val="en-US" w:eastAsia="zh-CN" w:bidi="ar-SA"/>
        </w:rPr>
        <w:t>万t，尾砂</w:t>
      </w:r>
      <w:r>
        <w:rPr>
          <w:rFonts w:hint="eastAsia" w:ascii="Times New Roman" w:hAnsi="Times New Roman" w:eastAsia="宋体" w:cs="Times New Roman"/>
          <w:color w:val="auto"/>
          <w:kern w:val="2"/>
          <w:sz w:val="24"/>
          <w:highlight w:val="none"/>
          <w:lang w:val="en-US" w:eastAsia="zh-CN" w:bidi="ar-SA"/>
        </w:rPr>
        <w:t>利用</w:t>
      </w:r>
      <w:r>
        <w:rPr>
          <w:rFonts w:ascii="Times New Roman" w:hAnsi="Times New Roman" w:eastAsia="宋体" w:cs="Times New Roman"/>
          <w:color w:val="auto"/>
          <w:kern w:val="2"/>
          <w:sz w:val="24"/>
          <w:highlight w:val="none"/>
          <w:lang w:val="en-US" w:eastAsia="zh-CN" w:bidi="ar-SA"/>
        </w:rPr>
        <w:t>率</w:t>
      </w:r>
      <w:r>
        <w:rPr>
          <w:rFonts w:hint="eastAsia" w:ascii="Times New Roman" w:hAnsi="Times New Roman" w:eastAsia="宋体" w:cs="Times New Roman"/>
          <w:color w:val="auto"/>
          <w:kern w:val="2"/>
          <w:sz w:val="24"/>
          <w:highlight w:val="none"/>
          <w:lang w:val="en-US" w:eastAsia="zh-CN" w:bidi="ar-SA"/>
        </w:rPr>
        <w:t>约88.73</w:t>
      </w:r>
      <w:r>
        <w:rPr>
          <w:rFonts w:ascii="Times New Roman" w:hAnsi="Times New Roman" w:eastAsia="宋体" w:cs="Times New Roman"/>
          <w:color w:val="auto"/>
          <w:kern w:val="2"/>
          <w:sz w:val="24"/>
          <w:highlight w:val="none"/>
          <w:lang w:val="en-US" w:eastAsia="zh-CN" w:bidi="ar-SA"/>
        </w:rPr>
        <w:t>%</w:t>
      </w:r>
      <w:r>
        <w:rPr>
          <w:rFonts w:hint="eastAsia" w:ascii="Times New Roman" w:hAnsi="Times New Roman" w:eastAsia="宋体" w:cs="Times New Roman"/>
          <w:color w:val="auto"/>
          <w:kern w:val="2"/>
          <w:sz w:val="24"/>
          <w:highlight w:val="none"/>
          <w:lang w:val="en-US" w:eastAsia="zh-CN" w:bidi="ar-SA"/>
        </w:rPr>
        <w:t>，水消耗量为7.36万t/a，来自尾砂含水。</w:t>
      </w:r>
      <w:bookmarkEnd w:id="39"/>
    </w:p>
    <w:p w14:paraId="1B5D2336">
      <w:pPr>
        <w:widowControl w:val="0"/>
        <w:tabs>
          <w:tab w:val="left" w:pos="1021"/>
        </w:tabs>
        <w:bidi w:val="0"/>
        <w:spacing w:line="300" w:lineRule="auto"/>
        <w:jc w:val="center"/>
        <w:outlineLvl w:val="4"/>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23</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w:t>
      </w:r>
      <w:r>
        <w:rPr>
          <w:rFonts w:hint="eastAsia" w:ascii="Times New Roman" w:hAnsi="Times New Roman" w:eastAsia="黑体" w:cs="Times New Roman"/>
          <w:color w:val="auto"/>
          <w:kern w:val="2"/>
          <w:sz w:val="24"/>
          <w:szCs w:val="20"/>
          <w:highlight w:val="none"/>
          <w:lang w:val="en-US" w:eastAsia="zh-CN" w:bidi="ar-SA"/>
        </w:rPr>
        <w:t>充填站物资消耗量表</w:t>
      </w:r>
    </w:p>
    <w:tbl>
      <w:tblPr>
        <w:tblStyle w:val="22"/>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872"/>
        <w:gridCol w:w="2495"/>
        <w:gridCol w:w="1417"/>
        <w:gridCol w:w="2343"/>
      </w:tblGrid>
      <w:tr w14:paraId="519EB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0" w:type="pct"/>
            <w:vMerge w:val="restart"/>
            <w:tcBorders>
              <w:tl2br w:val="nil"/>
              <w:tr2bl w:val="nil"/>
            </w:tcBorders>
            <w:vAlign w:val="center"/>
          </w:tcPr>
          <w:p w14:paraId="45961FC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序号</w:t>
            </w:r>
          </w:p>
        </w:tc>
        <w:tc>
          <w:tcPr>
            <w:tcW w:w="1013" w:type="pct"/>
            <w:vMerge w:val="restart"/>
            <w:tcBorders>
              <w:tl2br w:val="nil"/>
              <w:tr2bl w:val="nil"/>
            </w:tcBorders>
            <w:vAlign w:val="center"/>
          </w:tcPr>
          <w:p w14:paraId="22615DB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项目</w:t>
            </w:r>
          </w:p>
        </w:tc>
        <w:tc>
          <w:tcPr>
            <w:tcW w:w="1350" w:type="pct"/>
            <w:tcBorders>
              <w:tl2br w:val="nil"/>
              <w:tr2bl w:val="nil"/>
            </w:tcBorders>
            <w:vAlign w:val="center"/>
          </w:tcPr>
          <w:p w14:paraId="4EF5603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每</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eastAsia" w:ascii="Times New Roman" w:hAnsi="Times New Roman" w:eastAsia="宋体" w:cs="Times New Roman"/>
                <w:color w:val="auto"/>
                <w:kern w:val="2"/>
                <w:sz w:val="22"/>
                <w:szCs w:val="22"/>
                <w:highlight w:val="none"/>
                <w:lang w:val="en-US" w:eastAsia="zh-CN" w:bidi="ar-SA"/>
              </w:rPr>
              <w:t>消耗量</w:t>
            </w:r>
          </w:p>
        </w:tc>
        <w:tc>
          <w:tcPr>
            <w:tcW w:w="767" w:type="pct"/>
            <w:tcBorders>
              <w:tl2br w:val="nil"/>
              <w:tr2bl w:val="nil"/>
            </w:tcBorders>
            <w:vAlign w:val="center"/>
          </w:tcPr>
          <w:p w14:paraId="553D22C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日消耗</w:t>
            </w:r>
          </w:p>
        </w:tc>
        <w:tc>
          <w:tcPr>
            <w:tcW w:w="1268" w:type="pct"/>
            <w:tcBorders>
              <w:tl2br w:val="nil"/>
              <w:tr2bl w:val="nil"/>
            </w:tcBorders>
            <w:vAlign w:val="center"/>
          </w:tcPr>
          <w:p w14:paraId="58A36A1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年消耗</w:t>
            </w:r>
          </w:p>
        </w:tc>
      </w:tr>
      <w:tr w14:paraId="40E24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0" w:type="pct"/>
            <w:vMerge w:val="continue"/>
            <w:tcBorders>
              <w:tl2br w:val="nil"/>
              <w:tr2bl w:val="nil"/>
            </w:tcBorders>
            <w:vAlign w:val="center"/>
          </w:tcPr>
          <w:p w14:paraId="51E0284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1013" w:type="pct"/>
            <w:vMerge w:val="continue"/>
            <w:tcBorders>
              <w:tl2br w:val="nil"/>
              <w:tr2bl w:val="nil"/>
            </w:tcBorders>
            <w:vAlign w:val="center"/>
          </w:tcPr>
          <w:p w14:paraId="3140600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p>
        </w:tc>
        <w:tc>
          <w:tcPr>
            <w:tcW w:w="1350" w:type="pct"/>
            <w:tcBorders>
              <w:tl2br w:val="nil"/>
              <w:tr2bl w:val="nil"/>
            </w:tcBorders>
            <w:vAlign w:val="center"/>
          </w:tcPr>
          <w:p w14:paraId="19A4F0D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kg</w:t>
            </w:r>
          </w:p>
        </w:tc>
        <w:tc>
          <w:tcPr>
            <w:tcW w:w="767" w:type="pct"/>
            <w:tcBorders>
              <w:tl2br w:val="nil"/>
              <w:tr2bl w:val="nil"/>
            </w:tcBorders>
            <w:vAlign w:val="center"/>
          </w:tcPr>
          <w:p w14:paraId="42A7622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eastAsia" w:cs="Times New Roman"/>
                <w:color w:val="auto"/>
                <w:kern w:val="2"/>
                <w:sz w:val="22"/>
                <w:szCs w:val="22"/>
                <w:highlight w:val="none"/>
                <w:lang w:val="en-US" w:eastAsia="zh-CN" w:bidi="ar-SA"/>
              </w:rPr>
              <w:t>/d</w:t>
            </w:r>
          </w:p>
        </w:tc>
        <w:tc>
          <w:tcPr>
            <w:tcW w:w="1268" w:type="pct"/>
            <w:tcBorders>
              <w:tl2br w:val="nil"/>
              <w:tr2bl w:val="nil"/>
            </w:tcBorders>
            <w:vAlign w:val="center"/>
          </w:tcPr>
          <w:p w14:paraId="1074CD6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t/a</w:t>
            </w:r>
          </w:p>
        </w:tc>
      </w:tr>
      <w:tr w14:paraId="23735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14:paraId="42BE060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13" w:type="pct"/>
            <w:tcBorders>
              <w:tl2br w:val="nil"/>
              <w:tr2bl w:val="nil"/>
            </w:tcBorders>
            <w:vAlign w:val="center"/>
          </w:tcPr>
          <w:p w14:paraId="2E640B8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尾砂（干）</w:t>
            </w:r>
          </w:p>
        </w:tc>
        <w:tc>
          <w:tcPr>
            <w:tcW w:w="1350" w:type="pct"/>
            <w:tcBorders>
              <w:tl2br w:val="nil"/>
              <w:tr2bl w:val="nil"/>
            </w:tcBorders>
            <w:vAlign w:val="center"/>
          </w:tcPr>
          <w:p w14:paraId="3EA6B2B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en-US" w:bidi="ar-SA"/>
              </w:rPr>
              <w:t>1</w:t>
            </w:r>
            <w:r>
              <w:rPr>
                <w:rFonts w:hint="eastAsia" w:ascii="Times New Roman" w:hAnsi="Times New Roman" w:eastAsia="宋体" w:cs="Times New Roman"/>
                <w:color w:val="auto"/>
                <w:kern w:val="2"/>
                <w:sz w:val="22"/>
                <w:szCs w:val="22"/>
                <w:highlight w:val="none"/>
                <w:lang w:val="en-US" w:eastAsia="zh-CN" w:bidi="ar-SA"/>
              </w:rPr>
              <w:t>178</w:t>
            </w:r>
          </w:p>
        </w:tc>
        <w:tc>
          <w:tcPr>
            <w:tcW w:w="767" w:type="pct"/>
            <w:tcBorders>
              <w:tl2br w:val="nil"/>
              <w:tr2bl w:val="nil"/>
            </w:tcBorders>
            <w:vAlign w:val="center"/>
          </w:tcPr>
          <w:p w14:paraId="3704678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420.5</w:t>
            </w:r>
          </w:p>
        </w:tc>
        <w:tc>
          <w:tcPr>
            <w:tcW w:w="2343" w:type="dxa"/>
            <w:tcBorders>
              <w:tl2br w:val="nil"/>
              <w:tr2bl w:val="nil"/>
            </w:tcBorders>
            <w:vAlign w:val="center"/>
          </w:tcPr>
          <w:p w14:paraId="6BD8565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126163.8</w:t>
            </w:r>
          </w:p>
        </w:tc>
      </w:tr>
      <w:tr w14:paraId="0D96B2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14:paraId="210388C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w:t>
            </w:r>
          </w:p>
        </w:tc>
        <w:tc>
          <w:tcPr>
            <w:tcW w:w="1013" w:type="pct"/>
            <w:tcBorders>
              <w:tl2br w:val="nil"/>
              <w:tr2bl w:val="nil"/>
            </w:tcBorders>
            <w:vAlign w:val="center"/>
          </w:tcPr>
          <w:p w14:paraId="72C6247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水泥</w:t>
            </w:r>
          </w:p>
        </w:tc>
        <w:tc>
          <w:tcPr>
            <w:tcW w:w="1350" w:type="pct"/>
            <w:tcBorders>
              <w:tl2br w:val="nil"/>
              <w:tr2bl w:val="nil"/>
            </w:tcBorders>
            <w:vAlign w:val="center"/>
          </w:tcPr>
          <w:p w14:paraId="389C183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98</w:t>
            </w:r>
          </w:p>
        </w:tc>
        <w:tc>
          <w:tcPr>
            <w:tcW w:w="767" w:type="pct"/>
            <w:tcBorders>
              <w:tl2br w:val="nil"/>
              <w:tr2bl w:val="nil"/>
            </w:tcBorders>
            <w:vAlign w:val="center"/>
          </w:tcPr>
          <w:p w14:paraId="6546F4C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35.0</w:t>
            </w:r>
          </w:p>
        </w:tc>
        <w:tc>
          <w:tcPr>
            <w:tcW w:w="2343" w:type="dxa"/>
            <w:tcBorders>
              <w:tl2br w:val="nil"/>
              <w:tr2bl w:val="nil"/>
            </w:tcBorders>
            <w:vAlign w:val="center"/>
          </w:tcPr>
          <w:p w14:paraId="5138F09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10495.8</w:t>
            </w:r>
          </w:p>
        </w:tc>
      </w:tr>
      <w:tr w14:paraId="36A08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14:paraId="7120420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w:t>
            </w:r>
          </w:p>
        </w:tc>
        <w:tc>
          <w:tcPr>
            <w:tcW w:w="1013" w:type="pct"/>
            <w:tcBorders>
              <w:tl2br w:val="nil"/>
              <w:tr2bl w:val="nil"/>
            </w:tcBorders>
            <w:vAlign w:val="center"/>
          </w:tcPr>
          <w:p w14:paraId="03D9AA0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水（充填体）</w:t>
            </w:r>
          </w:p>
        </w:tc>
        <w:tc>
          <w:tcPr>
            <w:tcW w:w="1350" w:type="pct"/>
            <w:tcBorders>
              <w:tl2br w:val="nil"/>
              <w:tr2bl w:val="nil"/>
            </w:tcBorders>
            <w:vAlign w:val="center"/>
          </w:tcPr>
          <w:p w14:paraId="7119C3F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547</w:t>
            </w:r>
          </w:p>
        </w:tc>
        <w:tc>
          <w:tcPr>
            <w:tcW w:w="767" w:type="pct"/>
            <w:tcBorders>
              <w:tl2br w:val="nil"/>
              <w:tr2bl w:val="nil"/>
            </w:tcBorders>
            <w:vAlign w:val="center"/>
          </w:tcPr>
          <w:p w14:paraId="457841E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195.3</w:t>
            </w:r>
          </w:p>
        </w:tc>
        <w:tc>
          <w:tcPr>
            <w:tcW w:w="2343" w:type="dxa"/>
            <w:tcBorders>
              <w:tl2br w:val="nil"/>
              <w:tr2bl w:val="nil"/>
            </w:tcBorders>
            <w:vAlign w:val="center"/>
          </w:tcPr>
          <w:p w14:paraId="38B266F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58583.7</w:t>
            </w:r>
          </w:p>
        </w:tc>
      </w:tr>
      <w:tr w14:paraId="7F282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14:paraId="346C7D9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w:t>
            </w:r>
          </w:p>
        </w:tc>
        <w:tc>
          <w:tcPr>
            <w:tcW w:w="1013" w:type="pct"/>
            <w:tcBorders>
              <w:tl2br w:val="nil"/>
              <w:tr2bl w:val="nil"/>
            </w:tcBorders>
            <w:vAlign w:val="center"/>
          </w:tcPr>
          <w:p w14:paraId="2466B4C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水（冲洗）</w:t>
            </w:r>
          </w:p>
        </w:tc>
        <w:tc>
          <w:tcPr>
            <w:tcW w:w="1350" w:type="pct"/>
            <w:tcBorders>
              <w:tl2br w:val="nil"/>
              <w:tr2bl w:val="nil"/>
            </w:tcBorders>
            <w:vAlign w:val="center"/>
          </w:tcPr>
          <w:p w14:paraId="6C4728B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767" w:type="pct"/>
            <w:tcBorders>
              <w:tl2br w:val="nil"/>
              <w:tr2bl w:val="nil"/>
            </w:tcBorders>
            <w:vAlign w:val="center"/>
          </w:tcPr>
          <w:p w14:paraId="049D69F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50</w:t>
            </w:r>
          </w:p>
        </w:tc>
        <w:tc>
          <w:tcPr>
            <w:tcW w:w="1268" w:type="pct"/>
            <w:tcBorders>
              <w:tl2br w:val="nil"/>
              <w:tr2bl w:val="nil"/>
            </w:tcBorders>
            <w:vAlign w:val="center"/>
          </w:tcPr>
          <w:p w14:paraId="15527E0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15000</w:t>
            </w:r>
          </w:p>
        </w:tc>
      </w:tr>
    </w:tbl>
    <w:p w14:paraId="4AA02740">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p>
    <w:p w14:paraId="5D3F011C">
      <w:pPr>
        <w:pStyle w:val="2"/>
        <w:numPr>
          <w:ilvl w:val="0"/>
          <w:numId w:val="0"/>
        </w:numPr>
        <w:tabs>
          <w:tab w:val="left" w:pos="0"/>
          <w:tab w:val="clear" w:pos="1021"/>
        </w:tabs>
        <w:bidi w:val="0"/>
        <w:ind w:leftChars="200"/>
        <w:rPr>
          <w:rFonts w:hint="eastAsia" w:ascii="Times New Roman" w:hAnsi="Times New Roman" w:eastAsia="宋体" w:cs="Times New Roman"/>
          <w:b/>
          <w:bCs/>
          <w:color w:val="auto"/>
          <w:highlight w:val="none"/>
          <w:lang w:val="en-US" w:eastAsia="zh-CN"/>
        </w:rPr>
      </w:pPr>
      <w:bookmarkStart w:id="40" w:name="_Toc1596"/>
      <w:r>
        <w:rPr>
          <w:rFonts w:hint="eastAsia" w:ascii="Times New Roman" w:hAnsi="Times New Roman" w:eastAsia="宋体" w:cs="Times New Roman"/>
          <w:b/>
          <w:bCs/>
          <w:color w:val="auto"/>
          <w:highlight w:val="none"/>
          <w:lang w:val="en-US" w:eastAsia="zh-CN"/>
        </w:rPr>
        <w:t>七、充填子系统</w:t>
      </w:r>
      <w:bookmarkEnd w:id="40"/>
    </w:p>
    <w:p w14:paraId="7665522C">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（1）全尾砂浓密系统</w:t>
      </w:r>
    </w:p>
    <w:p w14:paraId="77FE2C0E">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选矿厂每天产生尾砂-</w:t>
      </w:r>
      <w:r>
        <w:rPr>
          <w:rFonts w:ascii="Times New Roman" w:hAnsi="Times New Roman" w:eastAsia="宋体" w:cs="Times New Roman"/>
          <w:color w:val="auto"/>
          <w:kern w:val="2"/>
          <w:sz w:val="24"/>
          <w:highlight w:val="none"/>
          <w:lang w:val="en-US" w:eastAsia="zh-CN" w:bidi="ar-SA"/>
        </w:rPr>
        <w:t>200</w:t>
      </w:r>
      <w:r>
        <w:rPr>
          <w:rFonts w:hint="eastAsia" w:ascii="Times New Roman" w:hAnsi="Times New Roman" w:eastAsia="宋体" w:cs="Times New Roman"/>
          <w:color w:val="auto"/>
          <w:kern w:val="2"/>
          <w:sz w:val="24"/>
          <w:highlight w:val="none"/>
          <w:lang w:val="en-US" w:eastAsia="zh-CN" w:bidi="ar-SA"/>
        </w:rPr>
        <w:t>目占比约67</w:t>
      </w:r>
      <w:r>
        <w:rPr>
          <w:rFonts w:ascii="Times New Roman" w:hAnsi="Times New Roman" w:eastAsia="宋体" w:cs="Times New Roman"/>
          <w:color w:val="auto"/>
          <w:kern w:val="2"/>
          <w:sz w:val="24"/>
          <w:highlight w:val="none"/>
          <w:lang w:val="en-US" w:eastAsia="zh-CN" w:bidi="ar-SA"/>
        </w:rPr>
        <w:t>%</w:t>
      </w:r>
      <w:r>
        <w:rPr>
          <w:rFonts w:hint="eastAsia" w:ascii="Times New Roman" w:hAnsi="Times New Roman" w:eastAsia="宋体" w:cs="Times New Roman"/>
          <w:color w:val="auto"/>
          <w:kern w:val="2"/>
          <w:sz w:val="24"/>
          <w:highlight w:val="none"/>
          <w:lang w:val="en-US" w:eastAsia="zh-CN" w:bidi="ar-SA"/>
        </w:rPr>
        <w:t>，根据类似矿山工程经验，推荐选用1台ф8×1</w:t>
      </w:r>
      <w:r>
        <w:rPr>
          <w:rFonts w:ascii="Times New Roman" w:hAnsi="Times New Roman" w:eastAsia="宋体" w:cs="Times New Roman"/>
          <w:color w:val="auto"/>
          <w:kern w:val="2"/>
          <w:sz w:val="24"/>
          <w:highlight w:val="none"/>
          <w:lang w:val="en-US" w:eastAsia="zh-CN" w:bidi="ar-SA"/>
        </w:rPr>
        <w:t>6m</w:t>
      </w:r>
      <w:r>
        <w:rPr>
          <w:rFonts w:hint="eastAsia" w:ascii="Times New Roman" w:hAnsi="Times New Roman" w:eastAsia="宋体" w:cs="Times New Roman"/>
          <w:color w:val="auto"/>
          <w:kern w:val="2"/>
          <w:sz w:val="24"/>
          <w:highlight w:val="none"/>
          <w:lang w:val="en-US" w:eastAsia="zh-CN" w:bidi="ar-SA"/>
        </w:rPr>
        <w:t>的膏体仓储浓密机用于全尾砂浓密充填。</w:t>
      </w:r>
    </w:p>
    <w:p w14:paraId="4877D3C2">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膏体仓储浓密机</w:t>
      </w:r>
      <w:r>
        <w:rPr>
          <w:rFonts w:hint="eastAsia" w:ascii="Times New Roman" w:hAnsi="Times New Roman" w:eastAsia="宋体" w:cs="Times New Roman"/>
          <w:color w:val="auto"/>
          <w:kern w:val="2"/>
          <w:sz w:val="24"/>
          <w:highlight w:val="none"/>
          <w:lang w:val="en-US" w:eastAsia="zh-CN" w:bidi="ar-SA"/>
        </w:rPr>
        <w:t>参数及</w:t>
      </w:r>
      <w:r>
        <w:rPr>
          <w:rFonts w:ascii="Times New Roman" w:hAnsi="Times New Roman" w:eastAsia="宋体" w:cs="Times New Roman"/>
          <w:color w:val="auto"/>
          <w:kern w:val="2"/>
          <w:sz w:val="24"/>
          <w:highlight w:val="none"/>
          <w:lang w:val="en-US" w:eastAsia="zh-CN" w:bidi="ar-SA"/>
        </w:rPr>
        <w:t>指标：</w:t>
      </w:r>
    </w:p>
    <w:p w14:paraId="1375554E">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浓密机型号    ：GCN 8；</w:t>
      </w:r>
    </w:p>
    <w:p w14:paraId="22FE748C">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浓密机尺寸    ：φ8m×H16m；</w:t>
      </w:r>
    </w:p>
    <w:p w14:paraId="1DA8C225">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尾砂处理能力  ：&gt;1000</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ascii="Times New Roman" w:hAnsi="Times New Roman" w:eastAsia="宋体" w:cs="Times New Roman"/>
          <w:color w:val="auto"/>
          <w:kern w:val="2"/>
          <w:sz w:val="24"/>
          <w:highlight w:val="none"/>
          <w:lang w:val="en-US" w:eastAsia="zh-CN" w:bidi="ar-SA"/>
        </w:rPr>
        <w:t>；</w:t>
      </w:r>
    </w:p>
    <w:p w14:paraId="16A0B044">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有效容积      ：500m³；</w:t>
      </w:r>
    </w:p>
    <w:p w14:paraId="1A5B4637">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 xml:space="preserve">仓储能力      </w:t>
      </w:r>
      <w:r>
        <w:rPr>
          <w:rFonts w:hint="eastAsia" w:ascii="Times New Roman" w:hAnsi="Times New Roman" w:eastAsia="宋体" w:cs="Times New Roman"/>
          <w:color w:val="auto"/>
          <w:kern w:val="2"/>
          <w:sz w:val="24"/>
          <w:highlight w:val="none"/>
          <w:lang w:val="en-US" w:eastAsia="zh-CN" w:bidi="ar-SA"/>
        </w:rPr>
        <w:t>：</w:t>
      </w:r>
      <w:r>
        <w:rPr>
          <w:rFonts w:ascii="Times New Roman" w:hAnsi="Times New Roman" w:eastAsia="宋体" w:cs="Times New Roman"/>
          <w:color w:val="auto"/>
          <w:kern w:val="2"/>
          <w:sz w:val="24"/>
          <w:highlight w:val="none"/>
          <w:lang w:val="en-US" w:eastAsia="zh-CN" w:bidi="ar-SA"/>
        </w:rPr>
        <w:t>600t；</w:t>
      </w:r>
    </w:p>
    <w:p w14:paraId="1DD371E4">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底流浓度      ：≥65%；</w:t>
      </w:r>
    </w:p>
    <w:p w14:paraId="2C86F47C">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溢流</w:t>
      </w:r>
      <w:r>
        <w:rPr>
          <w:rFonts w:hint="eastAsia" w:ascii="Times New Roman" w:hAnsi="Times New Roman" w:eastAsia="宋体" w:cs="Times New Roman"/>
          <w:color w:val="auto"/>
          <w:kern w:val="2"/>
          <w:sz w:val="24"/>
          <w:highlight w:val="none"/>
          <w:lang w:val="en-US" w:eastAsia="zh-CN" w:bidi="ar-SA"/>
        </w:rPr>
        <w:t>含固量</w:t>
      </w:r>
      <w:r>
        <w:rPr>
          <w:rFonts w:ascii="Times New Roman" w:hAnsi="Times New Roman" w:eastAsia="宋体" w:cs="Times New Roman"/>
          <w:color w:val="auto"/>
          <w:kern w:val="2"/>
          <w:sz w:val="24"/>
          <w:highlight w:val="none"/>
          <w:lang w:val="en-US" w:eastAsia="zh-CN" w:bidi="ar-SA"/>
        </w:rPr>
        <w:t xml:space="preserve">    ：＜300ppm；</w:t>
      </w:r>
    </w:p>
    <w:p w14:paraId="6E1DE55A">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工作制度      ：330d/a，8~10h/</w:t>
      </w:r>
      <w:r>
        <w:rPr>
          <w:rFonts w:hint="eastAsia" w:ascii="Times New Roman" w:hAnsi="Times New Roman" w:eastAsia="宋体" w:cs="Times New Roman"/>
          <w:color w:val="auto"/>
          <w:kern w:val="2"/>
          <w:sz w:val="24"/>
          <w:highlight w:val="none"/>
          <w:lang w:val="en-US" w:eastAsia="zh-CN" w:bidi="ar-SA"/>
        </w:rPr>
        <w:t>班</w:t>
      </w:r>
      <w:r>
        <w:rPr>
          <w:rFonts w:ascii="Times New Roman" w:hAnsi="Times New Roman" w:eastAsia="宋体" w:cs="Times New Roman"/>
          <w:color w:val="auto"/>
          <w:kern w:val="2"/>
          <w:sz w:val="24"/>
          <w:highlight w:val="none"/>
          <w:lang w:val="en-US" w:eastAsia="zh-CN" w:bidi="ar-SA"/>
        </w:rPr>
        <w:t>，1班/d。</w:t>
      </w:r>
    </w:p>
    <w:p w14:paraId="171B1B52">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ascii="Times New Roman" w:hAnsi="Times New Roman" w:eastAsia="宋体" w:cs="Times New Roman"/>
          <w:color w:val="auto"/>
          <w:kern w:val="2"/>
          <w:sz w:val="24"/>
          <w:highlight w:val="none"/>
          <w:lang w:val="en-US" w:eastAsia="zh-CN" w:bidi="ar-SA"/>
        </w:rPr>
        <w:t>絮凝剂自动加药机与浓密机配套使用，根据</w:t>
      </w:r>
      <w:r>
        <w:rPr>
          <w:rFonts w:hint="eastAsia" w:ascii="Times New Roman" w:hAnsi="Times New Roman" w:eastAsia="宋体" w:cs="Times New Roman"/>
          <w:color w:val="auto"/>
          <w:kern w:val="2"/>
          <w:sz w:val="24"/>
          <w:highlight w:val="none"/>
          <w:lang w:val="en-US" w:eastAsia="zh-CN" w:bidi="ar-SA"/>
        </w:rPr>
        <w:t>室内絮凝沉降实验结构，絮凝剂</w:t>
      </w:r>
      <w:r>
        <w:rPr>
          <w:rFonts w:ascii="Times New Roman" w:hAnsi="Times New Roman" w:eastAsia="宋体" w:cs="Times New Roman"/>
          <w:color w:val="auto"/>
          <w:kern w:val="2"/>
          <w:sz w:val="24"/>
          <w:highlight w:val="none"/>
          <w:lang w:val="en-US" w:eastAsia="zh-CN" w:bidi="ar-SA"/>
        </w:rPr>
        <w:t>使用量为</w:t>
      </w:r>
      <w:r>
        <w:rPr>
          <w:rFonts w:hint="eastAsia" w:ascii="Times New Roman" w:hAnsi="Times New Roman" w:eastAsia="宋体" w:cs="Times New Roman"/>
          <w:color w:val="auto"/>
          <w:kern w:val="2"/>
          <w:sz w:val="24"/>
          <w:highlight w:val="none"/>
          <w:lang w:val="en-US" w:eastAsia="zh-CN" w:bidi="ar-SA"/>
        </w:rPr>
        <w:t>2</w:t>
      </w:r>
      <w:r>
        <w:rPr>
          <w:rFonts w:ascii="Times New Roman" w:hAnsi="Times New Roman" w:eastAsia="宋体" w:cs="Times New Roman"/>
          <w:color w:val="auto"/>
          <w:kern w:val="2"/>
          <w:sz w:val="24"/>
          <w:highlight w:val="none"/>
          <w:lang w:val="en-US" w:eastAsia="zh-CN" w:bidi="ar-SA"/>
        </w:rPr>
        <w:t>0~30g/t，则干粉状絮凝剂最大用量为1.248kg/h。在絮凝剂自动加药中的絮凝剂溶液浓度设计为1‰，则絮凝剂溶液用量为1.248m³/h。通过在线稀释系统，将絮凝剂浓度进一步稀释为0.5‰，以提高絮凝沉降效果</w:t>
      </w:r>
      <w:r>
        <w:rPr>
          <w:rFonts w:hint="eastAsia" w:ascii="Times New Roman" w:hAnsi="Times New Roman" w:eastAsia="宋体" w:cs="Times New Roman"/>
          <w:color w:val="auto"/>
          <w:kern w:val="2"/>
          <w:sz w:val="24"/>
          <w:highlight w:val="none"/>
          <w:lang w:val="en-US" w:eastAsia="zh-CN" w:bidi="ar-SA"/>
        </w:rPr>
        <w:t>，每小时输送浓密机中心桶的絮凝剂溶液量为</w:t>
      </w:r>
      <w:r>
        <w:rPr>
          <w:rFonts w:ascii="Times New Roman" w:hAnsi="Times New Roman" w:eastAsia="宋体" w:cs="Times New Roman"/>
          <w:color w:val="auto"/>
          <w:kern w:val="2"/>
          <w:sz w:val="24"/>
          <w:highlight w:val="none"/>
          <w:lang w:val="en-US" w:eastAsia="zh-CN" w:bidi="ar-SA"/>
        </w:rPr>
        <w:t>2.496</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ascii="Times New Roman" w:hAnsi="Times New Roman" w:eastAsia="宋体" w:cs="Times New Roman"/>
          <w:color w:val="auto"/>
          <w:kern w:val="2"/>
          <w:sz w:val="24"/>
          <w:highlight w:val="none"/>
          <w:lang w:val="en-US" w:eastAsia="zh-CN" w:bidi="ar-SA"/>
        </w:rPr>
        <w:t>/h。</w:t>
      </w:r>
      <w:r>
        <w:rPr>
          <w:rFonts w:hint="eastAsia" w:ascii="Times New Roman" w:hAnsi="Times New Roman" w:eastAsia="宋体" w:cs="Times New Roman"/>
          <w:color w:val="auto"/>
          <w:kern w:val="2"/>
          <w:sz w:val="24"/>
          <w:highlight w:val="none"/>
          <w:lang w:val="en-US" w:eastAsia="zh-CN" w:bidi="ar-SA"/>
        </w:rPr>
        <w:t>因此，配置一台</w:t>
      </w:r>
      <w:r>
        <w:rPr>
          <w:rFonts w:ascii="Times New Roman" w:hAnsi="Times New Roman" w:eastAsia="宋体" w:cs="Times New Roman"/>
          <w:color w:val="auto"/>
          <w:kern w:val="2"/>
          <w:sz w:val="24"/>
          <w:highlight w:val="none"/>
          <w:lang w:val="en-US" w:eastAsia="zh-CN" w:bidi="ar-SA"/>
        </w:rPr>
        <w:t>絮凝剂自动加药机</w:t>
      </w:r>
      <w:r>
        <w:rPr>
          <w:rFonts w:hint="eastAsia" w:ascii="Times New Roman" w:hAnsi="Times New Roman" w:eastAsia="宋体" w:cs="Times New Roman"/>
          <w:color w:val="auto"/>
          <w:kern w:val="2"/>
          <w:sz w:val="24"/>
          <w:highlight w:val="none"/>
          <w:lang w:val="en-US" w:eastAsia="zh-CN" w:bidi="ar-SA"/>
        </w:rPr>
        <w:t>：</w:t>
      </w:r>
      <w:r>
        <w:rPr>
          <w:rFonts w:ascii="Times New Roman" w:hAnsi="Times New Roman" w:eastAsia="宋体" w:cs="Times New Roman"/>
          <w:color w:val="auto"/>
          <w:kern w:val="2"/>
          <w:sz w:val="24"/>
          <w:highlight w:val="none"/>
          <w:lang w:val="en-US" w:eastAsia="zh-CN" w:bidi="ar-SA"/>
        </w:rPr>
        <w:t>XNT-3000L，箱体304不锈钢3槽；螺旋给料机变频调节、功率0.55kW；搅拌电机功率0.75kW/台、3台，搅拌轴及桨叶材质304不锈钢；不锈钢螺杆泵变频调节3kW/台、Q=5m³/h、H=60m、2台；料位开关缺料报警、涡轮数显流量计、加热系统（总功率27kW，3台温控仪），螺杆泵、螺旋给料机变频接入总控制，带二次稀释泵。</w:t>
      </w:r>
    </w:p>
    <w:p w14:paraId="7D5FA9BE">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配置一台潜水泵用于将选厂输送过来的全尾砂强制稀释至最佳絮凝浓度，潜水泵参数：1</w:t>
      </w:r>
      <w:r>
        <w:rPr>
          <w:rFonts w:ascii="Times New Roman" w:hAnsi="Times New Roman" w:eastAsia="宋体" w:cs="Times New Roman"/>
          <w:color w:val="auto"/>
          <w:kern w:val="2"/>
          <w:sz w:val="24"/>
          <w:highlight w:val="none"/>
          <w:lang w:val="en-US" w:eastAsia="zh-CN" w:bidi="ar-SA"/>
        </w:rPr>
        <w:t>50</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ascii="Times New Roman" w:hAnsi="Times New Roman" w:eastAsia="宋体" w:cs="Times New Roman"/>
          <w:color w:val="auto"/>
          <w:kern w:val="2"/>
          <w:sz w:val="24"/>
          <w:highlight w:val="none"/>
          <w:lang w:val="en-US" w:eastAsia="zh-CN" w:bidi="ar-SA"/>
        </w:rPr>
        <w:t>/h</w:t>
      </w:r>
      <w:r>
        <w:rPr>
          <w:rFonts w:hint="eastAsia" w:ascii="Times New Roman" w:hAnsi="Times New Roman" w:eastAsia="宋体" w:cs="Times New Roman"/>
          <w:color w:val="auto"/>
          <w:kern w:val="2"/>
          <w:sz w:val="24"/>
          <w:highlight w:val="none"/>
          <w:lang w:val="en-US" w:eastAsia="zh-CN" w:bidi="ar-SA"/>
        </w:rPr>
        <w:t>，功率</w:t>
      </w:r>
      <w:r>
        <w:rPr>
          <w:rFonts w:ascii="Times New Roman" w:hAnsi="Times New Roman" w:eastAsia="宋体" w:cs="Times New Roman"/>
          <w:color w:val="auto"/>
          <w:kern w:val="2"/>
          <w:sz w:val="24"/>
          <w:highlight w:val="none"/>
          <w:lang w:val="en-US" w:eastAsia="zh-CN" w:bidi="ar-SA"/>
        </w:rPr>
        <w:t>7.5kW</w:t>
      </w:r>
      <w:r>
        <w:rPr>
          <w:rFonts w:hint="eastAsia" w:ascii="Times New Roman" w:hAnsi="Times New Roman" w:eastAsia="宋体" w:cs="Times New Roman"/>
          <w:color w:val="auto"/>
          <w:kern w:val="2"/>
          <w:sz w:val="24"/>
          <w:highlight w:val="none"/>
          <w:lang w:val="en-US" w:eastAsia="zh-CN" w:bidi="ar-SA"/>
        </w:rPr>
        <w:t>。</w:t>
      </w:r>
    </w:p>
    <w:p w14:paraId="51092D29">
      <w:pPr>
        <w:widowControl w:val="0"/>
        <w:bidi w:val="0"/>
        <w:spacing w:line="360" w:lineRule="auto"/>
        <w:ind w:firstLine="482" w:firstLineChars="200"/>
        <w:jc w:val="both"/>
        <w:rPr>
          <w:rFonts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（2）胶固粉（水泥）仓储及给料</w:t>
      </w:r>
    </w:p>
    <w:p w14:paraId="1AA7AF9A">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按胶固粉用量最大的灰砂比1:8（胶凝剂耗量约0.19t/</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ascii="Times New Roman" w:hAnsi="Times New Roman" w:eastAsia="宋体" w:cs="Times New Roman"/>
          <w:color w:val="auto"/>
          <w:kern w:val="2"/>
          <w:sz w:val="24"/>
          <w:highlight w:val="none"/>
          <w:lang w:val="en-US" w:eastAsia="zh-CN" w:bidi="ar-SA"/>
        </w:rPr>
        <w:t>），按60</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ascii="Times New Roman" w:hAnsi="Times New Roman" w:eastAsia="宋体" w:cs="Times New Roman"/>
          <w:color w:val="auto"/>
          <w:kern w:val="2"/>
          <w:sz w:val="24"/>
          <w:highlight w:val="none"/>
          <w:lang w:val="en-US" w:eastAsia="zh-CN" w:bidi="ar-SA"/>
        </w:rPr>
        <w:t>/h充填能力计算，最大胶凝剂单耗为：0.19×60=11.4t/h，原有胶凝剂仓有效容积约80t，在每日均储满的情况下，可满足每日7小时连续充填420</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ascii="Times New Roman" w:hAnsi="Times New Roman" w:eastAsia="宋体" w:cs="Times New Roman"/>
          <w:color w:val="auto"/>
          <w:kern w:val="2"/>
          <w:sz w:val="24"/>
          <w:highlight w:val="none"/>
          <w:lang w:val="en-US" w:eastAsia="zh-CN" w:bidi="ar-SA"/>
        </w:rPr>
        <w:t>需求，原有胶凝剂剂供料系统可利旧使用。</w:t>
      </w:r>
    </w:p>
    <w:p w14:paraId="3AA28D9D">
      <w:pPr>
        <w:widowControl w:val="0"/>
        <w:bidi w:val="0"/>
        <w:spacing w:line="360" w:lineRule="auto"/>
        <w:ind w:firstLine="482" w:firstLineChars="200"/>
        <w:jc w:val="both"/>
        <w:rPr>
          <w:rFonts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（3）全尾砂充填料浆制备</w:t>
      </w:r>
    </w:p>
    <w:p w14:paraId="4169F5BD">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全尾砂结构流充填料浓度高，粘度高、搅拌难度大，普通搅拌机无法满足搅拌要求，为确保充填料浆的制备均匀，将充填站现有普通立式搅拌机更换为高速柔性搅拌机</w:t>
      </w:r>
      <w:r>
        <w:rPr>
          <w:rFonts w:ascii="Times New Roman" w:hAnsi="Times New Roman" w:eastAsia="宋体" w:cs="Times New Roman"/>
          <w:color w:val="auto"/>
          <w:kern w:val="2"/>
          <w:sz w:val="24"/>
          <w:highlight w:val="none"/>
          <w:lang w:val="en-US" w:eastAsia="zh-CN" w:bidi="ar-SA"/>
        </w:rPr>
        <w:t>。</w:t>
      </w:r>
      <w:r>
        <w:rPr>
          <w:rFonts w:hint="eastAsia" w:ascii="Times New Roman" w:hAnsi="Times New Roman" w:eastAsia="宋体" w:cs="Times New Roman"/>
          <w:color w:val="auto"/>
          <w:kern w:val="2"/>
          <w:sz w:val="24"/>
          <w:highlight w:val="none"/>
          <w:lang w:val="en-US" w:eastAsia="zh-CN" w:bidi="ar-SA"/>
        </w:rPr>
        <w:t>充填料经搅拌均匀制备成浓度适中、流动性良好的充填料浆，</w:t>
      </w:r>
      <w:r>
        <w:rPr>
          <w:rFonts w:ascii="Times New Roman" w:hAnsi="Times New Roman" w:eastAsia="宋体" w:cs="Times New Roman"/>
          <w:color w:val="auto"/>
          <w:kern w:val="2"/>
          <w:sz w:val="24"/>
          <w:highlight w:val="none"/>
          <w:lang w:val="en-US" w:eastAsia="zh-CN" w:bidi="ar-SA"/>
        </w:rPr>
        <w:t>通过</w:t>
      </w:r>
      <w:r>
        <w:rPr>
          <w:rFonts w:hint="eastAsia" w:ascii="Times New Roman" w:hAnsi="Times New Roman" w:eastAsia="宋体" w:cs="Times New Roman"/>
          <w:color w:val="auto"/>
          <w:kern w:val="2"/>
          <w:sz w:val="24"/>
          <w:highlight w:val="none"/>
          <w:lang w:val="en-US" w:eastAsia="zh-CN" w:bidi="ar-SA"/>
        </w:rPr>
        <w:t>自流输送</w:t>
      </w:r>
      <w:r>
        <w:rPr>
          <w:rFonts w:ascii="Times New Roman" w:hAnsi="Times New Roman" w:eastAsia="宋体" w:cs="Times New Roman"/>
          <w:color w:val="auto"/>
          <w:kern w:val="2"/>
          <w:sz w:val="24"/>
          <w:highlight w:val="none"/>
          <w:lang w:val="en-US" w:eastAsia="zh-CN" w:bidi="ar-SA"/>
        </w:rPr>
        <w:t>至井下采场空区进行充填。</w:t>
      </w:r>
    </w:p>
    <w:p w14:paraId="1D3ECB62">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根据充填系统能力为6</w:t>
      </w:r>
      <w:r>
        <w:rPr>
          <w:rFonts w:ascii="Times New Roman" w:hAnsi="Times New Roman" w:eastAsia="宋体" w:cs="Times New Roman"/>
          <w:color w:val="auto"/>
          <w:kern w:val="2"/>
          <w:sz w:val="24"/>
          <w:highlight w:val="none"/>
          <w:lang w:val="en-US" w:eastAsia="zh-CN" w:bidi="ar-SA"/>
        </w:rPr>
        <w:t>0~80</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ascii="Times New Roman" w:hAnsi="Times New Roman" w:eastAsia="宋体" w:cs="Times New Roman"/>
          <w:color w:val="auto"/>
          <w:kern w:val="2"/>
          <w:sz w:val="24"/>
          <w:highlight w:val="none"/>
          <w:lang w:val="en-US" w:eastAsia="zh-CN" w:bidi="ar-SA"/>
        </w:rPr>
        <w:t>/</w:t>
      </w:r>
      <w:r>
        <w:rPr>
          <w:rFonts w:hint="eastAsia" w:ascii="Times New Roman" w:hAnsi="Times New Roman" w:eastAsia="宋体" w:cs="Times New Roman"/>
          <w:color w:val="auto"/>
          <w:kern w:val="2"/>
          <w:sz w:val="24"/>
          <w:highlight w:val="none"/>
          <w:lang w:val="en-US" w:eastAsia="zh-CN" w:bidi="ar-SA"/>
        </w:rPr>
        <w:t>h，高速柔性搅拌机型号</w:t>
      </w:r>
      <w:r>
        <w:rPr>
          <w:rFonts w:ascii="Times New Roman" w:hAnsi="Times New Roman" w:eastAsia="宋体" w:cs="Times New Roman"/>
          <w:color w:val="auto"/>
          <w:kern w:val="2"/>
          <w:sz w:val="24"/>
          <w:highlight w:val="none"/>
          <w:lang w:val="en-US" w:eastAsia="zh-CN" w:bidi="ar-SA"/>
        </w:rPr>
        <w:t>JBJHY-01</w:t>
      </w:r>
      <w:r>
        <w:rPr>
          <w:rFonts w:hint="eastAsia" w:ascii="Times New Roman" w:hAnsi="Times New Roman" w:eastAsia="宋体" w:cs="Times New Roman"/>
          <w:color w:val="auto"/>
          <w:kern w:val="2"/>
          <w:sz w:val="24"/>
          <w:highlight w:val="none"/>
          <w:lang w:val="en-US" w:eastAsia="zh-CN" w:bidi="ar-SA"/>
        </w:rPr>
        <w:t>，主要技术参数见下表</w:t>
      </w:r>
      <w:r>
        <w:rPr>
          <w:rFonts w:ascii="Times New Roman" w:hAnsi="Times New Roman" w:eastAsia="宋体" w:cs="Times New Roman"/>
          <w:color w:val="auto"/>
          <w:kern w:val="2"/>
          <w:sz w:val="24"/>
          <w:highlight w:val="none"/>
          <w:lang w:val="en-US" w:eastAsia="zh-CN" w:bidi="ar-SA"/>
        </w:rPr>
        <w:t>。</w:t>
      </w:r>
      <w:bookmarkStart w:id="41" w:name="_Ref72486593"/>
    </w:p>
    <w:p w14:paraId="16BF631C">
      <w:pPr>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sectPr>
          <w:footerReference r:id="rId11" w:type="default"/>
          <w:pgSz w:w="11906" w:h="16838"/>
          <w:pgMar w:top="1440" w:right="1440" w:bottom="1236" w:left="144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47306993">
      <w:pPr>
        <w:widowControl w:val="0"/>
        <w:bidi w:val="0"/>
        <w:spacing w:line="300" w:lineRule="auto"/>
        <w:jc w:val="center"/>
        <w:outlineLvl w:val="4"/>
        <w:rPr>
          <w:rFonts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24</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w:t>
      </w:r>
      <w:bookmarkEnd w:id="41"/>
      <w:r>
        <w:rPr>
          <w:rFonts w:ascii="Times New Roman" w:hAnsi="Times New Roman" w:eastAsia="黑体" w:cs="Times New Roman"/>
          <w:color w:val="auto"/>
          <w:kern w:val="2"/>
          <w:sz w:val="24"/>
          <w:highlight w:val="none"/>
          <w:lang w:val="en-US" w:eastAsia="zh-CN" w:bidi="ar-SA"/>
        </w:rPr>
        <w:t>JBJHY-01</w:t>
      </w:r>
      <w:r>
        <w:rPr>
          <w:rFonts w:hint="eastAsia" w:ascii="Times New Roman" w:hAnsi="Times New Roman" w:eastAsia="黑体" w:cs="Times New Roman"/>
          <w:color w:val="auto"/>
          <w:kern w:val="2"/>
          <w:sz w:val="24"/>
          <w:highlight w:val="none"/>
          <w:lang w:val="en-US" w:eastAsia="zh-CN" w:bidi="ar-SA"/>
        </w:rPr>
        <w:t>高速柔性搅拌机</w:t>
      </w:r>
      <w:r>
        <w:rPr>
          <w:rFonts w:ascii="Times New Roman" w:hAnsi="Times New Roman" w:eastAsia="黑体" w:cs="Times New Roman"/>
          <w:color w:val="auto"/>
          <w:kern w:val="2"/>
          <w:sz w:val="24"/>
          <w:highlight w:val="none"/>
          <w:lang w:val="en-US" w:eastAsia="zh-CN" w:bidi="ar-SA"/>
        </w:rPr>
        <w:t>主要参数表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3096"/>
        <w:gridCol w:w="2956"/>
        <w:gridCol w:w="1610"/>
      </w:tblGrid>
      <w:tr w14:paraId="6FD39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52" w:type="pct"/>
            <w:tcBorders>
              <w:tl2br w:val="nil"/>
              <w:tr2bl w:val="nil"/>
            </w:tcBorders>
            <w:vAlign w:val="center"/>
          </w:tcPr>
          <w:p w14:paraId="482D3FC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序号</w:t>
            </w:r>
          </w:p>
        </w:tc>
        <w:tc>
          <w:tcPr>
            <w:tcW w:w="1675" w:type="pct"/>
            <w:tcBorders>
              <w:tl2br w:val="nil"/>
              <w:tr2bl w:val="nil"/>
            </w:tcBorders>
            <w:vAlign w:val="center"/>
          </w:tcPr>
          <w:p w14:paraId="0BD902A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项目</w:t>
            </w:r>
          </w:p>
        </w:tc>
        <w:tc>
          <w:tcPr>
            <w:tcW w:w="1599" w:type="pct"/>
            <w:tcBorders>
              <w:tl2br w:val="nil"/>
              <w:tr2bl w:val="nil"/>
            </w:tcBorders>
            <w:vAlign w:val="center"/>
          </w:tcPr>
          <w:p w14:paraId="059E11F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参数</w:t>
            </w:r>
          </w:p>
        </w:tc>
        <w:tc>
          <w:tcPr>
            <w:tcW w:w="871" w:type="pct"/>
            <w:tcBorders>
              <w:tl2br w:val="nil"/>
              <w:tr2bl w:val="nil"/>
            </w:tcBorders>
            <w:vAlign w:val="center"/>
          </w:tcPr>
          <w:p w14:paraId="4EC8F61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备注</w:t>
            </w:r>
          </w:p>
        </w:tc>
      </w:tr>
      <w:tr w14:paraId="7E27F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 w:type="pct"/>
            <w:tcBorders>
              <w:tl2br w:val="nil"/>
              <w:tr2bl w:val="nil"/>
            </w:tcBorders>
            <w:vAlign w:val="center"/>
          </w:tcPr>
          <w:p w14:paraId="01BAAD8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1</w:t>
            </w:r>
          </w:p>
        </w:tc>
        <w:tc>
          <w:tcPr>
            <w:tcW w:w="1675" w:type="pct"/>
            <w:tcBorders>
              <w:tl2br w:val="nil"/>
              <w:tr2bl w:val="nil"/>
            </w:tcBorders>
            <w:vAlign w:val="center"/>
          </w:tcPr>
          <w:p w14:paraId="536EF59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型号</w:t>
            </w:r>
          </w:p>
        </w:tc>
        <w:tc>
          <w:tcPr>
            <w:tcW w:w="1599" w:type="pct"/>
            <w:tcBorders>
              <w:tl2br w:val="nil"/>
              <w:tr2bl w:val="nil"/>
            </w:tcBorders>
            <w:vAlign w:val="center"/>
          </w:tcPr>
          <w:p w14:paraId="255322A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JBJHY-01</w:t>
            </w:r>
          </w:p>
        </w:tc>
        <w:tc>
          <w:tcPr>
            <w:tcW w:w="871" w:type="pct"/>
            <w:tcBorders>
              <w:tl2br w:val="nil"/>
              <w:tr2bl w:val="nil"/>
            </w:tcBorders>
            <w:vAlign w:val="center"/>
          </w:tcPr>
          <w:p w14:paraId="58BE4C6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r>
      <w:tr w14:paraId="5E93A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 w:type="pct"/>
            <w:tcBorders>
              <w:tl2br w:val="nil"/>
              <w:tr2bl w:val="nil"/>
            </w:tcBorders>
            <w:vAlign w:val="center"/>
          </w:tcPr>
          <w:p w14:paraId="7499DD7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2</w:t>
            </w:r>
          </w:p>
        </w:tc>
        <w:tc>
          <w:tcPr>
            <w:tcW w:w="1675" w:type="pct"/>
            <w:tcBorders>
              <w:tl2br w:val="nil"/>
              <w:tr2bl w:val="nil"/>
            </w:tcBorders>
            <w:vAlign w:val="center"/>
          </w:tcPr>
          <w:p w14:paraId="739EEE5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桶体规格</w:t>
            </w:r>
          </w:p>
        </w:tc>
        <w:tc>
          <w:tcPr>
            <w:tcW w:w="1599" w:type="pct"/>
            <w:tcBorders>
              <w:tl2br w:val="nil"/>
              <w:tr2bl w:val="nil"/>
            </w:tcBorders>
            <w:vAlign w:val="center"/>
          </w:tcPr>
          <w:p w14:paraId="2DCAFC6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Φ2</w:t>
            </w:r>
            <w:r>
              <w:rPr>
                <w:rFonts w:hint="eastAsia" w:ascii="Times New Roman" w:hAnsi="Times New Roman" w:eastAsia="宋体" w:cs="Times New Roman"/>
                <w:color w:val="auto"/>
                <w:kern w:val="2"/>
                <w:sz w:val="22"/>
                <w:szCs w:val="22"/>
                <w:highlight w:val="none"/>
                <w:lang w:val="en-US" w:eastAsia="zh-CN" w:bidi="ar-SA"/>
              </w:rPr>
              <w:t>×</w:t>
            </w:r>
            <w:r>
              <w:rPr>
                <w:rFonts w:hint="default" w:ascii="Times New Roman" w:hAnsi="Times New Roman" w:eastAsia="宋体" w:cs="Times New Roman"/>
                <w:color w:val="auto"/>
                <w:kern w:val="2"/>
                <w:sz w:val="22"/>
                <w:szCs w:val="22"/>
                <w:highlight w:val="none"/>
                <w:lang w:val="en-US" w:eastAsia="zh-CN" w:bidi="ar-SA"/>
              </w:rPr>
              <w:t>2m</w:t>
            </w:r>
          </w:p>
        </w:tc>
        <w:tc>
          <w:tcPr>
            <w:tcW w:w="871" w:type="pct"/>
            <w:tcBorders>
              <w:tl2br w:val="nil"/>
              <w:tr2bl w:val="nil"/>
            </w:tcBorders>
            <w:vAlign w:val="center"/>
          </w:tcPr>
          <w:p w14:paraId="3373A0B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r>
      <w:tr w14:paraId="50A69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 w:type="pct"/>
            <w:tcBorders>
              <w:tl2br w:val="nil"/>
              <w:tr2bl w:val="nil"/>
            </w:tcBorders>
            <w:vAlign w:val="center"/>
          </w:tcPr>
          <w:p w14:paraId="24326AD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3</w:t>
            </w:r>
          </w:p>
        </w:tc>
        <w:tc>
          <w:tcPr>
            <w:tcW w:w="1675" w:type="pct"/>
            <w:tcBorders>
              <w:tl2br w:val="nil"/>
              <w:tr2bl w:val="nil"/>
            </w:tcBorders>
            <w:vAlign w:val="center"/>
          </w:tcPr>
          <w:p w14:paraId="6CD053D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出料容量</w:t>
            </w:r>
          </w:p>
        </w:tc>
        <w:tc>
          <w:tcPr>
            <w:tcW w:w="1599" w:type="pct"/>
            <w:tcBorders>
              <w:tl2br w:val="nil"/>
              <w:tr2bl w:val="nil"/>
            </w:tcBorders>
            <w:vAlign w:val="center"/>
          </w:tcPr>
          <w:p w14:paraId="7F289A2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6.28m³</w:t>
            </w:r>
          </w:p>
        </w:tc>
        <w:tc>
          <w:tcPr>
            <w:tcW w:w="871" w:type="pct"/>
            <w:tcBorders>
              <w:tl2br w:val="nil"/>
              <w:tr2bl w:val="nil"/>
            </w:tcBorders>
            <w:vAlign w:val="center"/>
          </w:tcPr>
          <w:p w14:paraId="657A5D4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r>
      <w:tr w14:paraId="6277D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 w:type="pct"/>
            <w:tcBorders>
              <w:tl2br w:val="nil"/>
              <w:tr2bl w:val="nil"/>
            </w:tcBorders>
            <w:vAlign w:val="center"/>
          </w:tcPr>
          <w:p w14:paraId="395A187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4</w:t>
            </w:r>
          </w:p>
        </w:tc>
        <w:tc>
          <w:tcPr>
            <w:tcW w:w="1675" w:type="pct"/>
            <w:tcBorders>
              <w:tl2br w:val="nil"/>
              <w:tr2bl w:val="nil"/>
            </w:tcBorders>
            <w:vAlign w:val="center"/>
          </w:tcPr>
          <w:p w14:paraId="74DEA36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进料容量</w:t>
            </w:r>
          </w:p>
        </w:tc>
        <w:tc>
          <w:tcPr>
            <w:tcW w:w="1599" w:type="pct"/>
            <w:tcBorders>
              <w:tl2br w:val="nil"/>
              <w:tr2bl w:val="nil"/>
            </w:tcBorders>
            <w:vAlign w:val="center"/>
          </w:tcPr>
          <w:p w14:paraId="10A025A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6.28m³</w:t>
            </w:r>
          </w:p>
        </w:tc>
        <w:tc>
          <w:tcPr>
            <w:tcW w:w="871" w:type="pct"/>
            <w:tcBorders>
              <w:tl2br w:val="nil"/>
              <w:tr2bl w:val="nil"/>
            </w:tcBorders>
            <w:vAlign w:val="center"/>
          </w:tcPr>
          <w:p w14:paraId="706EECA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r>
      <w:tr w14:paraId="0DFD2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 w:type="pct"/>
            <w:tcBorders>
              <w:tl2br w:val="nil"/>
              <w:tr2bl w:val="nil"/>
            </w:tcBorders>
            <w:vAlign w:val="center"/>
          </w:tcPr>
          <w:p w14:paraId="5D6815D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5</w:t>
            </w:r>
          </w:p>
        </w:tc>
        <w:tc>
          <w:tcPr>
            <w:tcW w:w="1675" w:type="pct"/>
            <w:tcBorders>
              <w:tl2br w:val="nil"/>
              <w:tr2bl w:val="nil"/>
            </w:tcBorders>
            <w:vAlign w:val="center"/>
          </w:tcPr>
          <w:p w14:paraId="42CCFDE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生产能力</w:t>
            </w:r>
          </w:p>
        </w:tc>
        <w:tc>
          <w:tcPr>
            <w:tcW w:w="1599" w:type="pct"/>
            <w:tcBorders>
              <w:tl2br w:val="nil"/>
              <w:tr2bl w:val="nil"/>
            </w:tcBorders>
            <w:vAlign w:val="center"/>
          </w:tcPr>
          <w:p w14:paraId="7B95A14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60~80m³/h</w:t>
            </w:r>
          </w:p>
        </w:tc>
        <w:tc>
          <w:tcPr>
            <w:tcW w:w="871" w:type="pct"/>
            <w:tcBorders>
              <w:tl2br w:val="nil"/>
              <w:tr2bl w:val="nil"/>
            </w:tcBorders>
            <w:vAlign w:val="center"/>
          </w:tcPr>
          <w:p w14:paraId="7FE59CB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r>
      <w:tr w14:paraId="026AF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 w:type="pct"/>
            <w:tcBorders>
              <w:tl2br w:val="nil"/>
              <w:tr2bl w:val="nil"/>
            </w:tcBorders>
            <w:vAlign w:val="center"/>
          </w:tcPr>
          <w:p w14:paraId="446EBD5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w:t>
            </w:r>
          </w:p>
        </w:tc>
        <w:tc>
          <w:tcPr>
            <w:tcW w:w="1675" w:type="pct"/>
            <w:tcBorders>
              <w:tl2br w:val="nil"/>
              <w:tr2bl w:val="nil"/>
            </w:tcBorders>
            <w:vAlign w:val="center"/>
          </w:tcPr>
          <w:p w14:paraId="5965B7C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搅拌电机功率</w:t>
            </w:r>
          </w:p>
        </w:tc>
        <w:tc>
          <w:tcPr>
            <w:tcW w:w="1599" w:type="pct"/>
            <w:tcBorders>
              <w:tl2br w:val="nil"/>
              <w:tr2bl w:val="nil"/>
            </w:tcBorders>
            <w:vAlign w:val="center"/>
          </w:tcPr>
          <w:p w14:paraId="40AFF63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75kw</w:t>
            </w:r>
          </w:p>
        </w:tc>
        <w:tc>
          <w:tcPr>
            <w:tcW w:w="871" w:type="pct"/>
            <w:tcBorders>
              <w:tl2br w:val="nil"/>
              <w:tr2bl w:val="nil"/>
            </w:tcBorders>
            <w:vAlign w:val="center"/>
          </w:tcPr>
          <w:p w14:paraId="491B418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变频电机</w:t>
            </w:r>
          </w:p>
        </w:tc>
      </w:tr>
      <w:tr w14:paraId="28667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 w:type="pct"/>
            <w:tcBorders>
              <w:tl2br w:val="nil"/>
              <w:tr2bl w:val="nil"/>
            </w:tcBorders>
            <w:vAlign w:val="center"/>
          </w:tcPr>
          <w:p w14:paraId="78099B6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7</w:t>
            </w:r>
          </w:p>
        </w:tc>
        <w:tc>
          <w:tcPr>
            <w:tcW w:w="1675" w:type="pct"/>
            <w:tcBorders>
              <w:tl2br w:val="nil"/>
              <w:tr2bl w:val="nil"/>
            </w:tcBorders>
            <w:vAlign w:val="center"/>
          </w:tcPr>
          <w:p w14:paraId="6D5BD32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搅拌机转速</w:t>
            </w:r>
          </w:p>
        </w:tc>
        <w:tc>
          <w:tcPr>
            <w:tcW w:w="1599" w:type="pct"/>
            <w:tcBorders>
              <w:tl2br w:val="nil"/>
              <w:tr2bl w:val="nil"/>
            </w:tcBorders>
            <w:vAlign w:val="center"/>
          </w:tcPr>
          <w:p w14:paraId="34B7820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0~247r/min</w:t>
            </w:r>
          </w:p>
        </w:tc>
        <w:tc>
          <w:tcPr>
            <w:tcW w:w="871" w:type="pct"/>
            <w:tcBorders>
              <w:tl2br w:val="nil"/>
              <w:tr2bl w:val="nil"/>
            </w:tcBorders>
            <w:vAlign w:val="center"/>
          </w:tcPr>
          <w:p w14:paraId="48615C9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可调速</w:t>
            </w:r>
          </w:p>
        </w:tc>
      </w:tr>
    </w:tbl>
    <w:p w14:paraId="541ADDA6">
      <w:pPr>
        <w:widowControl w:val="0"/>
        <w:bidi w:val="0"/>
        <w:spacing w:line="360" w:lineRule="auto"/>
        <w:ind w:firstLine="482" w:firstLineChars="200"/>
        <w:jc w:val="both"/>
        <w:rPr>
          <w:rFonts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（4）全尾砂充填料浆输送</w:t>
      </w:r>
    </w:p>
    <w:p w14:paraId="4EF7696E">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充填站地面选址标高为+385m，现管道输送最低水平-295m，高程差约680m，管道敷设长度约860m，计算充填</w:t>
      </w:r>
      <w:r>
        <w:rPr>
          <w:rFonts w:ascii="Times New Roman" w:hAnsi="Times New Roman" w:eastAsia="宋体" w:cs="Times New Roman"/>
          <w:color w:val="auto"/>
          <w:kern w:val="2"/>
          <w:sz w:val="24"/>
          <w:highlight w:val="none"/>
          <w:lang w:val="en-US" w:eastAsia="zh-CN" w:bidi="ar-SA"/>
        </w:rPr>
        <w:t>倍线</w:t>
      </w:r>
      <w:r>
        <w:rPr>
          <w:rFonts w:hint="eastAsia" w:ascii="Times New Roman" w:hAnsi="Times New Roman" w:eastAsia="宋体" w:cs="Times New Roman"/>
          <w:color w:val="auto"/>
          <w:kern w:val="2"/>
          <w:sz w:val="24"/>
          <w:highlight w:val="none"/>
          <w:lang w:val="en-US" w:eastAsia="zh-CN" w:bidi="ar-SA"/>
        </w:rPr>
        <w:t>约1.26，有利于自流输送，本次依旧采取自流输送工艺。</w:t>
      </w:r>
    </w:p>
    <w:p w14:paraId="6D444C0D">
      <w:pPr>
        <w:pStyle w:val="2"/>
        <w:numPr>
          <w:ilvl w:val="0"/>
          <w:numId w:val="0"/>
        </w:numPr>
        <w:tabs>
          <w:tab w:val="left" w:pos="0"/>
          <w:tab w:val="clear" w:pos="1021"/>
        </w:tabs>
        <w:bidi w:val="0"/>
        <w:ind w:leftChars="200"/>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八、</w:t>
      </w:r>
      <w:r>
        <w:rPr>
          <w:rFonts w:hint="eastAsia" w:ascii="Times New Roman" w:hAnsi="Times New Roman" w:eastAsia="宋体" w:cs="Times New Roman"/>
          <w:b/>
          <w:bCs/>
          <w:color w:val="auto"/>
          <w:highlight w:val="none"/>
          <w:lang w:val="en-US" w:eastAsia="zh-CN"/>
        </w:rPr>
        <w:t>充填系统主要设备</w:t>
      </w:r>
    </w:p>
    <w:p w14:paraId="180ABD00">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充填站扩建后，主要设备见下表。</w:t>
      </w:r>
    </w:p>
    <w:p w14:paraId="5FC8155F">
      <w:pPr>
        <w:widowControl w:val="0"/>
        <w:tabs>
          <w:tab w:val="left" w:pos="1021"/>
        </w:tabs>
        <w:bidi w:val="0"/>
        <w:spacing w:line="300" w:lineRule="auto"/>
        <w:jc w:val="center"/>
        <w:outlineLvl w:val="4"/>
        <w:rPr>
          <w:rFonts w:hint="default" w:ascii="Times New Roman" w:hAnsi="Times New Roman" w:eastAsia="黑体" w:cs="Times New Roman"/>
          <w:color w:val="auto"/>
          <w:kern w:val="2"/>
          <w:sz w:val="24"/>
          <w:szCs w:val="20"/>
          <w:highlight w:val="none"/>
          <w:lang w:val="en-US" w:eastAsia="zh-CN" w:bidi="ar-SA"/>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25</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w:t>
      </w:r>
      <w:r>
        <w:rPr>
          <w:rFonts w:hint="eastAsia" w:ascii="Times New Roman" w:hAnsi="Times New Roman" w:eastAsia="黑体" w:cs="Times New Roman"/>
          <w:color w:val="auto"/>
          <w:kern w:val="2"/>
          <w:sz w:val="24"/>
          <w:szCs w:val="20"/>
          <w:highlight w:val="none"/>
          <w:lang w:val="en-US" w:eastAsia="zh-CN" w:bidi="ar-SA"/>
        </w:rPr>
        <w:t>充填站主要设备、设施统计表</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2543"/>
        <w:gridCol w:w="1793"/>
        <w:gridCol w:w="1848"/>
        <w:gridCol w:w="1904"/>
      </w:tblGrid>
      <w:tr w14:paraId="3AD68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22" w:type="pct"/>
            <w:tcBorders>
              <w:tl2br w:val="nil"/>
              <w:tr2bl w:val="nil"/>
            </w:tcBorders>
          </w:tcPr>
          <w:p w14:paraId="4BD7DFE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序号</w:t>
            </w:r>
          </w:p>
        </w:tc>
        <w:tc>
          <w:tcPr>
            <w:tcW w:w="1376" w:type="pct"/>
            <w:tcBorders>
              <w:tl2br w:val="nil"/>
              <w:tr2bl w:val="nil"/>
            </w:tcBorders>
          </w:tcPr>
          <w:p w14:paraId="42B2A04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名称</w:t>
            </w:r>
          </w:p>
        </w:tc>
        <w:tc>
          <w:tcPr>
            <w:tcW w:w="970" w:type="pct"/>
            <w:tcBorders>
              <w:tl2br w:val="nil"/>
              <w:tr2bl w:val="nil"/>
            </w:tcBorders>
          </w:tcPr>
          <w:p w14:paraId="2D29540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规格</w:t>
            </w:r>
          </w:p>
        </w:tc>
        <w:tc>
          <w:tcPr>
            <w:tcW w:w="1000" w:type="pct"/>
            <w:tcBorders>
              <w:tl2br w:val="nil"/>
              <w:tr2bl w:val="nil"/>
            </w:tcBorders>
          </w:tcPr>
          <w:p w14:paraId="0021702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数量</w:t>
            </w:r>
          </w:p>
        </w:tc>
        <w:tc>
          <w:tcPr>
            <w:tcW w:w="1030" w:type="pct"/>
            <w:tcBorders>
              <w:tl2br w:val="nil"/>
              <w:tr2bl w:val="nil"/>
            </w:tcBorders>
          </w:tcPr>
          <w:p w14:paraId="741FD0B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备注</w:t>
            </w:r>
          </w:p>
        </w:tc>
      </w:tr>
      <w:tr w14:paraId="7BA7A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231F0B7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376" w:type="pct"/>
            <w:tcBorders>
              <w:tl2br w:val="nil"/>
              <w:tr2bl w:val="nil"/>
            </w:tcBorders>
          </w:tcPr>
          <w:p w14:paraId="7C74611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膏体仓储浓密机</w:t>
            </w:r>
          </w:p>
        </w:tc>
        <w:tc>
          <w:tcPr>
            <w:tcW w:w="970" w:type="pct"/>
            <w:tcBorders>
              <w:tl2br w:val="nil"/>
              <w:tr2bl w:val="nil"/>
            </w:tcBorders>
          </w:tcPr>
          <w:p w14:paraId="1EC5356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Φ</w:t>
            </w:r>
            <w:r>
              <w:rPr>
                <w:rFonts w:hint="default" w:ascii="Times New Roman" w:hAnsi="Times New Roman" w:eastAsia="宋体" w:cs="Times New Roman"/>
                <w:color w:val="auto"/>
                <w:kern w:val="2"/>
                <w:sz w:val="22"/>
                <w:szCs w:val="22"/>
                <w:highlight w:val="none"/>
                <w:lang w:val="en-US" w:eastAsia="zh-CN" w:bidi="ar-SA"/>
              </w:rPr>
              <w:t>8m</w:t>
            </w:r>
          </w:p>
        </w:tc>
        <w:tc>
          <w:tcPr>
            <w:tcW w:w="1000" w:type="pct"/>
            <w:tcBorders>
              <w:tl2br w:val="nil"/>
              <w:tr2bl w:val="nil"/>
            </w:tcBorders>
          </w:tcPr>
          <w:p w14:paraId="40B0F01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30" w:type="pct"/>
            <w:tcBorders>
              <w:tl2br w:val="nil"/>
              <w:tr2bl w:val="nil"/>
            </w:tcBorders>
          </w:tcPr>
          <w:p w14:paraId="716117F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5FF87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3C9B5AE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w:t>
            </w:r>
          </w:p>
        </w:tc>
        <w:tc>
          <w:tcPr>
            <w:tcW w:w="1376" w:type="pct"/>
            <w:tcBorders>
              <w:tl2br w:val="nil"/>
              <w:tr2bl w:val="nil"/>
            </w:tcBorders>
          </w:tcPr>
          <w:p w14:paraId="1AED876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浓度计</w:t>
            </w:r>
          </w:p>
        </w:tc>
        <w:tc>
          <w:tcPr>
            <w:tcW w:w="970" w:type="pct"/>
            <w:tcBorders>
              <w:tl2br w:val="nil"/>
              <w:tr2bl w:val="nil"/>
            </w:tcBorders>
          </w:tcPr>
          <w:p w14:paraId="6A6B49F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D</w:t>
            </w:r>
            <w:r>
              <w:rPr>
                <w:rFonts w:hint="default" w:ascii="Times New Roman" w:hAnsi="Times New Roman" w:eastAsia="宋体" w:cs="Times New Roman"/>
                <w:color w:val="auto"/>
                <w:kern w:val="2"/>
                <w:sz w:val="22"/>
                <w:szCs w:val="22"/>
                <w:highlight w:val="none"/>
                <w:lang w:val="en-US" w:eastAsia="zh-CN" w:bidi="ar-SA"/>
              </w:rPr>
              <w:t>N125</w:t>
            </w:r>
          </w:p>
        </w:tc>
        <w:tc>
          <w:tcPr>
            <w:tcW w:w="1000" w:type="pct"/>
            <w:tcBorders>
              <w:tl2br w:val="nil"/>
              <w:tr2bl w:val="nil"/>
            </w:tcBorders>
          </w:tcPr>
          <w:p w14:paraId="1A23F5B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30" w:type="pct"/>
            <w:tcBorders>
              <w:tl2br w:val="nil"/>
              <w:tr2bl w:val="nil"/>
            </w:tcBorders>
          </w:tcPr>
          <w:p w14:paraId="282DED2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7EC4B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5F3BA4E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w:t>
            </w:r>
          </w:p>
        </w:tc>
        <w:tc>
          <w:tcPr>
            <w:tcW w:w="1376" w:type="pct"/>
            <w:tcBorders>
              <w:tl2br w:val="nil"/>
              <w:tr2bl w:val="nil"/>
            </w:tcBorders>
          </w:tcPr>
          <w:p w14:paraId="7EBF24D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放砂流量计</w:t>
            </w:r>
          </w:p>
        </w:tc>
        <w:tc>
          <w:tcPr>
            <w:tcW w:w="970" w:type="pct"/>
            <w:tcBorders>
              <w:tl2br w:val="nil"/>
              <w:tr2bl w:val="nil"/>
            </w:tcBorders>
          </w:tcPr>
          <w:p w14:paraId="62EA742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D</w:t>
            </w:r>
            <w:r>
              <w:rPr>
                <w:rFonts w:hint="default" w:ascii="Times New Roman" w:hAnsi="Times New Roman" w:eastAsia="宋体" w:cs="Times New Roman"/>
                <w:color w:val="auto"/>
                <w:kern w:val="2"/>
                <w:sz w:val="22"/>
                <w:szCs w:val="22"/>
                <w:highlight w:val="none"/>
                <w:lang w:val="en-US" w:eastAsia="zh-CN" w:bidi="ar-SA"/>
              </w:rPr>
              <w:t>N125</w:t>
            </w:r>
          </w:p>
        </w:tc>
        <w:tc>
          <w:tcPr>
            <w:tcW w:w="1000" w:type="pct"/>
            <w:tcBorders>
              <w:tl2br w:val="nil"/>
              <w:tr2bl w:val="nil"/>
            </w:tcBorders>
          </w:tcPr>
          <w:p w14:paraId="4E5D10E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30" w:type="pct"/>
            <w:tcBorders>
              <w:tl2br w:val="nil"/>
              <w:tr2bl w:val="nil"/>
            </w:tcBorders>
          </w:tcPr>
          <w:p w14:paraId="677831F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0924C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645DF05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w:t>
            </w:r>
          </w:p>
        </w:tc>
        <w:tc>
          <w:tcPr>
            <w:tcW w:w="1376" w:type="pct"/>
            <w:tcBorders>
              <w:tl2br w:val="nil"/>
              <w:tr2bl w:val="nil"/>
            </w:tcBorders>
          </w:tcPr>
          <w:p w14:paraId="45A0DB8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调浓水流量计</w:t>
            </w:r>
          </w:p>
        </w:tc>
        <w:tc>
          <w:tcPr>
            <w:tcW w:w="970" w:type="pct"/>
            <w:tcBorders>
              <w:tl2br w:val="nil"/>
              <w:tr2bl w:val="nil"/>
            </w:tcBorders>
          </w:tcPr>
          <w:p w14:paraId="4011592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D</w:t>
            </w:r>
            <w:r>
              <w:rPr>
                <w:rFonts w:hint="default" w:ascii="Times New Roman" w:hAnsi="Times New Roman" w:eastAsia="宋体" w:cs="Times New Roman"/>
                <w:color w:val="auto"/>
                <w:kern w:val="2"/>
                <w:sz w:val="22"/>
                <w:szCs w:val="22"/>
                <w:highlight w:val="none"/>
                <w:lang w:val="en-US" w:eastAsia="zh-CN" w:bidi="ar-SA"/>
              </w:rPr>
              <w:t>N80</w:t>
            </w:r>
          </w:p>
        </w:tc>
        <w:tc>
          <w:tcPr>
            <w:tcW w:w="1000" w:type="pct"/>
            <w:tcBorders>
              <w:tl2br w:val="nil"/>
              <w:tr2bl w:val="nil"/>
            </w:tcBorders>
          </w:tcPr>
          <w:p w14:paraId="0F198A3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30" w:type="pct"/>
            <w:tcBorders>
              <w:tl2br w:val="nil"/>
              <w:tr2bl w:val="nil"/>
            </w:tcBorders>
          </w:tcPr>
          <w:p w14:paraId="17DB18B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539A8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38C5C0A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w:t>
            </w:r>
          </w:p>
        </w:tc>
        <w:tc>
          <w:tcPr>
            <w:tcW w:w="1376" w:type="pct"/>
            <w:tcBorders>
              <w:tl2br w:val="nil"/>
              <w:tr2bl w:val="nil"/>
            </w:tcBorders>
          </w:tcPr>
          <w:p w14:paraId="2D86A60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高速柔性搅拌机</w:t>
            </w:r>
          </w:p>
        </w:tc>
        <w:tc>
          <w:tcPr>
            <w:tcW w:w="970" w:type="pct"/>
            <w:tcBorders>
              <w:tl2br w:val="nil"/>
              <w:tr2bl w:val="nil"/>
            </w:tcBorders>
          </w:tcPr>
          <w:p w14:paraId="35F40AB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w:t>
            </w:r>
            <w:r>
              <w:rPr>
                <w:rFonts w:hint="default" w:ascii="Times New Roman" w:hAnsi="Times New Roman" w:eastAsia="宋体" w:cs="Times New Roman"/>
                <w:color w:val="auto"/>
                <w:kern w:val="2"/>
                <w:sz w:val="22"/>
                <w:szCs w:val="22"/>
                <w:highlight w:val="none"/>
                <w:lang w:val="en-US" w:eastAsia="zh-CN" w:bidi="ar-SA"/>
              </w:rPr>
              <w:t>0~80</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default" w:ascii="Times New Roman" w:hAnsi="Times New Roman" w:eastAsia="宋体" w:cs="Times New Roman"/>
                <w:color w:val="auto"/>
                <w:kern w:val="2"/>
                <w:sz w:val="22"/>
                <w:szCs w:val="22"/>
                <w:highlight w:val="none"/>
                <w:lang w:val="en-US" w:eastAsia="zh-CN" w:bidi="ar-SA"/>
              </w:rPr>
              <w:t>/h</w:t>
            </w:r>
          </w:p>
        </w:tc>
        <w:tc>
          <w:tcPr>
            <w:tcW w:w="1000" w:type="pct"/>
            <w:tcBorders>
              <w:tl2br w:val="nil"/>
              <w:tr2bl w:val="nil"/>
            </w:tcBorders>
          </w:tcPr>
          <w:p w14:paraId="23CC2EC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30" w:type="pct"/>
            <w:tcBorders>
              <w:tl2br w:val="nil"/>
              <w:tr2bl w:val="nil"/>
            </w:tcBorders>
          </w:tcPr>
          <w:p w14:paraId="1F35008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5F66D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280896E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w:t>
            </w:r>
          </w:p>
        </w:tc>
        <w:tc>
          <w:tcPr>
            <w:tcW w:w="1376" w:type="pct"/>
            <w:tcBorders>
              <w:tl2br w:val="nil"/>
              <w:tr2bl w:val="nil"/>
            </w:tcBorders>
          </w:tcPr>
          <w:p w14:paraId="0F49E71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絮凝剂添加装置</w:t>
            </w:r>
          </w:p>
        </w:tc>
        <w:tc>
          <w:tcPr>
            <w:tcW w:w="970" w:type="pct"/>
            <w:tcBorders>
              <w:tl2br w:val="nil"/>
              <w:tr2bl w:val="nil"/>
            </w:tcBorders>
          </w:tcPr>
          <w:p w14:paraId="1B38DF7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p>
        </w:tc>
        <w:tc>
          <w:tcPr>
            <w:tcW w:w="1000" w:type="pct"/>
            <w:tcBorders>
              <w:tl2br w:val="nil"/>
              <w:tr2bl w:val="nil"/>
            </w:tcBorders>
          </w:tcPr>
          <w:p w14:paraId="48F7BCE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30" w:type="pct"/>
            <w:tcBorders>
              <w:tl2br w:val="nil"/>
              <w:tr2bl w:val="nil"/>
            </w:tcBorders>
          </w:tcPr>
          <w:p w14:paraId="4933E5B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2CF6D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6C125E4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7</w:t>
            </w:r>
          </w:p>
        </w:tc>
        <w:tc>
          <w:tcPr>
            <w:tcW w:w="1376" w:type="pct"/>
            <w:tcBorders>
              <w:tl2br w:val="nil"/>
              <w:tr2bl w:val="nil"/>
            </w:tcBorders>
          </w:tcPr>
          <w:p w14:paraId="0967322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空压机</w:t>
            </w:r>
          </w:p>
        </w:tc>
        <w:tc>
          <w:tcPr>
            <w:tcW w:w="970" w:type="pct"/>
            <w:tcBorders>
              <w:tl2br w:val="nil"/>
              <w:tr2bl w:val="nil"/>
            </w:tcBorders>
          </w:tcPr>
          <w:p w14:paraId="011F3B1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20</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default" w:ascii="Times New Roman" w:hAnsi="Times New Roman" w:eastAsia="宋体" w:cs="Times New Roman"/>
                <w:color w:val="auto"/>
                <w:kern w:val="2"/>
                <w:sz w:val="22"/>
                <w:szCs w:val="22"/>
                <w:highlight w:val="none"/>
                <w:lang w:val="en-US" w:eastAsia="zh-CN" w:bidi="ar-SA"/>
              </w:rPr>
              <w:t>/min</w:t>
            </w:r>
          </w:p>
        </w:tc>
        <w:tc>
          <w:tcPr>
            <w:tcW w:w="1000" w:type="pct"/>
            <w:tcBorders>
              <w:tl2br w:val="nil"/>
              <w:tr2bl w:val="nil"/>
            </w:tcBorders>
          </w:tcPr>
          <w:p w14:paraId="01F28BD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30" w:type="pct"/>
            <w:tcBorders>
              <w:tl2br w:val="nil"/>
              <w:tr2bl w:val="nil"/>
            </w:tcBorders>
          </w:tcPr>
          <w:p w14:paraId="3C9FB50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4C23C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39F7F07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8</w:t>
            </w:r>
          </w:p>
        </w:tc>
        <w:tc>
          <w:tcPr>
            <w:tcW w:w="1376" w:type="pct"/>
            <w:tcBorders>
              <w:tl2br w:val="nil"/>
              <w:tr2bl w:val="nil"/>
            </w:tcBorders>
          </w:tcPr>
          <w:p w14:paraId="161ED82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空压机</w:t>
            </w:r>
          </w:p>
        </w:tc>
        <w:tc>
          <w:tcPr>
            <w:tcW w:w="970" w:type="pct"/>
            <w:tcBorders>
              <w:tl2br w:val="nil"/>
              <w:tr2bl w:val="nil"/>
            </w:tcBorders>
          </w:tcPr>
          <w:p w14:paraId="6543511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10</w:t>
            </w:r>
            <w:r>
              <w:rPr>
                <w:rFonts w:hint="eastAsia" w:cs="Times New Roman"/>
                <w:color w:val="auto"/>
                <w:kern w:val="2"/>
                <w:sz w:val="22"/>
                <w:szCs w:val="22"/>
                <w:highlight w:val="none"/>
                <w:lang w:val="en-US" w:eastAsia="zh-CN" w:bidi="ar-SA"/>
              </w:rPr>
              <w:t>m</w:t>
            </w:r>
            <w:r>
              <w:rPr>
                <w:rFonts w:hint="eastAsia" w:cs="Times New Roman"/>
                <w:color w:val="auto"/>
                <w:kern w:val="2"/>
                <w:sz w:val="22"/>
                <w:szCs w:val="22"/>
                <w:highlight w:val="none"/>
                <w:vertAlign w:val="superscript"/>
                <w:lang w:val="en-US" w:eastAsia="zh-CN" w:bidi="ar-SA"/>
              </w:rPr>
              <w:t>3</w:t>
            </w:r>
            <w:r>
              <w:rPr>
                <w:rFonts w:hint="default" w:ascii="Times New Roman" w:hAnsi="Times New Roman" w:eastAsia="宋体" w:cs="Times New Roman"/>
                <w:color w:val="auto"/>
                <w:kern w:val="2"/>
                <w:sz w:val="22"/>
                <w:szCs w:val="22"/>
                <w:highlight w:val="none"/>
                <w:lang w:val="en-US" w:eastAsia="zh-CN" w:bidi="ar-SA"/>
              </w:rPr>
              <w:t>/min</w:t>
            </w:r>
          </w:p>
        </w:tc>
        <w:tc>
          <w:tcPr>
            <w:tcW w:w="1000" w:type="pct"/>
            <w:tcBorders>
              <w:tl2br w:val="nil"/>
              <w:tr2bl w:val="nil"/>
            </w:tcBorders>
          </w:tcPr>
          <w:p w14:paraId="2E9C498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30" w:type="pct"/>
            <w:tcBorders>
              <w:tl2br w:val="nil"/>
              <w:tr2bl w:val="nil"/>
            </w:tcBorders>
          </w:tcPr>
          <w:p w14:paraId="2FCD822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利旧</w:t>
            </w:r>
          </w:p>
        </w:tc>
      </w:tr>
      <w:tr w14:paraId="1DADB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1B96DEA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9</w:t>
            </w:r>
          </w:p>
        </w:tc>
        <w:tc>
          <w:tcPr>
            <w:tcW w:w="1376" w:type="pct"/>
            <w:tcBorders>
              <w:tl2br w:val="nil"/>
              <w:tr2bl w:val="nil"/>
            </w:tcBorders>
          </w:tcPr>
          <w:p w14:paraId="0E7692A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溢流水仓</w:t>
            </w:r>
          </w:p>
        </w:tc>
        <w:tc>
          <w:tcPr>
            <w:tcW w:w="970" w:type="pct"/>
            <w:tcBorders>
              <w:tl2br w:val="nil"/>
              <w:tr2bl w:val="nil"/>
            </w:tcBorders>
          </w:tcPr>
          <w:p w14:paraId="4A96E7A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Φ</w:t>
            </w:r>
            <w:r>
              <w:rPr>
                <w:rFonts w:hint="default" w:ascii="Times New Roman" w:hAnsi="Times New Roman" w:eastAsia="宋体" w:cs="Times New Roman"/>
                <w:color w:val="auto"/>
                <w:kern w:val="2"/>
                <w:sz w:val="22"/>
                <w:szCs w:val="22"/>
                <w:highlight w:val="none"/>
                <w:lang w:val="en-US" w:eastAsia="zh-CN" w:bidi="ar-SA"/>
              </w:rPr>
              <w:t>3m</w:t>
            </w:r>
            <w:r>
              <w:rPr>
                <w:rFonts w:hint="eastAsia" w:ascii="Times New Roman" w:hAnsi="Times New Roman" w:eastAsia="宋体" w:cs="Times New Roman"/>
                <w:color w:val="auto"/>
                <w:kern w:val="2"/>
                <w:sz w:val="22"/>
                <w:szCs w:val="22"/>
                <w:highlight w:val="none"/>
                <w:lang w:val="en-US" w:eastAsia="zh-CN" w:bidi="ar-SA"/>
              </w:rPr>
              <w:t>砂仓</w:t>
            </w:r>
          </w:p>
        </w:tc>
        <w:tc>
          <w:tcPr>
            <w:tcW w:w="1000" w:type="pct"/>
            <w:tcBorders>
              <w:tl2br w:val="nil"/>
              <w:tr2bl w:val="nil"/>
            </w:tcBorders>
          </w:tcPr>
          <w:p w14:paraId="74A90CA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30" w:type="pct"/>
            <w:tcBorders>
              <w:tl2br w:val="nil"/>
              <w:tr2bl w:val="nil"/>
            </w:tcBorders>
          </w:tcPr>
          <w:p w14:paraId="3B27D55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利旧</w:t>
            </w:r>
          </w:p>
        </w:tc>
      </w:tr>
      <w:tr w14:paraId="56B21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756885E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r>
              <w:rPr>
                <w:rFonts w:hint="default" w:ascii="Times New Roman" w:hAnsi="Times New Roman" w:eastAsia="宋体" w:cs="Times New Roman"/>
                <w:color w:val="auto"/>
                <w:kern w:val="2"/>
                <w:sz w:val="22"/>
                <w:szCs w:val="22"/>
                <w:highlight w:val="none"/>
                <w:lang w:val="en-US" w:eastAsia="zh-CN" w:bidi="ar-SA"/>
              </w:rPr>
              <w:t>0</w:t>
            </w:r>
          </w:p>
        </w:tc>
        <w:tc>
          <w:tcPr>
            <w:tcW w:w="1376" w:type="pct"/>
            <w:tcBorders>
              <w:tl2br w:val="nil"/>
              <w:tr2bl w:val="nil"/>
            </w:tcBorders>
          </w:tcPr>
          <w:p w14:paraId="46AE222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水泥仓</w:t>
            </w:r>
          </w:p>
        </w:tc>
        <w:tc>
          <w:tcPr>
            <w:tcW w:w="970" w:type="pct"/>
            <w:tcBorders>
              <w:tl2br w:val="nil"/>
              <w:tr2bl w:val="nil"/>
            </w:tcBorders>
          </w:tcPr>
          <w:p w14:paraId="55AC562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r>
              <w:rPr>
                <w:rFonts w:hint="default" w:ascii="Times New Roman" w:hAnsi="Times New Roman" w:eastAsia="宋体" w:cs="Times New Roman"/>
                <w:color w:val="auto"/>
                <w:kern w:val="2"/>
                <w:sz w:val="22"/>
                <w:szCs w:val="22"/>
                <w:highlight w:val="none"/>
                <w:lang w:val="en-US" w:eastAsia="zh-CN" w:bidi="ar-SA"/>
              </w:rPr>
              <w:t>50t</w:t>
            </w:r>
          </w:p>
        </w:tc>
        <w:tc>
          <w:tcPr>
            <w:tcW w:w="1000" w:type="pct"/>
            <w:tcBorders>
              <w:tl2br w:val="nil"/>
              <w:tr2bl w:val="nil"/>
            </w:tcBorders>
          </w:tcPr>
          <w:p w14:paraId="1E66ECB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030" w:type="pct"/>
            <w:tcBorders>
              <w:tl2br w:val="nil"/>
              <w:tr2bl w:val="nil"/>
            </w:tcBorders>
          </w:tcPr>
          <w:p w14:paraId="38050EB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利旧</w:t>
            </w:r>
          </w:p>
        </w:tc>
      </w:tr>
      <w:tr w14:paraId="3E5BE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2FA6FF0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r>
              <w:rPr>
                <w:rFonts w:hint="default" w:ascii="Times New Roman" w:hAnsi="Times New Roman" w:eastAsia="宋体" w:cs="Times New Roman"/>
                <w:color w:val="auto"/>
                <w:kern w:val="2"/>
                <w:sz w:val="22"/>
                <w:szCs w:val="22"/>
                <w:highlight w:val="none"/>
                <w:lang w:val="en-US" w:eastAsia="zh-CN" w:bidi="ar-SA"/>
              </w:rPr>
              <w:t>1</w:t>
            </w:r>
          </w:p>
        </w:tc>
        <w:tc>
          <w:tcPr>
            <w:tcW w:w="1376" w:type="pct"/>
            <w:tcBorders>
              <w:tl2br w:val="nil"/>
              <w:tr2bl w:val="nil"/>
            </w:tcBorders>
          </w:tcPr>
          <w:p w14:paraId="1F51C86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空压机棚</w:t>
            </w:r>
          </w:p>
        </w:tc>
        <w:tc>
          <w:tcPr>
            <w:tcW w:w="970" w:type="pct"/>
            <w:tcBorders>
              <w:tl2br w:val="nil"/>
              <w:tr2bl w:val="nil"/>
            </w:tcBorders>
          </w:tcPr>
          <w:p w14:paraId="452D308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000" w:type="pct"/>
            <w:tcBorders>
              <w:tl2br w:val="nil"/>
              <w:tr2bl w:val="nil"/>
            </w:tcBorders>
          </w:tcPr>
          <w:p w14:paraId="71C66A1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7×5</w:t>
            </w:r>
            <w:r>
              <w:rPr>
                <w:rFonts w:hint="default" w:ascii="Times New Roman" w:hAnsi="Times New Roman" w:eastAsia="宋体" w:cs="Times New Roman"/>
                <w:color w:val="auto"/>
                <w:kern w:val="2"/>
                <w:sz w:val="22"/>
                <w:szCs w:val="22"/>
                <w:highlight w:val="none"/>
                <w:lang w:val="en-US" w:eastAsia="zh-CN" w:bidi="ar-SA"/>
              </w:rPr>
              <w:t>m</w:t>
            </w:r>
          </w:p>
        </w:tc>
        <w:tc>
          <w:tcPr>
            <w:tcW w:w="1030" w:type="pct"/>
            <w:tcBorders>
              <w:tl2br w:val="nil"/>
              <w:tr2bl w:val="nil"/>
            </w:tcBorders>
          </w:tcPr>
          <w:p w14:paraId="0947B6B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0C87A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34386F9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r>
              <w:rPr>
                <w:rFonts w:hint="default" w:ascii="Times New Roman" w:hAnsi="Times New Roman" w:eastAsia="宋体" w:cs="Times New Roman"/>
                <w:color w:val="auto"/>
                <w:kern w:val="2"/>
                <w:sz w:val="22"/>
                <w:szCs w:val="22"/>
                <w:highlight w:val="none"/>
                <w:lang w:val="en-US" w:eastAsia="zh-CN" w:bidi="ar-SA"/>
              </w:rPr>
              <w:t>2</w:t>
            </w:r>
          </w:p>
        </w:tc>
        <w:tc>
          <w:tcPr>
            <w:tcW w:w="1376" w:type="pct"/>
            <w:tcBorders>
              <w:tl2br w:val="nil"/>
              <w:tr2bl w:val="nil"/>
            </w:tcBorders>
          </w:tcPr>
          <w:p w14:paraId="538FE5A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絮凝剂制备室</w:t>
            </w:r>
          </w:p>
        </w:tc>
        <w:tc>
          <w:tcPr>
            <w:tcW w:w="970" w:type="pct"/>
            <w:tcBorders>
              <w:tl2br w:val="nil"/>
              <w:tr2bl w:val="nil"/>
            </w:tcBorders>
          </w:tcPr>
          <w:p w14:paraId="64B73AA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000" w:type="pct"/>
            <w:tcBorders>
              <w:tl2br w:val="nil"/>
              <w:tr2bl w:val="nil"/>
            </w:tcBorders>
          </w:tcPr>
          <w:p w14:paraId="602F8EF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w:t>
            </w:r>
            <w:r>
              <w:rPr>
                <w:rFonts w:hint="default" w:ascii="Times New Roman" w:hAnsi="Times New Roman" w:eastAsia="宋体" w:cs="Times New Roman"/>
                <w:color w:val="auto"/>
                <w:kern w:val="2"/>
                <w:sz w:val="22"/>
                <w:szCs w:val="22"/>
                <w:highlight w:val="none"/>
                <w:lang w:val="en-US" w:eastAsia="zh-CN" w:bidi="ar-SA"/>
              </w:rPr>
              <w:t>.5</w:t>
            </w:r>
            <w:r>
              <w:rPr>
                <w:rFonts w:hint="eastAsia" w:ascii="Times New Roman" w:hAnsi="Times New Roman" w:eastAsia="宋体" w:cs="Times New Roman"/>
                <w:color w:val="auto"/>
                <w:kern w:val="2"/>
                <w:sz w:val="22"/>
                <w:szCs w:val="22"/>
                <w:highlight w:val="none"/>
                <w:lang w:val="en-US" w:eastAsia="zh-CN" w:bidi="ar-SA"/>
              </w:rPr>
              <w:t>×</w:t>
            </w:r>
            <w:r>
              <w:rPr>
                <w:rFonts w:hint="default" w:ascii="Times New Roman" w:hAnsi="Times New Roman" w:eastAsia="宋体" w:cs="Times New Roman"/>
                <w:color w:val="auto"/>
                <w:kern w:val="2"/>
                <w:sz w:val="22"/>
                <w:szCs w:val="22"/>
                <w:highlight w:val="none"/>
                <w:lang w:val="en-US" w:eastAsia="zh-CN" w:bidi="ar-SA"/>
              </w:rPr>
              <w:t>4m</w:t>
            </w:r>
          </w:p>
        </w:tc>
        <w:tc>
          <w:tcPr>
            <w:tcW w:w="1030" w:type="pct"/>
            <w:tcBorders>
              <w:tl2br w:val="nil"/>
              <w:tr2bl w:val="nil"/>
            </w:tcBorders>
          </w:tcPr>
          <w:p w14:paraId="0C84402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0A20C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2385204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r>
              <w:rPr>
                <w:rFonts w:hint="default" w:ascii="Times New Roman" w:hAnsi="Times New Roman" w:eastAsia="宋体" w:cs="Times New Roman"/>
                <w:color w:val="auto"/>
                <w:kern w:val="2"/>
                <w:sz w:val="22"/>
                <w:szCs w:val="22"/>
                <w:highlight w:val="none"/>
                <w:lang w:val="en-US" w:eastAsia="zh-CN" w:bidi="ar-SA"/>
              </w:rPr>
              <w:t>3</w:t>
            </w:r>
          </w:p>
        </w:tc>
        <w:tc>
          <w:tcPr>
            <w:tcW w:w="1376" w:type="pct"/>
            <w:tcBorders>
              <w:tl2br w:val="nil"/>
              <w:tr2bl w:val="nil"/>
            </w:tcBorders>
          </w:tcPr>
          <w:p w14:paraId="3D98EEF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配电室</w:t>
            </w:r>
          </w:p>
        </w:tc>
        <w:tc>
          <w:tcPr>
            <w:tcW w:w="970" w:type="pct"/>
            <w:tcBorders>
              <w:tl2br w:val="nil"/>
              <w:tr2bl w:val="nil"/>
            </w:tcBorders>
          </w:tcPr>
          <w:p w14:paraId="53601BE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000" w:type="pct"/>
            <w:tcBorders>
              <w:tl2br w:val="nil"/>
              <w:tr2bl w:val="nil"/>
            </w:tcBorders>
          </w:tcPr>
          <w:p w14:paraId="3881731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w:t>
            </w:r>
            <w:r>
              <w:rPr>
                <w:rFonts w:hint="default" w:ascii="Times New Roman" w:hAnsi="Times New Roman" w:eastAsia="宋体" w:cs="Times New Roman"/>
                <w:color w:val="auto"/>
                <w:kern w:val="2"/>
                <w:sz w:val="22"/>
                <w:szCs w:val="22"/>
                <w:highlight w:val="none"/>
                <w:lang w:val="en-US" w:eastAsia="zh-CN" w:bidi="ar-SA"/>
              </w:rPr>
              <w:t>4m</w:t>
            </w:r>
          </w:p>
        </w:tc>
        <w:tc>
          <w:tcPr>
            <w:tcW w:w="1030" w:type="pct"/>
            <w:tcBorders>
              <w:tl2br w:val="nil"/>
              <w:tr2bl w:val="nil"/>
            </w:tcBorders>
          </w:tcPr>
          <w:p w14:paraId="4E71013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新增</w:t>
            </w:r>
          </w:p>
        </w:tc>
      </w:tr>
      <w:tr w14:paraId="327B4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293B935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r>
              <w:rPr>
                <w:rFonts w:hint="default" w:ascii="Times New Roman" w:hAnsi="Times New Roman" w:eastAsia="宋体" w:cs="Times New Roman"/>
                <w:color w:val="auto"/>
                <w:kern w:val="2"/>
                <w:sz w:val="22"/>
                <w:szCs w:val="22"/>
                <w:highlight w:val="none"/>
                <w:lang w:val="en-US" w:eastAsia="zh-CN" w:bidi="ar-SA"/>
              </w:rPr>
              <w:t>4</w:t>
            </w:r>
          </w:p>
        </w:tc>
        <w:tc>
          <w:tcPr>
            <w:tcW w:w="1376" w:type="pct"/>
            <w:tcBorders>
              <w:tl2br w:val="nil"/>
              <w:tr2bl w:val="nil"/>
            </w:tcBorders>
          </w:tcPr>
          <w:p w14:paraId="26FDC90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中控室</w:t>
            </w:r>
          </w:p>
        </w:tc>
        <w:tc>
          <w:tcPr>
            <w:tcW w:w="970" w:type="pct"/>
            <w:tcBorders>
              <w:tl2br w:val="nil"/>
              <w:tr2bl w:val="nil"/>
            </w:tcBorders>
          </w:tcPr>
          <w:p w14:paraId="07E8AD6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000" w:type="pct"/>
            <w:tcBorders>
              <w:tl2br w:val="nil"/>
              <w:tr2bl w:val="nil"/>
            </w:tcBorders>
          </w:tcPr>
          <w:p w14:paraId="662F41E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030" w:type="pct"/>
            <w:tcBorders>
              <w:tl2br w:val="nil"/>
              <w:tr2bl w:val="nil"/>
            </w:tcBorders>
          </w:tcPr>
          <w:p w14:paraId="029AE89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利旧</w:t>
            </w:r>
          </w:p>
        </w:tc>
      </w:tr>
      <w:tr w14:paraId="65C05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2" w:type="pct"/>
            <w:tcBorders>
              <w:tl2br w:val="nil"/>
              <w:tr2bl w:val="nil"/>
            </w:tcBorders>
          </w:tcPr>
          <w:p w14:paraId="1445818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r>
              <w:rPr>
                <w:rFonts w:hint="default" w:ascii="Times New Roman" w:hAnsi="Times New Roman" w:eastAsia="宋体" w:cs="Times New Roman"/>
                <w:color w:val="auto"/>
                <w:kern w:val="2"/>
                <w:sz w:val="22"/>
                <w:szCs w:val="22"/>
                <w:highlight w:val="none"/>
                <w:lang w:val="en-US" w:eastAsia="zh-CN" w:bidi="ar-SA"/>
              </w:rPr>
              <w:t>5</w:t>
            </w:r>
          </w:p>
        </w:tc>
        <w:tc>
          <w:tcPr>
            <w:tcW w:w="1376" w:type="pct"/>
            <w:tcBorders>
              <w:tl2br w:val="nil"/>
              <w:tr2bl w:val="nil"/>
            </w:tcBorders>
          </w:tcPr>
          <w:p w14:paraId="2FEFD06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充填料浆制备厂房</w:t>
            </w:r>
          </w:p>
        </w:tc>
        <w:tc>
          <w:tcPr>
            <w:tcW w:w="970" w:type="pct"/>
            <w:tcBorders>
              <w:tl2br w:val="nil"/>
              <w:tr2bl w:val="nil"/>
            </w:tcBorders>
          </w:tcPr>
          <w:p w14:paraId="0FB687B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000" w:type="pct"/>
            <w:tcBorders>
              <w:tl2br w:val="nil"/>
              <w:tr2bl w:val="nil"/>
            </w:tcBorders>
          </w:tcPr>
          <w:p w14:paraId="1D38BEC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c>
          <w:tcPr>
            <w:tcW w:w="1030" w:type="pct"/>
            <w:tcBorders>
              <w:tl2br w:val="nil"/>
              <w:tr2bl w:val="nil"/>
            </w:tcBorders>
          </w:tcPr>
          <w:p w14:paraId="00D92CA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利旧</w:t>
            </w:r>
          </w:p>
        </w:tc>
      </w:tr>
    </w:tbl>
    <w:p w14:paraId="5B1FE56C">
      <w:pPr>
        <w:pStyle w:val="34"/>
        <w:bidi w:val="0"/>
        <w:rPr>
          <w:rFonts w:hint="default"/>
          <w:color w:val="auto"/>
          <w:highlight w:val="none"/>
          <w:lang w:val="en-US" w:eastAsia="zh-CN"/>
        </w:rPr>
      </w:pPr>
      <w:bookmarkStart w:id="42" w:name="_Ref14971"/>
      <w:r>
        <w:rPr>
          <w:rFonts w:hint="eastAsia"/>
          <w:color w:val="auto"/>
          <w:highlight w:val="none"/>
          <w:lang w:val="en-US" w:eastAsia="zh-CN"/>
        </w:rPr>
        <w:t>水系统改造</w:t>
      </w:r>
      <w:bookmarkEnd w:id="42"/>
    </w:p>
    <w:p w14:paraId="2E8D4526">
      <w:pPr>
        <w:pStyle w:val="2"/>
        <w:keepNext w:val="0"/>
        <w:keepLines w:val="0"/>
        <w:pageBreakBefore w:val="0"/>
        <w:widowControl w:val="0"/>
        <w:numPr>
          <w:ilvl w:val="0"/>
          <w:numId w:val="0"/>
        </w:numPr>
        <w:tabs>
          <w:tab w:val="left" w:pos="0"/>
          <w:tab w:val="clear" w:pos="1021"/>
        </w:tabs>
        <w:kinsoku/>
        <w:wordWrap/>
        <w:overflowPunct/>
        <w:topLinePunct w:val="0"/>
        <w:autoSpaceDE/>
        <w:autoSpaceDN/>
        <w:bidi w:val="0"/>
        <w:adjustRightInd/>
        <w:snapToGrid/>
        <w:ind w:leftChars="200"/>
        <w:textAlignment w:val="auto"/>
        <w:outlineLvl w:val="4"/>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一、</w:t>
      </w:r>
      <w:r>
        <w:rPr>
          <w:rFonts w:hint="default" w:ascii="Times New Roman" w:hAnsi="Times New Roman" w:eastAsia="宋体" w:cs="Times New Roman"/>
          <w:b/>
          <w:bCs/>
          <w:color w:val="auto"/>
          <w:highlight w:val="none"/>
          <w:lang w:val="en-US" w:eastAsia="zh-CN"/>
        </w:rPr>
        <w:t>渣滓溪引水工程</w:t>
      </w:r>
    </w:p>
    <w:p w14:paraId="64D0AFC4">
      <w:pPr>
        <w:widowControl w:val="0"/>
        <w:spacing w:line="360" w:lineRule="auto"/>
        <w:ind w:firstLine="482" w:firstLineChars="200"/>
        <w:jc w:val="both"/>
        <w:rPr>
          <w:rFonts w:hint="eastAsia"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（1）引水工程的建设目的</w:t>
      </w:r>
    </w:p>
    <w:p w14:paraId="2A6E4EED">
      <w:pPr>
        <w:widowControl w:val="0"/>
        <w:spacing w:line="360" w:lineRule="auto"/>
        <w:ind w:firstLine="480" w:firstLineChars="200"/>
        <w:jc w:val="both"/>
        <w:rPr>
          <w:rFonts w:hint="eastAsia"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根据对渣滓溪上游水质的多次监测，渣滓溪</w:t>
      </w:r>
      <w:r>
        <w:rPr>
          <w:rFonts w:hint="eastAsia" w:cs="Times New Roman"/>
          <w:b w:val="0"/>
          <w:bCs w:val="0"/>
          <w:color w:val="auto"/>
          <w:kern w:val="2"/>
          <w:sz w:val="24"/>
          <w:highlight w:val="none"/>
          <w:lang w:val="en-US" w:eastAsia="zh-CN" w:bidi="ar-SA"/>
        </w:rPr>
        <w:t>上游来</w:t>
      </w:r>
      <w:r>
        <w:rPr>
          <w:rFonts w:hint="eastAsia" w:ascii="Times New Roman" w:hAnsi="Times New Roman" w:eastAsia="宋体" w:cs="Times New Roman"/>
          <w:b w:val="0"/>
          <w:bCs w:val="0"/>
          <w:color w:val="auto"/>
          <w:kern w:val="2"/>
          <w:sz w:val="24"/>
          <w:highlight w:val="none"/>
          <w:lang w:val="en-US" w:eastAsia="zh-CN" w:bidi="ar-SA"/>
        </w:rPr>
        <w:t>水中锑平均含量</w:t>
      </w:r>
      <w:r>
        <w:rPr>
          <w:rFonts w:hint="eastAsia" w:cs="Times New Roman"/>
          <w:b w:val="0"/>
          <w:bCs w:val="0"/>
          <w:color w:val="auto"/>
          <w:kern w:val="2"/>
          <w:sz w:val="24"/>
          <w:highlight w:val="none"/>
          <w:lang w:val="en-US" w:eastAsia="zh-CN" w:bidi="ar-SA"/>
        </w:rPr>
        <w:t>枯水期为0.0566mg/L，平水期为0.036</w:t>
      </w:r>
      <w:r>
        <w:rPr>
          <w:rFonts w:hint="eastAsia" w:ascii="Times New Roman" w:hAnsi="Times New Roman" w:eastAsia="宋体" w:cs="Times New Roman"/>
          <w:b w:val="0"/>
          <w:bCs w:val="0"/>
          <w:color w:val="auto"/>
          <w:kern w:val="2"/>
          <w:sz w:val="24"/>
          <w:highlight w:val="none"/>
          <w:lang w:val="en-US" w:eastAsia="zh-CN" w:bidi="ar-SA"/>
        </w:rPr>
        <w:t>mg/L</w:t>
      </w:r>
      <w:r>
        <w:rPr>
          <w:rFonts w:hint="eastAsia" w:cs="Times New Roman"/>
          <w:b w:val="0"/>
          <w:bCs w:val="0"/>
          <w:color w:val="auto"/>
          <w:kern w:val="2"/>
          <w:sz w:val="24"/>
          <w:highlight w:val="none"/>
          <w:lang w:val="en-US" w:eastAsia="zh-CN" w:bidi="ar-SA"/>
        </w:rPr>
        <w:t>，丰水期为0.0574mg/L</w:t>
      </w:r>
      <w:r>
        <w:rPr>
          <w:rFonts w:hint="eastAsia" w:ascii="Times New Roman" w:hAnsi="Times New Roman" w:eastAsia="宋体" w:cs="Times New Roman"/>
          <w:b w:val="0"/>
          <w:bCs w:val="0"/>
          <w:color w:val="auto"/>
          <w:kern w:val="2"/>
          <w:sz w:val="24"/>
          <w:highlight w:val="none"/>
          <w:lang w:val="en-US" w:eastAsia="zh-CN" w:bidi="ar-SA"/>
        </w:rPr>
        <w:t>，由于区域地质原因，超出了地表水水质标准（锑：0.005mg/L），但低于本项目废水排放标准（锑：0.15mg/L）。</w:t>
      </w:r>
    </w:p>
    <w:p w14:paraId="77D0442B">
      <w:pPr>
        <w:widowControl w:val="0"/>
        <w:spacing w:line="360" w:lineRule="auto"/>
        <w:ind w:firstLine="480" w:firstLineChars="200"/>
        <w:jc w:val="both"/>
        <w:rPr>
          <w:rFonts w:hint="eastAsia"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目前，渣滓溪溪水与排洪隧洞的山体渗水混流，相当于对高浓度的山体渗水进行了稀释，</w:t>
      </w:r>
      <w:r>
        <w:rPr>
          <w:rFonts w:hint="eastAsia" w:cs="Times New Roman"/>
          <w:b w:val="0"/>
          <w:bCs w:val="0"/>
          <w:color w:val="auto"/>
          <w:kern w:val="2"/>
          <w:sz w:val="24"/>
          <w:highlight w:val="none"/>
          <w:lang w:val="en-US" w:eastAsia="zh-CN" w:bidi="ar-SA"/>
        </w:rPr>
        <w:t>废水处理站</w:t>
      </w:r>
      <w:r>
        <w:rPr>
          <w:rFonts w:hint="eastAsia" w:ascii="Times New Roman" w:hAnsi="Times New Roman" w:eastAsia="宋体" w:cs="Times New Roman"/>
          <w:b w:val="0"/>
          <w:bCs w:val="0"/>
          <w:color w:val="auto"/>
          <w:kern w:val="2"/>
          <w:sz w:val="24"/>
          <w:highlight w:val="none"/>
          <w:lang w:val="en-US" w:eastAsia="zh-CN" w:bidi="ar-SA"/>
        </w:rPr>
        <w:t>处理溪水与山体渗水的混流，相对于仅处理山体渗水，对锑的总去除量是降低的。</w:t>
      </w:r>
    </w:p>
    <w:p w14:paraId="26973D24">
      <w:pPr>
        <w:widowControl w:val="0"/>
        <w:spacing w:line="360" w:lineRule="auto"/>
        <w:ind w:firstLine="480" w:firstLineChars="200"/>
        <w:jc w:val="both"/>
        <w:rPr>
          <w:rFonts w:hint="eastAsia"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为了最大限度的减少区域向下游排放的锑总量，最大限度的利用矿山</w:t>
      </w:r>
      <w:r>
        <w:rPr>
          <w:rFonts w:hint="eastAsia" w:cs="Times New Roman"/>
          <w:b w:val="0"/>
          <w:bCs w:val="0"/>
          <w:color w:val="auto"/>
          <w:kern w:val="2"/>
          <w:sz w:val="24"/>
          <w:highlight w:val="none"/>
          <w:lang w:val="en-US" w:eastAsia="zh-CN" w:bidi="ar-SA"/>
        </w:rPr>
        <w:t>废水处理站</w:t>
      </w:r>
      <w:r>
        <w:rPr>
          <w:rFonts w:hint="eastAsia" w:ascii="Times New Roman" w:hAnsi="Times New Roman" w:eastAsia="宋体" w:cs="Times New Roman"/>
          <w:b w:val="0"/>
          <w:bCs w:val="0"/>
          <w:color w:val="auto"/>
          <w:kern w:val="2"/>
          <w:sz w:val="24"/>
          <w:highlight w:val="none"/>
          <w:lang w:val="en-US" w:eastAsia="zh-CN" w:bidi="ar-SA"/>
        </w:rPr>
        <w:t>处理能力，因此，企业拟实施渣滓溪引水工程，将渣滓溪通过管道引流至下游，可将</w:t>
      </w:r>
      <w:r>
        <w:rPr>
          <w:rFonts w:hint="eastAsia" w:cs="Times New Roman"/>
          <w:b w:val="0"/>
          <w:bCs w:val="0"/>
          <w:color w:val="auto"/>
          <w:kern w:val="2"/>
          <w:sz w:val="24"/>
          <w:highlight w:val="none"/>
          <w:lang w:val="en-US" w:eastAsia="zh-CN" w:bidi="ar-SA"/>
        </w:rPr>
        <w:t>废水处理站</w:t>
      </w:r>
      <w:r>
        <w:rPr>
          <w:rFonts w:hint="eastAsia" w:ascii="Times New Roman" w:hAnsi="Times New Roman" w:eastAsia="宋体" w:cs="Times New Roman"/>
          <w:b w:val="0"/>
          <w:bCs w:val="0"/>
          <w:color w:val="auto"/>
          <w:kern w:val="2"/>
          <w:sz w:val="24"/>
          <w:highlight w:val="none"/>
          <w:lang w:val="en-US" w:eastAsia="zh-CN" w:bidi="ar-SA"/>
        </w:rPr>
        <w:t>富余的处理能力尽可能用于处理高浓度的山体渗水。</w:t>
      </w:r>
    </w:p>
    <w:p w14:paraId="67341644">
      <w:pPr>
        <w:widowControl w:val="0"/>
        <w:spacing w:line="360" w:lineRule="auto"/>
        <w:ind w:firstLine="482" w:firstLineChars="200"/>
        <w:jc w:val="both"/>
        <w:rPr>
          <w:rFonts w:hint="default" w:ascii="Times New Roman" w:hAnsi="Times New Roman" w:eastAsia="宋体" w:cs="Times New Roman"/>
          <w:b/>
          <w:bCs/>
          <w:color w:val="auto"/>
          <w:kern w:val="2"/>
          <w:sz w:val="24"/>
          <w:highlight w:val="none"/>
          <w:u w:val="single"/>
          <w:lang w:val="en-US" w:eastAsia="zh-CN" w:bidi="ar-SA"/>
        </w:rPr>
      </w:pPr>
      <w:r>
        <w:rPr>
          <w:rFonts w:hint="eastAsia" w:ascii="Times New Roman" w:hAnsi="Times New Roman" w:eastAsia="宋体" w:cs="Times New Roman"/>
          <w:b/>
          <w:bCs/>
          <w:color w:val="auto"/>
          <w:kern w:val="2"/>
          <w:sz w:val="24"/>
          <w:highlight w:val="none"/>
          <w:u w:val="single"/>
          <w:lang w:val="en-US" w:eastAsia="zh-CN" w:bidi="ar-SA"/>
        </w:rPr>
        <w:t>（2）起点、终点设置</w:t>
      </w:r>
    </w:p>
    <w:p w14:paraId="75340D85">
      <w:pPr>
        <w:widowControl w:val="0"/>
        <w:spacing w:line="360" w:lineRule="auto"/>
        <w:ind w:firstLine="480" w:firstLineChars="200"/>
        <w:jc w:val="both"/>
        <w:rPr>
          <w:rFonts w:hint="eastAsia" w:ascii="Times New Roman" w:hAnsi="Times New Roman" w:eastAsia="宋体" w:cs="Times New Roman"/>
          <w:color w:val="auto"/>
          <w:kern w:val="2"/>
          <w:sz w:val="24"/>
          <w:highlight w:val="none"/>
          <w:u w:val="single"/>
          <w:lang w:val="en-US" w:eastAsia="zh-CN" w:bidi="ar-SA"/>
        </w:rPr>
      </w:pPr>
      <w:r>
        <w:rPr>
          <w:rFonts w:hint="eastAsia" w:ascii="Times New Roman" w:hAnsi="Times New Roman" w:eastAsia="宋体" w:cs="Times New Roman"/>
          <w:color w:val="auto"/>
          <w:kern w:val="2"/>
          <w:sz w:val="24"/>
          <w:highlight w:val="none"/>
          <w:u w:val="single"/>
          <w:lang w:val="en-US" w:eastAsia="zh-CN" w:bidi="ar-SA"/>
        </w:rPr>
        <w:t>在渣滓溪矿业排洪隧洞</w:t>
      </w:r>
      <w:r>
        <w:rPr>
          <w:rFonts w:hint="eastAsia" w:cs="Times New Roman"/>
          <w:color w:val="auto"/>
          <w:kern w:val="2"/>
          <w:sz w:val="24"/>
          <w:highlight w:val="none"/>
          <w:u w:val="single"/>
          <w:lang w:val="en-US" w:eastAsia="zh-CN" w:bidi="ar-SA"/>
        </w:rPr>
        <w:t>进</w:t>
      </w:r>
      <w:r>
        <w:rPr>
          <w:rFonts w:hint="eastAsia" w:ascii="Times New Roman" w:hAnsi="Times New Roman" w:eastAsia="宋体" w:cs="Times New Roman"/>
          <w:color w:val="auto"/>
          <w:kern w:val="2"/>
          <w:sz w:val="24"/>
          <w:highlight w:val="none"/>
          <w:u w:val="single"/>
          <w:lang w:val="en-US" w:eastAsia="zh-CN" w:bidi="ar-SA"/>
        </w:rPr>
        <w:t>口</w:t>
      </w:r>
      <w:r>
        <w:rPr>
          <w:rFonts w:hint="eastAsia" w:cs="Times New Roman"/>
          <w:color w:val="auto"/>
          <w:kern w:val="2"/>
          <w:sz w:val="24"/>
          <w:highlight w:val="none"/>
          <w:u w:val="single"/>
          <w:lang w:val="en-US" w:eastAsia="zh-CN" w:bidi="ar-SA"/>
        </w:rPr>
        <w:t>处</w:t>
      </w:r>
      <w:r>
        <w:rPr>
          <w:rFonts w:hint="eastAsia" w:ascii="Times New Roman" w:hAnsi="Times New Roman" w:eastAsia="宋体" w:cs="Times New Roman"/>
          <w:color w:val="auto"/>
          <w:kern w:val="2"/>
          <w:sz w:val="24"/>
          <w:highlight w:val="none"/>
          <w:u w:val="single"/>
          <w:lang w:val="en-US" w:eastAsia="zh-CN" w:bidi="ar-SA"/>
        </w:rPr>
        <w:t>以内5m处设置拦挡坝，拦挡坝坝体连接引水管，做为引水工程起点。</w:t>
      </w:r>
    </w:p>
    <w:p w14:paraId="21582E3C">
      <w:pPr>
        <w:widowControl w:val="0"/>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eastAsia" w:ascii="Times New Roman" w:hAnsi="Times New Roman" w:eastAsia="宋体" w:cs="Times New Roman"/>
          <w:color w:val="auto"/>
          <w:kern w:val="2"/>
          <w:sz w:val="24"/>
          <w:highlight w:val="none"/>
          <w:u w:val="single"/>
          <w:lang w:val="en-US" w:eastAsia="zh-CN" w:bidi="ar-SA"/>
        </w:rPr>
        <w:t>引水管在排洪隧洞内穿行，至排洪隧洞</w:t>
      </w:r>
      <w:r>
        <w:rPr>
          <w:rFonts w:hint="eastAsia" w:cs="Times New Roman"/>
          <w:color w:val="auto"/>
          <w:kern w:val="2"/>
          <w:sz w:val="24"/>
          <w:highlight w:val="none"/>
          <w:u w:val="single"/>
          <w:lang w:val="en-US" w:eastAsia="zh-CN" w:bidi="ar-SA"/>
        </w:rPr>
        <w:t>出</w:t>
      </w:r>
      <w:r>
        <w:rPr>
          <w:rFonts w:hint="eastAsia" w:ascii="Times New Roman" w:hAnsi="Times New Roman" w:eastAsia="宋体" w:cs="Times New Roman"/>
          <w:color w:val="auto"/>
          <w:kern w:val="2"/>
          <w:sz w:val="24"/>
          <w:highlight w:val="none"/>
          <w:u w:val="single"/>
          <w:lang w:val="en-US" w:eastAsia="zh-CN" w:bidi="ar-SA"/>
        </w:rPr>
        <w:t>口</w:t>
      </w:r>
      <w:r>
        <w:rPr>
          <w:rFonts w:hint="eastAsia" w:cs="Times New Roman"/>
          <w:color w:val="auto"/>
          <w:kern w:val="2"/>
          <w:sz w:val="24"/>
          <w:highlight w:val="none"/>
          <w:u w:val="single"/>
          <w:lang w:val="en-US" w:eastAsia="zh-CN" w:bidi="ar-SA"/>
        </w:rPr>
        <w:t>处</w:t>
      </w:r>
      <w:r>
        <w:rPr>
          <w:rFonts w:hint="eastAsia" w:ascii="Times New Roman" w:hAnsi="Times New Roman" w:eastAsia="宋体" w:cs="Times New Roman"/>
          <w:color w:val="auto"/>
          <w:kern w:val="2"/>
          <w:sz w:val="24"/>
          <w:highlight w:val="none"/>
          <w:u w:val="single"/>
          <w:lang w:val="en-US" w:eastAsia="zh-CN" w:bidi="ar-SA"/>
        </w:rPr>
        <w:t>下游10m处排泄渣滓溪溪水。</w:t>
      </w:r>
    </w:p>
    <w:p w14:paraId="56CB5E2E">
      <w:pPr>
        <w:widowControl w:val="0"/>
        <w:spacing w:line="360" w:lineRule="auto"/>
        <w:ind w:firstLine="482" w:firstLineChars="200"/>
        <w:jc w:val="both"/>
        <w:rPr>
          <w:rFonts w:hint="eastAsia" w:ascii="Times New Roman" w:hAnsi="Times New Roman" w:eastAsia="宋体" w:cs="Times New Roman"/>
          <w:b/>
          <w:bCs/>
          <w:color w:val="auto"/>
          <w:kern w:val="2"/>
          <w:sz w:val="24"/>
          <w:highlight w:val="none"/>
          <w:u w:val="single"/>
          <w:lang w:val="en-US" w:eastAsia="zh-CN" w:bidi="ar-SA"/>
        </w:rPr>
      </w:pPr>
      <w:r>
        <w:rPr>
          <w:rFonts w:hint="eastAsia" w:ascii="Times New Roman" w:hAnsi="Times New Roman" w:eastAsia="宋体" w:cs="Times New Roman"/>
          <w:b/>
          <w:bCs/>
          <w:color w:val="auto"/>
          <w:kern w:val="2"/>
          <w:sz w:val="24"/>
          <w:highlight w:val="none"/>
          <w:u w:val="single"/>
          <w:lang w:val="en-US" w:eastAsia="zh-CN" w:bidi="ar-SA"/>
        </w:rPr>
        <w:t>（3）主要构筑物及材料</w:t>
      </w:r>
    </w:p>
    <w:p w14:paraId="506D7423">
      <w:pPr>
        <w:widowControl w:val="0"/>
        <w:spacing w:line="360" w:lineRule="auto"/>
        <w:ind w:firstLine="480" w:firstLineChars="200"/>
        <w:jc w:val="both"/>
        <w:rPr>
          <w:rFonts w:hint="eastAsia" w:ascii="Times New Roman" w:hAnsi="Times New Roman" w:eastAsia="宋体" w:cs="Times New Roman"/>
          <w:b w:val="0"/>
          <w:bCs w:val="0"/>
          <w:color w:val="auto"/>
          <w:kern w:val="2"/>
          <w:sz w:val="24"/>
          <w:highlight w:val="none"/>
          <w:u w:val="single"/>
          <w:lang w:val="en-US" w:eastAsia="zh-CN" w:bidi="ar-SA"/>
        </w:rPr>
      </w:pPr>
      <w:r>
        <w:rPr>
          <w:rFonts w:hint="eastAsia" w:ascii="Times New Roman" w:hAnsi="Times New Roman" w:eastAsia="宋体" w:cs="Times New Roman"/>
          <w:b w:val="0"/>
          <w:bCs w:val="0"/>
          <w:color w:val="auto"/>
          <w:kern w:val="2"/>
          <w:sz w:val="24"/>
          <w:highlight w:val="none"/>
          <w:u w:val="single"/>
          <w:lang w:val="en-US" w:eastAsia="zh-CN" w:bidi="ar-SA"/>
        </w:rPr>
        <w:t>a、拦挡坝</w:t>
      </w:r>
    </w:p>
    <w:p w14:paraId="446AFE76">
      <w:pPr>
        <w:widowControl w:val="0"/>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eastAsia" w:ascii="Times New Roman" w:hAnsi="Times New Roman" w:eastAsia="宋体" w:cs="Times New Roman"/>
          <w:color w:val="auto"/>
          <w:kern w:val="2"/>
          <w:sz w:val="24"/>
          <w:highlight w:val="none"/>
          <w:u w:val="single"/>
          <w:lang w:val="en-US" w:eastAsia="zh-CN" w:bidi="ar-SA"/>
        </w:rPr>
        <w:t>在渣滓溪矿业</w:t>
      </w:r>
      <w:r>
        <w:rPr>
          <w:rFonts w:hint="eastAsia" w:cs="Times New Roman"/>
          <w:color w:val="auto"/>
          <w:kern w:val="2"/>
          <w:sz w:val="24"/>
          <w:highlight w:val="none"/>
          <w:u w:val="single"/>
          <w:lang w:val="en-US" w:eastAsia="zh-CN" w:bidi="ar-SA"/>
        </w:rPr>
        <w:t>红旗村、长富村</w:t>
      </w:r>
      <w:r>
        <w:rPr>
          <w:rFonts w:hint="eastAsia" w:ascii="Times New Roman" w:hAnsi="Times New Roman" w:eastAsia="宋体" w:cs="Times New Roman"/>
          <w:color w:val="auto"/>
          <w:kern w:val="2"/>
          <w:sz w:val="24"/>
          <w:highlight w:val="none"/>
          <w:u w:val="single"/>
          <w:lang w:val="en-US" w:eastAsia="zh-CN" w:bidi="ar-SA"/>
        </w:rPr>
        <w:t>排洪隧洞口以内5m处设置拦</w:t>
      </w:r>
      <w:r>
        <w:rPr>
          <w:rFonts w:hint="eastAsia" w:cs="Times New Roman"/>
          <w:color w:val="auto"/>
          <w:kern w:val="2"/>
          <w:sz w:val="24"/>
          <w:highlight w:val="none"/>
          <w:u w:val="single"/>
          <w:lang w:val="en-US" w:eastAsia="zh-CN" w:bidi="ar-SA"/>
        </w:rPr>
        <w:t>水</w:t>
      </w:r>
      <w:r>
        <w:rPr>
          <w:rFonts w:hint="eastAsia" w:ascii="Times New Roman" w:hAnsi="Times New Roman" w:eastAsia="宋体" w:cs="Times New Roman"/>
          <w:color w:val="auto"/>
          <w:kern w:val="2"/>
          <w:sz w:val="24"/>
          <w:highlight w:val="none"/>
          <w:u w:val="single"/>
          <w:lang w:val="en-US" w:eastAsia="zh-CN" w:bidi="ar-SA"/>
        </w:rPr>
        <w:t>坝，拦水坝长2m、高0.5m、厚0.5m。暴雨季节渣滓溪可越过拦挡坝溢流至排洪隧洞。</w:t>
      </w:r>
    </w:p>
    <w:p w14:paraId="25109D9E">
      <w:pPr>
        <w:widowControl w:val="0"/>
        <w:spacing w:line="360" w:lineRule="auto"/>
        <w:ind w:firstLine="480" w:firstLineChars="200"/>
        <w:jc w:val="both"/>
        <w:rPr>
          <w:rFonts w:hint="eastAsia" w:ascii="Times New Roman" w:hAnsi="Times New Roman" w:eastAsia="宋体" w:cs="Times New Roman"/>
          <w:color w:val="auto"/>
          <w:kern w:val="2"/>
          <w:sz w:val="24"/>
          <w:highlight w:val="none"/>
          <w:u w:val="single"/>
          <w:lang w:val="en-US" w:eastAsia="zh-CN" w:bidi="ar-SA"/>
        </w:rPr>
      </w:pPr>
      <w:r>
        <w:rPr>
          <w:rFonts w:hint="eastAsia" w:ascii="Times New Roman" w:hAnsi="Times New Roman" w:eastAsia="宋体" w:cs="Times New Roman"/>
          <w:color w:val="auto"/>
          <w:kern w:val="2"/>
          <w:sz w:val="24"/>
          <w:highlight w:val="none"/>
          <w:u w:val="single"/>
          <w:lang w:val="en-US" w:eastAsia="zh-CN" w:bidi="ar-SA"/>
        </w:rPr>
        <w:t>b、引水管</w:t>
      </w:r>
    </w:p>
    <w:p w14:paraId="65F38F4D">
      <w:pPr>
        <w:widowControl w:val="0"/>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eastAsia" w:cs="Times New Roman"/>
          <w:color w:val="auto"/>
          <w:kern w:val="2"/>
          <w:sz w:val="24"/>
          <w:highlight w:val="none"/>
          <w:u w:val="single"/>
          <w:lang w:val="en-US" w:eastAsia="zh-CN" w:bidi="ar-SA"/>
        </w:rPr>
        <w:t>红旗村河道</w:t>
      </w:r>
      <w:r>
        <w:rPr>
          <w:rFonts w:hint="eastAsia" w:ascii="Times New Roman" w:hAnsi="Times New Roman" w:eastAsia="宋体" w:cs="Times New Roman"/>
          <w:color w:val="auto"/>
          <w:kern w:val="2"/>
          <w:sz w:val="24"/>
          <w:highlight w:val="none"/>
          <w:u w:val="single"/>
          <w:lang w:val="en-US" w:eastAsia="zh-CN" w:bidi="ar-SA"/>
        </w:rPr>
        <w:t>设置两条DN200引水管，引水管长度均为1</w:t>
      </w:r>
      <w:r>
        <w:rPr>
          <w:rFonts w:hint="eastAsia" w:cs="Times New Roman"/>
          <w:color w:val="auto"/>
          <w:kern w:val="2"/>
          <w:sz w:val="24"/>
          <w:highlight w:val="none"/>
          <w:u w:val="single"/>
          <w:lang w:val="en-US" w:eastAsia="zh-CN" w:bidi="ar-SA"/>
        </w:rPr>
        <w:t>60</w:t>
      </w:r>
      <w:r>
        <w:rPr>
          <w:rFonts w:hint="eastAsia" w:ascii="Times New Roman" w:hAnsi="Times New Roman" w:eastAsia="宋体" w:cs="Times New Roman"/>
          <w:color w:val="auto"/>
          <w:kern w:val="2"/>
          <w:sz w:val="24"/>
          <w:highlight w:val="none"/>
          <w:u w:val="single"/>
          <w:lang w:val="en-US" w:eastAsia="zh-CN" w:bidi="ar-SA"/>
        </w:rPr>
        <w:t>0m。在拦</w:t>
      </w:r>
      <w:r>
        <w:rPr>
          <w:rFonts w:hint="eastAsia" w:cs="Times New Roman"/>
          <w:color w:val="auto"/>
          <w:kern w:val="2"/>
          <w:sz w:val="24"/>
          <w:highlight w:val="none"/>
          <w:u w:val="single"/>
          <w:lang w:val="en-US" w:eastAsia="zh-CN" w:bidi="ar-SA"/>
        </w:rPr>
        <w:t>水</w:t>
      </w:r>
      <w:r>
        <w:rPr>
          <w:rFonts w:hint="eastAsia" w:ascii="Times New Roman" w:hAnsi="Times New Roman" w:eastAsia="宋体" w:cs="Times New Roman"/>
          <w:color w:val="auto"/>
          <w:kern w:val="2"/>
          <w:sz w:val="24"/>
          <w:highlight w:val="none"/>
          <w:u w:val="single"/>
          <w:lang w:val="en-US" w:eastAsia="zh-CN" w:bidi="ar-SA"/>
        </w:rPr>
        <w:t>坝上开孔，一上一下，相距10cm，分别连接两条引水管</w:t>
      </w:r>
      <w:r>
        <w:rPr>
          <w:rFonts w:hint="eastAsia" w:cs="Times New Roman"/>
          <w:color w:val="auto"/>
          <w:kern w:val="2"/>
          <w:sz w:val="24"/>
          <w:highlight w:val="none"/>
          <w:u w:val="single"/>
          <w:lang w:val="en-US" w:eastAsia="zh-CN" w:bidi="ar-SA"/>
        </w:rPr>
        <w:t>；长富村河道</w:t>
      </w:r>
      <w:r>
        <w:rPr>
          <w:rFonts w:hint="eastAsia" w:ascii="Times New Roman" w:hAnsi="Times New Roman" w:eastAsia="宋体" w:cs="Times New Roman"/>
          <w:color w:val="auto"/>
          <w:kern w:val="2"/>
          <w:sz w:val="24"/>
          <w:highlight w:val="none"/>
          <w:u w:val="single"/>
          <w:lang w:val="en-US" w:eastAsia="zh-CN" w:bidi="ar-SA"/>
        </w:rPr>
        <w:t>设置一条DN200引水管，长度为275m，引流至红旗村地表水引流管内。</w:t>
      </w:r>
    </w:p>
    <w:p w14:paraId="0F253275">
      <w:pPr>
        <w:widowControl w:val="0"/>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eastAsia" w:ascii="Times New Roman" w:hAnsi="Times New Roman" w:eastAsia="宋体" w:cs="Times New Roman"/>
          <w:color w:val="auto"/>
          <w:kern w:val="2"/>
          <w:sz w:val="24"/>
          <w:highlight w:val="none"/>
          <w:u w:val="single"/>
          <w:lang w:val="en-US" w:eastAsia="zh-CN" w:bidi="ar-SA"/>
        </w:rPr>
        <w:t>引水管材质为钢骨架PE管。</w:t>
      </w:r>
    </w:p>
    <w:p w14:paraId="7751D3B1">
      <w:pPr>
        <w:widowControl w:val="0"/>
        <w:spacing w:line="360" w:lineRule="auto"/>
        <w:ind w:left="0" w:leftChars="0" w:right="0" w:rightChars="0" w:firstLine="0" w:firstLineChars="0"/>
        <w:jc w:val="center"/>
        <w:rPr>
          <w:rFonts w:hint="default" w:ascii="Times New Roman" w:hAnsi="Times New Roman" w:eastAsia="宋体" w:cs="Times New Roman"/>
          <w:color w:val="auto"/>
          <w:kern w:val="2"/>
          <w:sz w:val="24"/>
          <w:highlight w:val="none"/>
          <w:lang w:val="en-US" w:eastAsia="zh-CN" w:bidi="ar-SA"/>
        </w:rPr>
      </w:pPr>
      <w:r>
        <w:drawing>
          <wp:inline distT="0" distB="0" distL="114300" distR="114300">
            <wp:extent cx="5729605" cy="3976370"/>
            <wp:effectExtent l="0" t="0" r="635" b="127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42"/>
                    <a:stretch>
                      <a:fillRect/>
                    </a:stretch>
                  </pic:blipFill>
                  <pic:spPr>
                    <a:xfrm>
                      <a:off x="0" y="0"/>
                      <a:ext cx="5729605" cy="3976370"/>
                    </a:xfrm>
                    <a:prstGeom prst="rect">
                      <a:avLst/>
                    </a:prstGeom>
                    <a:noFill/>
                    <a:ln>
                      <a:noFill/>
                    </a:ln>
                  </pic:spPr>
                </pic:pic>
              </a:graphicData>
            </a:graphic>
          </wp:inline>
        </w:drawing>
      </w:r>
    </w:p>
    <w:p w14:paraId="2BD5D637">
      <w:pPr>
        <w:widowControl w:val="0"/>
        <w:bidi w:val="0"/>
        <w:spacing w:after="50" w:afterLines="50" w:line="300" w:lineRule="auto"/>
        <w:jc w:val="center"/>
        <w:outlineLvl w:val="4"/>
        <w:rPr>
          <w:rFonts w:hint="default" w:ascii="Times New Roman" w:hAnsi="Times New Roman" w:eastAsia="黑体" w:cs="Times New Roman"/>
          <w:color w:val="auto"/>
          <w:kern w:val="2"/>
          <w:sz w:val="24"/>
          <w:highlight w:val="none"/>
          <w:u w:val="single"/>
          <w:lang w:val="en-US" w:eastAsia="zh-CN" w:bidi="ar-SA"/>
        </w:rPr>
      </w:pPr>
      <w:r>
        <w:rPr>
          <w:rFonts w:hint="default" w:ascii="Times New Roman" w:hAnsi="Times New Roman" w:eastAsia="黑体" w:cs="Times New Roman"/>
          <w:color w:val="auto"/>
          <w:kern w:val="2"/>
          <w:sz w:val="24"/>
          <w:highlight w:val="none"/>
          <w:u w:val="single"/>
          <w:lang w:val="en-US" w:eastAsia="zh-CN" w:bidi="ar-SA"/>
        </w:rPr>
        <w:t>图</w:t>
      </w:r>
      <w:r>
        <w:rPr>
          <w:rFonts w:hint="default" w:ascii="Times New Roman" w:hAnsi="Times New Roman" w:eastAsia="黑体" w:cs="Times New Roman"/>
          <w:color w:val="auto"/>
          <w:kern w:val="2"/>
          <w:sz w:val="24"/>
          <w:highlight w:val="none"/>
          <w:u w:val="single"/>
          <w:lang w:val="en-US" w:eastAsia="zh-CN" w:bidi="ar-SA"/>
        </w:rPr>
        <w:fldChar w:fldCharType="begin"/>
      </w:r>
      <w:r>
        <w:rPr>
          <w:rFonts w:hint="default" w:ascii="Times New Roman" w:hAnsi="Times New Roman" w:eastAsia="黑体" w:cs="Times New Roman"/>
          <w:color w:val="auto"/>
          <w:kern w:val="2"/>
          <w:sz w:val="24"/>
          <w:highlight w:val="none"/>
          <w:u w:val="singl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u w:val="single"/>
          <w:lang w:val="en-US" w:eastAsia="zh-CN" w:bidi="ar-SA"/>
        </w:rPr>
        <w:fldChar w:fldCharType="separate"/>
      </w:r>
      <w:r>
        <w:rPr>
          <w:rFonts w:hint="default" w:ascii="Times New Roman" w:hAnsi="Times New Roman" w:eastAsia="黑体" w:cs="Times New Roman"/>
          <w:color w:val="auto"/>
          <w:kern w:val="2"/>
          <w:sz w:val="24"/>
          <w:highlight w:val="none"/>
          <w:u w:val="single"/>
          <w:lang w:val="en-US" w:eastAsia="zh-CN" w:bidi="ar-SA"/>
        </w:rPr>
        <w:t>2.1</w:t>
      </w:r>
      <w:r>
        <w:rPr>
          <w:rFonts w:hint="default" w:ascii="Times New Roman" w:hAnsi="Times New Roman" w:eastAsia="黑体" w:cs="Times New Roman"/>
          <w:color w:val="auto"/>
          <w:kern w:val="2"/>
          <w:sz w:val="24"/>
          <w:highlight w:val="none"/>
          <w:u w:val="single"/>
          <w:lang w:val="en-US" w:eastAsia="zh-CN" w:bidi="ar-SA"/>
        </w:rPr>
        <w:fldChar w:fldCharType="end"/>
      </w:r>
      <w:r>
        <w:rPr>
          <w:rFonts w:hint="default" w:ascii="Times New Roman" w:hAnsi="Times New Roman" w:eastAsia="黑体" w:cs="Times New Roman"/>
          <w:color w:val="auto"/>
          <w:kern w:val="2"/>
          <w:sz w:val="24"/>
          <w:highlight w:val="none"/>
          <w:u w:val="single"/>
          <w:lang w:val="en-US" w:eastAsia="zh-CN" w:bidi="ar-SA"/>
        </w:rPr>
        <w:t>–</w:t>
      </w:r>
      <w:r>
        <w:rPr>
          <w:rFonts w:hint="default" w:ascii="Times New Roman" w:hAnsi="Times New Roman" w:eastAsia="黑体" w:cs="Times New Roman"/>
          <w:color w:val="auto"/>
          <w:kern w:val="2"/>
          <w:sz w:val="24"/>
          <w:highlight w:val="none"/>
          <w:u w:val="single"/>
          <w:lang w:val="en-US" w:eastAsia="zh-CN" w:bidi="ar-SA"/>
        </w:rPr>
        <w:fldChar w:fldCharType="begin"/>
      </w:r>
      <w:r>
        <w:rPr>
          <w:rFonts w:hint="default" w:ascii="Times New Roman" w:hAnsi="Times New Roman" w:eastAsia="黑体" w:cs="Times New Roman"/>
          <w:color w:val="auto"/>
          <w:kern w:val="2"/>
          <w:sz w:val="24"/>
          <w:highlight w:val="none"/>
          <w:u w:val="single"/>
          <w:lang w:val="en-US" w:eastAsia="zh-CN" w:bidi="ar-SA"/>
        </w:rPr>
        <w:instrText xml:space="preserve"> SEQ 图 \* ARABIC \s 2 </w:instrText>
      </w:r>
      <w:r>
        <w:rPr>
          <w:rFonts w:hint="default" w:ascii="Times New Roman" w:hAnsi="Times New Roman" w:eastAsia="黑体" w:cs="Times New Roman"/>
          <w:color w:val="auto"/>
          <w:kern w:val="2"/>
          <w:sz w:val="24"/>
          <w:highlight w:val="none"/>
          <w:u w:val="single"/>
          <w:lang w:val="en-US" w:eastAsia="zh-CN" w:bidi="ar-SA"/>
        </w:rPr>
        <w:fldChar w:fldCharType="separate"/>
      </w:r>
      <w:r>
        <w:rPr>
          <w:rFonts w:hint="default" w:ascii="Times New Roman" w:hAnsi="Times New Roman" w:eastAsia="黑体" w:cs="Times New Roman"/>
          <w:color w:val="auto"/>
          <w:kern w:val="2"/>
          <w:sz w:val="24"/>
          <w:highlight w:val="none"/>
          <w:u w:val="single"/>
          <w:lang w:val="en-US" w:eastAsia="zh-CN" w:bidi="ar-SA"/>
        </w:rPr>
        <w:t>9</w:t>
      </w:r>
      <w:r>
        <w:rPr>
          <w:rFonts w:hint="default" w:ascii="Times New Roman" w:hAnsi="Times New Roman" w:eastAsia="黑体" w:cs="Times New Roman"/>
          <w:color w:val="auto"/>
          <w:kern w:val="2"/>
          <w:sz w:val="24"/>
          <w:highlight w:val="none"/>
          <w:u w:val="single"/>
          <w:lang w:val="en-US" w:eastAsia="zh-CN" w:bidi="ar-SA"/>
        </w:rPr>
        <w:fldChar w:fldCharType="end"/>
      </w:r>
      <w:r>
        <w:rPr>
          <w:rFonts w:hint="default" w:ascii="Times New Roman" w:hAnsi="Times New Roman" w:eastAsia="黑体" w:cs="Times New Roman"/>
          <w:color w:val="auto"/>
          <w:kern w:val="2"/>
          <w:sz w:val="24"/>
          <w:highlight w:val="none"/>
          <w:u w:val="single"/>
          <w:lang w:val="en-US" w:eastAsia="zh-CN" w:bidi="ar-SA"/>
        </w:rPr>
        <w:t xml:space="preserve">  </w:t>
      </w:r>
      <w:r>
        <w:rPr>
          <w:rFonts w:hint="eastAsia" w:ascii="Times New Roman" w:hAnsi="Times New Roman" w:eastAsia="黑体" w:cs="Times New Roman"/>
          <w:color w:val="auto"/>
          <w:kern w:val="2"/>
          <w:sz w:val="24"/>
          <w:highlight w:val="none"/>
          <w:u w:val="single"/>
          <w:lang w:val="en-US" w:eastAsia="zh-CN" w:bidi="ar-SA"/>
        </w:rPr>
        <w:t>引水工程示意图</w:t>
      </w:r>
    </w:p>
    <w:p w14:paraId="22752F73">
      <w:pPr>
        <w:widowControl w:val="0"/>
        <w:spacing w:line="360" w:lineRule="auto"/>
        <w:ind w:firstLine="482" w:firstLineChars="200"/>
        <w:jc w:val="both"/>
        <w:rPr>
          <w:rFonts w:hint="eastAsia"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（4）引水水量</w:t>
      </w:r>
    </w:p>
    <w:p w14:paraId="3CECB176">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①设计流速</w:t>
      </w:r>
    </w:p>
    <w:p w14:paraId="1FFFABA0">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DN200引水管采用自流形式，根据曼宁公式：</w:t>
      </w:r>
    </w:p>
    <w:p w14:paraId="296595C5">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position w:val="-24"/>
          <w:sz w:val="24"/>
          <w:szCs w:val="24"/>
          <w:highlight w:val="none"/>
          <w:lang w:val="en-US" w:eastAsia="zh-CN" w:bidi="ar-SA"/>
        </w:rPr>
        <w:object>
          <v:shape id="_x0000_i1031" o:spt="75" type="#_x0000_t75" style="height:31pt;width:81pt;" o:ole="t" filled="f" o:preferrelative="t" stroked="f" coordsize="21600,21600">
            <v:path/>
            <v:fill on="f" focussize="0,0"/>
            <v:stroke on="f"/>
            <v:imagedata r:id="rId44" o:title=""/>
            <o:lock v:ext="edit" aspectratio="t"/>
            <w10:wrap type="none"/>
            <w10:anchorlock/>
          </v:shape>
          <o:OLEObject Type="Embed" ProgID="Equation.KSEE3" ShapeID="_x0000_i1031" DrawAspect="Content" ObjectID="_1468075731" r:id="rId43">
            <o:LockedField>false</o:LockedField>
          </o:OLEObject>
        </w:object>
      </w:r>
    </w:p>
    <w:p w14:paraId="2E1DDBB0">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其中：</w:t>
      </w:r>
      <w:r>
        <w:rPr>
          <w:rFonts w:hint="default" w:ascii="Times New Roman" w:hAnsi="Times New Roman" w:eastAsia="宋体" w:cs="Times New Roman"/>
          <w:i/>
          <w:iCs/>
          <w:color w:val="auto"/>
          <w:kern w:val="2"/>
          <w:sz w:val="24"/>
          <w:szCs w:val="24"/>
          <w:highlight w:val="none"/>
          <w:lang w:val="en-US" w:eastAsia="zh-CN" w:bidi="ar-SA"/>
        </w:rPr>
        <w:t>v</w:t>
      </w:r>
      <w:r>
        <w:rPr>
          <w:rFonts w:hint="default" w:ascii="Times New Roman" w:hAnsi="Times New Roman" w:eastAsia="宋体" w:cs="Times New Roman"/>
          <w:color w:val="auto"/>
          <w:kern w:val="2"/>
          <w:sz w:val="24"/>
          <w:szCs w:val="24"/>
          <w:highlight w:val="none"/>
          <w:lang w:val="en-US" w:eastAsia="zh-CN" w:bidi="ar-SA"/>
        </w:rPr>
        <w:t>—管道设计流速（m/s）</w:t>
      </w:r>
    </w:p>
    <w:p w14:paraId="5C1BE3F5">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      R—水力半径（m）</w:t>
      </w:r>
    </w:p>
    <w:p w14:paraId="3E6EC386">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      I—水力坡度</w:t>
      </w:r>
    </w:p>
    <w:p w14:paraId="2EDCEF64">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      n—粗糙系数 </w:t>
      </w:r>
    </w:p>
    <w:p w14:paraId="27608852">
      <w:pPr>
        <w:pStyle w:val="28"/>
        <w:keepNext/>
        <w:widowControl/>
        <w:bidi w:val="0"/>
        <w:rPr>
          <w:rFonts w:hint="default"/>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26</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引水管设计流速</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47"/>
        <w:gridCol w:w="1847"/>
        <w:gridCol w:w="1848"/>
        <w:gridCol w:w="1848"/>
        <w:gridCol w:w="1848"/>
      </w:tblGrid>
      <w:tr w14:paraId="597E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7" w:type="dxa"/>
            <w:tcBorders>
              <w:top w:val="single" w:color="000000" w:sz="12" w:space="0"/>
              <w:left w:val="single" w:color="000000" w:sz="12" w:space="0"/>
              <w:bottom w:val="single" w:color="000000" w:sz="4" w:space="0"/>
              <w:right w:val="single" w:color="000000" w:sz="4" w:space="0"/>
              <w:tl2br w:val="nil"/>
            </w:tcBorders>
            <w:shd w:val="clear" w:color="auto" w:fill="auto"/>
          </w:tcPr>
          <w:p w14:paraId="17814E88">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参数</w:t>
            </w:r>
          </w:p>
        </w:tc>
        <w:tc>
          <w:tcPr>
            <w:tcW w:w="1847" w:type="dxa"/>
            <w:tcBorders>
              <w:top w:val="single" w:color="000000" w:sz="12" w:space="0"/>
              <w:left w:val="single" w:color="000000" w:sz="4" w:space="0"/>
              <w:bottom w:val="single" w:color="000000" w:sz="4" w:space="0"/>
              <w:right w:val="single" w:color="000000" w:sz="4" w:space="0"/>
            </w:tcBorders>
            <w:shd w:val="clear" w:color="auto" w:fill="auto"/>
          </w:tcPr>
          <w:p w14:paraId="7F636D83">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n</w:t>
            </w:r>
          </w:p>
        </w:tc>
        <w:tc>
          <w:tcPr>
            <w:tcW w:w="1848" w:type="dxa"/>
            <w:tcBorders>
              <w:top w:val="single" w:color="000000" w:sz="12" w:space="0"/>
              <w:left w:val="single" w:color="000000" w:sz="4" w:space="0"/>
              <w:bottom w:val="single" w:color="000000" w:sz="4" w:space="0"/>
              <w:right w:val="single" w:color="000000" w:sz="4" w:space="0"/>
            </w:tcBorders>
            <w:shd w:val="clear" w:color="auto" w:fill="auto"/>
          </w:tcPr>
          <w:p w14:paraId="07C9898D">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R（m）</w:t>
            </w:r>
          </w:p>
        </w:tc>
        <w:tc>
          <w:tcPr>
            <w:tcW w:w="1848" w:type="dxa"/>
            <w:tcBorders>
              <w:top w:val="single" w:color="000000" w:sz="12" w:space="0"/>
              <w:left w:val="single" w:color="000000" w:sz="4" w:space="0"/>
              <w:bottom w:val="single" w:color="000000" w:sz="4" w:space="0"/>
              <w:right w:val="single" w:color="000000" w:sz="4" w:space="0"/>
            </w:tcBorders>
            <w:shd w:val="clear" w:color="auto" w:fill="auto"/>
          </w:tcPr>
          <w:p w14:paraId="659DBB96">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I</w:t>
            </w:r>
          </w:p>
        </w:tc>
        <w:tc>
          <w:tcPr>
            <w:tcW w:w="1848" w:type="dxa"/>
            <w:tcBorders>
              <w:top w:val="single" w:color="000000" w:sz="12" w:space="0"/>
              <w:left w:val="single" w:color="000000" w:sz="4" w:space="0"/>
              <w:bottom w:val="single" w:color="000000" w:sz="4" w:space="0"/>
              <w:right w:val="single" w:color="000000" w:sz="12" w:space="0"/>
            </w:tcBorders>
            <w:shd w:val="clear" w:color="auto" w:fill="auto"/>
          </w:tcPr>
          <w:p w14:paraId="3EE816E1">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i/>
                <w:iCs/>
                <w:color w:val="auto"/>
                <w:highlight w:val="none"/>
                <w:lang w:val="en-US" w:eastAsia="zh-CN"/>
              </w:rPr>
              <w:t>v</w:t>
            </w:r>
            <w:r>
              <w:rPr>
                <w:rFonts w:hint="eastAsia"/>
                <w:b w:val="0"/>
                <w:color w:val="auto"/>
                <w:highlight w:val="none"/>
                <w:lang w:val="en-US" w:eastAsia="zh-CN"/>
              </w:rPr>
              <w:t>（m/s）</w:t>
            </w:r>
          </w:p>
        </w:tc>
      </w:tr>
      <w:tr w14:paraId="7315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7" w:type="dxa"/>
            <w:tcBorders>
              <w:top w:val="single" w:color="000000" w:sz="4" w:space="0"/>
              <w:left w:val="single" w:color="000000" w:sz="12" w:space="0"/>
              <w:bottom w:val="single" w:color="000000" w:sz="12" w:space="0"/>
              <w:right w:val="single" w:color="000000" w:sz="4" w:space="0"/>
            </w:tcBorders>
            <w:shd w:val="clear" w:color="auto" w:fill="auto"/>
          </w:tcPr>
          <w:p w14:paraId="525AA1AA">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数值</w:t>
            </w:r>
          </w:p>
        </w:tc>
        <w:tc>
          <w:tcPr>
            <w:tcW w:w="1847" w:type="dxa"/>
            <w:tcBorders>
              <w:top w:val="single" w:color="000000" w:sz="4" w:space="0"/>
              <w:left w:val="single" w:color="000000" w:sz="4" w:space="0"/>
              <w:bottom w:val="single" w:color="000000" w:sz="12" w:space="0"/>
              <w:right w:val="single" w:color="000000" w:sz="4" w:space="0"/>
            </w:tcBorders>
            <w:shd w:val="clear" w:color="auto" w:fill="auto"/>
          </w:tcPr>
          <w:p w14:paraId="7EF39852">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0.010</w:t>
            </w:r>
          </w:p>
        </w:tc>
        <w:tc>
          <w:tcPr>
            <w:tcW w:w="1848" w:type="dxa"/>
            <w:tcBorders>
              <w:top w:val="single" w:color="000000" w:sz="4" w:space="0"/>
              <w:left w:val="single" w:color="000000" w:sz="4" w:space="0"/>
              <w:bottom w:val="single" w:color="000000" w:sz="12" w:space="0"/>
              <w:right w:val="single" w:color="000000" w:sz="4" w:space="0"/>
            </w:tcBorders>
            <w:shd w:val="clear" w:color="auto" w:fill="auto"/>
          </w:tcPr>
          <w:p w14:paraId="232B03CE">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0.1</w:t>
            </w:r>
          </w:p>
        </w:tc>
        <w:tc>
          <w:tcPr>
            <w:tcW w:w="1848" w:type="dxa"/>
            <w:tcBorders>
              <w:top w:val="single" w:color="000000" w:sz="4" w:space="0"/>
              <w:left w:val="single" w:color="000000" w:sz="4" w:space="0"/>
              <w:bottom w:val="single" w:color="000000" w:sz="12" w:space="0"/>
              <w:right w:val="single" w:color="000000" w:sz="4" w:space="0"/>
            </w:tcBorders>
            <w:shd w:val="clear" w:color="auto" w:fill="auto"/>
          </w:tcPr>
          <w:p w14:paraId="618D9ACD">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0.0544</w:t>
            </w:r>
          </w:p>
        </w:tc>
        <w:tc>
          <w:tcPr>
            <w:tcW w:w="1848" w:type="dxa"/>
            <w:tcBorders>
              <w:top w:val="single" w:color="000000" w:sz="4" w:space="0"/>
              <w:left w:val="single" w:color="000000" w:sz="4" w:space="0"/>
              <w:bottom w:val="single" w:color="000000" w:sz="12" w:space="0"/>
              <w:right w:val="single" w:color="000000" w:sz="12" w:space="0"/>
            </w:tcBorders>
            <w:shd w:val="clear" w:color="auto" w:fill="auto"/>
          </w:tcPr>
          <w:p w14:paraId="3DB2BD5C">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5.025</w:t>
            </w:r>
          </w:p>
        </w:tc>
      </w:tr>
    </w:tbl>
    <w:p w14:paraId="64A02665">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由上式可知，引水管出水流速为5.025m/s。</w:t>
      </w:r>
    </w:p>
    <w:p w14:paraId="448B26E0">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根据《室外排水设计标准》，“5.2.5排水管道的最大流速宜符合下列规定</w:t>
      </w:r>
      <w:r>
        <w:rPr>
          <w:rFonts w:hint="eastAsia" w:ascii="Times New Roman" w:hAnsi="Times New Roman" w:eastAsia="宋体" w:cs="Times New Roman"/>
          <w:color w:val="auto"/>
          <w:kern w:val="2"/>
          <w:sz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非金属管道宜为5.0</w:t>
      </w:r>
      <w:r>
        <w:rPr>
          <w:rFonts w:hint="default" w:ascii="Times New Roman" w:hAnsi="Times New Roman" w:eastAsia="宋体" w:cs="Times New Roman"/>
          <w:color w:val="auto"/>
          <w:kern w:val="2"/>
          <w:sz w:val="24"/>
          <w:szCs w:val="24"/>
          <w:highlight w:val="none"/>
          <w:lang w:val="en-US" w:eastAsia="zh-CN" w:bidi="ar-SA"/>
        </w:rPr>
        <w:t>m/s</w:t>
      </w:r>
      <w:r>
        <w:rPr>
          <w:rFonts w:hint="eastAsia" w:ascii="Times New Roman" w:hAnsi="Times New Roman" w:eastAsia="宋体" w:cs="Times New Roman"/>
          <w:color w:val="auto"/>
          <w:kern w:val="2"/>
          <w:sz w:val="24"/>
          <w:szCs w:val="24"/>
          <w:highlight w:val="none"/>
          <w:lang w:val="en-US" w:eastAsia="zh-CN" w:bidi="ar-SA"/>
        </w:rPr>
        <w:t>，经试验验证可适当提高。”</w:t>
      </w:r>
    </w:p>
    <w:p w14:paraId="055FD8FC">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因此，本报告引水管设计流速取5.0</w:t>
      </w:r>
      <w:r>
        <w:rPr>
          <w:rFonts w:hint="default" w:ascii="Times New Roman" w:hAnsi="Times New Roman" w:eastAsia="宋体" w:cs="Times New Roman"/>
          <w:color w:val="auto"/>
          <w:kern w:val="2"/>
          <w:sz w:val="24"/>
          <w:szCs w:val="24"/>
          <w:highlight w:val="none"/>
          <w:lang w:val="en-US" w:eastAsia="zh-CN" w:bidi="ar-SA"/>
        </w:rPr>
        <w:t>m/s</w:t>
      </w:r>
      <w:r>
        <w:rPr>
          <w:rFonts w:hint="eastAsia" w:ascii="Times New Roman" w:hAnsi="Times New Roman" w:eastAsia="宋体" w:cs="Times New Roman"/>
          <w:color w:val="auto"/>
          <w:kern w:val="2"/>
          <w:sz w:val="24"/>
          <w:highlight w:val="none"/>
          <w:lang w:val="en-US" w:eastAsia="zh-CN" w:bidi="ar-SA"/>
        </w:rPr>
        <w:t>。</w:t>
      </w:r>
    </w:p>
    <w:p w14:paraId="391E48ED">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②</w:t>
      </w:r>
      <w:r>
        <w:rPr>
          <w:rFonts w:hint="eastAsia" w:ascii="Times New Roman" w:hAnsi="Times New Roman" w:eastAsia="宋体" w:cs="Times New Roman"/>
          <w:color w:val="auto"/>
          <w:kern w:val="2"/>
          <w:sz w:val="24"/>
          <w:highlight w:val="none"/>
          <w:lang w:val="en-US" w:eastAsia="zh-CN" w:bidi="ar-SA"/>
        </w:rPr>
        <w:t>设计流量</w:t>
      </w:r>
    </w:p>
    <w:p w14:paraId="7833B5B5">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position w:val="-10"/>
          <w:sz w:val="24"/>
          <w:highlight w:val="none"/>
          <w:lang w:val="en-US" w:eastAsia="zh-CN" w:bidi="ar-SA"/>
        </w:rPr>
        <w:object>
          <v:shape id="_x0000_i1032" o:spt="75" type="#_x0000_t75" style="height:16pt;width:36pt;" o:ole="t" filled="f" o:preferrelative="t" stroked="f" coordsize="21600,21600">
            <v:path/>
            <v:fill on="f" focussize="0,0"/>
            <v:stroke on="f"/>
            <v:imagedata r:id="rId46" o:title=""/>
            <o:lock v:ext="edit" aspectratio="t"/>
            <w10:wrap type="none"/>
            <w10:anchorlock/>
          </v:shape>
          <o:OLEObject Type="Embed" ProgID="Equation.KSEE3" ShapeID="_x0000_i1032" DrawAspect="Content" ObjectID="_1468075732" r:id="rId45">
            <o:LockedField>false</o:LockedField>
          </o:OLEObject>
        </w:object>
      </w:r>
    </w:p>
    <w:p w14:paraId="52EB804D">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其中：</w:t>
      </w:r>
      <w:r>
        <w:rPr>
          <w:rFonts w:hint="eastAsia" w:ascii="Times New Roman" w:hAnsi="Times New Roman" w:eastAsia="宋体" w:cs="Times New Roman"/>
          <w:i/>
          <w:iCs/>
          <w:color w:val="auto"/>
          <w:kern w:val="2"/>
          <w:sz w:val="24"/>
          <w:highlight w:val="none"/>
          <w:lang w:val="en-US" w:eastAsia="zh-CN" w:bidi="ar-SA"/>
        </w:rPr>
        <w:t>Q</w:t>
      </w:r>
      <w:r>
        <w:rPr>
          <w:rFonts w:hint="eastAsia" w:ascii="Times New Roman" w:hAnsi="Times New Roman" w:eastAsia="宋体" w:cs="Times New Roman"/>
          <w:color w:val="auto"/>
          <w:kern w:val="2"/>
          <w:sz w:val="24"/>
          <w:highlight w:val="none"/>
          <w:lang w:val="en-US" w:eastAsia="zh-CN" w:bidi="ar-SA"/>
        </w:rPr>
        <w:t>—设计流量（</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ascii="Times New Roman" w:hAnsi="Times New Roman" w:eastAsia="宋体" w:cs="Times New Roman"/>
          <w:color w:val="auto"/>
          <w:kern w:val="2"/>
          <w:sz w:val="24"/>
          <w:highlight w:val="none"/>
          <w:lang w:val="en-US" w:eastAsia="zh-CN" w:bidi="ar-SA"/>
        </w:rPr>
        <w:t>/s）</w:t>
      </w:r>
    </w:p>
    <w:p w14:paraId="362C8BD1">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i/>
          <w:iCs/>
          <w:color w:val="auto"/>
          <w:kern w:val="2"/>
          <w:sz w:val="24"/>
          <w:highlight w:val="none"/>
          <w:lang w:val="en-US" w:eastAsia="zh-CN" w:bidi="ar-SA"/>
        </w:rPr>
        <w:t>v</w:t>
      </w:r>
      <w:r>
        <w:rPr>
          <w:rFonts w:hint="eastAsia" w:ascii="Times New Roman" w:hAnsi="Times New Roman" w:eastAsia="宋体" w:cs="Times New Roman"/>
          <w:color w:val="auto"/>
          <w:kern w:val="2"/>
          <w:sz w:val="24"/>
          <w:highlight w:val="none"/>
          <w:lang w:val="en-US" w:eastAsia="zh-CN" w:bidi="ar-SA"/>
        </w:rPr>
        <w:t>—流速（m/s）</w:t>
      </w:r>
    </w:p>
    <w:p w14:paraId="6E9A9287">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A—水流有效断面面积（</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2</w:t>
      </w:r>
      <w:r>
        <w:rPr>
          <w:rFonts w:hint="eastAsia" w:ascii="Times New Roman" w:hAnsi="Times New Roman" w:eastAsia="宋体" w:cs="Times New Roman"/>
          <w:color w:val="auto"/>
          <w:kern w:val="2"/>
          <w:sz w:val="24"/>
          <w:highlight w:val="none"/>
          <w:lang w:val="en-US" w:eastAsia="zh-CN" w:bidi="ar-SA"/>
        </w:rPr>
        <w:t>）</w:t>
      </w:r>
    </w:p>
    <w:p w14:paraId="7BE1EAFD">
      <w:pPr>
        <w:pStyle w:val="28"/>
        <w:bidi w:val="0"/>
        <w:rPr>
          <w:rFonts w:hint="default"/>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27</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引水管设计流量</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47"/>
        <w:gridCol w:w="1847"/>
        <w:gridCol w:w="1848"/>
        <w:gridCol w:w="1848"/>
        <w:gridCol w:w="1848"/>
      </w:tblGrid>
      <w:tr w14:paraId="61305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7" w:type="dxa"/>
            <w:tcBorders>
              <w:bottom w:val="single" w:color="000000" w:sz="4" w:space="0"/>
              <w:right w:val="single" w:color="000000" w:sz="4" w:space="0"/>
              <w:tl2br w:val="nil"/>
            </w:tcBorders>
            <w:shd w:val="clear" w:color="auto" w:fill="auto"/>
          </w:tcPr>
          <w:p w14:paraId="3AB1FF8D">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参数</w:t>
            </w:r>
          </w:p>
        </w:tc>
        <w:tc>
          <w:tcPr>
            <w:tcW w:w="1847" w:type="dxa"/>
            <w:tcBorders>
              <w:left w:val="single" w:color="000000" w:sz="4" w:space="0"/>
              <w:bottom w:val="single" w:color="000000" w:sz="4" w:space="0"/>
              <w:right w:val="single" w:color="000000" w:sz="4" w:space="0"/>
            </w:tcBorders>
            <w:shd w:val="clear" w:color="auto" w:fill="auto"/>
          </w:tcPr>
          <w:p w14:paraId="2121D82B">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i/>
                <w:iCs/>
                <w:color w:val="auto"/>
                <w:highlight w:val="none"/>
                <w:lang w:val="en-US" w:eastAsia="zh-CN"/>
              </w:rPr>
              <w:t>v</w:t>
            </w:r>
            <w:r>
              <w:rPr>
                <w:rFonts w:hint="eastAsia"/>
                <w:b w:val="0"/>
                <w:color w:val="auto"/>
                <w:highlight w:val="none"/>
                <w:lang w:val="en-US" w:eastAsia="zh-CN"/>
              </w:rPr>
              <w:t>（m/s）</w:t>
            </w:r>
          </w:p>
        </w:tc>
        <w:tc>
          <w:tcPr>
            <w:tcW w:w="1848" w:type="dxa"/>
            <w:tcBorders>
              <w:left w:val="single" w:color="000000" w:sz="4" w:space="0"/>
              <w:bottom w:val="single" w:color="000000" w:sz="4" w:space="0"/>
              <w:right w:val="single" w:color="000000" w:sz="4" w:space="0"/>
            </w:tcBorders>
            <w:shd w:val="clear" w:color="auto" w:fill="auto"/>
          </w:tcPr>
          <w:p w14:paraId="00255EFB">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R（m）</w:t>
            </w:r>
          </w:p>
        </w:tc>
        <w:tc>
          <w:tcPr>
            <w:tcW w:w="1848" w:type="dxa"/>
            <w:tcBorders>
              <w:left w:val="single" w:color="000000" w:sz="4" w:space="0"/>
              <w:bottom w:val="single" w:color="000000" w:sz="4" w:space="0"/>
              <w:right w:val="single" w:color="000000" w:sz="4" w:space="0"/>
            </w:tcBorders>
            <w:shd w:val="clear" w:color="auto" w:fill="auto"/>
          </w:tcPr>
          <w:p w14:paraId="7511BCC7">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ascii="Times New Roman" w:hAnsi="Times New Roman" w:eastAsia="宋体" w:cs="Times New Roman"/>
                <w:b w:val="0"/>
                <w:color w:val="auto"/>
                <w:kern w:val="2"/>
                <w:sz w:val="24"/>
                <w:highlight w:val="none"/>
                <w:lang w:val="en-US" w:eastAsia="zh-CN" w:bidi="ar-SA"/>
              </w:rPr>
              <w:t>A（</w:t>
            </w:r>
            <w:r>
              <w:rPr>
                <w:rFonts w:hint="eastAsia" w:cs="Times New Roman"/>
                <w:b w:val="0"/>
                <w:color w:val="auto"/>
                <w:kern w:val="2"/>
                <w:sz w:val="24"/>
                <w:highlight w:val="none"/>
                <w:lang w:val="en-US" w:eastAsia="zh-CN" w:bidi="ar-SA"/>
              </w:rPr>
              <w:t>m</w:t>
            </w:r>
            <w:r>
              <w:rPr>
                <w:rFonts w:hint="eastAsia" w:cs="Times New Roman"/>
                <w:b w:val="0"/>
                <w:color w:val="auto"/>
                <w:kern w:val="2"/>
                <w:sz w:val="24"/>
                <w:highlight w:val="none"/>
                <w:vertAlign w:val="superscript"/>
                <w:lang w:val="en-US" w:eastAsia="zh-CN" w:bidi="ar-SA"/>
              </w:rPr>
              <w:t>2</w:t>
            </w:r>
            <w:r>
              <w:rPr>
                <w:rFonts w:hint="eastAsia" w:ascii="Times New Roman" w:hAnsi="Times New Roman" w:eastAsia="宋体" w:cs="Times New Roman"/>
                <w:b w:val="0"/>
                <w:color w:val="auto"/>
                <w:kern w:val="2"/>
                <w:sz w:val="24"/>
                <w:highlight w:val="none"/>
                <w:lang w:val="en-US" w:eastAsia="zh-CN" w:bidi="ar-SA"/>
              </w:rPr>
              <w:t>）</w:t>
            </w:r>
          </w:p>
        </w:tc>
        <w:tc>
          <w:tcPr>
            <w:tcW w:w="1848" w:type="dxa"/>
            <w:tcBorders>
              <w:left w:val="single" w:color="000000" w:sz="4" w:space="0"/>
              <w:bottom w:val="single" w:color="000000" w:sz="4" w:space="0"/>
            </w:tcBorders>
            <w:shd w:val="clear" w:color="auto" w:fill="auto"/>
          </w:tcPr>
          <w:p w14:paraId="1C14EA2F">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i/>
                <w:iCs/>
                <w:color w:val="auto"/>
                <w:highlight w:val="none"/>
                <w:lang w:val="en-US" w:eastAsia="zh-CN"/>
              </w:rPr>
              <w:t>Q</w:t>
            </w:r>
            <w:r>
              <w:rPr>
                <w:rFonts w:hint="eastAsia"/>
                <w:b w:val="0"/>
                <w:color w:val="auto"/>
                <w:highlight w:val="none"/>
                <w:lang w:val="en-US" w:eastAsia="zh-CN"/>
              </w:rPr>
              <w:t>（m</w:t>
            </w:r>
            <w:r>
              <w:rPr>
                <w:rFonts w:hint="eastAsia"/>
                <w:b w:val="0"/>
                <w:color w:val="auto"/>
                <w:highlight w:val="none"/>
                <w:vertAlign w:val="superscript"/>
                <w:lang w:val="en-US" w:eastAsia="zh-CN"/>
              </w:rPr>
              <w:t>3</w:t>
            </w:r>
            <w:r>
              <w:rPr>
                <w:rFonts w:hint="eastAsia"/>
                <w:b w:val="0"/>
                <w:color w:val="auto"/>
                <w:highlight w:val="none"/>
                <w:lang w:val="en-US" w:eastAsia="zh-CN"/>
              </w:rPr>
              <w:t>/s）</w:t>
            </w:r>
          </w:p>
        </w:tc>
      </w:tr>
      <w:tr w14:paraId="5ED5A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7" w:type="dxa"/>
            <w:tcBorders>
              <w:top w:val="single" w:color="000000" w:sz="4" w:space="0"/>
              <w:right w:val="single" w:color="000000" w:sz="4" w:space="0"/>
            </w:tcBorders>
            <w:shd w:val="clear" w:color="auto" w:fill="auto"/>
          </w:tcPr>
          <w:p w14:paraId="698BDAFB">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数值</w:t>
            </w:r>
          </w:p>
        </w:tc>
        <w:tc>
          <w:tcPr>
            <w:tcW w:w="1847" w:type="dxa"/>
            <w:tcBorders>
              <w:top w:val="single" w:color="000000" w:sz="4" w:space="0"/>
              <w:left w:val="single" w:color="000000" w:sz="4" w:space="0"/>
              <w:right w:val="single" w:color="000000" w:sz="4" w:space="0"/>
            </w:tcBorders>
            <w:shd w:val="clear" w:color="auto" w:fill="auto"/>
          </w:tcPr>
          <w:p w14:paraId="4B0EE791">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5.0</w:t>
            </w:r>
          </w:p>
        </w:tc>
        <w:tc>
          <w:tcPr>
            <w:tcW w:w="1848" w:type="dxa"/>
            <w:tcBorders>
              <w:top w:val="single" w:color="000000" w:sz="4" w:space="0"/>
              <w:left w:val="single" w:color="000000" w:sz="4" w:space="0"/>
              <w:right w:val="single" w:color="000000" w:sz="4" w:space="0"/>
            </w:tcBorders>
            <w:shd w:val="clear" w:color="auto" w:fill="auto"/>
          </w:tcPr>
          <w:p w14:paraId="5347BD80">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0.1</w:t>
            </w:r>
          </w:p>
        </w:tc>
        <w:tc>
          <w:tcPr>
            <w:tcW w:w="1848" w:type="dxa"/>
            <w:tcBorders>
              <w:top w:val="single" w:color="000000" w:sz="4" w:space="0"/>
              <w:left w:val="single" w:color="000000" w:sz="4" w:space="0"/>
              <w:right w:val="single" w:color="000000" w:sz="4" w:space="0"/>
            </w:tcBorders>
            <w:shd w:val="clear" w:color="auto" w:fill="auto"/>
          </w:tcPr>
          <w:p w14:paraId="386504A1">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0.0314</w:t>
            </w:r>
          </w:p>
        </w:tc>
        <w:tc>
          <w:tcPr>
            <w:tcW w:w="1848" w:type="dxa"/>
            <w:tcBorders>
              <w:top w:val="single" w:color="000000" w:sz="4" w:space="0"/>
              <w:left w:val="single" w:color="000000" w:sz="4" w:space="0"/>
            </w:tcBorders>
            <w:shd w:val="clear" w:color="auto" w:fill="auto"/>
          </w:tcPr>
          <w:p w14:paraId="715ECFDE">
            <w:pPr>
              <w:pStyle w:val="26"/>
              <w:keepNext w:val="0"/>
              <w:keepLines w:val="0"/>
              <w:suppressLineNumbers w:val="0"/>
              <w:bidi w:val="0"/>
              <w:spacing w:before="0" w:beforeAutospacing="0" w:after="0" w:afterAutospacing="0"/>
              <w:ind w:left="0" w:right="0"/>
              <w:rPr>
                <w:rFonts w:hint="default"/>
                <w:b w:val="0"/>
                <w:color w:val="auto"/>
                <w:highlight w:val="none"/>
                <w:lang w:val="en-US" w:eastAsia="zh-CN"/>
              </w:rPr>
            </w:pPr>
            <w:r>
              <w:rPr>
                <w:rFonts w:hint="eastAsia"/>
                <w:b w:val="0"/>
                <w:color w:val="auto"/>
                <w:highlight w:val="none"/>
                <w:lang w:val="en-US" w:eastAsia="zh-CN"/>
              </w:rPr>
              <w:t>0.157</w:t>
            </w:r>
          </w:p>
        </w:tc>
      </w:tr>
    </w:tbl>
    <w:p w14:paraId="711A2857">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由上式可知，单根引水管出水流量为0.157</w:t>
      </w:r>
      <w:r>
        <w:rPr>
          <w:rFonts w:hint="eastAsia" w:cs="Times New Roman"/>
          <w:color w:val="auto"/>
          <w:kern w:val="2"/>
          <w:sz w:val="24"/>
          <w:szCs w:val="24"/>
          <w:highlight w:val="none"/>
          <w:lang w:val="en-US" w:eastAsia="zh-CN" w:bidi="ar-SA"/>
        </w:rPr>
        <w:t>m</w:t>
      </w:r>
      <w:r>
        <w:rPr>
          <w:rFonts w:hint="eastAsia"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/s。引水工程</w:t>
      </w:r>
      <w:r>
        <w:rPr>
          <w:rFonts w:hint="eastAsia" w:ascii="Times New Roman" w:hAnsi="Times New Roman" w:eastAsia="宋体" w:cs="Times New Roman"/>
          <w:color w:val="auto"/>
          <w:kern w:val="2"/>
          <w:sz w:val="24"/>
          <w:highlight w:val="none"/>
          <w:lang w:val="en-US" w:eastAsia="zh-CN" w:bidi="ar-SA"/>
        </w:rPr>
        <w:t>设置了2条DN200引水管，因此，最大设计出水流量为0.314</w:t>
      </w:r>
      <w:r>
        <w:rPr>
          <w:rFonts w:hint="eastAsia" w:cs="Times New Roman"/>
          <w:color w:val="auto"/>
          <w:kern w:val="2"/>
          <w:sz w:val="24"/>
          <w:szCs w:val="24"/>
          <w:highlight w:val="none"/>
          <w:lang w:val="en-US" w:eastAsia="zh-CN" w:bidi="ar-SA"/>
        </w:rPr>
        <w:t>m</w:t>
      </w:r>
      <w:r>
        <w:rPr>
          <w:rFonts w:hint="eastAsia"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/s。</w:t>
      </w:r>
    </w:p>
    <w:p w14:paraId="7826C7EC">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③</w:t>
      </w:r>
      <w:r>
        <w:rPr>
          <w:rFonts w:hint="eastAsia" w:cs="Times New Roman"/>
          <w:color w:val="auto"/>
          <w:kern w:val="2"/>
          <w:sz w:val="24"/>
          <w:highlight w:val="none"/>
          <w:lang w:val="en-US" w:eastAsia="zh-CN" w:bidi="ar-SA"/>
        </w:rPr>
        <w:t>引水水量</w:t>
      </w:r>
    </w:p>
    <w:p w14:paraId="530C3367">
      <w:pPr>
        <w:pStyle w:val="2"/>
        <w:bidi w:val="0"/>
        <w:rPr>
          <w:rFonts w:hint="default"/>
          <w:color w:val="auto"/>
          <w:highlight w:val="none"/>
          <w:lang w:eastAsia="zh-CN"/>
        </w:rPr>
      </w:pPr>
      <w:r>
        <w:rPr>
          <w:rFonts w:hint="default"/>
          <w:color w:val="auto"/>
          <w:highlight w:val="none"/>
          <w:lang w:val="en-US" w:eastAsia="zh-CN"/>
        </w:rPr>
        <w:t>本次评价采用</w:t>
      </w:r>
      <w:r>
        <w:rPr>
          <w:rFonts w:hint="eastAsia"/>
          <w:color w:val="auto"/>
          <w:highlight w:val="none"/>
          <w:lang w:val="en-US" w:eastAsia="zh-CN"/>
        </w:rPr>
        <w:t>距离项目选址30km处的梧桐水文站作为</w:t>
      </w:r>
      <w:r>
        <w:rPr>
          <w:rFonts w:hint="default"/>
          <w:color w:val="auto"/>
          <w:highlight w:val="none"/>
        </w:rPr>
        <w:t>参证站</w:t>
      </w:r>
      <w:r>
        <w:rPr>
          <w:rFonts w:hint="default"/>
          <w:color w:val="auto"/>
          <w:highlight w:val="none"/>
          <w:lang w:eastAsia="zh-CN"/>
        </w:rPr>
        <w:t>，</w:t>
      </w:r>
      <w:r>
        <w:rPr>
          <w:rFonts w:hint="default"/>
          <w:color w:val="auto"/>
          <w:highlight w:val="none"/>
          <w:lang w:val="en-US" w:eastAsia="zh-CN"/>
        </w:rPr>
        <w:t>梧桐水文站集雨面积为</w:t>
      </w:r>
      <w:r>
        <w:rPr>
          <w:rFonts w:hint="eastAsia"/>
          <w:color w:val="auto"/>
          <w:highlight w:val="none"/>
          <w:lang w:val="en-US" w:eastAsia="zh-CN"/>
        </w:rPr>
        <w:t>57</w:t>
      </w:r>
      <w:r>
        <w:rPr>
          <w:rFonts w:hint="default"/>
          <w:color w:val="auto"/>
          <w:highlight w:val="none"/>
          <w:lang w:val="en-US" w:eastAsia="zh-CN"/>
        </w:rPr>
        <w:t>0</w:t>
      </w:r>
      <w:r>
        <w:rPr>
          <w:rFonts w:hint="default"/>
          <w:color w:val="auto"/>
          <w:highlight w:val="none"/>
        </w:rPr>
        <w:t>k</w:t>
      </w:r>
      <w:r>
        <w:rPr>
          <w:rFonts w:hint="eastAsia"/>
          <w:color w:val="auto"/>
          <w:highlight w:val="none"/>
          <w:lang w:eastAsia="zh-CN"/>
        </w:rPr>
        <w:t>m</w:t>
      </w:r>
      <w:r>
        <w:rPr>
          <w:rFonts w:hint="eastAsia"/>
          <w:color w:val="auto"/>
          <w:highlight w:val="none"/>
          <w:vertAlign w:val="superscript"/>
          <w:lang w:eastAsia="zh-CN"/>
        </w:rPr>
        <w:t>2</w:t>
      </w:r>
      <w:r>
        <w:rPr>
          <w:rFonts w:hint="default"/>
          <w:color w:val="auto"/>
          <w:highlight w:val="none"/>
          <w:lang w:val="en-US" w:eastAsia="zh-CN"/>
        </w:rPr>
        <w:t>；</w:t>
      </w:r>
      <w:r>
        <w:rPr>
          <w:rFonts w:hint="eastAsia"/>
          <w:color w:val="auto"/>
          <w:highlight w:val="none"/>
          <w:lang w:val="en-US" w:eastAsia="zh-CN"/>
        </w:rPr>
        <w:t>该</w:t>
      </w:r>
      <w:r>
        <w:rPr>
          <w:rFonts w:hint="default"/>
          <w:color w:val="auto"/>
          <w:highlight w:val="none"/>
          <w:lang w:val="en-US" w:eastAsia="zh-CN"/>
        </w:rPr>
        <w:t>区域</w:t>
      </w:r>
      <w:r>
        <w:rPr>
          <w:rFonts w:hint="eastAsia"/>
          <w:color w:val="auto"/>
          <w:highlight w:val="none"/>
          <w:lang w:val="en-US" w:eastAsia="zh-CN"/>
        </w:rPr>
        <w:t>与本项目地表水预测河段区域的</w:t>
      </w:r>
      <w:r>
        <w:rPr>
          <w:rFonts w:hint="default"/>
          <w:color w:val="auto"/>
          <w:highlight w:val="none"/>
          <w:lang w:val="en-US" w:eastAsia="zh-CN"/>
        </w:rPr>
        <w:t>下垫面条件相近</w:t>
      </w:r>
      <w:r>
        <w:rPr>
          <w:rFonts w:hint="eastAsia"/>
          <w:color w:val="auto"/>
          <w:highlight w:val="none"/>
          <w:lang w:val="en-US" w:eastAsia="zh-CN"/>
        </w:rPr>
        <w:t>，</w:t>
      </w:r>
      <w:r>
        <w:rPr>
          <w:rFonts w:hint="default"/>
          <w:color w:val="auto"/>
          <w:highlight w:val="none"/>
          <w:lang w:val="en-US" w:eastAsia="zh-CN"/>
        </w:rPr>
        <w:t>降水条件</w:t>
      </w:r>
      <w:r>
        <w:rPr>
          <w:rFonts w:hint="eastAsia"/>
          <w:color w:val="auto"/>
          <w:highlight w:val="none"/>
          <w:lang w:val="en-US" w:eastAsia="zh-CN"/>
        </w:rPr>
        <w:t>相近</w:t>
      </w:r>
      <w:r>
        <w:rPr>
          <w:rFonts w:hint="default"/>
          <w:color w:val="auto"/>
          <w:highlight w:val="none"/>
          <w:lang w:val="en-US" w:eastAsia="zh-CN"/>
        </w:rPr>
        <w:t>。因此，</w:t>
      </w:r>
      <w:r>
        <w:rPr>
          <w:rFonts w:hint="default"/>
          <w:color w:val="auto"/>
          <w:highlight w:val="none"/>
        </w:rPr>
        <w:t>本报告以</w:t>
      </w:r>
      <w:r>
        <w:rPr>
          <w:rFonts w:hint="default"/>
          <w:color w:val="auto"/>
          <w:highlight w:val="none"/>
          <w:lang w:val="en-US" w:eastAsia="zh-CN"/>
        </w:rPr>
        <w:t>梧桐</w:t>
      </w:r>
      <w:r>
        <w:rPr>
          <w:rFonts w:hint="default"/>
          <w:color w:val="auto"/>
          <w:highlight w:val="none"/>
          <w:lang w:eastAsia="zh-CN"/>
        </w:rPr>
        <w:t>水文站</w:t>
      </w:r>
      <w:r>
        <w:rPr>
          <w:rFonts w:hint="default"/>
          <w:color w:val="auto"/>
          <w:highlight w:val="none"/>
        </w:rPr>
        <w:t>，通过水文比拟法</w:t>
      </w:r>
      <w:r>
        <w:rPr>
          <w:rFonts w:hint="default"/>
          <w:color w:val="auto"/>
          <w:highlight w:val="none"/>
          <w:lang w:val="en-US" w:eastAsia="zh-CN"/>
        </w:rPr>
        <w:t>，</w:t>
      </w:r>
      <w:r>
        <w:rPr>
          <w:rFonts w:hint="default"/>
          <w:color w:val="auto"/>
          <w:highlight w:val="none"/>
        </w:rPr>
        <w:t>并采用</w:t>
      </w:r>
      <w:r>
        <w:rPr>
          <w:rFonts w:hint="eastAsia"/>
          <w:color w:val="auto"/>
          <w:highlight w:val="none"/>
          <w:lang w:val="en-US" w:eastAsia="zh-CN"/>
        </w:rPr>
        <w:t>各月</w:t>
      </w:r>
      <w:r>
        <w:rPr>
          <w:rFonts w:hint="default"/>
          <w:color w:val="auto"/>
          <w:highlight w:val="none"/>
        </w:rPr>
        <w:t>多年平均</w:t>
      </w:r>
      <w:r>
        <w:rPr>
          <w:rFonts w:hint="eastAsia"/>
          <w:color w:val="auto"/>
          <w:highlight w:val="none"/>
          <w:lang w:val="en-US" w:eastAsia="zh-CN"/>
        </w:rPr>
        <w:t>径流量</w:t>
      </w:r>
      <w:r>
        <w:rPr>
          <w:rFonts w:hint="default"/>
          <w:color w:val="auto"/>
          <w:highlight w:val="none"/>
        </w:rPr>
        <w:t>进行修正</w:t>
      </w:r>
      <w:r>
        <w:rPr>
          <w:rFonts w:hint="default"/>
          <w:color w:val="auto"/>
          <w:highlight w:val="none"/>
          <w:lang w:eastAsia="zh-CN"/>
        </w:rPr>
        <w:t>，</w:t>
      </w:r>
      <w:r>
        <w:rPr>
          <w:rFonts w:hint="default"/>
          <w:color w:val="auto"/>
          <w:highlight w:val="none"/>
          <w:lang w:val="en-US" w:eastAsia="zh-CN"/>
        </w:rPr>
        <w:t>推算</w:t>
      </w:r>
      <w:r>
        <w:rPr>
          <w:rFonts w:hint="eastAsia"/>
          <w:color w:val="auto"/>
          <w:highlight w:val="none"/>
          <w:lang w:val="en-US" w:eastAsia="zh-CN"/>
        </w:rPr>
        <w:t>渣滓溪各月</w:t>
      </w:r>
      <w:r>
        <w:rPr>
          <w:rFonts w:hint="default"/>
          <w:color w:val="auto"/>
          <w:highlight w:val="none"/>
          <w:lang w:val="en-US" w:eastAsia="zh-CN"/>
        </w:rPr>
        <w:t>流量</w:t>
      </w:r>
      <w:r>
        <w:rPr>
          <w:rFonts w:hint="default"/>
          <w:color w:val="auto"/>
          <w:highlight w:val="none"/>
          <w:lang w:eastAsia="zh-CN"/>
        </w:rPr>
        <w:t>。</w:t>
      </w:r>
    </w:p>
    <w:p w14:paraId="512A39B9">
      <w:pPr>
        <w:pStyle w:val="2"/>
        <w:bidi w:val="0"/>
        <w:rPr>
          <w:rFonts w:hint="default"/>
          <w:color w:val="auto"/>
          <w:highlight w:val="none"/>
        </w:rPr>
      </w:pPr>
      <w:r>
        <w:rPr>
          <w:rFonts w:hint="default"/>
          <w:color w:val="auto"/>
          <w:highlight w:val="none"/>
          <w:lang w:val="en-US" w:eastAsia="zh-CN"/>
        </w:rPr>
        <w:t>选取</w:t>
      </w:r>
      <w:r>
        <w:rPr>
          <w:rFonts w:hint="default"/>
          <w:color w:val="auto"/>
          <w:highlight w:val="none"/>
        </w:rPr>
        <w:t>公式如下：</w:t>
      </w:r>
    </w:p>
    <w:p w14:paraId="4BDAE770">
      <w:pPr>
        <w:pStyle w:val="2"/>
        <w:bidi w:val="0"/>
        <w:rPr>
          <w:rFonts w:hint="default"/>
          <w:color w:val="auto"/>
          <w:highlight w:val="none"/>
        </w:rPr>
      </w:pPr>
      <w:r>
        <w:rPr>
          <w:rFonts w:hint="default" w:ascii="Times New Roman" w:hAnsi="Times New Roman" w:eastAsia="宋体" w:cs="Times New Roman"/>
          <w:color w:val="auto"/>
          <w:kern w:val="0"/>
          <w:position w:val="-10"/>
          <w:szCs w:val="24"/>
          <w:highlight w:val="none"/>
        </w:rPr>
        <w:object>
          <v:shape id="_x0000_i1033" o:spt="75" type="#_x0000_t75" style="height:17.25pt;width:9pt;" o:ole="t" filled="f" o:preferrelative="t" stroked="f" coordsize="21600,21600">
            <v:path/>
            <v:fill on="f" focussize="0,0"/>
            <v:stroke on="f" joinstyle="miter"/>
            <v:imagedata r:id="rId48" o:title=""/>
            <o:lock v:ext="edit" aspectratio="t"/>
            <w10:wrap type="none"/>
            <w10:anchorlock/>
          </v:shape>
          <o:OLEObject Type="Embed" ProgID="Equation.3" ShapeID="_x0000_i1033" DrawAspect="Content" ObjectID="_1468075733" r:id="rId47">
            <o:LockedField>false</o:LockedField>
          </o:OLEObject>
        </w:object>
      </w:r>
      <w:r>
        <w:rPr>
          <w:rFonts w:hint="default" w:ascii="Times New Roman" w:hAnsi="Times New Roman" w:eastAsia="宋体" w:cs="Times New Roman"/>
          <w:color w:val="auto"/>
          <w:kern w:val="0"/>
          <w:position w:val="-12"/>
          <w:szCs w:val="24"/>
          <w:highlight w:val="none"/>
        </w:rPr>
        <w:object>
          <v:shape id="_x0000_i1034" o:spt="75" type="#_x0000_t75" style="height:22.5pt;width:169.5pt;" o:ole="t" filled="f" o:preferrelative="t" stroked="f" coordsize="21600,21600">
            <v:path/>
            <v:fill on="f" focussize="0,0"/>
            <v:stroke on="f" joinstyle="miter"/>
            <v:imagedata r:id="rId50" o:title=""/>
            <o:lock v:ext="edit" aspectratio="t"/>
            <w10:wrap type="none"/>
            <w10:anchorlock/>
          </v:shape>
          <o:OLEObject Type="Embed" ProgID="Equation.3" ShapeID="_x0000_i1034" DrawAspect="Content" ObjectID="_1468075734" r:id="rId49">
            <o:LockedField>false</o:LockedField>
          </o:OLEObject>
        </w:object>
      </w:r>
    </w:p>
    <w:p w14:paraId="5D3B60C2">
      <w:pPr>
        <w:pStyle w:val="2"/>
        <w:bidi w:val="0"/>
        <w:rPr>
          <w:rFonts w:hint="default"/>
          <w:color w:val="auto"/>
          <w:highlight w:val="none"/>
        </w:rPr>
      </w:pPr>
      <w:r>
        <w:rPr>
          <w:rFonts w:hint="default"/>
          <w:color w:val="auto"/>
          <w:highlight w:val="none"/>
        </w:rPr>
        <w:t>式中：Q设、Q参——设计流域、参证流域的流量，</w:t>
      </w:r>
      <w:r>
        <w:rPr>
          <w:rFonts w:hint="eastAsia"/>
          <w:color w:val="auto"/>
          <w:highlight w:val="none"/>
          <w:lang w:eastAsia="zh-CN"/>
        </w:rPr>
        <w:t>m</w:t>
      </w:r>
      <w:r>
        <w:rPr>
          <w:rFonts w:hint="eastAsia"/>
          <w:color w:val="auto"/>
          <w:highlight w:val="none"/>
          <w:vertAlign w:val="superscript"/>
          <w:lang w:eastAsia="zh-CN"/>
        </w:rPr>
        <w:t>3</w:t>
      </w:r>
      <w:r>
        <w:rPr>
          <w:rFonts w:hint="default"/>
          <w:color w:val="auto"/>
          <w:highlight w:val="none"/>
        </w:rPr>
        <w:t>/s；</w:t>
      </w:r>
    </w:p>
    <w:p w14:paraId="019BAD13">
      <w:pPr>
        <w:pStyle w:val="2"/>
        <w:bidi w:val="0"/>
        <w:rPr>
          <w:rFonts w:hint="default"/>
          <w:color w:val="auto"/>
          <w:highlight w:val="none"/>
        </w:rPr>
      </w:pPr>
      <w:r>
        <w:rPr>
          <w:rFonts w:hint="default"/>
          <w:color w:val="auto"/>
          <w:highlight w:val="none"/>
        </w:rPr>
        <w:t>F设、F参——设计流域、参证流域的集雨面积，k</w:t>
      </w:r>
      <w:r>
        <w:rPr>
          <w:rFonts w:hint="eastAsia"/>
          <w:color w:val="auto"/>
          <w:highlight w:val="none"/>
          <w:lang w:eastAsia="zh-CN"/>
        </w:rPr>
        <w:t>m</w:t>
      </w:r>
      <w:r>
        <w:rPr>
          <w:rFonts w:hint="eastAsia"/>
          <w:color w:val="auto"/>
          <w:highlight w:val="none"/>
          <w:vertAlign w:val="superscript"/>
          <w:lang w:eastAsia="zh-CN"/>
        </w:rPr>
        <w:t>2</w:t>
      </w:r>
      <w:r>
        <w:rPr>
          <w:rFonts w:hint="default"/>
          <w:color w:val="auto"/>
          <w:highlight w:val="none"/>
        </w:rPr>
        <w:t>，</w:t>
      </w:r>
    </w:p>
    <w:p w14:paraId="57C7F0D2">
      <w:pPr>
        <w:pStyle w:val="2"/>
        <w:bidi w:val="0"/>
        <w:rPr>
          <w:rFonts w:hint="default"/>
          <w:color w:val="auto"/>
          <w:highlight w:val="none"/>
        </w:rPr>
      </w:pPr>
      <w:r>
        <w:rPr>
          <w:rFonts w:hint="default"/>
          <w:color w:val="auto"/>
          <w:highlight w:val="none"/>
        </w:rPr>
        <w:t>P设、P参——设计流域、参证流域的多年平均降雨量，mm。</w:t>
      </w:r>
    </w:p>
    <w:p w14:paraId="6126CAA8">
      <w:pPr>
        <w:pStyle w:val="28"/>
        <w:bidi w:val="0"/>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28</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渣滓溪上游各月径流量一览表</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96"/>
        <w:gridCol w:w="1963"/>
        <w:gridCol w:w="2368"/>
        <w:gridCol w:w="1189"/>
        <w:gridCol w:w="2626"/>
      </w:tblGrid>
      <w:tr w14:paraId="162B77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592" w:type="pct"/>
            <w:tcBorders>
              <w:tl2br w:val="nil"/>
              <w:tr2bl w:val="nil"/>
            </w:tcBorders>
            <w:shd w:val="clear" w:color="auto" w:fill="auto"/>
            <w:noWrap/>
            <w:vAlign w:val="center"/>
          </w:tcPr>
          <w:p w14:paraId="5DDAB7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月份</w:t>
            </w:r>
          </w:p>
        </w:tc>
        <w:tc>
          <w:tcPr>
            <w:tcW w:w="1062" w:type="pct"/>
            <w:tcBorders>
              <w:tl2br w:val="nil"/>
              <w:tr2bl w:val="nil"/>
            </w:tcBorders>
            <w:shd w:val="clear" w:color="auto" w:fill="auto"/>
            <w:noWrap/>
            <w:vAlign w:val="center"/>
          </w:tcPr>
          <w:p w14:paraId="7A1F97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参证流量（m</w:t>
            </w:r>
            <w:r>
              <w:rPr>
                <w:rFonts w:hint="eastAsia"/>
                <w:color w:val="auto"/>
                <w:highlight w:val="none"/>
                <w:vertAlign w:val="superscript"/>
                <w:lang w:val="en-US" w:eastAsia="zh-CN"/>
              </w:rPr>
              <w:t>3</w:t>
            </w:r>
            <w:r>
              <w:rPr>
                <w:rFonts w:hint="eastAsia"/>
                <w:color w:val="auto"/>
                <w:highlight w:val="none"/>
                <w:lang w:val="en-US" w:eastAsia="zh-CN"/>
              </w:rPr>
              <w:t>/s）</w:t>
            </w:r>
          </w:p>
        </w:tc>
        <w:tc>
          <w:tcPr>
            <w:tcW w:w="1281" w:type="pct"/>
            <w:tcBorders>
              <w:tl2br w:val="nil"/>
              <w:tr2bl w:val="nil"/>
            </w:tcBorders>
            <w:shd w:val="clear" w:color="auto" w:fill="auto"/>
            <w:noWrap/>
            <w:vAlign w:val="center"/>
          </w:tcPr>
          <w:p w14:paraId="009D49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参证流域面积（km</w:t>
            </w:r>
            <w:r>
              <w:rPr>
                <w:rFonts w:hint="eastAsia"/>
                <w:color w:val="auto"/>
                <w:highlight w:val="none"/>
                <w:vertAlign w:val="superscript"/>
                <w:lang w:val="en-US" w:eastAsia="zh-CN"/>
              </w:rPr>
              <w:t>2</w:t>
            </w:r>
            <w:r>
              <w:rPr>
                <w:rFonts w:hint="eastAsia"/>
                <w:color w:val="auto"/>
                <w:highlight w:val="none"/>
                <w:lang w:val="en-US" w:eastAsia="zh-CN"/>
              </w:rPr>
              <w:t>）</w:t>
            </w:r>
          </w:p>
        </w:tc>
        <w:tc>
          <w:tcPr>
            <w:tcW w:w="643" w:type="pct"/>
            <w:tcBorders>
              <w:tl2br w:val="nil"/>
              <w:tr2bl w:val="nil"/>
            </w:tcBorders>
            <w:shd w:val="clear" w:color="auto" w:fill="auto"/>
            <w:vAlign w:val="center"/>
          </w:tcPr>
          <w:p w14:paraId="246CD0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渣滓溪上游流域面积（km</w:t>
            </w:r>
            <w:r>
              <w:rPr>
                <w:rFonts w:hint="eastAsia"/>
                <w:color w:val="auto"/>
                <w:highlight w:val="none"/>
                <w:vertAlign w:val="superscript"/>
                <w:lang w:val="en-US" w:eastAsia="zh-CN"/>
              </w:rPr>
              <w:t>2</w:t>
            </w:r>
            <w:r>
              <w:rPr>
                <w:rFonts w:hint="eastAsia"/>
                <w:color w:val="auto"/>
                <w:highlight w:val="none"/>
                <w:lang w:val="en-US" w:eastAsia="zh-CN"/>
              </w:rPr>
              <w:t>）</w:t>
            </w:r>
          </w:p>
        </w:tc>
        <w:tc>
          <w:tcPr>
            <w:tcW w:w="1420" w:type="pct"/>
            <w:tcBorders>
              <w:tl2br w:val="nil"/>
              <w:tr2bl w:val="nil"/>
            </w:tcBorders>
            <w:shd w:val="clear" w:color="auto" w:fill="auto"/>
            <w:noWrap/>
            <w:vAlign w:val="center"/>
          </w:tcPr>
          <w:p w14:paraId="5D21A8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渣滓溪上游流量（m</w:t>
            </w:r>
            <w:r>
              <w:rPr>
                <w:rFonts w:hint="eastAsia"/>
                <w:color w:val="auto"/>
                <w:highlight w:val="none"/>
                <w:vertAlign w:val="superscript"/>
                <w:lang w:val="en-US" w:eastAsia="zh-CN"/>
              </w:rPr>
              <w:t>3</w:t>
            </w:r>
            <w:r>
              <w:rPr>
                <w:rFonts w:hint="eastAsia"/>
                <w:color w:val="auto"/>
                <w:highlight w:val="none"/>
                <w:lang w:val="en-US" w:eastAsia="zh-CN"/>
              </w:rPr>
              <w:t>/s）</w:t>
            </w:r>
          </w:p>
        </w:tc>
      </w:tr>
      <w:tr w14:paraId="4563F6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2EDD0F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1月</w:t>
            </w:r>
          </w:p>
        </w:tc>
        <w:tc>
          <w:tcPr>
            <w:tcW w:w="1062" w:type="pct"/>
            <w:tcBorders>
              <w:tl2br w:val="nil"/>
              <w:tr2bl w:val="nil"/>
            </w:tcBorders>
            <w:shd w:val="clear" w:color="auto" w:fill="auto"/>
            <w:noWrap/>
            <w:vAlign w:val="center"/>
          </w:tcPr>
          <w:p w14:paraId="5AD467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10.06</w:t>
            </w:r>
          </w:p>
        </w:tc>
        <w:tc>
          <w:tcPr>
            <w:tcW w:w="1281" w:type="pct"/>
            <w:vMerge w:val="restart"/>
            <w:tcBorders>
              <w:tl2br w:val="nil"/>
              <w:tr2bl w:val="nil"/>
            </w:tcBorders>
            <w:shd w:val="clear" w:color="auto" w:fill="auto"/>
            <w:noWrap/>
            <w:vAlign w:val="center"/>
          </w:tcPr>
          <w:p w14:paraId="2BCB666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570</w:t>
            </w:r>
          </w:p>
        </w:tc>
        <w:tc>
          <w:tcPr>
            <w:tcW w:w="643" w:type="pct"/>
            <w:vMerge w:val="restart"/>
            <w:tcBorders>
              <w:tl2br w:val="nil"/>
              <w:tr2bl w:val="nil"/>
            </w:tcBorders>
            <w:shd w:val="clear" w:color="auto" w:fill="auto"/>
            <w:vAlign w:val="center"/>
          </w:tcPr>
          <w:p w14:paraId="595B2D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2.433</w:t>
            </w:r>
          </w:p>
        </w:tc>
        <w:tc>
          <w:tcPr>
            <w:tcW w:w="1420" w:type="pct"/>
            <w:tcBorders>
              <w:tl2br w:val="nil"/>
              <w:tr2bl w:val="nil"/>
            </w:tcBorders>
            <w:shd w:val="clear" w:color="auto" w:fill="auto"/>
            <w:noWrap/>
            <w:vAlign w:val="center"/>
          </w:tcPr>
          <w:p w14:paraId="63F4FE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0.043</w:t>
            </w:r>
          </w:p>
        </w:tc>
      </w:tr>
      <w:tr w14:paraId="409900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43F74E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2月</w:t>
            </w:r>
          </w:p>
        </w:tc>
        <w:tc>
          <w:tcPr>
            <w:tcW w:w="1062" w:type="pct"/>
            <w:tcBorders>
              <w:tl2br w:val="nil"/>
              <w:tr2bl w:val="nil"/>
            </w:tcBorders>
            <w:shd w:val="clear" w:color="auto" w:fill="auto"/>
            <w:noWrap/>
            <w:vAlign w:val="center"/>
          </w:tcPr>
          <w:p w14:paraId="42F8BC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13.76</w:t>
            </w:r>
          </w:p>
        </w:tc>
        <w:tc>
          <w:tcPr>
            <w:tcW w:w="1281" w:type="pct"/>
            <w:vMerge w:val="continue"/>
            <w:tcBorders>
              <w:tl2br w:val="nil"/>
              <w:tr2bl w:val="nil"/>
            </w:tcBorders>
            <w:shd w:val="clear" w:color="auto" w:fill="auto"/>
            <w:noWrap/>
            <w:vAlign w:val="center"/>
          </w:tcPr>
          <w:p w14:paraId="118F48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708E22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39D1E40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0.059</w:t>
            </w:r>
          </w:p>
        </w:tc>
      </w:tr>
      <w:tr w14:paraId="50248E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4B12BF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3月</w:t>
            </w:r>
          </w:p>
        </w:tc>
        <w:tc>
          <w:tcPr>
            <w:tcW w:w="1062" w:type="pct"/>
            <w:tcBorders>
              <w:tl2br w:val="nil"/>
              <w:tr2bl w:val="nil"/>
            </w:tcBorders>
            <w:shd w:val="clear" w:color="auto" w:fill="auto"/>
            <w:noWrap/>
            <w:vAlign w:val="center"/>
          </w:tcPr>
          <w:p w14:paraId="2297D9C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27.78</w:t>
            </w:r>
          </w:p>
        </w:tc>
        <w:tc>
          <w:tcPr>
            <w:tcW w:w="1281" w:type="pct"/>
            <w:vMerge w:val="continue"/>
            <w:tcBorders>
              <w:tl2br w:val="nil"/>
              <w:tr2bl w:val="nil"/>
            </w:tcBorders>
            <w:shd w:val="clear" w:color="auto" w:fill="auto"/>
            <w:noWrap/>
            <w:vAlign w:val="center"/>
          </w:tcPr>
          <w:p w14:paraId="466C08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7D7883D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3E51E8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0.119</w:t>
            </w:r>
          </w:p>
        </w:tc>
      </w:tr>
      <w:tr w14:paraId="25B1A4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20EA72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4月</w:t>
            </w:r>
          </w:p>
        </w:tc>
        <w:tc>
          <w:tcPr>
            <w:tcW w:w="1062" w:type="pct"/>
            <w:tcBorders>
              <w:tl2br w:val="nil"/>
              <w:tr2bl w:val="nil"/>
            </w:tcBorders>
            <w:shd w:val="clear" w:color="auto" w:fill="auto"/>
            <w:noWrap/>
            <w:vAlign w:val="center"/>
          </w:tcPr>
          <w:p w14:paraId="758D43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37.91</w:t>
            </w:r>
          </w:p>
        </w:tc>
        <w:tc>
          <w:tcPr>
            <w:tcW w:w="1281" w:type="pct"/>
            <w:vMerge w:val="continue"/>
            <w:tcBorders>
              <w:tl2br w:val="nil"/>
              <w:tr2bl w:val="nil"/>
            </w:tcBorders>
            <w:shd w:val="clear" w:color="auto" w:fill="auto"/>
            <w:noWrap/>
            <w:vAlign w:val="center"/>
          </w:tcPr>
          <w:p w14:paraId="3EC6D7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4C1328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21776C0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0.162</w:t>
            </w:r>
          </w:p>
        </w:tc>
      </w:tr>
      <w:tr w14:paraId="78FF5E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3C0EC8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5月</w:t>
            </w:r>
          </w:p>
        </w:tc>
        <w:tc>
          <w:tcPr>
            <w:tcW w:w="1062" w:type="pct"/>
            <w:tcBorders>
              <w:tl2br w:val="nil"/>
              <w:tr2bl w:val="nil"/>
            </w:tcBorders>
            <w:shd w:val="clear" w:color="auto" w:fill="auto"/>
            <w:noWrap/>
            <w:vAlign w:val="center"/>
          </w:tcPr>
          <w:p w14:paraId="6217C3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49.30</w:t>
            </w:r>
          </w:p>
        </w:tc>
        <w:tc>
          <w:tcPr>
            <w:tcW w:w="1281" w:type="pct"/>
            <w:vMerge w:val="continue"/>
            <w:tcBorders>
              <w:tl2br w:val="nil"/>
              <w:tr2bl w:val="nil"/>
            </w:tcBorders>
            <w:shd w:val="clear" w:color="auto" w:fill="auto"/>
            <w:noWrap/>
            <w:vAlign w:val="center"/>
          </w:tcPr>
          <w:p w14:paraId="55A4AE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403D83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3780CF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0.210</w:t>
            </w:r>
          </w:p>
        </w:tc>
      </w:tr>
      <w:tr w14:paraId="491B01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6D1B83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6月</w:t>
            </w:r>
          </w:p>
        </w:tc>
        <w:tc>
          <w:tcPr>
            <w:tcW w:w="1062" w:type="pct"/>
            <w:tcBorders>
              <w:tl2br w:val="nil"/>
              <w:tr2bl w:val="nil"/>
            </w:tcBorders>
            <w:shd w:val="clear" w:color="auto" w:fill="auto"/>
            <w:noWrap/>
            <w:vAlign w:val="center"/>
          </w:tcPr>
          <w:p w14:paraId="146EB8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53.60</w:t>
            </w:r>
          </w:p>
        </w:tc>
        <w:tc>
          <w:tcPr>
            <w:tcW w:w="1281" w:type="pct"/>
            <w:vMerge w:val="continue"/>
            <w:tcBorders>
              <w:tl2br w:val="nil"/>
              <w:tr2bl w:val="nil"/>
            </w:tcBorders>
            <w:shd w:val="clear" w:color="auto" w:fill="auto"/>
            <w:noWrap/>
            <w:vAlign w:val="center"/>
          </w:tcPr>
          <w:p w14:paraId="337B0F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1ECCAD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3CAACA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0.229</w:t>
            </w:r>
          </w:p>
        </w:tc>
      </w:tr>
      <w:tr w14:paraId="059934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4985E6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7月</w:t>
            </w:r>
          </w:p>
        </w:tc>
        <w:tc>
          <w:tcPr>
            <w:tcW w:w="1062" w:type="pct"/>
            <w:tcBorders>
              <w:tl2br w:val="nil"/>
              <w:tr2bl w:val="nil"/>
            </w:tcBorders>
            <w:shd w:val="clear" w:color="auto" w:fill="auto"/>
            <w:noWrap/>
            <w:vAlign w:val="center"/>
          </w:tcPr>
          <w:p w14:paraId="00A171D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55.88</w:t>
            </w:r>
          </w:p>
        </w:tc>
        <w:tc>
          <w:tcPr>
            <w:tcW w:w="1281" w:type="pct"/>
            <w:vMerge w:val="continue"/>
            <w:tcBorders>
              <w:tl2br w:val="nil"/>
              <w:tr2bl w:val="nil"/>
            </w:tcBorders>
            <w:shd w:val="clear" w:color="auto" w:fill="auto"/>
            <w:noWrap/>
            <w:vAlign w:val="center"/>
          </w:tcPr>
          <w:p w14:paraId="1A2400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0B929D6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22086B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0.239</w:t>
            </w:r>
          </w:p>
        </w:tc>
      </w:tr>
      <w:tr w14:paraId="232825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592" w:type="pct"/>
            <w:tcBorders>
              <w:tl2br w:val="nil"/>
              <w:tr2bl w:val="nil"/>
            </w:tcBorders>
            <w:shd w:val="clear" w:color="auto" w:fill="auto"/>
            <w:noWrap/>
            <w:vAlign w:val="center"/>
          </w:tcPr>
          <w:p w14:paraId="55792D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8月</w:t>
            </w:r>
          </w:p>
        </w:tc>
        <w:tc>
          <w:tcPr>
            <w:tcW w:w="1062" w:type="pct"/>
            <w:tcBorders>
              <w:tl2br w:val="nil"/>
              <w:tr2bl w:val="nil"/>
            </w:tcBorders>
            <w:shd w:val="clear" w:color="auto" w:fill="auto"/>
            <w:noWrap/>
            <w:vAlign w:val="center"/>
          </w:tcPr>
          <w:p w14:paraId="2D9722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23.69</w:t>
            </w:r>
          </w:p>
        </w:tc>
        <w:tc>
          <w:tcPr>
            <w:tcW w:w="1281" w:type="pct"/>
            <w:vMerge w:val="continue"/>
            <w:tcBorders>
              <w:tl2br w:val="nil"/>
              <w:tr2bl w:val="nil"/>
            </w:tcBorders>
            <w:shd w:val="clear" w:color="auto" w:fill="auto"/>
            <w:noWrap/>
            <w:vAlign w:val="center"/>
          </w:tcPr>
          <w:p w14:paraId="53859C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5EC83A0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46104A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0.101</w:t>
            </w:r>
          </w:p>
        </w:tc>
      </w:tr>
      <w:tr w14:paraId="0BABC9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4C6243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9月</w:t>
            </w:r>
          </w:p>
        </w:tc>
        <w:tc>
          <w:tcPr>
            <w:tcW w:w="1062" w:type="pct"/>
            <w:tcBorders>
              <w:tl2br w:val="nil"/>
              <w:tr2bl w:val="nil"/>
            </w:tcBorders>
            <w:shd w:val="clear" w:color="auto" w:fill="auto"/>
            <w:noWrap/>
            <w:vAlign w:val="center"/>
          </w:tcPr>
          <w:p w14:paraId="739700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16.83</w:t>
            </w:r>
          </w:p>
        </w:tc>
        <w:tc>
          <w:tcPr>
            <w:tcW w:w="1281" w:type="pct"/>
            <w:vMerge w:val="continue"/>
            <w:tcBorders>
              <w:tl2br w:val="nil"/>
              <w:tr2bl w:val="nil"/>
            </w:tcBorders>
            <w:shd w:val="clear" w:color="auto" w:fill="auto"/>
            <w:noWrap/>
            <w:vAlign w:val="center"/>
          </w:tcPr>
          <w:p w14:paraId="545895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377C58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0D6B460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0.072</w:t>
            </w:r>
          </w:p>
        </w:tc>
      </w:tr>
      <w:tr w14:paraId="28DEA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756575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10月</w:t>
            </w:r>
          </w:p>
        </w:tc>
        <w:tc>
          <w:tcPr>
            <w:tcW w:w="1062" w:type="pct"/>
            <w:tcBorders>
              <w:tl2br w:val="nil"/>
              <w:tr2bl w:val="nil"/>
            </w:tcBorders>
            <w:shd w:val="clear" w:color="auto" w:fill="auto"/>
            <w:noWrap/>
            <w:vAlign w:val="center"/>
          </w:tcPr>
          <w:p w14:paraId="457EC0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11.49</w:t>
            </w:r>
          </w:p>
        </w:tc>
        <w:tc>
          <w:tcPr>
            <w:tcW w:w="1281" w:type="pct"/>
            <w:vMerge w:val="continue"/>
            <w:tcBorders>
              <w:tl2br w:val="nil"/>
              <w:tr2bl w:val="nil"/>
            </w:tcBorders>
            <w:shd w:val="clear" w:color="auto" w:fill="auto"/>
            <w:noWrap/>
            <w:vAlign w:val="center"/>
          </w:tcPr>
          <w:p w14:paraId="11ED61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053423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1F73E8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0.049</w:t>
            </w:r>
          </w:p>
        </w:tc>
      </w:tr>
      <w:tr w14:paraId="24659D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65DE5F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11月</w:t>
            </w:r>
          </w:p>
        </w:tc>
        <w:tc>
          <w:tcPr>
            <w:tcW w:w="1062" w:type="pct"/>
            <w:tcBorders>
              <w:tl2br w:val="nil"/>
              <w:tr2bl w:val="nil"/>
            </w:tcBorders>
            <w:shd w:val="clear" w:color="auto" w:fill="auto"/>
            <w:noWrap/>
            <w:vAlign w:val="center"/>
          </w:tcPr>
          <w:p w14:paraId="6D37AE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12.53</w:t>
            </w:r>
          </w:p>
        </w:tc>
        <w:tc>
          <w:tcPr>
            <w:tcW w:w="1281" w:type="pct"/>
            <w:vMerge w:val="continue"/>
            <w:tcBorders>
              <w:tl2br w:val="nil"/>
              <w:tr2bl w:val="nil"/>
            </w:tcBorders>
            <w:shd w:val="clear" w:color="auto" w:fill="auto"/>
            <w:noWrap/>
            <w:vAlign w:val="center"/>
          </w:tcPr>
          <w:p w14:paraId="019810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1C4560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3AEBA8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0.053</w:t>
            </w:r>
          </w:p>
        </w:tc>
      </w:tr>
      <w:tr w14:paraId="3A3596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22EE9B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12月</w:t>
            </w:r>
          </w:p>
        </w:tc>
        <w:tc>
          <w:tcPr>
            <w:tcW w:w="1062" w:type="pct"/>
            <w:tcBorders>
              <w:tl2br w:val="nil"/>
              <w:tr2bl w:val="nil"/>
            </w:tcBorders>
            <w:shd w:val="clear" w:color="auto" w:fill="auto"/>
            <w:noWrap/>
            <w:vAlign w:val="center"/>
          </w:tcPr>
          <w:p w14:paraId="789A1E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9.12</w:t>
            </w:r>
          </w:p>
        </w:tc>
        <w:tc>
          <w:tcPr>
            <w:tcW w:w="1281" w:type="pct"/>
            <w:vMerge w:val="continue"/>
            <w:tcBorders>
              <w:tl2br w:val="nil"/>
              <w:tr2bl w:val="nil"/>
            </w:tcBorders>
            <w:shd w:val="clear" w:color="auto" w:fill="auto"/>
            <w:noWrap/>
            <w:vAlign w:val="center"/>
          </w:tcPr>
          <w:p w14:paraId="6498F2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67BE37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74689A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0.039</w:t>
            </w:r>
          </w:p>
        </w:tc>
      </w:tr>
      <w:tr w14:paraId="14DC1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4C9084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最大流量</w:t>
            </w:r>
          </w:p>
        </w:tc>
        <w:tc>
          <w:tcPr>
            <w:tcW w:w="1062" w:type="pct"/>
            <w:tcBorders>
              <w:tl2br w:val="nil"/>
              <w:tr2bl w:val="nil"/>
            </w:tcBorders>
            <w:shd w:val="clear" w:color="auto" w:fill="auto"/>
            <w:noWrap/>
            <w:vAlign w:val="center"/>
          </w:tcPr>
          <w:p w14:paraId="1DF321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103.266</w:t>
            </w:r>
          </w:p>
        </w:tc>
        <w:tc>
          <w:tcPr>
            <w:tcW w:w="1281" w:type="pct"/>
            <w:vMerge w:val="continue"/>
            <w:tcBorders>
              <w:tl2br w:val="nil"/>
              <w:tr2bl w:val="nil"/>
            </w:tcBorders>
            <w:shd w:val="clear" w:color="auto" w:fill="auto"/>
            <w:noWrap/>
            <w:vAlign w:val="center"/>
          </w:tcPr>
          <w:p w14:paraId="1F29EB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12CF4A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7CBB91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0.441</w:t>
            </w:r>
          </w:p>
        </w:tc>
      </w:tr>
      <w:tr w14:paraId="638C86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92" w:type="pct"/>
            <w:tcBorders>
              <w:tl2br w:val="nil"/>
              <w:tr2bl w:val="nil"/>
            </w:tcBorders>
            <w:shd w:val="clear" w:color="auto" w:fill="auto"/>
            <w:noWrap/>
            <w:vAlign w:val="center"/>
          </w:tcPr>
          <w:p w14:paraId="201CDD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最小流量</w:t>
            </w:r>
          </w:p>
        </w:tc>
        <w:tc>
          <w:tcPr>
            <w:tcW w:w="1062" w:type="pct"/>
            <w:tcBorders>
              <w:tl2br w:val="nil"/>
              <w:tr2bl w:val="nil"/>
            </w:tcBorders>
            <w:shd w:val="clear" w:color="auto" w:fill="auto"/>
            <w:noWrap/>
            <w:vAlign w:val="center"/>
          </w:tcPr>
          <w:p w14:paraId="4996E9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3.395</w:t>
            </w:r>
          </w:p>
        </w:tc>
        <w:tc>
          <w:tcPr>
            <w:tcW w:w="1281" w:type="pct"/>
            <w:vMerge w:val="continue"/>
            <w:tcBorders>
              <w:tl2br w:val="nil"/>
              <w:tr2bl w:val="nil"/>
            </w:tcBorders>
            <w:shd w:val="clear" w:color="auto" w:fill="auto"/>
            <w:noWrap/>
            <w:vAlign w:val="center"/>
          </w:tcPr>
          <w:p w14:paraId="7155A4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643" w:type="pct"/>
            <w:vMerge w:val="continue"/>
            <w:tcBorders>
              <w:tl2br w:val="nil"/>
              <w:tr2bl w:val="nil"/>
            </w:tcBorders>
            <w:shd w:val="clear" w:color="auto" w:fill="auto"/>
            <w:vAlign w:val="center"/>
          </w:tcPr>
          <w:p w14:paraId="4A85FD1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420" w:type="pct"/>
            <w:tcBorders>
              <w:tl2br w:val="nil"/>
              <w:tr2bl w:val="nil"/>
            </w:tcBorders>
            <w:shd w:val="clear" w:color="auto" w:fill="auto"/>
            <w:noWrap/>
            <w:vAlign w:val="center"/>
          </w:tcPr>
          <w:p w14:paraId="373835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0.015</w:t>
            </w:r>
          </w:p>
        </w:tc>
      </w:tr>
    </w:tbl>
    <w:p w14:paraId="02BCE109">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为方便计算，同时根据本项目所在地实际情况，1月~2月、9月~12月</w:t>
      </w:r>
      <w:r>
        <w:rPr>
          <w:rFonts w:hint="eastAsia" w:cs="Times New Roman"/>
          <w:color w:val="auto"/>
          <w:kern w:val="2"/>
          <w:sz w:val="24"/>
          <w:highlight w:val="none"/>
          <w:lang w:val="en-US" w:eastAsia="zh-CN" w:bidi="ar-SA"/>
        </w:rPr>
        <w:t>为枯水期，3月~4月、8月为平水期，</w:t>
      </w:r>
      <w:r>
        <w:rPr>
          <w:rFonts w:hint="eastAsia" w:ascii="Times New Roman" w:hAnsi="Times New Roman" w:eastAsia="宋体" w:cs="Times New Roman"/>
          <w:color w:val="auto"/>
          <w:kern w:val="2"/>
          <w:sz w:val="24"/>
          <w:highlight w:val="none"/>
          <w:lang w:val="en-US" w:eastAsia="zh-CN" w:bidi="ar-SA"/>
        </w:rPr>
        <w:t>5月~7月为丰水期，本报告</w:t>
      </w:r>
      <w:r>
        <w:rPr>
          <w:rFonts w:hint="eastAsia" w:cs="Times New Roman"/>
          <w:color w:val="auto"/>
          <w:kern w:val="2"/>
          <w:sz w:val="24"/>
          <w:highlight w:val="none"/>
          <w:lang w:val="en-US" w:eastAsia="zh-CN" w:bidi="ar-SA"/>
        </w:rPr>
        <w:t>取各水期</w:t>
      </w:r>
      <w:r>
        <w:rPr>
          <w:rFonts w:hint="eastAsia" w:ascii="Times New Roman" w:hAnsi="Times New Roman" w:eastAsia="宋体" w:cs="Times New Roman"/>
          <w:color w:val="auto"/>
          <w:kern w:val="2"/>
          <w:sz w:val="24"/>
          <w:highlight w:val="none"/>
          <w:lang w:val="en-US" w:eastAsia="zh-CN" w:bidi="ar-SA"/>
        </w:rPr>
        <w:t>的</w:t>
      </w:r>
      <w:r>
        <w:rPr>
          <w:rFonts w:hint="eastAsia" w:cs="Times New Roman"/>
          <w:color w:val="auto"/>
          <w:kern w:val="2"/>
          <w:sz w:val="24"/>
          <w:highlight w:val="none"/>
          <w:lang w:val="en-US" w:eastAsia="zh-CN" w:bidi="ar-SA"/>
        </w:rPr>
        <w:t>日流量</w:t>
      </w:r>
      <w:r>
        <w:rPr>
          <w:rFonts w:hint="eastAsia" w:ascii="Times New Roman" w:hAnsi="Times New Roman" w:eastAsia="宋体" w:cs="Times New Roman"/>
          <w:color w:val="auto"/>
          <w:kern w:val="2"/>
          <w:sz w:val="24"/>
          <w:highlight w:val="none"/>
          <w:lang w:val="en-US" w:eastAsia="zh-CN" w:bidi="ar-SA"/>
        </w:rPr>
        <w:t>平均值作为</w:t>
      </w:r>
      <w:r>
        <w:rPr>
          <w:rFonts w:hint="eastAsia" w:cs="Times New Roman"/>
          <w:color w:val="auto"/>
          <w:kern w:val="2"/>
          <w:sz w:val="24"/>
          <w:highlight w:val="none"/>
          <w:lang w:val="en-US" w:eastAsia="zh-CN" w:bidi="ar-SA"/>
        </w:rPr>
        <w:t>计算依据</w:t>
      </w:r>
      <w:r>
        <w:rPr>
          <w:rFonts w:hint="eastAsia" w:ascii="Times New Roman" w:hAnsi="Times New Roman" w:eastAsia="宋体" w:cs="Times New Roman"/>
          <w:color w:val="auto"/>
          <w:kern w:val="2"/>
          <w:sz w:val="24"/>
          <w:highlight w:val="none"/>
          <w:lang w:val="en-US" w:eastAsia="zh-CN" w:bidi="ar-SA"/>
        </w:rPr>
        <w:t>。</w:t>
      </w:r>
    </w:p>
    <w:p w14:paraId="35B6ED0B">
      <w:pPr>
        <w:pStyle w:val="28"/>
        <w:bidi w:val="0"/>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29</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渣滓溪上游来水水量一览表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141"/>
        <w:gridCol w:w="3049"/>
        <w:gridCol w:w="2024"/>
        <w:gridCol w:w="2024"/>
      </w:tblGrid>
      <w:tr w14:paraId="1AE284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6" w:hRule="atLeast"/>
        </w:trPr>
        <w:tc>
          <w:tcPr>
            <w:tcW w:w="1159" w:type="pct"/>
            <w:tcBorders>
              <w:tl2br w:val="nil"/>
              <w:tr2bl w:val="nil"/>
            </w:tcBorders>
            <w:shd w:val="clear" w:color="auto" w:fill="auto"/>
            <w:noWrap/>
            <w:vAlign w:val="center"/>
          </w:tcPr>
          <w:p w14:paraId="52B9C7B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1650" w:type="pct"/>
            <w:tcBorders>
              <w:tl2br w:val="nil"/>
              <w:tr2bl w:val="nil"/>
            </w:tcBorders>
            <w:shd w:val="clear" w:color="auto" w:fill="auto"/>
            <w:noWrap/>
            <w:vAlign w:val="center"/>
          </w:tcPr>
          <w:p w14:paraId="2DBBBA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月份</w:t>
            </w:r>
          </w:p>
        </w:tc>
        <w:tc>
          <w:tcPr>
            <w:tcW w:w="1095" w:type="pct"/>
            <w:tcBorders>
              <w:tl2br w:val="nil"/>
              <w:tr2bl w:val="nil"/>
            </w:tcBorders>
            <w:shd w:val="clear" w:color="auto" w:fill="auto"/>
            <w:noWrap/>
            <w:vAlign w:val="center"/>
          </w:tcPr>
          <w:p w14:paraId="0C61DE9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流量</w:t>
            </w:r>
          </w:p>
          <w:p w14:paraId="5DFB188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w:t>
            </w:r>
            <w:r>
              <w:rPr>
                <w:rFonts w:hint="eastAsia"/>
                <w:color w:val="auto"/>
                <w:highlight w:val="none"/>
                <w:lang w:val="en-US" w:eastAsia="zh-CN"/>
              </w:rPr>
              <w:t>s</w:t>
            </w:r>
            <w:r>
              <w:rPr>
                <w:rFonts w:hint="default"/>
                <w:color w:val="auto"/>
                <w:highlight w:val="none"/>
                <w:lang w:val="en-US" w:eastAsia="zh-CN"/>
              </w:rPr>
              <w:t>)</w:t>
            </w:r>
          </w:p>
        </w:tc>
        <w:tc>
          <w:tcPr>
            <w:tcW w:w="1095" w:type="pct"/>
            <w:tcBorders>
              <w:tl2br w:val="nil"/>
              <w:tr2bl w:val="nil"/>
            </w:tcBorders>
            <w:shd w:val="clear" w:color="auto" w:fill="auto"/>
            <w:noWrap/>
            <w:vAlign w:val="center"/>
          </w:tcPr>
          <w:p w14:paraId="2E1B55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流量</w:t>
            </w:r>
          </w:p>
          <w:p w14:paraId="61BE2B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r>
      <w:tr w14:paraId="67CE17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1159" w:type="pct"/>
            <w:tcBorders>
              <w:tl2br w:val="nil"/>
              <w:tr2bl w:val="nil"/>
            </w:tcBorders>
            <w:shd w:val="clear" w:color="auto" w:fill="auto"/>
            <w:noWrap/>
            <w:vAlign w:val="center"/>
          </w:tcPr>
          <w:p w14:paraId="04C8DD6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枯水期</w:t>
            </w:r>
          </w:p>
        </w:tc>
        <w:tc>
          <w:tcPr>
            <w:tcW w:w="1650" w:type="pct"/>
            <w:tcBorders>
              <w:tl2br w:val="nil"/>
              <w:tr2bl w:val="nil"/>
            </w:tcBorders>
            <w:shd w:val="clear" w:color="auto" w:fill="auto"/>
            <w:noWrap/>
            <w:vAlign w:val="center"/>
          </w:tcPr>
          <w:p w14:paraId="4E92831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1月~2月、9月~12月</w:t>
            </w:r>
          </w:p>
        </w:tc>
        <w:tc>
          <w:tcPr>
            <w:tcW w:w="1095" w:type="pct"/>
            <w:tcBorders>
              <w:tl2br w:val="nil"/>
              <w:tr2bl w:val="nil"/>
            </w:tcBorders>
            <w:shd w:val="clear" w:color="auto" w:fill="auto"/>
            <w:noWrap/>
            <w:vAlign w:val="center"/>
          </w:tcPr>
          <w:p w14:paraId="1148A8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0.053</w:t>
            </w:r>
          </w:p>
        </w:tc>
        <w:tc>
          <w:tcPr>
            <w:tcW w:w="1095" w:type="pct"/>
            <w:tcBorders>
              <w:tl2br w:val="nil"/>
              <w:tr2bl w:val="nil"/>
            </w:tcBorders>
            <w:shd w:val="clear" w:color="auto" w:fill="auto"/>
            <w:noWrap/>
            <w:vAlign w:val="center"/>
          </w:tcPr>
          <w:p w14:paraId="1746EA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4536</w:t>
            </w:r>
          </w:p>
        </w:tc>
      </w:tr>
      <w:tr w14:paraId="26EBFF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159" w:type="pct"/>
            <w:tcBorders>
              <w:tl2br w:val="nil"/>
              <w:tr2bl w:val="nil"/>
            </w:tcBorders>
            <w:shd w:val="clear" w:color="auto" w:fill="auto"/>
            <w:noWrap/>
            <w:vAlign w:val="center"/>
          </w:tcPr>
          <w:p w14:paraId="5AB3A2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平水期</w:t>
            </w:r>
          </w:p>
        </w:tc>
        <w:tc>
          <w:tcPr>
            <w:tcW w:w="1650" w:type="pct"/>
            <w:tcBorders>
              <w:tl2br w:val="nil"/>
              <w:tr2bl w:val="nil"/>
            </w:tcBorders>
            <w:shd w:val="clear" w:color="auto" w:fill="auto"/>
            <w:noWrap/>
            <w:vAlign w:val="center"/>
          </w:tcPr>
          <w:p w14:paraId="175F16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3月~4月、8月</w:t>
            </w:r>
          </w:p>
        </w:tc>
        <w:tc>
          <w:tcPr>
            <w:tcW w:w="1095" w:type="pct"/>
            <w:tcBorders>
              <w:tl2br w:val="nil"/>
              <w:tr2bl w:val="nil"/>
            </w:tcBorders>
            <w:shd w:val="clear" w:color="auto" w:fill="auto"/>
            <w:noWrap/>
            <w:vAlign w:val="center"/>
          </w:tcPr>
          <w:p w14:paraId="7A1BD6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0.127</w:t>
            </w:r>
          </w:p>
        </w:tc>
        <w:tc>
          <w:tcPr>
            <w:tcW w:w="1095" w:type="pct"/>
            <w:tcBorders>
              <w:tl2br w:val="nil"/>
              <w:tr2bl w:val="nil"/>
            </w:tcBorders>
            <w:shd w:val="clear" w:color="auto" w:fill="auto"/>
            <w:noWrap/>
            <w:vAlign w:val="center"/>
          </w:tcPr>
          <w:p w14:paraId="629EF6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11001.6</w:t>
            </w:r>
          </w:p>
        </w:tc>
      </w:tr>
      <w:tr w14:paraId="2BA9FF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159" w:type="pct"/>
            <w:tcBorders>
              <w:tl2br w:val="nil"/>
              <w:tr2bl w:val="nil"/>
            </w:tcBorders>
            <w:shd w:val="clear" w:color="auto" w:fill="auto"/>
            <w:noWrap/>
            <w:vAlign w:val="center"/>
          </w:tcPr>
          <w:p w14:paraId="419BBA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丰水期</w:t>
            </w:r>
          </w:p>
        </w:tc>
        <w:tc>
          <w:tcPr>
            <w:tcW w:w="3049" w:type="dxa"/>
            <w:tcBorders>
              <w:tl2br w:val="nil"/>
              <w:tr2bl w:val="nil"/>
            </w:tcBorders>
            <w:shd w:val="clear" w:color="auto" w:fill="auto"/>
            <w:noWrap/>
            <w:vAlign w:val="center"/>
          </w:tcPr>
          <w:p w14:paraId="0704600A">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5月~7月</w:t>
            </w:r>
          </w:p>
        </w:tc>
        <w:tc>
          <w:tcPr>
            <w:tcW w:w="2024" w:type="dxa"/>
            <w:tcBorders>
              <w:tl2br w:val="nil"/>
              <w:tr2bl w:val="nil"/>
            </w:tcBorders>
            <w:shd w:val="clear" w:color="auto" w:fill="auto"/>
            <w:noWrap/>
            <w:vAlign w:val="center"/>
          </w:tcPr>
          <w:p w14:paraId="3DD3AB41">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0.226</w:t>
            </w:r>
          </w:p>
        </w:tc>
        <w:tc>
          <w:tcPr>
            <w:tcW w:w="2024" w:type="dxa"/>
            <w:tcBorders>
              <w:tl2br w:val="nil"/>
              <w:tr2bl w:val="nil"/>
            </w:tcBorders>
            <w:shd w:val="clear" w:color="auto" w:fill="auto"/>
            <w:noWrap/>
            <w:vAlign w:val="center"/>
          </w:tcPr>
          <w:p w14:paraId="02A28666">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19526.4</w:t>
            </w:r>
          </w:p>
        </w:tc>
      </w:tr>
      <w:tr w14:paraId="6A7926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159" w:type="pct"/>
            <w:tcBorders>
              <w:tl2br w:val="nil"/>
              <w:tr2bl w:val="nil"/>
            </w:tcBorders>
            <w:shd w:val="clear" w:color="auto" w:fill="auto"/>
            <w:noWrap/>
            <w:vAlign w:val="center"/>
          </w:tcPr>
          <w:p w14:paraId="53E574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最大流量</w:t>
            </w:r>
          </w:p>
        </w:tc>
        <w:tc>
          <w:tcPr>
            <w:tcW w:w="1650" w:type="pct"/>
            <w:tcBorders>
              <w:tl2br w:val="nil"/>
              <w:tr2bl w:val="nil"/>
            </w:tcBorders>
            <w:shd w:val="clear" w:color="auto" w:fill="auto"/>
            <w:noWrap/>
            <w:vAlign w:val="center"/>
          </w:tcPr>
          <w:p w14:paraId="52C449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2024" w:type="dxa"/>
            <w:tcBorders>
              <w:tl2br w:val="nil"/>
              <w:tr2bl w:val="nil"/>
            </w:tcBorders>
            <w:shd w:val="clear" w:color="auto" w:fill="auto"/>
            <w:noWrap/>
            <w:vAlign w:val="center"/>
          </w:tcPr>
          <w:p w14:paraId="46F1566B">
            <w:pPr>
              <w:pStyle w:val="26"/>
              <w:keepNext w:val="0"/>
              <w:keepLines w:val="0"/>
              <w:suppressLineNumbers w:val="0"/>
              <w:bidi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0.441</w:t>
            </w:r>
          </w:p>
        </w:tc>
        <w:tc>
          <w:tcPr>
            <w:tcW w:w="1095" w:type="pct"/>
            <w:tcBorders>
              <w:tl2br w:val="nil"/>
              <w:tr2bl w:val="nil"/>
            </w:tcBorders>
            <w:shd w:val="clear" w:color="auto" w:fill="auto"/>
            <w:noWrap/>
            <w:vAlign w:val="center"/>
          </w:tcPr>
          <w:p w14:paraId="16736C1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38102.4</w:t>
            </w:r>
          </w:p>
        </w:tc>
      </w:tr>
      <w:tr w14:paraId="3933F4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159" w:type="pct"/>
            <w:tcBorders>
              <w:tl2br w:val="nil"/>
              <w:tr2bl w:val="nil"/>
            </w:tcBorders>
            <w:shd w:val="clear" w:color="auto" w:fill="auto"/>
            <w:noWrap/>
            <w:vAlign w:val="center"/>
          </w:tcPr>
          <w:p w14:paraId="514E069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最小流量</w:t>
            </w:r>
          </w:p>
        </w:tc>
        <w:tc>
          <w:tcPr>
            <w:tcW w:w="1650" w:type="pct"/>
            <w:tcBorders>
              <w:tl2br w:val="nil"/>
              <w:tr2bl w:val="nil"/>
            </w:tcBorders>
            <w:shd w:val="clear" w:color="auto" w:fill="auto"/>
            <w:noWrap/>
            <w:vAlign w:val="center"/>
          </w:tcPr>
          <w:p w14:paraId="7C9B6E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2024" w:type="dxa"/>
            <w:tcBorders>
              <w:tl2br w:val="nil"/>
              <w:tr2bl w:val="nil"/>
            </w:tcBorders>
            <w:shd w:val="clear" w:color="auto" w:fill="auto"/>
            <w:noWrap/>
            <w:vAlign w:val="center"/>
          </w:tcPr>
          <w:p w14:paraId="7EDA6AA6">
            <w:pPr>
              <w:pStyle w:val="26"/>
              <w:keepNext w:val="0"/>
              <w:keepLines w:val="0"/>
              <w:suppressLineNumbers w:val="0"/>
              <w:bidi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0.015</w:t>
            </w:r>
          </w:p>
        </w:tc>
        <w:tc>
          <w:tcPr>
            <w:tcW w:w="1095" w:type="pct"/>
            <w:tcBorders>
              <w:tl2br w:val="nil"/>
              <w:tr2bl w:val="nil"/>
            </w:tcBorders>
            <w:shd w:val="clear" w:color="auto" w:fill="auto"/>
            <w:noWrap/>
            <w:vAlign w:val="center"/>
          </w:tcPr>
          <w:p w14:paraId="0E9F11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1296</w:t>
            </w:r>
          </w:p>
        </w:tc>
      </w:tr>
    </w:tbl>
    <w:p w14:paraId="2C568A06">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④</w:t>
      </w:r>
      <w:r>
        <w:rPr>
          <w:rFonts w:hint="eastAsia" w:ascii="宋体" w:hAnsi="宋体" w:cs="宋体"/>
          <w:color w:val="auto"/>
          <w:kern w:val="2"/>
          <w:sz w:val="24"/>
          <w:highlight w:val="none"/>
          <w:lang w:val="en-US" w:eastAsia="zh-CN" w:bidi="ar-SA"/>
        </w:rPr>
        <w:t>渣滓溪</w:t>
      </w:r>
      <w:r>
        <w:rPr>
          <w:rFonts w:hint="eastAsia" w:ascii="宋体" w:hAnsi="宋体" w:eastAsia="宋体" w:cs="宋体"/>
          <w:b w:val="0"/>
          <w:bCs w:val="0"/>
          <w:color w:val="auto"/>
          <w:kern w:val="2"/>
          <w:sz w:val="24"/>
          <w:highlight w:val="none"/>
          <w:lang w:val="en-US" w:eastAsia="zh-CN" w:bidi="ar-SA"/>
        </w:rPr>
        <w:t>锑背景浓度</w:t>
      </w:r>
    </w:p>
    <w:p w14:paraId="55AEB878">
      <w:pPr>
        <w:widowControl w:val="0"/>
        <w:spacing w:line="360" w:lineRule="auto"/>
        <w:ind w:firstLine="480" w:firstLineChars="200"/>
        <w:jc w:val="both"/>
        <w:rPr>
          <w:rFonts w:hint="eastAsia"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对于渣滓溪溪水，本次评价对上游渣滓溪背景浓度进行了检测，1月监测结果分别为0.0602mg/L、0.0539mg/L、0.0556mg/L，3月监测结果为0.0360mg/L，5月监测结果分别为0.0598mg/L、0.0613mg/L、0.0510mg/L，6月监测结果为0.0541mg/L。</w:t>
      </w:r>
    </w:p>
    <w:p w14:paraId="6A2A1143">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调整</w:t>
      </w:r>
      <w:r>
        <w:rPr>
          <w:rFonts w:hint="eastAsia" w:ascii="Times New Roman" w:hAnsi="Times New Roman" w:eastAsia="宋体" w:cs="Times New Roman"/>
          <w:color w:val="auto"/>
          <w:kern w:val="2"/>
          <w:sz w:val="24"/>
          <w:highlight w:val="none"/>
          <w:lang w:val="en-US" w:eastAsia="zh-CN" w:bidi="ar-SA"/>
        </w:rPr>
        <w:t>前，企业在排洪隧洞进口处设置了取水点用于选矿，取水规模为326</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ascii="Times New Roman" w:hAnsi="Times New Roman" w:eastAsia="宋体" w:cs="Times New Roman"/>
          <w:color w:val="auto"/>
          <w:kern w:val="2"/>
          <w:sz w:val="24"/>
          <w:highlight w:val="none"/>
          <w:lang w:val="en-US" w:eastAsia="zh-CN" w:bidi="ar-SA"/>
        </w:rPr>
        <w:t>/d。</w:t>
      </w:r>
    </w:p>
    <w:p w14:paraId="3923CBB2">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调整</w:t>
      </w:r>
      <w:r>
        <w:rPr>
          <w:rFonts w:hint="eastAsia" w:ascii="Times New Roman" w:hAnsi="Times New Roman" w:eastAsia="宋体" w:cs="Times New Roman"/>
          <w:color w:val="auto"/>
          <w:kern w:val="2"/>
          <w:sz w:val="24"/>
          <w:highlight w:val="none"/>
          <w:lang w:val="en-US" w:eastAsia="zh-CN" w:bidi="ar-SA"/>
        </w:rPr>
        <w:t>后，企业不再在排洪隧洞进口处设置取水点用于选矿，转而利用废水处理站外排废水。</w:t>
      </w:r>
    </w:p>
    <w:p w14:paraId="45AAC99B">
      <w:pPr>
        <w:pStyle w:val="28"/>
        <w:keepNext/>
        <w:widowControl/>
        <w:bidi w:val="0"/>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30</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调整前渣滓溪上游来水锑产生情况一览表</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77"/>
        <w:gridCol w:w="1756"/>
        <w:gridCol w:w="1051"/>
        <w:gridCol w:w="1142"/>
        <w:gridCol w:w="1536"/>
        <w:gridCol w:w="1176"/>
        <w:gridCol w:w="1498"/>
      </w:tblGrid>
      <w:tr w14:paraId="60CAC0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6" w:hRule="atLeast"/>
        </w:trPr>
        <w:tc>
          <w:tcPr>
            <w:tcW w:w="627" w:type="pct"/>
            <w:tcBorders>
              <w:tl2br w:val="nil"/>
              <w:tr2bl w:val="nil"/>
            </w:tcBorders>
            <w:shd w:val="clear" w:color="auto" w:fill="auto"/>
            <w:noWrap/>
            <w:vAlign w:val="center"/>
          </w:tcPr>
          <w:p w14:paraId="5A7BB40D">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882" w:type="pct"/>
            <w:tcBorders>
              <w:tl2br w:val="nil"/>
              <w:tr2bl w:val="nil"/>
            </w:tcBorders>
            <w:shd w:val="clear" w:color="auto" w:fill="auto"/>
            <w:noWrap/>
            <w:vAlign w:val="center"/>
          </w:tcPr>
          <w:p w14:paraId="307ACC3D">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594" w:type="pct"/>
            <w:tcBorders>
              <w:tl2br w:val="nil"/>
              <w:tr2bl w:val="nil"/>
            </w:tcBorders>
            <w:shd w:val="clear" w:color="auto" w:fill="auto"/>
            <w:noWrap/>
            <w:vAlign w:val="center"/>
          </w:tcPr>
          <w:p w14:paraId="7CE2CB39">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w:t>
            </w:r>
            <w:r>
              <w:rPr>
                <w:rFonts w:hint="default"/>
                <w:color w:val="auto"/>
                <w:highlight w:val="none"/>
                <w:lang w:val="en-US" w:eastAsia="zh-CN"/>
              </w:rPr>
              <w:t>流量</w:t>
            </w:r>
          </w:p>
          <w:p w14:paraId="138064F5">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680" w:type="pct"/>
            <w:tcBorders>
              <w:tl2br w:val="nil"/>
              <w:tr2bl w:val="nil"/>
            </w:tcBorders>
            <w:shd w:val="clear" w:color="auto" w:fill="auto"/>
            <w:noWrap/>
            <w:vAlign w:val="center"/>
          </w:tcPr>
          <w:p w14:paraId="3A0C2F93">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取水量</w:t>
            </w:r>
          </w:p>
          <w:p w14:paraId="3153D4A1">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680" w:type="pct"/>
            <w:tcBorders>
              <w:tl2br w:val="nil"/>
              <w:tr2bl w:val="nil"/>
            </w:tcBorders>
            <w:shd w:val="clear" w:color="auto" w:fill="auto"/>
            <w:noWrap/>
            <w:vAlign w:val="center"/>
          </w:tcPr>
          <w:p w14:paraId="0BC5D1CF">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进入排洪隧洞</w:t>
            </w:r>
          </w:p>
          <w:p w14:paraId="7540F7C5">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水量</w:t>
            </w: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680" w:type="pct"/>
            <w:tcBorders>
              <w:tl2br w:val="nil"/>
              <w:tr2bl w:val="nil"/>
            </w:tcBorders>
            <w:shd w:val="clear" w:color="auto" w:fill="auto"/>
            <w:noWrap/>
            <w:vAlign w:val="center"/>
          </w:tcPr>
          <w:p w14:paraId="68122D70">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锑浓度</w:t>
            </w:r>
          </w:p>
          <w:p w14:paraId="02FAEE36">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（mg/L）</w:t>
            </w:r>
          </w:p>
        </w:tc>
        <w:tc>
          <w:tcPr>
            <w:tcW w:w="854" w:type="pct"/>
            <w:tcBorders>
              <w:tl2br w:val="nil"/>
              <w:tr2bl w:val="nil"/>
            </w:tcBorders>
            <w:shd w:val="clear" w:color="auto" w:fill="auto"/>
            <w:vAlign w:val="center"/>
          </w:tcPr>
          <w:p w14:paraId="169517E1">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锑产生量</w:t>
            </w:r>
            <w:r>
              <w:rPr>
                <w:rFonts w:hint="default"/>
                <w:color w:val="auto"/>
                <w:highlight w:val="none"/>
                <w:lang w:val="en-US" w:eastAsia="zh-CN"/>
              </w:rPr>
              <w:t>（</w:t>
            </w:r>
            <w:r>
              <w:rPr>
                <w:rFonts w:hint="eastAsia"/>
                <w:color w:val="auto"/>
                <w:highlight w:val="none"/>
                <w:lang w:val="en-US" w:eastAsia="zh-CN"/>
              </w:rPr>
              <w:t>kg/d</w:t>
            </w:r>
            <w:r>
              <w:rPr>
                <w:rFonts w:hint="default"/>
                <w:color w:val="auto"/>
                <w:highlight w:val="none"/>
                <w:lang w:val="en-US" w:eastAsia="zh-CN"/>
              </w:rPr>
              <w:t>）</w:t>
            </w:r>
          </w:p>
        </w:tc>
      </w:tr>
      <w:tr w14:paraId="1B57C4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627" w:type="pct"/>
            <w:tcBorders>
              <w:tl2br w:val="nil"/>
              <w:tr2bl w:val="nil"/>
            </w:tcBorders>
            <w:shd w:val="clear" w:color="auto" w:fill="auto"/>
            <w:noWrap/>
            <w:vAlign w:val="center"/>
          </w:tcPr>
          <w:p w14:paraId="51D652BC">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枯水期</w:t>
            </w:r>
          </w:p>
        </w:tc>
        <w:tc>
          <w:tcPr>
            <w:tcW w:w="882" w:type="pct"/>
            <w:tcBorders>
              <w:tl2br w:val="nil"/>
              <w:tr2bl w:val="nil"/>
            </w:tcBorders>
            <w:shd w:val="clear" w:color="auto" w:fill="auto"/>
            <w:noWrap/>
            <w:vAlign w:val="center"/>
          </w:tcPr>
          <w:p w14:paraId="5036825B">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渣滓溪上游来水</w:t>
            </w:r>
          </w:p>
        </w:tc>
        <w:tc>
          <w:tcPr>
            <w:tcW w:w="1051" w:type="dxa"/>
            <w:tcBorders>
              <w:tl2br w:val="nil"/>
              <w:tr2bl w:val="nil"/>
            </w:tcBorders>
            <w:shd w:val="clear" w:color="auto" w:fill="auto"/>
            <w:noWrap/>
            <w:vAlign w:val="center"/>
          </w:tcPr>
          <w:p w14:paraId="0E55A148">
            <w:pPr>
              <w:pStyle w:val="26"/>
              <w:keepNext/>
              <w:keepLines w:val="0"/>
              <w:widowControl/>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4536</w:t>
            </w:r>
          </w:p>
        </w:tc>
        <w:tc>
          <w:tcPr>
            <w:tcW w:w="680" w:type="pct"/>
            <w:tcBorders>
              <w:tl2br w:val="nil"/>
              <w:tr2bl w:val="nil"/>
            </w:tcBorders>
            <w:shd w:val="clear" w:color="auto" w:fill="auto"/>
            <w:noWrap/>
            <w:vAlign w:val="center"/>
          </w:tcPr>
          <w:p w14:paraId="67B05049">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326</w:t>
            </w:r>
          </w:p>
        </w:tc>
        <w:tc>
          <w:tcPr>
            <w:tcW w:w="680" w:type="pct"/>
            <w:tcBorders>
              <w:tl2br w:val="nil"/>
              <w:tr2bl w:val="nil"/>
            </w:tcBorders>
            <w:shd w:val="clear" w:color="auto" w:fill="auto"/>
            <w:noWrap/>
            <w:vAlign w:val="center"/>
          </w:tcPr>
          <w:p w14:paraId="034FF58E">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4210</w:t>
            </w:r>
          </w:p>
        </w:tc>
        <w:tc>
          <w:tcPr>
            <w:tcW w:w="680" w:type="pct"/>
            <w:tcBorders>
              <w:tl2br w:val="nil"/>
              <w:tr2bl w:val="nil"/>
            </w:tcBorders>
            <w:shd w:val="clear" w:color="auto" w:fill="auto"/>
            <w:noWrap/>
            <w:vAlign w:val="center"/>
          </w:tcPr>
          <w:p w14:paraId="68368B9F">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0.0566</w:t>
            </w:r>
          </w:p>
        </w:tc>
        <w:tc>
          <w:tcPr>
            <w:tcW w:w="854" w:type="pct"/>
            <w:tcBorders>
              <w:tl2br w:val="nil"/>
              <w:tr2bl w:val="nil"/>
            </w:tcBorders>
            <w:shd w:val="clear" w:color="auto" w:fill="auto"/>
            <w:vAlign w:val="center"/>
          </w:tcPr>
          <w:p w14:paraId="23C322A6">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0.238</w:t>
            </w:r>
          </w:p>
        </w:tc>
      </w:tr>
      <w:tr w14:paraId="22B931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27" w:type="pct"/>
            <w:tcBorders>
              <w:tl2br w:val="nil"/>
              <w:tr2bl w:val="nil"/>
            </w:tcBorders>
            <w:shd w:val="clear" w:color="auto" w:fill="auto"/>
            <w:noWrap/>
            <w:vAlign w:val="center"/>
          </w:tcPr>
          <w:p w14:paraId="480BADA7">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平水期</w:t>
            </w:r>
          </w:p>
        </w:tc>
        <w:tc>
          <w:tcPr>
            <w:tcW w:w="882" w:type="pct"/>
            <w:tcBorders>
              <w:tl2br w:val="nil"/>
              <w:tr2bl w:val="nil"/>
            </w:tcBorders>
            <w:shd w:val="clear" w:color="auto" w:fill="auto"/>
            <w:noWrap/>
            <w:vAlign w:val="center"/>
          </w:tcPr>
          <w:p w14:paraId="7A5B5802">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渣滓溪上游来水</w:t>
            </w:r>
          </w:p>
        </w:tc>
        <w:tc>
          <w:tcPr>
            <w:tcW w:w="1051" w:type="dxa"/>
            <w:tcBorders>
              <w:tl2br w:val="nil"/>
              <w:tr2bl w:val="nil"/>
            </w:tcBorders>
            <w:shd w:val="clear" w:color="auto" w:fill="auto"/>
            <w:noWrap/>
            <w:vAlign w:val="center"/>
          </w:tcPr>
          <w:p w14:paraId="520CBA76">
            <w:pPr>
              <w:pStyle w:val="26"/>
              <w:keepNext/>
              <w:keepLines w:val="0"/>
              <w:widowControl/>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11001.6</w:t>
            </w:r>
          </w:p>
        </w:tc>
        <w:tc>
          <w:tcPr>
            <w:tcW w:w="680" w:type="pct"/>
            <w:tcBorders>
              <w:tl2br w:val="nil"/>
              <w:tr2bl w:val="nil"/>
            </w:tcBorders>
            <w:shd w:val="clear" w:color="auto" w:fill="auto"/>
            <w:noWrap/>
            <w:vAlign w:val="center"/>
          </w:tcPr>
          <w:p w14:paraId="6CA53E77">
            <w:pPr>
              <w:pStyle w:val="26"/>
              <w:keepNext/>
              <w:keepLines w:val="0"/>
              <w:widowControl/>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326</w:t>
            </w:r>
          </w:p>
        </w:tc>
        <w:tc>
          <w:tcPr>
            <w:tcW w:w="680" w:type="pct"/>
            <w:tcBorders>
              <w:tl2br w:val="nil"/>
              <w:tr2bl w:val="nil"/>
            </w:tcBorders>
            <w:shd w:val="clear" w:color="auto" w:fill="auto"/>
            <w:noWrap/>
            <w:vAlign w:val="center"/>
          </w:tcPr>
          <w:p w14:paraId="4DCE36BA">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10675.6</w:t>
            </w:r>
          </w:p>
        </w:tc>
        <w:tc>
          <w:tcPr>
            <w:tcW w:w="680" w:type="pct"/>
            <w:tcBorders>
              <w:tl2br w:val="nil"/>
              <w:tr2bl w:val="nil"/>
            </w:tcBorders>
            <w:shd w:val="clear" w:color="auto" w:fill="auto"/>
            <w:noWrap/>
            <w:vAlign w:val="center"/>
          </w:tcPr>
          <w:p w14:paraId="23E4AB79">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0.0360</w:t>
            </w:r>
          </w:p>
        </w:tc>
        <w:tc>
          <w:tcPr>
            <w:tcW w:w="854" w:type="pct"/>
            <w:tcBorders>
              <w:tl2br w:val="nil"/>
              <w:tr2bl w:val="nil"/>
            </w:tcBorders>
            <w:shd w:val="clear" w:color="auto" w:fill="auto"/>
            <w:vAlign w:val="center"/>
          </w:tcPr>
          <w:p w14:paraId="3F379792">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0.384</w:t>
            </w:r>
          </w:p>
        </w:tc>
      </w:tr>
      <w:tr w14:paraId="287896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27" w:type="pct"/>
            <w:tcBorders>
              <w:tl2br w:val="nil"/>
              <w:tr2bl w:val="nil"/>
            </w:tcBorders>
            <w:shd w:val="clear" w:color="auto" w:fill="auto"/>
            <w:noWrap/>
            <w:vAlign w:val="center"/>
          </w:tcPr>
          <w:p w14:paraId="3945BD89">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丰水期</w:t>
            </w:r>
          </w:p>
        </w:tc>
        <w:tc>
          <w:tcPr>
            <w:tcW w:w="882" w:type="pct"/>
            <w:tcBorders>
              <w:tl2br w:val="nil"/>
              <w:tr2bl w:val="nil"/>
            </w:tcBorders>
            <w:shd w:val="clear" w:color="auto" w:fill="auto"/>
            <w:noWrap/>
            <w:vAlign w:val="center"/>
          </w:tcPr>
          <w:p w14:paraId="61ABF0B8">
            <w:pPr>
              <w:pStyle w:val="26"/>
              <w:keepNext/>
              <w:keepLines w:val="0"/>
              <w:widowControl/>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渣滓溪上游来水</w:t>
            </w:r>
          </w:p>
        </w:tc>
        <w:tc>
          <w:tcPr>
            <w:tcW w:w="1051" w:type="dxa"/>
            <w:tcBorders>
              <w:tl2br w:val="nil"/>
              <w:tr2bl w:val="nil"/>
            </w:tcBorders>
            <w:shd w:val="clear" w:color="auto" w:fill="auto"/>
            <w:noWrap/>
            <w:vAlign w:val="center"/>
          </w:tcPr>
          <w:p w14:paraId="65599CB0">
            <w:pPr>
              <w:pStyle w:val="26"/>
              <w:keepNext/>
              <w:keepLines w:val="0"/>
              <w:widowControl/>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19526.4</w:t>
            </w:r>
          </w:p>
        </w:tc>
        <w:tc>
          <w:tcPr>
            <w:tcW w:w="680" w:type="pct"/>
            <w:tcBorders>
              <w:tl2br w:val="nil"/>
              <w:tr2bl w:val="nil"/>
            </w:tcBorders>
            <w:shd w:val="clear" w:color="auto" w:fill="auto"/>
            <w:noWrap/>
            <w:vAlign w:val="center"/>
          </w:tcPr>
          <w:p w14:paraId="2646D982">
            <w:pPr>
              <w:pStyle w:val="26"/>
              <w:keepNext/>
              <w:keepLines w:val="0"/>
              <w:widowControl/>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326</w:t>
            </w:r>
          </w:p>
        </w:tc>
        <w:tc>
          <w:tcPr>
            <w:tcW w:w="680" w:type="pct"/>
            <w:tcBorders>
              <w:tl2br w:val="nil"/>
              <w:tr2bl w:val="nil"/>
            </w:tcBorders>
            <w:shd w:val="clear" w:color="auto" w:fill="auto"/>
            <w:noWrap/>
            <w:vAlign w:val="center"/>
          </w:tcPr>
          <w:p w14:paraId="51CAC2D4">
            <w:pPr>
              <w:pStyle w:val="26"/>
              <w:keepNext/>
              <w:keepLines w:val="0"/>
              <w:widowControl/>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19200.4</w:t>
            </w:r>
          </w:p>
        </w:tc>
        <w:tc>
          <w:tcPr>
            <w:tcW w:w="680" w:type="pct"/>
            <w:tcBorders>
              <w:tl2br w:val="nil"/>
              <w:tr2bl w:val="nil"/>
            </w:tcBorders>
            <w:shd w:val="clear" w:color="auto" w:fill="auto"/>
            <w:noWrap/>
            <w:vAlign w:val="center"/>
          </w:tcPr>
          <w:p w14:paraId="23BC8A44">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0.0574</w:t>
            </w:r>
          </w:p>
        </w:tc>
        <w:tc>
          <w:tcPr>
            <w:tcW w:w="854" w:type="pct"/>
            <w:tcBorders>
              <w:tl2br w:val="nil"/>
              <w:tr2bl w:val="nil"/>
            </w:tcBorders>
            <w:shd w:val="clear" w:color="auto" w:fill="auto"/>
            <w:vAlign w:val="center"/>
          </w:tcPr>
          <w:p w14:paraId="2E76DF6A">
            <w:pPr>
              <w:pStyle w:val="26"/>
              <w:keepNext/>
              <w:keepLines w:val="0"/>
              <w:widowControl/>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1.102</w:t>
            </w:r>
          </w:p>
        </w:tc>
      </w:tr>
    </w:tbl>
    <w:p w14:paraId="5CC9D7B3">
      <w:pPr>
        <w:pStyle w:val="28"/>
        <w:bidi w:val="0"/>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31</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调整后渣滓溪上游来水锑产生情况一览表</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77"/>
        <w:gridCol w:w="1756"/>
        <w:gridCol w:w="1051"/>
        <w:gridCol w:w="1142"/>
        <w:gridCol w:w="1536"/>
        <w:gridCol w:w="1176"/>
        <w:gridCol w:w="1498"/>
      </w:tblGrid>
      <w:tr w14:paraId="027D1B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6" w:hRule="atLeast"/>
        </w:trPr>
        <w:tc>
          <w:tcPr>
            <w:tcW w:w="627" w:type="pct"/>
            <w:tcBorders>
              <w:tl2br w:val="nil"/>
              <w:tr2bl w:val="nil"/>
            </w:tcBorders>
            <w:shd w:val="clear" w:color="auto" w:fill="auto"/>
            <w:noWrap/>
            <w:vAlign w:val="center"/>
          </w:tcPr>
          <w:p w14:paraId="6309AB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882" w:type="pct"/>
            <w:tcBorders>
              <w:tl2br w:val="nil"/>
              <w:tr2bl w:val="nil"/>
            </w:tcBorders>
            <w:shd w:val="clear" w:color="auto" w:fill="auto"/>
            <w:noWrap/>
            <w:vAlign w:val="center"/>
          </w:tcPr>
          <w:p w14:paraId="39BF47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594" w:type="pct"/>
            <w:tcBorders>
              <w:tl2br w:val="nil"/>
              <w:tr2bl w:val="nil"/>
            </w:tcBorders>
            <w:shd w:val="clear" w:color="auto" w:fill="auto"/>
            <w:noWrap/>
            <w:vAlign w:val="center"/>
          </w:tcPr>
          <w:p w14:paraId="0BB026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w:t>
            </w:r>
            <w:r>
              <w:rPr>
                <w:rFonts w:hint="default"/>
                <w:color w:val="auto"/>
                <w:highlight w:val="none"/>
                <w:lang w:val="en-US" w:eastAsia="zh-CN"/>
              </w:rPr>
              <w:t>流量</w:t>
            </w:r>
          </w:p>
          <w:p w14:paraId="256AD8E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680" w:type="pct"/>
            <w:tcBorders>
              <w:tl2br w:val="nil"/>
              <w:tr2bl w:val="nil"/>
            </w:tcBorders>
            <w:shd w:val="clear" w:color="auto" w:fill="auto"/>
            <w:noWrap/>
            <w:vAlign w:val="center"/>
          </w:tcPr>
          <w:p w14:paraId="2BA0281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取水量</w:t>
            </w:r>
          </w:p>
          <w:p w14:paraId="58B0E84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680" w:type="pct"/>
            <w:tcBorders>
              <w:tl2br w:val="nil"/>
              <w:tr2bl w:val="nil"/>
            </w:tcBorders>
            <w:shd w:val="clear" w:color="auto" w:fill="auto"/>
            <w:noWrap/>
            <w:vAlign w:val="center"/>
          </w:tcPr>
          <w:p w14:paraId="6C60EA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引水量</w:t>
            </w: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680" w:type="pct"/>
            <w:tcBorders>
              <w:tl2br w:val="nil"/>
              <w:tr2bl w:val="nil"/>
            </w:tcBorders>
            <w:shd w:val="clear" w:color="auto" w:fill="auto"/>
            <w:noWrap/>
            <w:vAlign w:val="center"/>
          </w:tcPr>
          <w:p w14:paraId="73F2F14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锑浓度</w:t>
            </w:r>
          </w:p>
          <w:p w14:paraId="1DC9D58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（mg/L）</w:t>
            </w:r>
          </w:p>
        </w:tc>
        <w:tc>
          <w:tcPr>
            <w:tcW w:w="854" w:type="pct"/>
            <w:tcBorders>
              <w:tl2br w:val="nil"/>
              <w:tr2bl w:val="nil"/>
            </w:tcBorders>
            <w:shd w:val="clear" w:color="auto" w:fill="auto"/>
            <w:vAlign w:val="center"/>
          </w:tcPr>
          <w:p w14:paraId="5DDD60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锑产生量</w:t>
            </w:r>
            <w:r>
              <w:rPr>
                <w:rFonts w:hint="default"/>
                <w:color w:val="auto"/>
                <w:highlight w:val="none"/>
                <w:lang w:val="en-US" w:eastAsia="zh-CN"/>
              </w:rPr>
              <w:t>（</w:t>
            </w:r>
            <w:r>
              <w:rPr>
                <w:rFonts w:hint="eastAsia"/>
                <w:color w:val="auto"/>
                <w:highlight w:val="none"/>
                <w:lang w:val="en-US" w:eastAsia="zh-CN"/>
              </w:rPr>
              <w:t>kg/d</w:t>
            </w:r>
            <w:r>
              <w:rPr>
                <w:rFonts w:hint="default"/>
                <w:color w:val="auto"/>
                <w:highlight w:val="none"/>
                <w:lang w:val="en-US" w:eastAsia="zh-CN"/>
              </w:rPr>
              <w:t>）</w:t>
            </w:r>
          </w:p>
        </w:tc>
      </w:tr>
      <w:tr w14:paraId="44C7B8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627" w:type="pct"/>
            <w:tcBorders>
              <w:tl2br w:val="nil"/>
              <w:tr2bl w:val="nil"/>
            </w:tcBorders>
            <w:shd w:val="clear" w:color="auto" w:fill="auto"/>
            <w:noWrap/>
            <w:vAlign w:val="center"/>
          </w:tcPr>
          <w:p w14:paraId="36A91DB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枯水期</w:t>
            </w:r>
          </w:p>
        </w:tc>
        <w:tc>
          <w:tcPr>
            <w:tcW w:w="882" w:type="pct"/>
            <w:tcBorders>
              <w:tl2br w:val="nil"/>
              <w:tr2bl w:val="nil"/>
            </w:tcBorders>
            <w:shd w:val="clear" w:color="auto" w:fill="auto"/>
            <w:noWrap/>
            <w:vAlign w:val="center"/>
          </w:tcPr>
          <w:p w14:paraId="3EAF18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渣滓溪上游来水</w:t>
            </w:r>
          </w:p>
        </w:tc>
        <w:tc>
          <w:tcPr>
            <w:tcW w:w="1051" w:type="dxa"/>
            <w:tcBorders>
              <w:tl2br w:val="nil"/>
              <w:tr2bl w:val="nil"/>
            </w:tcBorders>
            <w:shd w:val="clear" w:color="auto" w:fill="auto"/>
            <w:noWrap/>
            <w:vAlign w:val="center"/>
          </w:tcPr>
          <w:p w14:paraId="1BC209B7">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4536</w:t>
            </w:r>
          </w:p>
        </w:tc>
        <w:tc>
          <w:tcPr>
            <w:tcW w:w="680" w:type="pct"/>
            <w:tcBorders>
              <w:tl2br w:val="nil"/>
              <w:tr2bl w:val="nil"/>
            </w:tcBorders>
            <w:shd w:val="clear" w:color="auto" w:fill="auto"/>
            <w:noWrap/>
            <w:vAlign w:val="center"/>
          </w:tcPr>
          <w:p w14:paraId="3CA9054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w:t>
            </w:r>
          </w:p>
        </w:tc>
        <w:tc>
          <w:tcPr>
            <w:tcW w:w="1536" w:type="dxa"/>
            <w:tcBorders>
              <w:tl2br w:val="nil"/>
              <w:tr2bl w:val="nil"/>
            </w:tcBorders>
            <w:shd w:val="clear" w:color="auto" w:fill="auto"/>
            <w:noWrap/>
            <w:vAlign w:val="center"/>
          </w:tcPr>
          <w:p w14:paraId="7688991E">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4536</w:t>
            </w:r>
          </w:p>
        </w:tc>
        <w:tc>
          <w:tcPr>
            <w:tcW w:w="680" w:type="pct"/>
            <w:tcBorders>
              <w:tl2br w:val="nil"/>
              <w:tr2bl w:val="nil"/>
            </w:tcBorders>
            <w:shd w:val="clear" w:color="auto" w:fill="auto"/>
            <w:noWrap/>
            <w:vAlign w:val="center"/>
          </w:tcPr>
          <w:p w14:paraId="4560E2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0.0566</w:t>
            </w:r>
          </w:p>
        </w:tc>
        <w:tc>
          <w:tcPr>
            <w:tcW w:w="854" w:type="pct"/>
            <w:tcBorders>
              <w:tl2br w:val="nil"/>
              <w:tr2bl w:val="nil"/>
            </w:tcBorders>
            <w:shd w:val="clear" w:color="auto" w:fill="auto"/>
            <w:vAlign w:val="center"/>
          </w:tcPr>
          <w:p w14:paraId="649BF2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0.257</w:t>
            </w:r>
          </w:p>
        </w:tc>
      </w:tr>
      <w:tr w14:paraId="3EA64B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27" w:type="pct"/>
            <w:tcBorders>
              <w:tl2br w:val="nil"/>
              <w:tr2bl w:val="nil"/>
            </w:tcBorders>
            <w:shd w:val="clear" w:color="auto" w:fill="auto"/>
            <w:noWrap/>
            <w:vAlign w:val="center"/>
          </w:tcPr>
          <w:p w14:paraId="61BEC2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平水期</w:t>
            </w:r>
          </w:p>
        </w:tc>
        <w:tc>
          <w:tcPr>
            <w:tcW w:w="882" w:type="pct"/>
            <w:tcBorders>
              <w:tl2br w:val="nil"/>
              <w:tr2bl w:val="nil"/>
            </w:tcBorders>
            <w:shd w:val="clear" w:color="auto" w:fill="auto"/>
            <w:noWrap/>
            <w:vAlign w:val="center"/>
          </w:tcPr>
          <w:p w14:paraId="1219C3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渣滓溪上游来水</w:t>
            </w:r>
          </w:p>
        </w:tc>
        <w:tc>
          <w:tcPr>
            <w:tcW w:w="1051" w:type="dxa"/>
            <w:tcBorders>
              <w:tl2br w:val="nil"/>
              <w:tr2bl w:val="nil"/>
            </w:tcBorders>
            <w:shd w:val="clear" w:color="auto" w:fill="auto"/>
            <w:noWrap/>
            <w:vAlign w:val="center"/>
          </w:tcPr>
          <w:p w14:paraId="7E188426">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11001.6</w:t>
            </w:r>
          </w:p>
        </w:tc>
        <w:tc>
          <w:tcPr>
            <w:tcW w:w="680" w:type="pct"/>
            <w:tcBorders>
              <w:tl2br w:val="nil"/>
              <w:tr2bl w:val="nil"/>
            </w:tcBorders>
            <w:shd w:val="clear" w:color="auto" w:fill="auto"/>
            <w:noWrap/>
            <w:vAlign w:val="center"/>
          </w:tcPr>
          <w:p w14:paraId="467BBE57">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w:t>
            </w:r>
          </w:p>
        </w:tc>
        <w:tc>
          <w:tcPr>
            <w:tcW w:w="1536" w:type="dxa"/>
            <w:tcBorders>
              <w:tl2br w:val="nil"/>
              <w:tr2bl w:val="nil"/>
            </w:tcBorders>
            <w:shd w:val="clear" w:color="auto" w:fill="auto"/>
            <w:noWrap/>
            <w:vAlign w:val="center"/>
          </w:tcPr>
          <w:p w14:paraId="583846D9">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11001.6</w:t>
            </w:r>
          </w:p>
        </w:tc>
        <w:tc>
          <w:tcPr>
            <w:tcW w:w="680" w:type="pct"/>
            <w:tcBorders>
              <w:tl2br w:val="nil"/>
              <w:tr2bl w:val="nil"/>
            </w:tcBorders>
            <w:shd w:val="clear" w:color="auto" w:fill="auto"/>
            <w:noWrap/>
            <w:vAlign w:val="center"/>
          </w:tcPr>
          <w:p w14:paraId="3FE269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0.0360</w:t>
            </w:r>
          </w:p>
        </w:tc>
        <w:tc>
          <w:tcPr>
            <w:tcW w:w="854" w:type="pct"/>
            <w:tcBorders>
              <w:tl2br w:val="nil"/>
              <w:tr2bl w:val="nil"/>
            </w:tcBorders>
            <w:shd w:val="clear" w:color="auto" w:fill="auto"/>
            <w:vAlign w:val="center"/>
          </w:tcPr>
          <w:p w14:paraId="02EDDF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0.396</w:t>
            </w:r>
          </w:p>
        </w:tc>
      </w:tr>
      <w:tr w14:paraId="7FDE40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27" w:type="pct"/>
            <w:tcBorders>
              <w:tl2br w:val="nil"/>
              <w:tr2bl w:val="nil"/>
            </w:tcBorders>
            <w:shd w:val="clear" w:color="auto" w:fill="auto"/>
            <w:noWrap/>
            <w:vAlign w:val="center"/>
          </w:tcPr>
          <w:p w14:paraId="7FEB0E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丰水期</w:t>
            </w:r>
          </w:p>
        </w:tc>
        <w:tc>
          <w:tcPr>
            <w:tcW w:w="882" w:type="pct"/>
            <w:tcBorders>
              <w:tl2br w:val="nil"/>
              <w:tr2bl w:val="nil"/>
            </w:tcBorders>
            <w:shd w:val="clear" w:color="auto" w:fill="auto"/>
            <w:noWrap/>
            <w:vAlign w:val="center"/>
          </w:tcPr>
          <w:p w14:paraId="3B231E99">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渣滓溪上游来水</w:t>
            </w:r>
          </w:p>
        </w:tc>
        <w:tc>
          <w:tcPr>
            <w:tcW w:w="1051" w:type="dxa"/>
            <w:tcBorders>
              <w:tl2br w:val="nil"/>
              <w:tr2bl w:val="nil"/>
            </w:tcBorders>
            <w:shd w:val="clear" w:color="auto" w:fill="auto"/>
            <w:noWrap/>
            <w:vAlign w:val="center"/>
          </w:tcPr>
          <w:p w14:paraId="58973D1D">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19526.4</w:t>
            </w:r>
          </w:p>
        </w:tc>
        <w:tc>
          <w:tcPr>
            <w:tcW w:w="680" w:type="pct"/>
            <w:tcBorders>
              <w:tl2br w:val="nil"/>
              <w:tr2bl w:val="nil"/>
            </w:tcBorders>
            <w:shd w:val="clear" w:color="auto" w:fill="auto"/>
            <w:noWrap/>
            <w:vAlign w:val="center"/>
          </w:tcPr>
          <w:p w14:paraId="11F5FDE3">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w:t>
            </w:r>
          </w:p>
        </w:tc>
        <w:tc>
          <w:tcPr>
            <w:tcW w:w="1536" w:type="dxa"/>
            <w:tcBorders>
              <w:tl2br w:val="nil"/>
              <w:tr2bl w:val="nil"/>
            </w:tcBorders>
            <w:shd w:val="clear" w:color="auto" w:fill="auto"/>
            <w:noWrap/>
            <w:vAlign w:val="center"/>
          </w:tcPr>
          <w:p w14:paraId="09712DA0">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19526.4</w:t>
            </w:r>
          </w:p>
        </w:tc>
        <w:tc>
          <w:tcPr>
            <w:tcW w:w="680" w:type="pct"/>
            <w:tcBorders>
              <w:tl2br w:val="nil"/>
              <w:tr2bl w:val="nil"/>
            </w:tcBorders>
            <w:shd w:val="clear" w:color="auto" w:fill="auto"/>
            <w:noWrap/>
            <w:vAlign w:val="center"/>
          </w:tcPr>
          <w:p w14:paraId="1CEF16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0.0574</w:t>
            </w:r>
          </w:p>
        </w:tc>
        <w:tc>
          <w:tcPr>
            <w:tcW w:w="854" w:type="pct"/>
            <w:tcBorders>
              <w:tl2br w:val="nil"/>
              <w:tr2bl w:val="nil"/>
            </w:tcBorders>
            <w:shd w:val="clear" w:color="auto" w:fill="auto"/>
            <w:vAlign w:val="center"/>
          </w:tcPr>
          <w:p w14:paraId="6D72A4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1.121</w:t>
            </w:r>
          </w:p>
        </w:tc>
      </w:tr>
    </w:tbl>
    <w:p w14:paraId="2E2C4571">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⑤</w:t>
      </w:r>
      <w:r>
        <w:rPr>
          <w:rFonts w:hint="eastAsia" w:cs="Times New Roman"/>
          <w:color w:val="auto"/>
          <w:kern w:val="2"/>
          <w:sz w:val="24"/>
          <w:highlight w:val="none"/>
          <w:lang w:val="en-US" w:eastAsia="zh-CN" w:bidi="ar-SA"/>
        </w:rPr>
        <w:t>引水工程实施情况结论</w:t>
      </w:r>
    </w:p>
    <w:p w14:paraId="77C39AEF">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综上所述，</w:t>
      </w:r>
      <w:r>
        <w:rPr>
          <w:rFonts w:hint="eastAsia" w:ascii="Times New Roman" w:hAnsi="Times New Roman" w:eastAsia="宋体" w:cs="Times New Roman"/>
          <w:color w:val="auto"/>
          <w:kern w:val="2"/>
          <w:sz w:val="24"/>
          <w:highlight w:val="none"/>
          <w:lang w:val="en-US" w:eastAsia="zh-CN" w:bidi="ar-SA"/>
        </w:rPr>
        <w:t>一般情况下，引水管可将渣滓溪水流全部引至下游，</w:t>
      </w:r>
      <w:r>
        <w:rPr>
          <w:rFonts w:hint="eastAsia" w:cs="Times New Roman"/>
          <w:color w:val="auto"/>
          <w:kern w:val="2"/>
          <w:sz w:val="24"/>
          <w:highlight w:val="none"/>
          <w:lang w:val="en-US" w:eastAsia="zh-CN" w:bidi="ar-SA"/>
        </w:rPr>
        <w:t>但遇到暴雨时</w:t>
      </w:r>
      <w:r>
        <w:rPr>
          <w:rFonts w:hint="eastAsia" w:ascii="Times New Roman" w:hAnsi="Times New Roman" w:eastAsia="宋体" w:cs="Times New Roman"/>
          <w:color w:val="auto"/>
          <w:kern w:val="2"/>
          <w:sz w:val="24"/>
          <w:highlight w:val="none"/>
          <w:lang w:val="en-US" w:eastAsia="zh-CN" w:bidi="ar-SA"/>
        </w:rPr>
        <w:t>，仍有</w:t>
      </w:r>
      <w:r>
        <w:rPr>
          <w:rFonts w:hint="eastAsia" w:cs="Times New Roman"/>
          <w:color w:val="auto"/>
          <w:kern w:val="2"/>
          <w:sz w:val="24"/>
          <w:highlight w:val="none"/>
          <w:lang w:val="en-US" w:eastAsia="zh-CN" w:bidi="ar-SA"/>
        </w:rPr>
        <w:t>0</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127m</w:t>
      </w:r>
      <w:r>
        <w:rPr>
          <w:rFonts w:hint="eastAsia" w:cs="Times New Roman"/>
          <w:color w:val="auto"/>
          <w:kern w:val="2"/>
          <w:sz w:val="24"/>
          <w:highlight w:val="none"/>
          <w:vertAlign w:val="superscript"/>
          <w:lang w:val="en-US" w:eastAsia="zh-CN" w:bidi="ar-SA"/>
        </w:rPr>
        <w:t>3</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s（10972.8m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hint="eastAsia" w:ascii="Times New Roman" w:hAnsi="Times New Roman" w:eastAsia="宋体" w:cs="Times New Roman"/>
          <w:color w:val="auto"/>
          <w:kern w:val="2"/>
          <w:sz w:val="24"/>
          <w:highlight w:val="none"/>
          <w:lang w:val="en-US" w:eastAsia="zh-CN" w:bidi="ar-SA"/>
        </w:rPr>
        <w:t>需依靠排洪隧洞排水。</w:t>
      </w:r>
    </w:p>
    <w:p w14:paraId="69A07F2A">
      <w:pPr>
        <w:pStyle w:val="2"/>
        <w:keepNext w:val="0"/>
        <w:keepLines w:val="0"/>
        <w:pageBreakBefore w:val="0"/>
        <w:widowControl w:val="0"/>
        <w:numPr>
          <w:ilvl w:val="0"/>
          <w:numId w:val="0"/>
        </w:numPr>
        <w:tabs>
          <w:tab w:val="left" w:pos="0"/>
          <w:tab w:val="clear" w:pos="1021"/>
        </w:tabs>
        <w:kinsoku/>
        <w:wordWrap/>
        <w:overflowPunct/>
        <w:topLinePunct w:val="0"/>
        <w:autoSpaceDE/>
        <w:autoSpaceDN/>
        <w:bidi w:val="0"/>
        <w:adjustRightInd/>
        <w:snapToGrid/>
        <w:ind w:leftChars="200"/>
        <w:textAlignment w:val="auto"/>
        <w:outlineLvl w:val="4"/>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二、生活污水收集处置系统</w:t>
      </w:r>
    </w:p>
    <w:p w14:paraId="52AC959F">
      <w:pPr>
        <w:widowControl w:val="0"/>
        <w:bidi w:val="0"/>
        <w:spacing w:line="360" w:lineRule="auto"/>
        <w:ind w:firstLine="482" w:firstLineChars="200"/>
        <w:jc w:val="both"/>
        <w:rPr>
          <w:rFonts w:hint="eastAsia"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（1）生活污水处理现状</w:t>
      </w:r>
    </w:p>
    <w:p w14:paraId="4770DA63">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矿区目前大部分生活区域为旱厕，且暂无改厕计划。生活污水主要是厨房用水、洗浴用水这类生活灰水，生活污水以雨污混流为主，部分房屋实施了污水管道改造，但最终仍进入雨水沟排放。根据现场调查，矿区内目前居住人口约</w:t>
      </w:r>
      <w:r>
        <w:rPr>
          <w:rFonts w:hint="eastAsia" w:ascii="Times New Roman" w:hAnsi="Times New Roman" w:eastAsia="宋体" w:cs="Times New Roman"/>
          <w:color w:val="auto"/>
          <w:kern w:val="2"/>
          <w:sz w:val="24"/>
          <w:highlight w:val="none"/>
          <w:lang w:val="en-US" w:eastAsia="zh-CN" w:bidi="ar-SA"/>
        </w:rPr>
        <w:t>800</w:t>
      </w:r>
      <w:r>
        <w:rPr>
          <w:rFonts w:hint="default" w:ascii="Times New Roman" w:hAnsi="Times New Roman" w:eastAsia="宋体" w:cs="Times New Roman"/>
          <w:color w:val="auto"/>
          <w:kern w:val="2"/>
          <w:sz w:val="24"/>
          <w:highlight w:val="none"/>
          <w:lang w:val="en-US" w:eastAsia="zh-CN" w:bidi="ar-SA"/>
        </w:rPr>
        <w:t>人。主要分布在选矿厂至冶炼厂道路沿线、办公区后面以及采矿工业广场。各片区生活污水最终均进入排洪隧洞，混入</w:t>
      </w:r>
      <w:r>
        <w:rPr>
          <w:rFonts w:hint="eastAsia" w:ascii="Times New Roman" w:hAnsi="Times New Roman" w:eastAsia="宋体" w:cs="Times New Roman"/>
          <w:color w:val="auto"/>
          <w:kern w:val="2"/>
          <w:sz w:val="24"/>
          <w:highlight w:val="none"/>
          <w:lang w:val="en-US" w:eastAsia="zh-CN" w:bidi="ar-SA"/>
        </w:rPr>
        <w:t>渣滓溪溪水、隧洞山体渗水，部分</w:t>
      </w:r>
      <w:r>
        <w:rPr>
          <w:rFonts w:hint="default" w:ascii="Times New Roman" w:hAnsi="Times New Roman" w:eastAsia="宋体" w:cs="Times New Roman"/>
          <w:color w:val="auto"/>
          <w:kern w:val="2"/>
          <w:sz w:val="24"/>
          <w:highlight w:val="none"/>
          <w:lang w:val="en-US" w:eastAsia="zh-CN" w:bidi="ar-SA"/>
        </w:rPr>
        <w:t>进入矿区废水处理站</w:t>
      </w:r>
      <w:r>
        <w:rPr>
          <w:rFonts w:hint="eastAsia" w:ascii="Times New Roman" w:hAnsi="Times New Roman" w:eastAsia="宋体" w:cs="Times New Roman"/>
          <w:color w:val="auto"/>
          <w:kern w:val="2"/>
          <w:sz w:val="24"/>
          <w:highlight w:val="none"/>
          <w:lang w:val="en-US" w:eastAsia="zh-CN" w:bidi="ar-SA"/>
        </w:rPr>
        <w:t>处理，部分随渣滓溪溪水排入下游</w:t>
      </w:r>
      <w:r>
        <w:rPr>
          <w:rFonts w:hint="default" w:ascii="Times New Roman" w:hAnsi="Times New Roman" w:eastAsia="宋体" w:cs="Times New Roman"/>
          <w:color w:val="auto"/>
          <w:kern w:val="2"/>
          <w:sz w:val="24"/>
          <w:highlight w:val="none"/>
          <w:lang w:val="en-US" w:eastAsia="zh-CN" w:bidi="ar-SA"/>
        </w:rPr>
        <w:t>。</w:t>
      </w:r>
    </w:p>
    <w:p w14:paraId="602FF1D5">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生活污水含有较高浓度的COD、氨氮和石油类。现状一方面未能全部对其进行处理，一方面增加了生产废水处理站处理COD等的负荷，因此，需要对生活污水进行集中收集和处理。</w:t>
      </w:r>
    </w:p>
    <w:p w14:paraId="43C5EC7D">
      <w:pPr>
        <w:pStyle w:val="2"/>
        <w:numPr>
          <w:ilvl w:val="0"/>
          <w:numId w:val="0"/>
        </w:numPr>
        <w:tabs>
          <w:tab w:val="left" w:pos="0"/>
          <w:tab w:val="clear" w:pos="1021"/>
        </w:tabs>
        <w:bidi w:val="0"/>
        <w:ind w:left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）渣滓溪矿业生活污水收集处置系统改造工程</w:t>
      </w:r>
    </w:p>
    <w:p w14:paraId="35205DBA">
      <w:pPr>
        <w:widowControl w:val="0"/>
        <w:bidi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矿山生活污水产生量为</w:t>
      </w:r>
      <w:r>
        <w:rPr>
          <w:rFonts w:hint="eastAsia" w:cs="Times New Roman"/>
          <w:b w:val="0"/>
          <w:bCs w:val="0"/>
          <w:color w:val="auto"/>
          <w:kern w:val="2"/>
          <w:sz w:val="24"/>
          <w:highlight w:val="none"/>
          <w:lang w:val="en-US" w:eastAsia="zh-CN" w:bidi="ar-SA"/>
        </w:rPr>
        <w:t>43.2m</w:t>
      </w:r>
      <w:r>
        <w:rPr>
          <w:rFonts w:hint="eastAsia" w:cs="Times New Roman"/>
          <w:b w:val="0"/>
          <w:bCs w:val="0"/>
          <w:color w:val="auto"/>
          <w:kern w:val="2"/>
          <w:sz w:val="24"/>
          <w:highlight w:val="none"/>
          <w:vertAlign w:val="superscript"/>
          <w:lang w:val="en-US" w:eastAsia="zh-CN" w:bidi="ar-SA"/>
        </w:rPr>
        <w:t>3</w:t>
      </w:r>
      <w:r>
        <w:rPr>
          <w:rFonts w:hint="eastAsia" w:cs="Times New Roman"/>
          <w:b w:val="0"/>
          <w:bCs w:val="0"/>
          <w:color w:val="auto"/>
          <w:kern w:val="2"/>
          <w:sz w:val="24"/>
          <w:highlight w:val="none"/>
          <w:lang w:val="en-US" w:eastAsia="zh-CN" w:bidi="ar-SA"/>
        </w:rPr>
        <w:t>/d</w:t>
      </w:r>
      <w:r>
        <w:rPr>
          <w:rFonts w:hint="eastAsia" w:ascii="Times New Roman" w:hAnsi="Times New Roman" w:eastAsia="宋体" w:cs="Times New Roman"/>
          <w:b w:val="0"/>
          <w:bCs w:val="0"/>
          <w:color w:val="auto"/>
          <w:kern w:val="2"/>
          <w:sz w:val="24"/>
          <w:highlight w:val="none"/>
          <w:lang w:val="en-US" w:eastAsia="zh-CN" w:bidi="ar-SA"/>
        </w:rPr>
        <w:t>，全厂生活污水通过收集系统，排入新建的生活污水处理站，经处理后进入生产废水处理站进一步去除重金属。</w:t>
      </w:r>
    </w:p>
    <w:p w14:paraId="361BA456">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矿区内生活污水通过新建地埋式污水管道接入</w:t>
      </w:r>
      <w:r>
        <w:rPr>
          <w:rFonts w:hint="eastAsia" w:ascii="Times New Roman" w:hAnsi="Times New Roman" w:eastAsia="宋体" w:cs="Times New Roman"/>
          <w:b w:val="0"/>
          <w:bCs w:val="0"/>
          <w:color w:val="auto"/>
          <w:kern w:val="2"/>
          <w:sz w:val="24"/>
          <w:highlight w:val="none"/>
          <w:lang w:val="en-US" w:eastAsia="zh-CN" w:bidi="ar-SA"/>
        </w:rPr>
        <w:t>新建的生活污水处理站</w:t>
      </w:r>
      <w:r>
        <w:rPr>
          <w:rFonts w:hint="eastAsia" w:ascii="Times New Roman" w:hAnsi="Times New Roman" w:eastAsia="宋体" w:cs="Times New Roman"/>
          <w:color w:val="auto"/>
          <w:kern w:val="2"/>
          <w:sz w:val="24"/>
          <w:highlight w:val="none"/>
          <w:lang w:val="en-US" w:eastAsia="zh-CN" w:bidi="ar-SA"/>
        </w:rPr>
        <w:t>。矿区内生活区域较为分散，需分片区铺设排水管道，由厂区办公楼至污水处理厂为干管，其余管道均为支管。</w:t>
      </w:r>
    </w:p>
    <w:p w14:paraId="317CBBB6">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本工程截污本工程截污主、次干管全长约3</w:t>
      </w:r>
      <w:r>
        <w:rPr>
          <w:rFonts w:ascii="Times New Roman" w:hAnsi="Times New Roman" w:eastAsia="宋体" w:cs="Times New Roman"/>
          <w:color w:val="auto"/>
          <w:kern w:val="2"/>
          <w:sz w:val="24"/>
          <w:highlight w:val="none"/>
          <w:lang w:val="en-US" w:eastAsia="zh-CN" w:bidi="ar-SA"/>
        </w:rPr>
        <w:t>800</w:t>
      </w:r>
      <w:r>
        <w:rPr>
          <w:rFonts w:hint="eastAsia" w:ascii="Times New Roman" w:hAnsi="Times New Roman" w:eastAsia="宋体" w:cs="Times New Roman"/>
          <w:color w:val="auto"/>
          <w:kern w:val="2"/>
          <w:sz w:val="24"/>
          <w:highlight w:val="none"/>
          <w:lang w:val="en-US" w:eastAsia="zh-CN" w:bidi="ar-SA"/>
        </w:rPr>
        <w:t>m。其中干管2</w:t>
      </w:r>
      <w:r>
        <w:rPr>
          <w:rFonts w:ascii="Times New Roman" w:hAnsi="Times New Roman" w:eastAsia="宋体" w:cs="Times New Roman"/>
          <w:color w:val="auto"/>
          <w:kern w:val="2"/>
          <w:sz w:val="24"/>
          <w:highlight w:val="none"/>
          <w:lang w:val="en-US" w:eastAsia="zh-CN" w:bidi="ar-SA"/>
        </w:rPr>
        <w:t>610</w:t>
      </w:r>
      <w:r>
        <w:rPr>
          <w:rFonts w:hint="eastAsia" w:ascii="Times New Roman" w:hAnsi="Times New Roman" w:eastAsia="宋体" w:cs="Times New Roman"/>
          <w:color w:val="auto"/>
          <w:kern w:val="2"/>
          <w:sz w:val="24"/>
          <w:highlight w:val="none"/>
          <w:lang w:val="en-US" w:eastAsia="zh-CN" w:bidi="ar-SA"/>
        </w:rPr>
        <w:t>m，支管</w:t>
      </w:r>
      <w:r>
        <w:rPr>
          <w:rFonts w:ascii="Times New Roman" w:hAnsi="Times New Roman" w:eastAsia="宋体" w:cs="Times New Roman"/>
          <w:color w:val="auto"/>
          <w:kern w:val="2"/>
          <w:sz w:val="24"/>
          <w:highlight w:val="none"/>
          <w:lang w:val="en-US" w:eastAsia="zh-CN" w:bidi="ar-SA"/>
        </w:rPr>
        <w:t>1190</w:t>
      </w:r>
      <w:r>
        <w:rPr>
          <w:rFonts w:hint="eastAsia" w:ascii="Times New Roman" w:hAnsi="Times New Roman" w:eastAsia="宋体" w:cs="Times New Roman"/>
          <w:color w:val="auto"/>
          <w:kern w:val="2"/>
          <w:sz w:val="24"/>
          <w:highlight w:val="none"/>
          <w:lang w:val="en-US" w:eastAsia="zh-CN" w:bidi="ar-SA"/>
        </w:rPr>
        <w:t>m。材质均为HDPE双壁波纹管，新建管道的管径及管长如下：</w:t>
      </w:r>
    </w:p>
    <w:p w14:paraId="21A18421">
      <w:pPr>
        <w:widowControl w:val="0"/>
        <w:bidi w:val="0"/>
        <w:spacing w:line="360" w:lineRule="auto"/>
        <w:ind w:firstLine="480" w:firstLineChars="200"/>
        <w:jc w:val="both"/>
        <w:rPr>
          <w:rFonts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干管：  Φ315           L=2</w:t>
      </w:r>
      <w:r>
        <w:rPr>
          <w:rFonts w:ascii="Times New Roman" w:hAnsi="Times New Roman" w:eastAsia="宋体" w:cs="Times New Roman"/>
          <w:color w:val="auto"/>
          <w:kern w:val="2"/>
          <w:sz w:val="24"/>
          <w:highlight w:val="none"/>
          <w:lang w:val="en-US" w:eastAsia="zh-CN" w:bidi="ar-SA"/>
        </w:rPr>
        <w:t>61</w:t>
      </w:r>
      <w:r>
        <w:rPr>
          <w:rFonts w:hint="eastAsia" w:ascii="Times New Roman" w:hAnsi="Times New Roman" w:eastAsia="宋体" w:cs="Times New Roman"/>
          <w:color w:val="auto"/>
          <w:kern w:val="2"/>
          <w:sz w:val="24"/>
          <w:highlight w:val="none"/>
          <w:lang w:val="en-US" w:eastAsia="zh-CN" w:bidi="ar-SA"/>
        </w:rPr>
        <w:t>0m</w:t>
      </w:r>
    </w:p>
    <w:p w14:paraId="3547F8A7">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 xml:space="preserve">支管： </w:t>
      </w:r>
      <w:r>
        <w:rPr>
          <w:rFonts w:ascii="Times New Roman" w:hAnsi="Times New Roman" w:eastAsia="宋体" w:cs="Times New Roman"/>
          <w:color w:val="auto"/>
          <w:kern w:val="2"/>
          <w:sz w:val="24"/>
          <w:highlight w:val="none"/>
          <w:lang w:val="en-US" w:eastAsia="zh-CN" w:bidi="ar-SA"/>
        </w:rPr>
        <w:t xml:space="preserve"> </w:t>
      </w:r>
      <w:r>
        <w:rPr>
          <w:rFonts w:hint="eastAsia" w:ascii="Times New Roman" w:hAnsi="Times New Roman" w:eastAsia="宋体" w:cs="Times New Roman"/>
          <w:color w:val="auto"/>
          <w:kern w:val="2"/>
          <w:sz w:val="24"/>
          <w:highlight w:val="none"/>
          <w:lang w:val="en-US" w:eastAsia="zh-CN" w:bidi="ar-SA"/>
        </w:rPr>
        <w:t>Φ160           L=</w:t>
      </w:r>
      <w:r>
        <w:rPr>
          <w:rFonts w:ascii="Times New Roman" w:hAnsi="Times New Roman" w:eastAsia="宋体" w:cs="Times New Roman"/>
          <w:color w:val="auto"/>
          <w:kern w:val="2"/>
          <w:sz w:val="24"/>
          <w:highlight w:val="none"/>
          <w:lang w:val="en-US" w:eastAsia="zh-CN" w:bidi="ar-SA"/>
        </w:rPr>
        <w:t>1190</w:t>
      </w:r>
      <w:r>
        <w:rPr>
          <w:rFonts w:hint="eastAsia" w:ascii="Times New Roman" w:hAnsi="Times New Roman" w:eastAsia="宋体" w:cs="Times New Roman"/>
          <w:color w:val="auto"/>
          <w:kern w:val="2"/>
          <w:sz w:val="24"/>
          <w:highlight w:val="none"/>
          <w:lang w:val="en-US" w:eastAsia="zh-CN" w:bidi="ar-SA"/>
        </w:rPr>
        <w:t>m</w:t>
      </w:r>
    </w:p>
    <w:p w14:paraId="73B942C5">
      <w:pPr>
        <w:pStyle w:val="2"/>
        <w:keepNext w:val="0"/>
        <w:keepLines w:val="0"/>
        <w:pageBreakBefore w:val="0"/>
        <w:widowControl w:val="0"/>
        <w:numPr>
          <w:ilvl w:val="0"/>
          <w:numId w:val="0"/>
        </w:numPr>
        <w:tabs>
          <w:tab w:val="left" w:pos="0"/>
          <w:tab w:val="clear" w:pos="1021"/>
        </w:tabs>
        <w:kinsoku/>
        <w:wordWrap/>
        <w:overflowPunct/>
        <w:topLinePunct w:val="0"/>
        <w:autoSpaceDE/>
        <w:autoSpaceDN/>
        <w:bidi w:val="0"/>
        <w:adjustRightInd/>
        <w:snapToGrid/>
        <w:ind w:leftChars="200"/>
        <w:textAlignment w:val="auto"/>
        <w:outlineLvl w:val="4"/>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三、增加隧洞内山体渗水处理能力</w:t>
      </w:r>
    </w:p>
    <w:p w14:paraId="5FD63036">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u w:val="single"/>
          <w:lang w:val="en-US" w:eastAsia="zh-CN" w:bidi="ar-SA"/>
        </w:rPr>
      </w:pPr>
      <w:r>
        <w:rPr>
          <w:rFonts w:hint="eastAsia" w:ascii="Times New Roman" w:hAnsi="Times New Roman" w:eastAsia="宋体" w:cs="Times New Roman"/>
          <w:color w:val="auto"/>
          <w:kern w:val="2"/>
          <w:sz w:val="24"/>
          <w:highlight w:val="none"/>
          <w:u w:val="single"/>
          <w:lang w:val="en-US" w:eastAsia="zh-CN" w:bidi="ar-SA"/>
        </w:rPr>
        <w:t>目前，渣滓溪矿业对排洪隧洞内的水的处理量约为</w:t>
      </w:r>
      <w:r>
        <w:rPr>
          <w:rFonts w:hint="eastAsia" w:cs="Times New Roman"/>
          <w:color w:val="auto"/>
          <w:kern w:val="2"/>
          <w:sz w:val="24"/>
          <w:highlight w:val="none"/>
          <w:u w:val="single"/>
          <w:lang w:val="en-US" w:eastAsia="zh-CN" w:bidi="ar-SA"/>
        </w:rPr>
        <w:t>115</w:t>
      </w:r>
      <w:r>
        <w:rPr>
          <w:rFonts w:hint="eastAsia" w:ascii="Times New Roman" w:hAnsi="Times New Roman" w:eastAsia="宋体" w:cs="Times New Roman"/>
          <w:color w:val="auto"/>
          <w:kern w:val="2"/>
          <w:sz w:val="24"/>
          <w:highlight w:val="none"/>
          <w:u w:val="single"/>
          <w:lang w:val="en-US" w:eastAsia="zh-CN" w:bidi="ar-SA"/>
        </w:rPr>
        <w:t>0</w:t>
      </w:r>
      <w:r>
        <w:rPr>
          <w:rFonts w:hint="eastAsia" w:cs="Times New Roman"/>
          <w:color w:val="auto"/>
          <w:kern w:val="2"/>
          <w:sz w:val="24"/>
          <w:highlight w:val="none"/>
          <w:u w:val="single"/>
          <w:lang w:val="en-US" w:eastAsia="zh-CN" w:bidi="ar-SA"/>
        </w:rPr>
        <w:t>m</w:t>
      </w:r>
      <w:r>
        <w:rPr>
          <w:rFonts w:hint="eastAsia" w:cs="Times New Roman"/>
          <w:color w:val="auto"/>
          <w:kern w:val="2"/>
          <w:sz w:val="24"/>
          <w:highlight w:val="none"/>
          <w:u w:val="single"/>
          <w:vertAlign w:val="superscript"/>
          <w:lang w:val="en-US" w:eastAsia="zh-CN" w:bidi="ar-SA"/>
        </w:rPr>
        <w:t>3</w:t>
      </w:r>
      <w:r>
        <w:rPr>
          <w:rFonts w:hint="eastAsia" w:cs="Times New Roman"/>
          <w:color w:val="auto"/>
          <w:kern w:val="2"/>
          <w:sz w:val="24"/>
          <w:highlight w:val="none"/>
          <w:u w:val="single"/>
          <w:lang w:val="en-US" w:eastAsia="zh-CN" w:bidi="ar-SA"/>
        </w:rPr>
        <w:t>/d</w:t>
      </w:r>
      <w:r>
        <w:rPr>
          <w:rFonts w:hint="eastAsia" w:ascii="Times New Roman" w:hAnsi="Times New Roman" w:eastAsia="宋体" w:cs="Times New Roman"/>
          <w:color w:val="auto"/>
          <w:kern w:val="2"/>
          <w:sz w:val="24"/>
          <w:highlight w:val="none"/>
          <w:u w:val="single"/>
          <w:lang w:val="en-US" w:eastAsia="zh-CN" w:bidi="ar-SA"/>
        </w:rPr>
        <w:t>。</w:t>
      </w:r>
      <w:r>
        <w:rPr>
          <w:rFonts w:hint="eastAsia" w:cs="Times New Roman"/>
          <w:color w:val="auto"/>
          <w:kern w:val="2"/>
          <w:sz w:val="24"/>
          <w:highlight w:val="none"/>
          <w:u w:val="single"/>
          <w:lang w:val="en-US" w:eastAsia="zh-CN" w:bidi="ar-SA"/>
        </w:rPr>
        <w:t>调整</w:t>
      </w:r>
      <w:r>
        <w:rPr>
          <w:rFonts w:hint="eastAsia" w:ascii="Times New Roman" w:hAnsi="Times New Roman" w:eastAsia="宋体" w:cs="Times New Roman"/>
          <w:color w:val="auto"/>
          <w:kern w:val="2"/>
          <w:sz w:val="24"/>
          <w:highlight w:val="none"/>
          <w:u w:val="single"/>
          <w:lang w:val="en-US" w:eastAsia="zh-CN" w:bidi="ar-SA"/>
        </w:rPr>
        <w:t>后，充分利用</w:t>
      </w:r>
      <w:r>
        <w:rPr>
          <w:rFonts w:hint="eastAsia" w:cs="Times New Roman"/>
          <w:color w:val="auto"/>
          <w:kern w:val="2"/>
          <w:sz w:val="24"/>
          <w:highlight w:val="none"/>
          <w:u w:val="single"/>
          <w:lang w:val="en-US" w:eastAsia="zh-CN" w:bidi="ar-SA"/>
        </w:rPr>
        <w:t>废水处理站</w:t>
      </w:r>
      <w:r>
        <w:rPr>
          <w:rFonts w:hint="eastAsia" w:ascii="Times New Roman" w:hAnsi="Times New Roman" w:eastAsia="宋体" w:cs="Times New Roman"/>
          <w:color w:val="auto"/>
          <w:kern w:val="2"/>
          <w:sz w:val="24"/>
          <w:highlight w:val="none"/>
          <w:u w:val="single"/>
          <w:lang w:val="en-US" w:eastAsia="zh-CN" w:bidi="ar-SA"/>
        </w:rPr>
        <w:t>富余的处理能力：在</w:t>
      </w:r>
      <w:r>
        <w:rPr>
          <w:rFonts w:hint="eastAsia" w:cs="Times New Roman"/>
          <w:color w:val="auto"/>
          <w:kern w:val="2"/>
          <w:sz w:val="24"/>
          <w:highlight w:val="none"/>
          <w:u w:val="single"/>
          <w:lang w:val="en-US" w:eastAsia="zh-CN" w:bidi="ar-SA"/>
        </w:rPr>
        <w:t>枯水期</w:t>
      </w:r>
      <w:r>
        <w:rPr>
          <w:rFonts w:hint="eastAsia" w:ascii="Times New Roman" w:hAnsi="Times New Roman" w:eastAsia="宋体" w:cs="Times New Roman"/>
          <w:color w:val="auto"/>
          <w:kern w:val="2"/>
          <w:sz w:val="24"/>
          <w:highlight w:val="none"/>
          <w:u w:val="single"/>
          <w:lang w:val="en-US" w:eastAsia="zh-CN" w:bidi="ar-SA"/>
        </w:rPr>
        <w:t>，增加隧洞水处理能力至</w:t>
      </w:r>
      <w:r>
        <w:rPr>
          <w:rFonts w:hint="eastAsia" w:cs="Times New Roman"/>
          <w:color w:val="auto"/>
          <w:kern w:val="2"/>
          <w:sz w:val="24"/>
          <w:highlight w:val="none"/>
          <w:u w:val="single"/>
          <w:lang w:val="en-US" w:eastAsia="zh-CN" w:bidi="ar-SA"/>
        </w:rPr>
        <w:t>1550</w:t>
      </w:r>
      <w:r>
        <w:rPr>
          <w:rFonts w:hint="eastAsia" w:ascii="Times New Roman" w:hAnsi="Times New Roman" w:eastAsia="宋体" w:cs="Times New Roman"/>
          <w:color w:val="auto"/>
          <w:kern w:val="2"/>
          <w:sz w:val="24"/>
          <w:highlight w:val="none"/>
          <w:u w:val="single"/>
          <w:lang w:val="en-US" w:eastAsia="zh-CN" w:bidi="ar-SA"/>
        </w:rPr>
        <w:t>.</w:t>
      </w:r>
      <w:r>
        <w:rPr>
          <w:rFonts w:hint="eastAsia" w:cs="Times New Roman"/>
          <w:color w:val="auto"/>
          <w:kern w:val="2"/>
          <w:sz w:val="24"/>
          <w:highlight w:val="none"/>
          <w:u w:val="single"/>
          <w:lang w:val="en-US" w:eastAsia="zh-CN" w:bidi="ar-SA"/>
        </w:rPr>
        <w:t>2m</w:t>
      </w:r>
      <w:r>
        <w:rPr>
          <w:rFonts w:hint="eastAsia" w:cs="Times New Roman"/>
          <w:color w:val="auto"/>
          <w:kern w:val="2"/>
          <w:sz w:val="24"/>
          <w:highlight w:val="none"/>
          <w:u w:val="single"/>
          <w:vertAlign w:val="superscript"/>
          <w:lang w:val="en-US" w:eastAsia="zh-CN" w:bidi="ar-SA"/>
        </w:rPr>
        <w:t>3</w:t>
      </w:r>
      <w:r>
        <w:rPr>
          <w:rFonts w:hint="eastAsia" w:cs="Times New Roman"/>
          <w:color w:val="auto"/>
          <w:kern w:val="2"/>
          <w:sz w:val="24"/>
          <w:highlight w:val="none"/>
          <w:u w:val="single"/>
          <w:lang w:val="en-US" w:eastAsia="zh-CN" w:bidi="ar-SA"/>
        </w:rPr>
        <w:t>/d</w:t>
      </w:r>
      <w:r>
        <w:rPr>
          <w:rFonts w:hint="eastAsia" w:ascii="Times New Roman" w:hAnsi="Times New Roman" w:eastAsia="宋体" w:cs="Times New Roman"/>
          <w:color w:val="auto"/>
          <w:kern w:val="2"/>
          <w:sz w:val="24"/>
          <w:highlight w:val="none"/>
          <w:u w:val="single"/>
          <w:lang w:val="en-US" w:eastAsia="zh-CN" w:bidi="ar-SA"/>
        </w:rPr>
        <w:t>；</w:t>
      </w:r>
      <w:r>
        <w:rPr>
          <w:rFonts w:hint="eastAsia" w:cs="Times New Roman"/>
          <w:color w:val="auto"/>
          <w:kern w:val="2"/>
          <w:sz w:val="24"/>
          <w:highlight w:val="none"/>
          <w:u w:val="single"/>
          <w:lang w:val="en-US" w:eastAsia="zh-CN" w:bidi="ar-SA"/>
        </w:rPr>
        <w:t>平水期为2161.45m</w:t>
      </w:r>
      <w:r>
        <w:rPr>
          <w:rFonts w:hint="eastAsia" w:cs="Times New Roman"/>
          <w:color w:val="auto"/>
          <w:kern w:val="2"/>
          <w:sz w:val="24"/>
          <w:highlight w:val="none"/>
          <w:u w:val="single"/>
          <w:vertAlign w:val="superscript"/>
          <w:lang w:val="en-US" w:eastAsia="zh-CN" w:bidi="ar-SA"/>
        </w:rPr>
        <w:t>3</w:t>
      </w:r>
      <w:r>
        <w:rPr>
          <w:rFonts w:hint="eastAsia" w:cs="Times New Roman"/>
          <w:color w:val="auto"/>
          <w:kern w:val="2"/>
          <w:sz w:val="24"/>
          <w:highlight w:val="none"/>
          <w:u w:val="single"/>
          <w:lang w:val="en-US" w:eastAsia="zh-CN" w:bidi="ar-SA"/>
        </w:rPr>
        <w:t>/d</w:t>
      </w:r>
      <w:r>
        <w:rPr>
          <w:rFonts w:hint="eastAsia" w:ascii="Times New Roman" w:hAnsi="Times New Roman" w:eastAsia="宋体" w:cs="Times New Roman"/>
          <w:color w:val="auto"/>
          <w:kern w:val="2"/>
          <w:sz w:val="24"/>
          <w:highlight w:val="none"/>
          <w:u w:val="single"/>
          <w:lang w:val="en-US" w:eastAsia="zh-CN" w:bidi="ar-SA"/>
        </w:rPr>
        <w:t>；</w:t>
      </w:r>
      <w:r>
        <w:rPr>
          <w:rFonts w:hint="eastAsia" w:cs="Times New Roman"/>
          <w:color w:val="auto"/>
          <w:kern w:val="2"/>
          <w:sz w:val="24"/>
          <w:highlight w:val="none"/>
          <w:u w:val="single"/>
          <w:lang w:val="en-US" w:eastAsia="zh-CN" w:bidi="ar-SA"/>
        </w:rPr>
        <w:t>丰水期</w:t>
      </w:r>
      <w:r>
        <w:rPr>
          <w:rFonts w:hint="eastAsia" w:ascii="Times New Roman" w:hAnsi="Times New Roman" w:eastAsia="宋体" w:cs="Times New Roman"/>
          <w:color w:val="auto"/>
          <w:kern w:val="2"/>
          <w:sz w:val="24"/>
          <w:highlight w:val="none"/>
          <w:u w:val="single"/>
          <w:lang w:val="en-US" w:eastAsia="zh-CN" w:bidi="ar-SA"/>
        </w:rPr>
        <w:t>时</w:t>
      </w:r>
      <w:r>
        <w:rPr>
          <w:rFonts w:hint="eastAsia" w:cs="Times New Roman"/>
          <w:color w:val="auto"/>
          <w:kern w:val="2"/>
          <w:sz w:val="24"/>
          <w:highlight w:val="none"/>
          <w:u w:val="single"/>
          <w:lang w:val="en-US" w:eastAsia="zh-CN" w:bidi="ar-SA"/>
        </w:rPr>
        <w:t>为1200.85m</w:t>
      </w:r>
      <w:r>
        <w:rPr>
          <w:rFonts w:hint="eastAsia" w:cs="Times New Roman"/>
          <w:color w:val="auto"/>
          <w:kern w:val="2"/>
          <w:sz w:val="24"/>
          <w:highlight w:val="none"/>
          <w:u w:val="single"/>
          <w:vertAlign w:val="superscript"/>
          <w:lang w:val="en-US" w:eastAsia="zh-CN" w:bidi="ar-SA"/>
        </w:rPr>
        <w:t>3</w:t>
      </w:r>
      <w:r>
        <w:rPr>
          <w:rFonts w:hint="eastAsia" w:cs="Times New Roman"/>
          <w:color w:val="auto"/>
          <w:kern w:val="2"/>
          <w:sz w:val="24"/>
          <w:highlight w:val="none"/>
          <w:u w:val="single"/>
          <w:lang w:val="en-US" w:eastAsia="zh-CN" w:bidi="ar-SA"/>
        </w:rPr>
        <w:t>/d</w:t>
      </w:r>
      <w:r>
        <w:rPr>
          <w:rFonts w:hint="eastAsia" w:ascii="Times New Roman" w:hAnsi="Times New Roman" w:eastAsia="宋体" w:cs="Times New Roman"/>
          <w:color w:val="auto"/>
          <w:kern w:val="2"/>
          <w:sz w:val="24"/>
          <w:highlight w:val="none"/>
          <w:u w:val="single"/>
          <w:lang w:val="en-US" w:eastAsia="zh-CN" w:bidi="ar-SA"/>
        </w:rPr>
        <w:t>。利用现有管线，不新增建构筑物。</w:t>
      </w:r>
    </w:p>
    <w:p w14:paraId="2C90BF55">
      <w:pPr>
        <w:widowControl w:val="0"/>
        <w:bidi w:val="0"/>
        <w:spacing w:line="360" w:lineRule="auto"/>
        <w:ind w:firstLine="480" w:firstLineChars="200"/>
        <w:jc w:val="both"/>
        <w:rPr>
          <w:rFonts w:hint="default" w:cs="Times New Roman"/>
          <w:b/>
          <w:bCs/>
          <w:color w:val="auto"/>
          <w:kern w:val="2"/>
          <w:sz w:val="24"/>
          <w:highlight w:val="none"/>
          <w:u w:val="single"/>
          <w:lang w:val="en-US" w:eastAsia="zh-CN" w:bidi="ar-SA"/>
        </w:rPr>
      </w:pPr>
      <w:r>
        <w:rPr>
          <w:rStyle w:val="30"/>
          <w:rFonts w:hint="eastAsia"/>
          <w:u w:val="single"/>
          <w:lang w:val="en-US" w:eastAsia="zh-CN"/>
        </w:rPr>
        <w:t>企业在排</w:t>
      </w:r>
      <w:r>
        <w:rPr>
          <w:rFonts w:hint="eastAsia" w:ascii="Times New Roman" w:hAnsi="Times New Roman" w:eastAsia="宋体" w:cs="Times New Roman"/>
          <w:color w:val="auto"/>
          <w:kern w:val="2"/>
          <w:sz w:val="24"/>
          <w:highlight w:val="none"/>
          <w:u w:val="single"/>
          <w:lang w:val="en-US" w:eastAsia="zh-CN" w:bidi="ar-SA"/>
        </w:rPr>
        <w:t>洪隧洞</w:t>
      </w:r>
      <w:r>
        <w:rPr>
          <w:rFonts w:hint="eastAsia" w:cs="Times New Roman"/>
          <w:color w:val="auto"/>
          <w:kern w:val="2"/>
          <w:sz w:val="24"/>
          <w:highlight w:val="none"/>
          <w:u w:val="single"/>
          <w:lang w:val="en-US" w:eastAsia="zh-CN" w:bidi="ar-SA"/>
        </w:rPr>
        <w:t>出口处已设置拦坝，枯水期即可将山体渗水转至废水处理站处理，平水期和丰水期可收集并处理一部分山体渗水，其他山体渗水需直排入渣滓溪，拦坝现状如下图所示：</w:t>
      </w:r>
    </w:p>
    <w:p w14:paraId="1DFCC211">
      <w:pPr>
        <w:widowControl w:val="0"/>
        <w:spacing w:line="360" w:lineRule="auto"/>
        <w:ind w:left="0" w:leftChars="0" w:firstLine="0" w:firstLineChars="0"/>
        <w:jc w:val="center"/>
        <w:rPr>
          <w:u w:val="single"/>
        </w:rPr>
      </w:pPr>
      <w:r>
        <w:rPr>
          <w:u w:val="single"/>
        </w:rPr>
        <w:drawing>
          <wp:inline distT="0" distB="0" distL="114300" distR="114300">
            <wp:extent cx="4031615" cy="4489450"/>
            <wp:effectExtent l="0" t="0" r="6985" b="635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51"/>
                    <a:stretch>
                      <a:fillRect/>
                    </a:stretch>
                  </pic:blipFill>
                  <pic:spPr>
                    <a:xfrm>
                      <a:off x="0" y="0"/>
                      <a:ext cx="4031615" cy="4489450"/>
                    </a:xfrm>
                    <a:prstGeom prst="rect">
                      <a:avLst/>
                    </a:prstGeom>
                    <a:noFill/>
                    <a:ln>
                      <a:noFill/>
                    </a:ln>
                  </pic:spPr>
                </pic:pic>
              </a:graphicData>
            </a:graphic>
          </wp:inline>
        </w:drawing>
      </w:r>
    </w:p>
    <w:p w14:paraId="06E61454">
      <w:pPr>
        <w:pStyle w:val="40"/>
        <w:bidi w:val="0"/>
        <w:rPr>
          <w:rFonts w:hint="default"/>
          <w:color w:val="auto"/>
          <w:highlight w:val="none"/>
          <w:u w:val="single"/>
          <w:lang w:val="en-US" w:eastAsia="zh-CN"/>
        </w:rPr>
      </w:pPr>
      <w:r>
        <w:rPr>
          <w:rFonts w:hint="default"/>
          <w:color w:val="auto"/>
          <w:highlight w:val="none"/>
          <w:u w:val="single"/>
          <w:lang w:val="en-US" w:eastAsia="zh-CN"/>
        </w:rPr>
        <w:t>图</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图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10</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w:t>
      </w:r>
      <w:r>
        <w:rPr>
          <w:rFonts w:hint="eastAsia"/>
          <w:color w:val="auto"/>
          <w:highlight w:val="none"/>
          <w:u w:val="single"/>
          <w:lang w:val="en-US" w:eastAsia="zh-CN"/>
        </w:rPr>
        <w:t>隧洞出口拦坝</w:t>
      </w:r>
    </w:p>
    <w:p w14:paraId="162AE94D">
      <w:pPr>
        <w:widowControl w:val="0"/>
        <w:bidi w:val="0"/>
        <w:spacing w:line="360" w:lineRule="auto"/>
        <w:ind w:firstLine="480" w:firstLineChars="200"/>
        <w:jc w:val="both"/>
        <w:rPr>
          <w:rFonts w:hint="default" w:cs="Times New Roman"/>
          <w:b w:val="0"/>
          <w:bCs w:val="0"/>
          <w:color w:val="auto"/>
          <w:kern w:val="2"/>
          <w:sz w:val="24"/>
          <w:highlight w:val="none"/>
          <w:u w:val="single"/>
          <w:lang w:val="en-US" w:eastAsia="zh-CN" w:bidi="ar-SA"/>
        </w:rPr>
      </w:pPr>
      <w:r>
        <w:rPr>
          <w:rFonts w:hint="eastAsia" w:ascii="Times New Roman" w:hAnsi="Times New Roman" w:eastAsia="宋体" w:cs="Times New Roman"/>
          <w:b w:val="0"/>
          <w:bCs w:val="0"/>
          <w:color w:val="auto"/>
          <w:kern w:val="2"/>
          <w:sz w:val="24"/>
          <w:highlight w:val="none"/>
          <w:u w:val="single"/>
          <w:lang w:val="en-US" w:eastAsia="zh-CN" w:bidi="ar-SA"/>
        </w:rPr>
        <w:t>排洪隧道贯穿渣滓溪矿区，呈“Y”字型，起点分别位于长富村方向和红旗村方向生活区域，两段交汇于职工活动中心下方，出口位于废水处理站调节池旁，示意图见下</w:t>
      </w:r>
      <w:r>
        <w:rPr>
          <w:rStyle w:val="30"/>
          <w:rFonts w:hint="eastAsia"/>
          <w:u w:val="single"/>
          <w:lang w:val="en-US" w:eastAsia="zh-CN"/>
        </w:rPr>
        <w:fldChar w:fldCharType="begin"/>
      </w:r>
      <w:r>
        <w:rPr>
          <w:rStyle w:val="30"/>
          <w:rFonts w:hint="eastAsia"/>
          <w:u w:val="single"/>
          <w:lang w:val="en-US" w:eastAsia="zh-CN"/>
        </w:rPr>
        <w:instrText xml:space="preserve"> REF _Ref4081 \h </w:instrText>
      </w:r>
      <w:r>
        <w:rPr>
          <w:rStyle w:val="30"/>
          <w:rFonts w:hint="eastAsia"/>
          <w:u w:val="single"/>
          <w:lang w:val="en-US" w:eastAsia="zh-CN"/>
        </w:rPr>
        <w:fldChar w:fldCharType="separate"/>
      </w:r>
      <w:r>
        <w:rPr>
          <w:rFonts w:hint="default"/>
          <w:color w:val="auto"/>
          <w:highlight w:val="none"/>
          <w:u w:val="single"/>
          <w:lang w:val="en-US" w:eastAsia="zh-CN"/>
        </w:rPr>
        <w:t>图</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–9</w:t>
      </w:r>
      <w:r>
        <w:rPr>
          <w:rStyle w:val="30"/>
          <w:rFonts w:hint="eastAsia"/>
          <w:u w:val="single"/>
          <w:lang w:val="en-US" w:eastAsia="zh-CN"/>
        </w:rPr>
        <w:fldChar w:fldCharType="end"/>
      </w:r>
      <w:r>
        <w:rPr>
          <w:rFonts w:hint="eastAsia" w:ascii="Times New Roman" w:hAnsi="Times New Roman" w:eastAsia="宋体" w:cs="Times New Roman"/>
          <w:b w:val="0"/>
          <w:bCs w:val="0"/>
          <w:color w:val="auto"/>
          <w:kern w:val="2"/>
          <w:sz w:val="24"/>
          <w:highlight w:val="none"/>
          <w:u w:val="single"/>
          <w:lang w:val="en-US" w:eastAsia="zh-CN" w:bidi="ar-SA"/>
        </w:rPr>
        <w:t>。主隧道长约1100m，断面为圆拱直墙型，主隧道上段（入水口至库内支排洪隧道与主隧道贯通处）断面尺寸为2.0×2.3m，主隧道下段（库内支排洪隧道贯通处以下至主隧道出水口）断面尺寸为2.5×2.7m。</w:t>
      </w:r>
    </w:p>
    <w:p w14:paraId="5735BD79">
      <w:pPr>
        <w:widowControl w:val="0"/>
        <w:spacing w:line="360" w:lineRule="auto"/>
        <w:ind w:left="0" w:leftChars="0" w:firstLine="0" w:firstLineChars="0"/>
        <w:jc w:val="center"/>
        <w:rPr>
          <w:rFonts w:hint="eastAsia" w:eastAsia="宋体"/>
          <w:u w:val="single"/>
          <w:lang w:eastAsia="zh-CN"/>
        </w:rPr>
      </w:pPr>
      <w:r>
        <w:rPr>
          <w:rFonts w:hint="eastAsia" w:eastAsia="宋体"/>
          <w:u w:val="single"/>
          <w:lang w:eastAsia="zh-CN"/>
        </w:rPr>
        <w:drawing>
          <wp:inline distT="0" distB="0" distL="114300" distR="114300">
            <wp:extent cx="5722620" cy="4045585"/>
            <wp:effectExtent l="0" t="0" r="7620" b="8255"/>
            <wp:docPr id="32" name="图片 32" descr="排洪隧洞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排洪隧洞示意图"/>
                    <pic:cNvPicPr>
                      <a:picLocks noChangeAspect="1"/>
                    </pic:cNvPicPr>
                  </pic:nvPicPr>
                  <pic:blipFill>
                    <a:blip r:embed="rId52"/>
                    <a:stretch>
                      <a:fillRect/>
                    </a:stretch>
                  </pic:blipFill>
                  <pic:spPr>
                    <a:xfrm>
                      <a:off x="0" y="0"/>
                      <a:ext cx="5722620" cy="4045585"/>
                    </a:xfrm>
                    <a:prstGeom prst="rect">
                      <a:avLst/>
                    </a:prstGeom>
                  </pic:spPr>
                </pic:pic>
              </a:graphicData>
            </a:graphic>
          </wp:inline>
        </w:drawing>
      </w:r>
    </w:p>
    <w:p w14:paraId="09E2348E">
      <w:pPr>
        <w:pStyle w:val="40"/>
        <w:bidi w:val="0"/>
        <w:rPr>
          <w:rFonts w:hint="default"/>
          <w:color w:val="auto"/>
          <w:highlight w:val="none"/>
          <w:u w:val="single"/>
          <w:lang w:val="en-US" w:eastAsia="zh-CN"/>
        </w:rPr>
      </w:pPr>
      <w:bookmarkStart w:id="43" w:name="_Ref4081"/>
      <w:r>
        <w:rPr>
          <w:rFonts w:hint="default"/>
          <w:color w:val="auto"/>
          <w:highlight w:val="none"/>
          <w:u w:val="single"/>
          <w:lang w:val="en-US" w:eastAsia="zh-CN"/>
        </w:rPr>
        <w:t>图</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图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11</w:t>
      </w:r>
      <w:r>
        <w:rPr>
          <w:rFonts w:hint="default"/>
          <w:color w:val="auto"/>
          <w:highlight w:val="none"/>
          <w:u w:val="single"/>
          <w:lang w:val="en-US" w:eastAsia="zh-CN"/>
        </w:rPr>
        <w:fldChar w:fldCharType="end"/>
      </w:r>
      <w:bookmarkEnd w:id="43"/>
      <w:r>
        <w:rPr>
          <w:rFonts w:hint="default"/>
          <w:color w:val="auto"/>
          <w:highlight w:val="none"/>
          <w:u w:val="single"/>
          <w:lang w:val="en-US" w:eastAsia="zh-CN"/>
        </w:rPr>
        <w:t xml:space="preserve">  </w:t>
      </w:r>
      <w:r>
        <w:rPr>
          <w:rFonts w:hint="eastAsia"/>
          <w:color w:val="auto"/>
          <w:highlight w:val="none"/>
          <w:u w:val="single"/>
          <w:lang w:val="en-US" w:eastAsia="zh-CN"/>
        </w:rPr>
        <w:t>排洪隧洞示意图</w:t>
      </w:r>
    </w:p>
    <w:p w14:paraId="20E8317F">
      <w:pPr>
        <w:widowControl w:val="0"/>
        <w:bidi w:val="0"/>
        <w:spacing w:line="360" w:lineRule="auto"/>
        <w:ind w:firstLine="482" w:firstLineChars="200"/>
        <w:jc w:val="both"/>
        <w:rPr>
          <w:rFonts w:hint="default" w:ascii="Times New Roman" w:hAnsi="Times New Roman" w:eastAsia="宋体" w:cs="Times New Roman"/>
          <w:b/>
          <w:bCs/>
          <w:color w:val="auto"/>
          <w:kern w:val="2"/>
          <w:sz w:val="24"/>
          <w:highlight w:val="none"/>
          <w:u w:val="single"/>
          <w:lang w:val="en-US" w:eastAsia="zh-CN" w:bidi="ar-SA"/>
        </w:rPr>
      </w:pPr>
      <w:r>
        <w:rPr>
          <w:rFonts w:hint="eastAsia" w:cs="Times New Roman"/>
          <w:b/>
          <w:bCs/>
          <w:color w:val="auto"/>
          <w:kern w:val="2"/>
          <w:sz w:val="24"/>
          <w:highlight w:val="none"/>
          <w:u w:val="single"/>
          <w:lang w:val="en-US" w:eastAsia="zh-CN" w:bidi="ar-SA"/>
        </w:rPr>
        <w:t>隧洞内山体渗水来自大气降水及其形成的地下径流，经调查，</w:t>
      </w:r>
      <w:r>
        <w:rPr>
          <w:rFonts w:hint="eastAsia" w:ascii="Times New Roman" w:hAnsi="Times New Roman" w:eastAsia="宋体" w:cs="Times New Roman"/>
          <w:b/>
          <w:bCs/>
          <w:color w:val="auto"/>
          <w:kern w:val="2"/>
          <w:sz w:val="24"/>
          <w:highlight w:val="none"/>
          <w:u w:val="single"/>
          <w:lang w:val="en-US" w:eastAsia="zh-CN" w:bidi="ar-SA"/>
        </w:rPr>
        <w:t>隧洞内山体渗水</w:t>
      </w:r>
      <w:r>
        <w:rPr>
          <w:rFonts w:hint="eastAsia" w:cs="Times New Roman"/>
          <w:b/>
          <w:bCs/>
          <w:color w:val="auto"/>
          <w:kern w:val="2"/>
          <w:sz w:val="24"/>
          <w:highlight w:val="none"/>
          <w:u w:val="single"/>
          <w:lang w:val="en-US" w:eastAsia="zh-CN" w:bidi="ar-SA"/>
        </w:rPr>
        <w:t>锑浓度和水量如下：</w:t>
      </w:r>
    </w:p>
    <w:p w14:paraId="625037A0">
      <w:pPr>
        <w:widowControl w:val="0"/>
        <w:spacing w:line="360" w:lineRule="auto"/>
        <w:ind w:firstLine="482" w:firstLineChars="200"/>
        <w:jc w:val="both"/>
        <w:rPr>
          <w:rFonts w:hint="default" w:ascii="Times New Roman" w:hAnsi="Times New Roman" w:eastAsia="宋体" w:cs="Times New Roman"/>
          <w:b/>
          <w:bCs/>
          <w:color w:val="auto"/>
          <w:kern w:val="2"/>
          <w:sz w:val="24"/>
          <w:highlight w:val="none"/>
          <w:u w:val="single"/>
          <w:lang w:val="en-US" w:eastAsia="zh-CN" w:bidi="ar-SA"/>
        </w:rPr>
      </w:pPr>
      <w:r>
        <w:rPr>
          <w:rFonts w:hint="eastAsia" w:ascii="宋体" w:hAnsi="宋体" w:eastAsia="宋体" w:cs="宋体"/>
          <w:b/>
          <w:bCs/>
          <w:color w:val="auto"/>
          <w:kern w:val="2"/>
          <w:sz w:val="24"/>
          <w:highlight w:val="none"/>
          <w:u w:val="single"/>
          <w:lang w:val="en-US" w:eastAsia="zh-CN" w:bidi="ar-SA"/>
        </w:rPr>
        <w:t>①锑背景浓度</w:t>
      </w:r>
    </w:p>
    <w:p w14:paraId="47948003">
      <w:pPr>
        <w:widowControl w:val="0"/>
        <w:spacing w:line="360" w:lineRule="auto"/>
        <w:ind w:firstLine="482" w:firstLineChars="200"/>
        <w:jc w:val="both"/>
        <w:rPr>
          <w:rFonts w:hint="default" w:ascii="Times New Roman" w:hAnsi="Times New Roman" w:eastAsia="宋体" w:cs="Times New Roman"/>
          <w:b/>
          <w:bCs/>
          <w:color w:val="auto"/>
          <w:kern w:val="2"/>
          <w:sz w:val="24"/>
          <w:highlight w:val="none"/>
          <w:u w:val="single"/>
          <w:lang w:val="en-US" w:eastAsia="zh-CN" w:bidi="ar-SA"/>
        </w:rPr>
      </w:pPr>
      <w:r>
        <w:rPr>
          <w:rFonts w:hint="eastAsia" w:cs="Times New Roman"/>
          <w:b/>
          <w:bCs/>
          <w:color w:val="auto"/>
          <w:kern w:val="2"/>
          <w:sz w:val="24"/>
          <w:highlight w:val="none"/>
          <w:u w:val="single"/>
          <w:lang w:val="en-US" w:eastAsia="zh-CN" w:bidi="ar-SA"/>
        </w:rPr>
        <w:t>平水期</w:t>
      </w:r>
    </w:p>
    <w:p w14:paraId="5A5F9779">
      <w:pPr>
        <w:widowControl w:val="0"/>
        <w:spacing w:line="360" w:lineRule="auto"/>
        <w:ind w:firstLine="480" w:firstLineChars="200"/>
        <w:jc w:val="both"/>
        <w:rPr>
          <w:rFonts w:hint="eastAsia" w:ascii="Times New Roman" w:hAnsi="Times New Roman" w:eastAsia="宋体" w:cs="Times New Roman"/>
          <w:color w:val="auto"/>
          <w:kern w:val="2"/>
          <w:sz w:val="24"/>
          <w:highlight w:val="none"/>
          <w:u w:val="single"/>
          <w:lang w:val="en-US" w:eastAsia="zh-CN" w:bidi="ar-SA"/>
        </w:rPr>
      </w:pPr>
      <w:r>
        <w:rPr>
          <w:rFonts w:hint="eastAsia" w:ascii="Times New Roman" w:hAnsi="Times New Roman" w:eastAsia="宋体" w:cs="Times New Roman"/>
          <w:color w:val="auto"/>
          <w:kern w:val="2"/>
          <w:sz w:val="24"/>
          <w:highlight w:val="none"/>
          <w:u w:val="single"/>
          <w:lang w:val="en-US" w:eastAsia="zh-CN" w:bidi="ar-SA"/>
        </w:rPr>
        <w:t>建设单位于2021年9月对排洪隧洞中的山体渗水进行了监测，主要监测因子为锑，监测结果如下，锑浓度平均值为1.84mg/L。</w:t>
      </w:r>
    </w:p>
    <w:p w14:paraId="36E7B901">
      <w:pPr>
        <w:widowControl w:val="0"/>
        <w:bidi w:val="0"/>
        <w:spacing w:line="300" w:lineRule="auto"/>
        <w:jc w:val="center"/>
        <w:outlineLvl w:val="4"/>
        <w:rPr>
          <w:rFonts w:hint="eastAsia" w:ascii="Times New Roman" w:hAnsi="Times New Roman" w:eastAsia="黑体" w:cs="Times New Roman"/>
          <w:color w:val="auto"/>
          <w:kern w:val="2"/>
          <w:sz w:val="24"/>
          <w:highlight w:val="none"/>
          <w:u w:val="single"/>
          <w:lang w:val="en-US" w:eastAsia="zh-CN" w:bidi="ar-SA"/>
        </w:rPr>
      </w:pPr>
      <w:r>
        <w:rPr>
          <w:rFonts w:hint="default" w:ascii="Times New Roman" w:hAnsi="Times New Roman" w:eastAsia="黑体" w:cs="Times New Roman"/>
          <w:color w:val="auto"/>
          <w:kern w:val="2"/>
          <w:sz w:val="24"/>
          <w:highlight w:val="none"/>
          <w:u w:val="single"/>
          <w:lang w:val="en-US" w:eastAsia="zh-CN" w:bidi="ar-SA"/>
        </w:rPr>
        <w:t>表</w:t>
      </w:r>
      <w:r>
        <w:rPr>
          <w:rFonts w:hint="default" w:ascii="Times New Roman" w:hAnsi="Times New Roman" w:eastAsia="黑体" w:cs="Times New Roman"/>
          <w:color w:val="auto"/>
          <w:kern w:val="2"/>
          <w:sz w:val="24"/>
          <w:highlight w:val="none"/>
          <w:u w:val="single"/>
          <w:lang w:val="en-US" w:eastAsia="zh-CN" w:bidi="ar-SA"/>
        </w:rPr>
        <w:fldChar w:fldCharType="begin"/>
      </w:r>
      <w:r>
        <w:rPr>
          <w:rFonts w:hint="default" w:ascii="Times New Roman" w:hAnsi="Times New Roman" w:eastAsia="黑体" w:cs="Times New Roman"/>
          <w:color w:val="auto"/>
          <w:kern w:val="2"/>
          <w:sz w:val="24"/>
          <w:highlight w:val="none"/>
          <w:u w:val="singl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u w:val="single"/>
          <w:lang w:val="en-US" w:eastAsia="zh-CN" w:bidi="ar-SA"/>
        </w:rPr>
        <w:fldChar w:fldCharType="separate"/>
      </w:r>
      <w:r>
        <w:rPr>
          <w:rFonts w:hint="default" w:ascii="Times New Roman" w:hAnsi="Times New Roman" w:eastAsia="黑体" w:cs="Times New Roman"/>
          <w:color w:val="auto"/>
          <w:kern w:val="2"/>
          <w:sz w:val="24"/>
          <w:highlight w:val="none"/>
          <w:u w:val="single"/>
          <w:lang w:val="en-US" w:eastAsia="zh-CN" w:bidi="ar-SA"/>
        </w:rPr>
        <w:t>2.1</w:t>
      </w:r>
      <w:r>
        <w:rPr>
          <w:rFonts w:hint="default" w:ascii="Times New Roman" w:hAnsi="Times New Roman" w:eastAsia="黑体" w:cs="Times New Roman"/>
          <w:color w:val="auto"/>
          <w:kern w:val="2"/>
          <w:sz w:val="24"/>
          <w:highlight w:val="none"/>
          <w:u w:val="single"/>
          <w:lang w:val="en-US" w:eastAsia="zh-CN" w:bidi="ar-SA"/>
        </w:rPr>
        <w:fldChar w:fldCharType="end"/>
      </w:r>
      <w:r>
        <w:rPr>
          <w:rFonts w:hint="default" w:ascii="Times New Roman" w:hAnsi="Times New Roman" w:eastAsia="黑体" w:cs="Times New Roman"/>
          <w:color w:val="auto"/>
          <w:kern w:val="2"/>
          <w:sz w:val="24"/>
          <w:highlight w:val="none"/>
          <w:u w:val="single"/>
          <w:lang w:val="en-US" w:eastAsia="zh-CN" w:bidi="ar-SA"/>
        </w:rPr>
        <w:t>–</w:t>
      </w:r>
      <w:r>
        <w:rPr>
          <w:rFonts w:hint="default" w:ascii="Times New Roman" w:hAnsi="Times New Roman" w:eastAsia="黑体" w:cs="Times New Roman"/>
          <w:color w:val="auto"/>
          <w:kern w:val="2"/>
          <w:sz w:val="24"/>
          <w:highlight w:val="none"/>
          <w:u w:val="single"/>
          <w:lang w:val="en-US" w:eastAsia="zh-CN" w:bidi="ar-SA"/>
        </w:rPr>
        <w:fldChar w:fldCharType="begin"/>
      </w:r>
      <w:r>
        <w:rPr>
          <w:rFonts w:hint="default" w:ascii="Times New Roman" w:hAnsi="Times New Roman" w:eastAsia="黑体" w:cs="Times New Roman"/>
          <w:color w:val="auto"/>
          <w:kern w:val="2"/>
          <w:sz w:val="24"/>
          <w:highlight w:val="none"/>
          <w:u w:val="single"/>
          <w:lang w:val="en-US" w:eastAsia="zh-CN" w:bidi="ar-SA"/>
        </w:rPr>
        <w:instrText xml:space="preserve"> SEQ 表 \* ARABIC \s 2 </w:instrText>
      </w:r>
      <w:r>
        <w:rPr>
          <w:rFonts w:hint="default" w:ascii="Times New Roman" w:hAnsi="Times New Roman" w:eastAsia="黑体" w:cs="Times New Roman"/>
          <w:color w:val="auto"/>
          <w:kern w:val="2"/>
          <w:sz w:val="24"/>
          <w:highlight w:val="none"/>
          <w:u w:val="single"/>
          <w:lang w:val="en-US" w:eastAsia="zh-CN" w:bidi="ar-SA"/>
        </w:rPr>
        <w:fldChar w:fldCharType="separate"/>
      </w:r>
      <w:r>
        <w:rPr>
          <w:rFonts w:hint="default" w:ascii="Times New Roman" w:hAnsi="Times New Roman" w:eastAsia="黑体" w:cs="Times New Roman"/>
          <w:color w:val="auto"/>
          <w:kern w:val="2"/>
          <w:sz w:val="24"/>
          <w:highlight w:val="none"/>
          <w:u w:val="single"/>
          <w:lang w:val="en-US" w:eastAsia="zh-CN" w:bidi="ar-SA"/>
        </w:rPr>
        <w:t>32</w:t>
      </w:r>
      <w:r>
        <w:rPr>
          <w:rFonts w:hint="default" w:ascii="Times New Roman" w:hAnsi="Times New Roman" w:eastAsia="黑体" w:cs="Times New Roman"/>
          <w:color w:val="auto"/>
          <w:kern w:val="2"/>
          <w:sz w:val="24"/>
          <w:highlight w:val="none"/>
          <w:u w:val="single"/>
          <w:lang w:val="en-US" w:eastAsia="zh-CN" w:bidi="ar-SA"/>
        </w:rPr>
        <w:fldChar w:fldCharType="end"/>
      </w:r>
      <w:r>
        <w:rPr>
          <w:rFonts w:hint="default" w:ascii="Times New Roman" w:hAnsi="Times New Roman" w:eastAsia="黑体" w:cs="Times New Roman"/>
          <w:color w:val="auto"/>
          <w:kern w:val="2"/>
          <w:sz w:val="24"/>
          <w:highlight w:val="none"/>
          <w:u w:val="single"/>
          <w:lang w:val="en-US" w:eastAsia="zh-CN" w:bidi="ar-SA"/>
        </w:rPr>
        <w:t xml:space="preserve">  </w:t>
      </w:r>
      <w:r>
        <w:rPr>
          <w:rFonts w:hint="eastAsia" w:ascii="Times New Roman" w:hAnsi="Times New Roman" w:eastAsia="黑体" w:cs="Times New Roman"/>
          <w:color w:val="auto"/>
          <w:kern w:val="2"/>
          <w:sz w:val="24"/>
          <w:highlight w:val="none"/>
          <w:u w:val="single"/>
          <w:lang w:val="en-US" w:eastAsia="zh-CN" w:bidi="ar-SA"/>
        </w:rPr>
        <w:t>隧洞内山体渗水水质监测结果一览表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219"/>
        <w:gridCol w:w="1216"/>
        <w:gridCol w:w="1793"/>
        <w:gridCol w:w="1414"/>
        <w:gridCol w:w="1596"/>
      </w:tblGrid>
      <w:tr w14:paraId="3AB43E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1791" w:type="pct"/>
            <w:tcBorders>
              <w:tl2br w:val="nil"/>
              <w:tr2bl w:val="nil"/>
            </w:tcBorders>
            <w:shd w:val="clear" w:color="auto" w:fill="auto"/>
            <w:noWrap/>
            <w:vAlign w:val="center"/>
          </w:tcPr>
          <w:p w14:paraId="0AB440BE">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编号</w:t>
            </w:r>
          </w:p>
        </w:tc>
        <w:tc>
          <w:tcPr>
            <w:tcW w:w="691" w:type="pct"/>
            <w:tcBorders>
              <w:tl2br w:val="nil"/>
              <w:tr2bl w:val="nil"/>
            </w:tcBorders>
            <w:shd w:val="clear" w:color="auto" w:fill="auto"/>
            <w:noWrap/>
            <w:vAlign w:val="center"/>
          </w:tcPr>
          <w:p w14:paraId="19963893">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流量(</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default"/>
                <w:color w:val="auto"/>
                <w:highlight w:val="none"/>
                <w:u w:val="single"/>
                <w:lang w:val="en-US" w:eastAsia="zh-CN"/>
              </w:rPr>
              <w:t>/h)</w:t>
            </w:r>
          </w:p>
        </w:tc>
        <w:tc>
          <w:tcPr>
            <w:tcW w:w="770" w:type="pct"/>
            <w:tcBorders>
              <w:tl2br w:val="nil"/>
              <w:tr2bl w:val="nil"/>
            </w:tcBorders>
            <w:shd w:val="clear" w:color="auto" w:fill="auto"/>
            <w:noWrap/>
            <w:vAlign w:val="center"/>
          </w:tcPr>
          <w:p w14:paraId="3CD5861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锑浓度（mg/L）</w:t>
            </w:r>
          </w:p>
        </w:tc>
        <w:tc>
          <w:tcPr>
            <w:tcW w:w="831" w:type="pct"/>
            <w:tcBorders>
              <w:tl2br w:val="nil"/>
              <w:tr2bl w:val="nil"/>
            </w:tcBorders>
            <w:shd w:val="clear" w:color="auto" w:fill="auto"/>
            <w:vAlign w:val="center"/>
          </w:tcPr>
          <w:p w14:paraId="56EC0E61">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标准值</w:t>
            </w:r>
          </w:p>
        </w:tc>
        <w:tc>
          <w:tcPr>
            <w:tcW w:w="913" w:type="pct"/>
            <w:tcBorders>
              <w:tl2br w:val="nil"/>
              <w:tr2bl w:val="nil"/>
            </w:tcBorders>
            <w:shd w:val="clear" w:color="auto" w:fill="auto"/>
            <w:noWrap/>
            <w:vAlign w:val="center"/>
          </w:tcPr>
          <w:p w14:paraId="149AEEE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锑</w:t>
            </w:r>
            <w:r>
              <w:rPr>
                <w:rFonts w:hint="eastAsia"/>
                <w:color w:val="auto"/>
                <w:highlight w:val="none"/>
                <w:u w:val="single"/>
                <w:lang w:val="en-US" w:eastAsia="zh-CN"/>
              </w:rPr>
              <w:t>占标</w:t>
            </w:r>
            <w:r>
              <w:rPr>
                <w:rFonts w:hint="default"/>
                <w:color w:val="auto"/>
                <w:highlight w:val="none"/>
                <w:u w:val="single"/>
                <w:lang w:val="en-US" w:eastAsia="zh-CN"/>
              </w:rPr>
              <w:t>率(%)</w:t>
            </w:r>
          </w:p>
        </w:tc>
      </w:tr>
      <w:tr w14:paraId="080F16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791" w:type="pct"/>
            <w:tcBorders>
              <w:tl2br w:val="nil"/>
              <w:tr2bl w:val="nil"/>
            </w:tcBorders>
            <w:shd w:val="clear" w:color="auto" w:fill="auto"/>
            <w:noWrap/>
            <w:vAlign w:val="center"/>
          </w:tcPr>
          <w:p w14:paraId="6E7146E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6号点</w:t>
            </w:r>
          </w:p>
        </w:tc>
        <w:tc>
          <w:tcPr>
            <w:tcW w:w="691" w:type="pct"/>
            <w:tcBorders>
              <w:tl2br w:val="nil"/>
              <w:tr2bl w:val="nil"/>
            </w:tcBorders>
            <w:shd w:val="clear" w:color="auto" w:fill="auto"/>
            <w:noWrap/>
            <w:vAlign w:val="center"/>
          </w:tcPr>
          <w:p w14:paraId="02895DA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3.51</w:t>
            </w:r>
          </w:p>
        </w:tc>
        <w:tc>
          <w:tcPr>
            <w:tcW w:w="770" w:type="pct"/>
            <w:tcBorders>
              <w:tl2br w:val="nil"/>
              <w:tr2bl w:val="nil"/>
            </w:tcBorders>
            <w:shd w:val="clear" w:color="auto" w:fill="auto"/>
            <w:noWrap/>
            <w:vAlign w:val="center"/>
          </w:tcPr>
          <w:p w14:paraId="4BCF7E5A">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2.23</w:t>
            </w:r>
          </w:p>
        </w:tc>
        <w:tc>
          <w:tcPr>
            <w:tcW w:w="831" w:type="pct"/>
            <w:tcBorders>
              <w:tl2br w:val="nil"/>
              <w:tr2bl w:val="nil"/>
            </w:tcBorders>
            <w:shd w:val="clear" w:color="auto" w:fill="auto"/>
            <w:vAlign w:val="center"/>
          </w:tcPr>
          <w:p w14:paraId="1773CA6D">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031F6063">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1487</w:t>
            </w:r>
          </w:p>
        </w:tc>
      </w:tr>
      <w:tr w14:paraId="0D846F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791" w:type="pct"/>
            <w:tcBorders>
              <w:tl2br w:val="nil"/>
              <w:tr2bl w:val="nil"/>
            </w:tcBorders>
            <w:shd w:val="clear" w:color="auto" w:fill="auto"/>
            <w:noWrap/>
            <w:vAlign w:val="center"/>
          </w:tcPr>
          <w:p w14:paraId="70BD725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5号点</w:t>
            </w:r>
          </w:p>
        </w:tc>
        <w:tc>
          <w:tcPr>
            <w:tcW w:w="691" w:type="pct"/>
            <w:tcBorders>
              <w:tl2br w:val="nil"/>
              <w:tr2bl w:val="nil"/>
            </w:tcBorders>
            <w:shd w:val="clear" w:color="auto" w:fill="auto"/>
            <w:noWrap/>
            <w:vAlign w:val="center"/>
          </w:tcPr>
          <w:p w14:paraId="42B93E8D">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8.42</w:t>
            </w:r>
          </w:p>
        </w:tc>
        <w:tc>
          <w:tcPr>
            <w:tcW w:w="770" w:type="pct"/>
            <w:tcBorders>
              <w:tl2br w:val="nil"/>
              <w:tr2bl w:val="nil"/>
            </w:tcBorders>
            <w:shd w:val="clear" w:color="auto" w:fill="auto"/>
            <w:noWrap/>
            <w:vAlign w:val="center"/>
          </w:tcPr>
          <w:p w14:paraId="7AC0618E">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0.56</w:t>
            </w:r>
          </w:p>
        </w:tc>
        <w:tc>
          <w:tcPr>
            <w:tcW w:w="831" w:type="pct"/>
            <w:tcBorders>
              <w:tl2br w:val="nil"/>
              <w:tr2bl w:val="nil"/>
            </w:tcBorders>
            <w:shd w:val="clear" w:color="auto" w:fill="auto"/>
            <w:vAlign w:val="center"/>
          </w:tcPr>
          <w:p w14:paraId="75CD78B0">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2A5D569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373</w:t>
            </w:r>
          </w:p>
        </w:tc>
      </w:tr>
      <w:tr w14:paraId="6E6D80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791" w:type="pct"/>
            <w:tcBorders>
              <w:tl2br w:val="nil"/>
              <w:tr2bl w:val="nil"/>
            </w:tcBorders>
            <w:shd w:val="clear" w:color="auto" w:fill="auto"/>
            <w:noWrap/>
            <w:vAlign w:val="center"/>
          </w:tcPr>
          <w:p w14:paraId="5E65D290">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10号点</w:t>
            </w:r>
          </w:p>
        </w:tc>
        <w:tc>
          <w:tcPr>
            <w:tcW w:w="691" w:type="pct"/>
            <w:tcBorders>
              <w:tl2br w:val="nil"/>
              <w:tr2bl w:val="nil"/>
            </w:tcBorders>
            <w:shd w:val="clear" w:color="auto" w:fill="auto"/>
            <w:noWrap/>
            <w:vAlign w:val="center"/>
          </w:tcPr>
          <w:p w14:paraId="227CF736">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0.97</w:t>
            </w:r>
          </w:p>
        </w:tc>
        <w:tc>
          <w:tcPr>
            <w:tcW w:w="770" w:type="pct"/>
            <w:tcBorders>
              <w:tl2br w:val="nil"/>
              <w:tr2bl w:val="nil"/>
            </w:tcBorders>
            <w:shd w:val="clear" w:color="auto" w:fill="auto"/>
            <w:noWrap/>
            <w:vAlign w:val="center"/>
          </w:tcPr>
          <w:p w14:paraId="13FA461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2.08</w:t>
            </w:r>
          </w:p>
        </w:tc>
        <w:tc>
          <w:tcPr>
            <w:tcW w:w="831" w:type="pct"/>
            <w:tcBorders>
              <w:tl2br w:val="nil"/>
              <w:tr2bl w:val="nil"/>
            </w:tcBorders>
            <w:shd w:val="clear" w:color="auto" w:fill="auto"/>
            <w:vAlign w:val="center"/>
          </w:tcPr>
          <w:p w14:paraId="1B6C9D7B">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6CA44D7A">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1387</w:t>
            </w:r>
          </w:p>
        </w:tc>
      </w:tr>
      <w:tr w14:paraId="31D924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791" w:type="pct"/>
            <w:tcBorders>
              <w:tl2br w:val="nil"/>
              <w:tr2bl w:val="nil"/>
            </w:tcBorders>
            <w:shd w:val="clear" w:color="auto" w:fill="auto"/>
            <w:noWrap/>
            <w:vAlign w:val="center"/>
          </w:tcPr>
          <w:p w14:paraId="346EB4B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4号点</w:t>
            </w:r>
          </w:p>
        </w:tc>
        <w:tc>
          <w:tcPr>
            <w:tcW w:w="691" w:type="pct"/>
            <w:tcBorders>
              <w:tl2br w:val="nil"/>
              <w:tr2bl w:val="nil"/>
            </w:tcBorders>
            <w:shd w:val="clear" w:color="auto" w:fill="auto"/>
            <w:noWrap/>
            <w:vAlign w:val="center"/>
          </w:tcPr>
          <w:p w14:paraId="05AFC810">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5.83</w:t>
            </w:r>
          </w:p>
        </w:tc>
        <w:tc>
          <w:tcPr>
            <w:tcW w:w="770" w:type="pct"/>
            <w:tcBorders>
              <w:tl2br w:val="nil"/>
              <w:tr2bl w:val="nil"/>
            </w:tcBorders>
            <w:shd w:val="clear" w:color="auto" w:fill="auto"/>
            <w:noWrap/>
            <w:vAlign w:val="center"/>
          </w:tcPr>
          <w:p w14:paraId="0C0D0702">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4.32</w:t>
            </w:r>
          </w:p>
        </w:tc>
        <w:tc>
          <w:tcPr>
            <w:tcW w:w="831" w:type="pct"/>
            <w:tcBorders>
              <w:tl2br w:val="nil"/>
              <w:tr2bl w:val="nil"/>
            </w:tcBorders>
            <w:shd w:val="clear" w:color="auto" w:fill="auto"/>
            <w:vAlign w:val="center"/>
          </w:tcPr>
          <w:p w14:paraId="2B165060">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081B5C31">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2880</w:t>
            </w:r>
          </w:p>
        </w:tc>
      </w:tr>
      <w:tr w14:paraId="0F5790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791" w:type="pct"/>
            <w:tcBorders>
              <w:tl2br w:val="nil"/>
              <w:tr2bl w:val="nil"/>
            </w:tcBorders>
            <w:shd w:val="clear" w:color="auto" w:fill="auto"/>
            <w:noWrap/>
            <w:vAlign w:val="center"/>
          </w:tcPr>
          <w:p w14:paraId="7E36EA26">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11号点</w:t>
            </w:r>
          </w:p>
        </w:tc>
        <w:tc>
          <w:tcPr>
            <w:tcW w:w="691" w:type="pct"/>
            <w:tcBorders>
              <w:tl2br w:val="nil"/>
              <w:tr2bl w:val="nil"/>
            </w:tcBorders>
            <w:shd w:val="clear" w:color="auto" w:fill="auto"/>
            <w:noWrap/>
            <w:vAlign w:val="center"/>
          </w:tcPr>
          <w:p w14:paraId="0F2412E4">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0.25</w:t>
            </w:r>
          </w:p>
        </w:tc>
        <w:tc>
          <w:tcPr>
            <w:tcW w:w="770" w:type="pct"/>
            <w:tcBorders>
              <w:tl2br w:val="nil"/>
              <w:tr2bl w:val="nil"/>
            </w:tcBorders>
            <w:shd w:val="clear" w:color="auto" w:fill="auto"/>
            <w:noWrap/>
            <w:vAlign w:val="center"/>
          </w:tcPr>
          <w:p w14:paraId="3057B7B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0.18</w:t>
            </w:r>
          </w:p>
        </w:tc>
        <w:tc>
          <w:tcPr>
            <w:tcW w:w="831" w:type="pct"/>
            <w:tcBorders>
              <w:tl2br w:val="nil"/>
              <w:tr2bl w:val="nil"/>
            </w:tcBorders>
            <w:shd w:val="clear" w:color="auto" w:fill="auto"/>
            <w:vAlign w:val="center"/>
          </w:tcPr>
          <w:p w14:paraId="1964ADF2">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130EBBF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120</w:t>
            </w:r>
          </w:p>
        </w:tc>
      </w:tr>
      <w:tr w14:paraId="455085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791" w:type="pct"/>
            <w:tcBorders>
              <w:tl2br w:val="nil"/>
              <w:tr2bl w:val="nil"/>
            </w:tcBorders>
            <w:shd w:val="clear" w:color="auto" w:fill="auto"/>
            <w:noWrap/>
            <w:vAlign w:val="center"/>
          </w:tcPr>
          <w:p w14:paraId="6CB90C01">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3号点</w:t>
            </w:r>
          </w:p>
        </w:tc>
        <w:tc>
          <w:tcPr>
            <w:tcW w:w="691" w:type="pct"/>
            <w:tcBorders>
              <w:tl2br w:val="nil"/>
              <w:tr2bl w:val="nil"/>
            </w:tcBorders>
            <w:shd w:val="clear" w:color="auto" w:fill="auto"/>
            <w:noWrap/>
            <w:vAlign w:val="center"/>
          </w:tcPr>
          <w:p w14:paraId="0290223A">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0.11</w:t>
            </w:r>
          </w:p>
        </w:tc>
        <w:tc>
          <w:tcPr>
            <w:tcW w:w="770" w:type="pct"/>
            <w:tcBorders>
              <w:tl2br w:val="nil"/>
              <w:tr2bl w:val="nil"/>
            </w:tcBorders>
            <w:shd w:val="clear" w:color="auto" w:fill="auto"/>
            <w:noWrap/>
            <w:vAlign w:val="center"/>
          </w:tcPr>
          <w:p w14:paraId="1D7039D3">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3.09</w:t>
            </w:r>
          </w:p>
        </w:tc>
        <w:tc>
          <w:tcPr>
            <w:tcW w:w="831" w:type="pct"/>
            <w:tcBorders>
              <w:tl2br w:val="nil"/>
              <w:tr2bl w:val="nil"/>
            </w:tcBorders>
            <w:shd w:val="clear" w:color="auto" w:fill="auto"/>
            <w:vAlign w:val="center"/>
          </w:tcPr>
          <w:p w14:paraId="63946586">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369B5BB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2060</w:t>
            </w:r>
          </w:p>
        </w:tc>
      </w:tr>
      <w:tr w14:paraId="0F5610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791" w:type="pct"/>
            <w:tcBorders>
              <w:tl2br w:val="nil"/>
              <w:tr2bl w:val="nil"/>
            </w:tcBorders>
            <w:shd w:val="clear" w:color="auto" w:fill="auto"/>
            <w:noWrap/>
            <w:vAlign w:val="center"/>
          </w:tcPr>
          <w:p w14:paraId="0537AEFB">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12号点</w:t>
            </w:r>
          </w:p>
        </w:tc>
        <w:tc>
          <w:tcPr>
            <w:tcW w:w="691" w:type="pct"/>
            <w:tcBorders>
              <w:tl2br w:val="nil"/>
              <w:tr2bl w:val="nil"/>
            </w:tcBorders>
            <w:shd w:val="clear" w:color="auto" w:fill="auto"/>
            <w:noWrap/>
            <w:vAlign w:val="center"/>
          </w:tcPr>
          <w:p w14:paraId="06A72B71">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0.04</w:t>
            </w:r>
          </w:p>
        </w:tc>
        <w:tc>
          <w:tcPr>
            <w:tcW w:w="770" w:type="pct"/>
            <w:tcBorders>
              <w:tl2br w:val="nil"/>
              <w:tr2bl w:val="nil"/>
            </w:tcBorders>
            <w:shd w:val="clear" w:color="auto" w:fill="auto"/>
            <w:noWrap/>
            <w:vAlign w:val="center"/>
          </w:tcPr>
          <w:p w14:paraId="4724242B">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8.93</w:t>
            </w:r>
          </w:p>
        </w:tc>
        <w:tc>
          <w:tcPr>
            <w:tcW w:w="831" w:type="pct"/>
            <w:tcBorders>
              <w:tl2br w:val="nil"/>
              <w:tr2bl w:val="nil"/>
            </w:tcBorders>
            <w:shd w:val="clear" w:color="auto" w:fill="auto"/>
            <w:vAlign w:val="center"/>
          </w:tcPr>
          <w:p w14:paraId="7235635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40BB601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5953</w:t>
            </w:r>
          </w:p>
        </w:tc>
      </w:tr>
      <w:tr w14:paraId="2D580C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1791" w:type="pct"/>
            <w:tcBorders>
              <w:tl2br w:val="nil"/>
              <w:tr2bl w:val="nil"/>
            </w:tcBorders>
            <w:shd w:val="clear" w:color="auto" w:fill="auto"/>
            <w:noWrap/>
            <w:vAlign w:val="center"/>
          </w:tcPr>
          <w:p w14:paraId="4E7FC5B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13号点</w:t>
            </w:r>
          </w:p>
        </w:tc>
        <w:tc>
          <w:tcPr>
            <w:tcW w:w="691" w:type="pct"/>
            <w:tcBorders>
              <w:tl2br w:val="nil"/>
              <w:tr2bl w:val="nil"/>
            </w:tcBorders>
            <w:shd w:val="clear" w:color="auto" w:fill="auto"/>
            <w:noWrap/>
            <w:vAlign w:val="center"/>
          </w:tcPr>
          <w:p w14:paraId="7D5A2FF3">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0.03</w:t>
            </w:r>
          </w:p>
        </w:tc>
        <w:tc>
          <w:tcPr>
            <w:tcW w:w="770" w:type="pct"/>
            <w:tcBorders>
              <w:tl2br w:val="nil"/>
              <w:tr2bl w:val="nil"/>
            </w:tcBorders>
            <w:shd w:val="clear" w:color="auto" w:fill="auto"/>
            <w:noWrap/>
            <w:vAlign w:val="center"/>
          </w:tcPr>
          <w:p w14:paraId="011C7083">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1.77</w:t>
            </w:r>
          </w:p>
        </w:tc>
        <w:tc>
          <w:tcPr>
            <w:tcW w:w="831" w:type="pct"/>
            <w:tcBorders>
              <w:tl2br w:val="nil"/>
              <w:tr2bl w:val="nil"/>
            </w:tcBorders>
            <w:shd w:val="clear" w:color="auto" w:fill="auto"/>
            <w:vAlign w:val="center"/>
          </w:tcPr>
          <w:p w14:paraId="7007267C">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72364178">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1180</w:t>
            </w:r>
          </w:p>
        </w:tc>
      </w:tr>
      <w:tr w14:paraId="330A77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791" w:type="pct"/>
            <w:tcBorders>
              <w:tl2br w:val="nil"/>
              <w:tr2bl w:val="nil"/>
            </w:tcBorders>
            <w:shd w:val="clear" w:color="auto" w:fill="auto"/>
            <w:noWrap/>
            <w:vAlign w:val="center"/>
          </w:tcPr>
          <w:p w14:paraId="312E71C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1号点</w:t>
            </w:r>
          </w:p>
        </w:tc>
        <w:tc>
          <w:tcPr>
            <w:tcW w:w="691" w:type="pct"/>
            <w:tcBorders>
              <w:tl2br w:val="nil"/>
              <w:tr2bl w:val="nil"/>
            </w:tcBorders>
            <w:shd w:val="clear" w:color="auto" w:fill="auto"/>
            <w:noWrap/>
            <w:vAlign w:val="center"/>
          </w:tcPr>
          <w:p w14:paraId="293D8E4E">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0.05</w:t>
            </w:r>
          </w:p>
        </w:tc>
        <w:tc>
          <w:tcPr>
            <w:tcW w:w="770" w:type="pct"/>
            <w:tcBorders>
              <w:tl2br w:val="nil"/>
              <w:tr2bl w:val="nil"/>
            </w:tcBorders>
            <w:shd w:val="clear" w:color="auto" w:fill="auto"/>
            <w:noWrap/>
            <w:vAlign w:val="center"/>
          </w:tcPr>
          <w:p w14:paraId="0B0E26CE">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0.12</w:t>
            </w:r>
          </w:p>
        </w:tc>
        <w:tc>
          <w:tcPr>
            <w:tcW w:w="831" w:type="pct"/>
            <w:tcBorders>
              <w:tl2br w:val="nil"/>
              <w:tr2bl w:val="nil"/>
            </w:tcBorders>
            <w:shd w:val="clear" w:color="auto" w:fill="auto"/>
            <w:vAlign w:val="center"/>
          </w:tcPr>
          <w:p w14:paraId="028CB335">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10CEE36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80</w:t>
            </w:r>
          </w:p>
        </w:tc>
      </w:tr>
      <w:tr w14:paraId="3EDF0C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791" w:type="pct"/>
            <w:tcBorders>
              <w:tl2br w:val="nil"/>
              <w:tr2bl w:val="nil"/>
            </w:tcBorders>
            <w:shd w:val="clear" w:color="auto" w:fill="auto"/>
            <w:noWrap/>
            <w:vAlign w:val="center"/>
          </w:tcPr>
          <w:p w14:paraId="58A5AC1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14号点</w:t>
            </w:r>
          </w:p>
        </w:tc>
        <w:tc>
          <w:tcPr>
            <w:tcW w:w="691" w:type="pct"/>
            <w:tcBorders>
              <w:tl2br w:val="nil"/>
              <w:tr2bl w:val="nil"/>
            </w:tcBorders>
            <w:shd w:val="clear" w:color="auto" w:fill="auto"/>
            <w:noWrap/>
            <w:vAlign w:val="center"/>
          </w:tcPr>
          <w:p w14:paraId="55192112">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0.001</w:t>
            </w:r>
          </w:p>
        </w:tc>
        <w:tc>
          <w:tcPr>
            <w:tcW w:w="770" w:type="pct"/>
            <w:tcBorders>
              <w:tl2br w:val="nil"/>
              <w:tr2bl w:val="nil"/>
            </w:tcBorders>
            <w:shd w:val="clear" w:color="auto" w:fill="auto"/>
            <w:noWrap/>
            <w:vAlign w:val="center"/>
          </w:tcPr>
          <w:p w14:paraId="47AB3B7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1.09</w:t>
            </w:r>
          </w:p>
        </w:tc>
        <w:tc>
          <w:tcPr>
            <w:tcW w:w="831" w:type="pct"/>
            <w:tcBorders>
              <w:tl2br w:val="nil"/>
              <w:tr2bl w:val="nil"/>
            </w:tcBorders>
            <w:shd w:val="clear" w:color="auto" w:fill="auto"/>
            <w:vAlign w:val="center"/>
          </w:tcPr>
          <w:p w14:paraId="53D5B9DB">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170DD443">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727</w:t>
            </w:r>
          </w:p>
        </w:tc>
      </w:tr>
      <w:tr w14:paraId="7085EB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791" w:type="pct"/>
            <w:tcBorders>
              <w:tl2br w:val="nil"/>
              <w:tr2bl w:val="nil"/>
            </w:tcBorders>
            <w:shd w:val="clear" w:color="auto" w:fill="auto"/>
            <w:noWrap/>
            <w:vAlign w:val="center"/>
          </w:tcPr>
          <w:p w14:paraId="6657EB0B">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不明显渗漏点</w:t>
            </w:r>
            <w:r>
              <w:rPr>
                <w:rFonts w:hint="eastAsia"/>
                <w:color w:val="auto"/>
                <w:highlight w:val="none"/>
                <w:u w:val="single"/>
                <w:lang w:val="en-US" w:eastAsia="zh-CN"/>
              </w:rPr>
              <w:t>（推算值）</w:t>
            </w:r>
          </w:p>
        </w:tc>
        <w:tc>
          <w:tcPr>
            <w:tcW w:w="691" w:type="pct"/>
            <w:tcBorders>
              <w:tl2br w:val="nil"/>
              <w:tr2bl w:val="nil"/>
            </w:tcBorders>
            <w:shd w:val="clear" w:color="auto" w:fill="auto"/>
            <w:noWrap/>
            <w:vAlign w:val="center"/>
          </w:tcPr>
          <w:p w14:paraId="0896E7D3">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63.98</w:t>
            </w:r>
          </w:p>
        </w:tc>
        <w:tc>
          <w:tcPr>
            <w:tcW w:w="770" w:type="pct"/>
            <w:tcBorders>
              <w:tl2br w:val="nil"/>
              <w:tr2bl w:val="nil"/>
            </w:tcBorders>
            <w:shd w:val="clear" w:color="auto" w:fill="auto"/>
            <w:noWrap/>
            <w:vAlign w:val="center"/>
          </w:tcPr>
          <w:p w14:paraId="188E4F8B">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1.76</w:t>
            </w:r>
          </w:p>
        </w:tc>
        <w:tc>
          <w:tcPr>
            <w:tcW w:w="831" w:type="pct"/>
            <w:tcBorders>
              <w:tl2br w:val="nil"/>
              <w:tr2bl w:val="nil"/>
            </w:tcBorders>
            <w:shd w:val="clear" w:color="auto" w:fill="auto"/>
            <w:vAlign w:val="center"/>
          </w:tcPr>
          <w:p w14:paraId="032368A8">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0.15</w:t>
            </w:r>
          </w:p>
        </w:tc>
        <w:tc>
          <w:tcPr>
            <w:tcW w:w="913" w:type="pct"/>
            <w:tcBorders>
              <w:tl2br w:val="nil"/>
              <w:tr2bl w:val="nil"/>
            </w:tcBorders>
            <w:shd w:val="clear" w:color="auto" w:fill="auto"/>
            <w:noWrap/>
            <w:vAlign w:val="center"/>
          </w:tcPr>
          <w:p w14:paraId="1F23F73B">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1173</w:t>
            </w:r>
          </w:p>
        </w:tc>
      </w:tr>
    </w:tbl>
    <w:p w14:paraId="6AD8AFFF">
      <w:pPr>
        <w:widowControl w:val="0"/>
        <w:spacing w:line="360" w:lineRule="auto"/>
        <w:ind w:firstLine="480" w:firstLineChars="200"/>
        <w:jc w:val="both"/>
        <w:rPr>
          <w:rFonts w:hint="eastAsia" w:cs="Times New Roman"/>
          <w:color w:val="auto"/>
          <w:kern w:val="2"/>
          <w:sz w:val="24"/>
          <w:highlight w:val="none"/>
          <w:u w:val="single"/>
          <w:lang w:val="en-US" w:eastAsia="zh-CN" w:bidi="ar-SA"/>
        </w:rPr>
      </w:pPr>
    </w:p>
    <w:p w14:paraId="2F916CB6">
      <w:pPr>
        <w:widowControl w:val="0"/>
        <w:spacing w:line="360" w:lineRule="auto"/>
        <w:ind w:firstLine="480" w:firstLineChars="200"/>
        <w:jc w:val="both"/>
        <w:rPr>
          <w:rFonts w:hint="eastAsia" w:cs="Times New Roman"/>
          <w:color w:val="auto"/>
          <w:kern w:val="2"/>
          <w:sz w:val="24"/>
          <w:highlight w:val="none"/>
          <w:u w:val="single"/>
          <w:lang w:val="en-US" w:eastAsia="zh-CN" w:bidi="ar-SA"/>
        </w:rPr>
      </w:pPr>
      <w:r>
        <w:rPr>
          <w:rFonts w:hint="eastAsia" w:cs="Times New Roman"/>
          <w:color w:val="auto"/>
          <w:kern w:val="2"/>
          <w:sz w:val="24"/>
          <w:highlight w:val="none"/>
          <w:u w:val="single"/>
          <w:lang w:val="en-US" w:eastAsia="zh-CN" w:bidi="ar-SA"/>
        </w:rPr>
        <w:t>本论证报告引用《安化渣滓溪矿业智能化设备升级改造项目（井下充填）环境影响报告表》（下文简称“锑矿升级改造环评）”中的地表水监测数据，监测单位为湖南乾诚检测有限公司。</w:t>
      </w:r>
    </w:p>
    <w:p w14:paraId="7B8E3127">
      <w:pPr>
        <w:widowControl w:val="0"/>
        <w:spacing w:line="360" w:lineRule="auto"/>
        <w:ind w:firstLine="482" w:firstLineChars="200"/>
        <w:jc w:val="both"/>
        <w:rPr>
          <w:rFonts w:hint="eastAsia" w:cs="Times New Roman"/>
          <w:b/>
          <w:bCs/>
          <w:color w:val="auto"/>
          <w:kern w:val="2"/>
          <w:sz w:val="24"/>
          <w:highlight w:val="none"/>
          <w:u w:val="single"/>
          <w:lang w:val="en-US" w:eastAsia="zh-CN" w:bidi="ar-SA"/>
        </w:rPr>
      </w:pPr>
      <w:r>
        <w:rPr>
          <w:rFonts w:hint="eastAsia" w:cs="Times New Roman"/>
          <w:b/>
          <w:bCs/>
          <w:color w:val="auto"/>
          <w:kern w:val="2"/>
          <w:sz w:val="24"/>
          <w:highlight w:val="none"/>
          <w:u w:val="single"/>
          <w:lang w:val="en-US" w:eastAsia="zh-CN" w:bidi="ar-SA"/>
        </w:rPr>
        <w:t>丰水期</w:t>
      </w:r>
    </w:p>
    <w:p w14:paraId="2FCD1A16">
      <w:pPr>
        <w:pStyle w:val="2"/>
        <w:rPr>
          <w:rFonts w:hint="default"/>
          <w:u w:val="single"/>
          <w:lang w:val="en-US" w:eastAsia="zh-CN"/>
        </w:rPr>
      </w:pPr>
      <w:r>
        <w:rPr>
          <w:rFonts w:hint="eastAsia" w:cs="Times New Roman"/>
          <w:color w:val="auto"/>
          <w:kern w:val="2"/>
          <w:sz w:val="24"/>
          <w:highlight w:val="none"/>
          <w:u w:val="single"/>
          <w:lang w:val="en-US" w:eastAsia="zh-CN" w:bidi="ar-SA"/>
        </w:rPr>
        <w:t>由下文4.1.4章节可知，2024年6月</w:t>
      </w:r>
      <w:r>
        <w:rPr>
          <w:rFonts w:hint="eastAsia"/>
          <w:u w:val="single"/>
          <w:lang w:val="en-US" w:eastAsia="zh-CN"/>
        </w:rPr>
        <w:t>隧洞水的锑浓度为0.623</w:t>
      </w:r>
      <w:r>
        <w:rPr>
          <w:rFonts w:hint="eastAsia" w:ascii="Times New Roman" w:hAnsi="Times New Roman" w:eastAsia="宋体" w:cs="Times New Roman"/>
          <w:color w:val="auto"/>
          <w:kern w:val="2"/>
          <w:sz w:val="24"/>
          <w:highlight w:val="none"/>
          <w:u w:val="single"/>
          <w:lang w:val="en-US" w:eastAsia="zh-CN" w:bidi="ar-SA"/>
        </w:rPr>
        <w:t>mg/L。</w:t>
      </w:r>
    </w:p>
    <w:p w14:paraId="5870E0D6">
      <w:pPr>
        <w:widowControl w:val="0"/>
        <w:spacing w:line="360" w:lineRule="auto"/>
        <w:ind w:firstLine="482" w:firstLineChars="200"/>
        <w:jc w:val="both"/>
        <w:rPr>
          <w:rFonts w:hint="default" w:ascii="Times New Roman" w:hAnsi="Times New Roman" w:eastAsia="宋体" w:cs="Times New Roman"/>
          <w:b/>
          <w:bCs/>
          <w:color w:val="auto"/>
          <w:kern w:val="2"/>
          <w:sz w:val="24"/>
          <w:highlight w:val="none"/>
          <w:u w:val="single"/>
          <w:lang w:val="en-US" w:eastAsia="zh-CN" w:bidi="ar-SA"/>
        </w:rPr>
      </w:pPr>
      <w:r>
        <w:rPr>
          <w:rFonts w:hint="eastAsia" w:cs="Times New Roman"/>
          <w:b/>
          <w:bCs/>
          <w:color w:val="auto"/>
          <w:kern w:val="2"/>
          <w:sz w:val="24"/>
          <w:highlight w:val="none"/>
          <w:u w:val="single"/>
          <w:lang w:val="en-US" w:eastAsia="zh-CN" w:bidi="ar-SA"/>
        </w:rPr>
        <w:t>枯水期</w:t>
      </w:r>
    </w:p>
    <w:p w14:paraId="5399DA78">
      <w:pPr>
        <w:widowControl w:val="0"/>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eastAsia" w:ascii="Times New Roman" w:hAnsi="Times New Roman" w:eastAsia="宋体" w:cs="Times New Roman"/>
          <w:color w:val="auto"/>
          <w:kern w:val="2"/>
          <w:sz w:val="24"/>
          <w:highlight w:val="none"/>
          <w:u w:val="single"/>
          <w:lang w:val="en-US" w:eastAsia="zh-CN" w:bidi="ar-SA"/>
        </w:rPr>
        <w:t>由下文4.1.</w:t>
      </w:r>
      <w:r>
        <w:rPr>
          <w:rFonts w:hint="eastAsia" w:cs="Times New Roman"/>
          <w:color w:val="auto"/>
          <w:kern w:val="2"/>
          <w:sz w:val="24"/>
          <w:highlight w:val="none"/>
          <w:u w:val="single"/>
          <w:lang w:val="en-US" w:eastAsia="zh-CN" w:bidi="ar-SA"/>
        </w:rPr>
        <w:t>5</w:t>
      </w:r>
      <w:r>
        <w:rPr>
          <w:rFonts w:hint="eastAsia" w:ascii="Times New Roman" w:hAnsi="Times New Roman" w:eastAsia="宋体" w:cs="Times New Roman"/>
          <w:color w:val="auto"/>
          <w:kern w:val="2"/>
          <w:sz w:val="24"/>
          <w:highlight w:val="none"/>
          <w:u w:val="single"/>
          <w:lang w:val="en-US" w:eastAsia="zh-CN" w:bidi="ar-SA"/>
        </w:rPr>
        <w:t>章节可知，2024年</w:t>
      </w:r>
      <w:r>
        <w:rPr>
          <w:rFonts w:hint="eastAsia" w:cs="Times New Roman"/>
          <w:color w:val="auto"/>
          <w:kern w:val="2"/>
          <w:sz w:val="24"/>
          <w:highlight w:val="none"/>
          <w:u w:val="single"/>
          <w:lang w:val="en-US" w:eastAsia="zh-CN" w:bidi="ar-SA"/>
        </w:rPr>
        <w:t>11</w:t>
      </w:r>
      <w:r>
        <w:rPr>
          <w:rFonts w:hint="eastAsia" w:ascii="Times New Roman" w:hAnsi="Times New Roman" w:eastAsia="宋体" w:cs="Times New Roman"/>
          <w:color w:val="auto"/>
          <w:kern w:val="2"/>
          <w:sz w:val="24"/>
          <w:highlight w:val="none"/>
          <w:u w:val="single"/>
          <w:lang w:val="en-US" w:eastAsia="zh-CN" w:bidi="ar-SA"/>
        </w:rPr>
        <w:t>月隧洞水的锑</w:t>
      </w:r>
      <w:r>
        <w:rPr>
          <w:rFonts w:hint="eastAsia" w:cs="Times New Roman"/>
          <w:color w:val="auto"/>
          <w:kern w:val="2"/>
          <w:sz w:val="24"/>
          <w:highlight w:val="none"/>
          <w:u w:val="single"/>
          <w:lang w:val="en-US" w:eastAsia="zh-CN" w:bidi="ar-SA"/>
        </w:rPr>
        <w:t>平均</w:t>
      </w:r>
      <w:r>
        <w:rPr>
          <w:rFonts w:hint="eastAsia" w:ascii="Times New Roman" w:hAnsi="Times New Roman" w:eastAsia="宋体" w:cs="Times New Roman"/>
          <w:color w:val="auto"/>
          <w:kern w:val="2"/>
          <w:sz w:val="24"/>
          <w:highlight w:val="none"/>
          <w:u w:val="single"/>
          <w:lang w:val="en-US" w:eastAsia="zh-CN" w:bidi="ar-SA"/>
        </w:rPr>
        <w:t>浓度为</w:t>
      </w:r>
      <w:r>
        <w:rPr>
          <w:rFonts w:hint="eastAsia" w:cs="Times New Roman"/>
          <w:color w:val="auto"/>
          <w:kern w:val="2"/>
          <w:sz w:val="24"/>
          <w:highlight w:val="none"/>
          <w:u w:val="single"/>
          <w:lang w:val="en-US" w:eastAsia="zh-CN" w:bidi="ar-SA"/>
        </w:rPr>
        <w:t>1</w:t>
      </w:r>
      <w:r>
        <w:rPr>
          <w:rFonts w:hint="eastAsia" w:ascii="Times New Roman" w:hAnsi="Times New Roman" w:eastAsia="宋体" w:cs="Times New Roman"/>
          <w:color w:val="auto"/>
          <w:kern w:val="2"/>
          <w:sz w:val="24"/>
          <w:highlight w:val="none"/>
          <w:u w:val="single"/>
          <w:lang w:val="en-US" w:eastAsia="zh-CN" w:bidi="ar-SA"/>
        </w:rPr>
        <w:t>.</w:t>
      </w:r>
      <w:r>
        <w:rPr>
          <w:rFonts w:hint="eastAsia" w:cs="Times New Roman"/>
          <w:color w:val="auto"/>
          <w:kern w:val="2"/>
          <w:sz w:val="24"/>
          <w:highlight w:val="none"/>
          <w:u w:val="single"/>
          <w:lang w:val="en-US" w:eastAsia="zh-CN" w:bidi="ar-SA"/>
        </w:rPr>
        <w:t>51</w:t>
      </w:r>
      <w:r>
        <w:rPr>
          <w:rFonts w:hint="eastAsia" w:ascii="Times New Roman" w:hAnsi="Times New Roman" w:eastAsia="宋体" w:cs="Times New Roman"/>
          <w:color w:val="auto"/>
          <w:kern w:val="2"/>
          <w:sz w:val="24"/>
          <w:highlight w:val="none"/>
          <w:u w:val="single"/>
          <w:lang w:val="en-US" w:eastAsia="zh-CN" w:bidi="ar-SA"/>
        </w:rPr>
        <w:t>mg/L。</w:t>
      </w:r>
    </w:p>
    <w:p w14:paraId="61E3655E">
      <w:pPr>
        <w:pStyle w:val="28"/>
        <w:bidi w:val="0"/>
        <w:rPr>
          <w:rFonts w:hint="eastAsia"/>
          <w:color w:val="auto"/>
          <w:highlight w:val="none"/>
          <w:u w:val="single"/>
          <w:lang w:val="en-US" w:eastAsia="zh-CN"/>
        </w:rPr>
      </w:pPr>
      <w:r>
        <w:rPr>
          <w:rFonts w:hint="default"/>
          <w:color w:val="auto"/>
          <w:highlight w:val="none"/>
          <w:u w:val="single"/>
          <w:lang w:val="en-US" w:eastAsia="zh-CN"/>
        </w:rPr>
        <w:t>表</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表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33</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w:t>
      </w:r>
      <w:r>
        <w:rPr>
          <w:rFonts w:hint="eastAsia"/>
          <w:color w:val="auto"/>
          <w:highlight w:val="none"/>
          <w:u w:val="single"/>
          <w:lang w:val="en-US" w:eastAsia="zh-CN"/>
        </w:rPr>
        <w:t>隧洞内山体渗水锑浓度一览表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756"/>
        <w:gridCol w:w="3874"/>
        <w:gridCol w:w="2608"/>
      </w:tblGrid>
      <w:tr w14:paraId="65B83C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6" w:hRule="atLeast"/>
        </w:trPr>
        <w:tc>
          <w:tcPr>
            <w:tcW w:w="1491" w:type="pct"/>
            <w:tcBorders>
              <w:tl2br w:val="nil"/>
              <w:tr2bl w:val="nil"/>
            </w:tcBorders>
            <w:shd w:val="clear" w:color="auto" w:fill="auto"/>
            <w:noWrap/>
            <w:vAlign w:val="center"/>
          </w:tcPr>
          <w:p w14:paraId="47F8FD42">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季节</w:t>
            </w:r>
          </w:p>
        </w:tc>
        <w:tc>
          <w:tcPr>
            <w:tcW w:w="2096" w:type="pct"/>
            <w:tcBorders>
              <w:tl2br w:val="nil"/>
              <w:tr2bl w:val="nil"/>
            </w:tcBorders>
            <w:shd w:val="clear" w:color="auto" w:fill="auto"/>
            <w:noWrap/>
            <w:vAlign w:val="center"/>
          </w:tcPr>
          <w:p w14:paraId="42E3F0FF">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编号</w:t>
            </w:r>
          </w:p>
        </w:tc>
        <w:tc>
          <w:tcPr>
            <w:tcW w:w="1411" w:type="pct"/>
            <w:tcBorders>
              <w:tl2br w:val="nil"/>
              <w:tr2bl w:val="nil"/>
            </w:tcBorders>
            <w:shd w:val="clear" w:color="auto" w:fill="auto"/>
            <w:noWrap/>
            <w:vAlign w:val="center"/>
          </w:tcPr>
          <w:p w14:paraId="05A114D5">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锑浓度</w:t>
            </w:r>
          </w:p>
          <w:p w14:paraId="3BBE4B67">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（mg/L）</w:t>
            </w:r>
          </w:p>
        </w:tc>
      </w:tr>
      <w:tr w14:paraId="2DF93B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1491" w:type="pct"/>
            <w:tcBorders>
              <w:tl2br w:val="nil"/>
              <w:tr2bl w:val="nil"/>
            </w:tcBorders>
            <w:shd w:val="clear" w:color="auto" w:fill="auto"/>
            <w:noWrap/>
            <w:vAlign w:val="center"/>
          </w:tcPr>
          <w:p w14:paraId="5C23E976">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枯水期</w:t>
            </w:r>
          </w:p>
        </w:tc>
        <w:tc>
          <w:tcPr>
            <w:tcW w:w="2096" w:type="pct"/>
            <w:tcBorders>
              <w:tl2br w:val="nil"/>
              <w:tr2bl w:val="nil"/>
            </w:tcBorders>
            <w:shd w:val="clear" w:color="auto" w:fill="auto"/>
            <w:noWrap/>
            <w:vAlign w:val="center"/>
          </w:tcPr>
          <w:p w14:paraId="20DE46AC">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隧洞山体渗水</w:t>
            </w:r>
          </w:p>
        </w:tc>
        <w:tc>
          <w:tcPr>
            <w:tcW w:w="1411" w:type="pct"/>
            <w:tcBorders>
              <w:tl2br w:val="nil"/>
              <w:tr2bl w:val="nil"/>
            </w:tcBorders>
            <w:shd w:val="clear" w:color="auto" w:fill="auto"/>
            <w:noWrap/>
            <w:vAlign w:val="center"/>
          </w:tcPr>
          <w:p w14:paraId="4187DF46">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1.51</w:t>
            </w:r>
          </w:p>
        </w:tc>
      </w:tr>
      <w:tr w14:paraId="4F9038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1491" w:type="pct"/>
            <w:tcBorders>
              <w:tl2br w:val="nil"/>
              <w:tr2bl w:val="nil"/>
            </w:tcBorders>
            <w:shd w:val="clear" w:color="auto" w:fill="auto"/>
            <w:noWrap/>
            <w:vAlign w:val="center"/>
          </w:tcPr>
          <w:p w14:paraId="3D0A498E">
            <w:pPr>
              <w:pStyle w:val="26"/>
              <w:keepNext w:val="0"/>
              <w:keepLines w:val="0"/>
              <w:suppressLineNumbers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平水期</w:t>
            </w:r>
          </w:p>
        </w:tc>
        <w:tc>
          <w:tcPr>
            <w:tcW w:w="2096" w:type="pct"/>
            <w:tcBorders>
              <w:tl2br w:val="nil"/>
              <w:tr2bl w:val="nil"/>
            </w:tcBorders>
            <w:shd w:val="clear" w:color="auto" w:fill="auto"/>
            <w:noWrap/>
            <w:vAlign w:val="center"/>
          </w:tcPr>
          <w:p w14:paraId="32ED9AF1">
            <w:pPr>
              <w:pStyle w:val="26"/>
              <w:keepNext w:val="0"/>
              <w:keepLines w:val="0"/>
              <w:suppressLineNumbers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隧洞山体渗水</w:t>
            </w:r>
          </w:p>
        </w:tc>
        <w:tc>
          <w:tcPr>
            <w:tcW w:w="1411" w:type="pct"/>
            <w:tcBorders>
              <w:tl2br w:val="nil"/>
              <w:tr2bl w:val="nil"/>
            </w:tcBorders>
            <w:shd w:val="clear" w:color="auto" w:fill="auto"/>
            <w:noWrap/>
            <w:vAlign w:val="center"/>
          </w:tcPr>
          <w:p w14:paraId="2D45DBDD">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1.84</w:t>
            </w:r>
          </w:p>
        </w:tc>
      </w:tr>
      <w:tr w14:paraId="73F003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491" w:type="pct"/>
            <w:tcBorders>
              <w:tl2br w:val="nil"/>
              <w:tr2bl w:val="nil"/>
            </w:tcBorders>
            <w:shd w:val="clear" w:color="auto" w:fill="auto"/>
            <w:noWrap/>
            <w:vAlign w:val="center"/>
          </w:tcPr>
          <w:p w14:paraId="47E89770">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丰水期</w:t>
            </w:r>
          </w:p>
        </w:tc>
        <w:tc>
          <w:tcPr>
            <w:tcW w:w="2096" w:type="pct"/>
            <w:tcBorders>
              <w:tl2br w:val="nil"/>
              <w:tr2bl w:val="nil"/>
            </w:tcBorders>
            <w:shd w:val="clear" w:color="auto" w:fill="auto"/>
            <w:noWrap/>
            <w:vAlign w:val="center"/>
          </w:tcPr>
          <w:p w14:paraId="179CCE84">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隧洞山体渗水</w:t>
            </w:r>
          </w:p>
        </w:tc>
        <w:tc>
          <w:tcPr>
            <w:tcW w:w="1411" w:type="pct"/>
            <w:tcBorders>
              <w:tl2br w:val="nil"/>
              <w:tr2bl w:val="nil"/>
            </w:tcBorders>
            <w:shd w:val="clear" w:color="auto" w:fill="auto"/>
            <w:noWrap/>
            <w:vAlign w:val="center"/>
          </w:tcPr>
          <w:p w14:paraId="7B7A2DAC">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0.623</w:t>
            </w:r>
          </w:p>
        </w:tc>
      </w:tr>
    </w:tbl>
    <w:p w14:paraId="547F8DED">
      <w:pPr>
        <w:widowControl w:val="0"/>
        <w:spacing w:line="360" w:lineRule="auto"/>
        <w:ind w:firstLine="480" w:firstLineChars="200"/>
        <w:jc w:val="both"/>
        <w:rPr>
          <w:rFonts w:hint="eastAsia" w:ascii="宋体" w:hAnsi="宋体" w:eastAsia="宋体" w:cs="宋体"/>
          <w:b w:val="0"/>
          <w:bCs w:val="0"/>
          <w:color w:val="auto"/>
          <w:kern w:val="2"/>
          <w:sz w:val="24"/>
          <w:highlight w:val="none"/>
          <w:u w:val="single"/>
          <w:lang w:val="en-US" w:eastAsia="zh-CN" w:bidi="ar-SA"/>
        </w:rPr>
      </w:pPr>
    </w:p>
    <w:p w14:paraId="3F109634">
      <w:pPr>
        <w:widowControl w:val="0"/>
        <w:spacing w:line="360" w:lineRule="auto"/>
        <w:ind w:firstLine="480" w:firstLineChars="200"/>
        <w:jc w:val="both"/>
        <w:rPr>
          <w:rFonts w:hint="default" w:ascii="Times New Roman" w:hAnsi="Times New Roman" w:eastAsia="宋体" w:cs="Times New Roman"/>
          <w:b w:val="0"/>
          <w:bCs w:val="0"/>
          <w:color w:val="auto"/>
          <w:kern w:val="2"/>
          <w:sz w:val="24"/>
          <w:highlight w:val="none"/>
          <w:u w:val="single"/>
          <w:lang w:val="en-US" w:eastAsia="zh-CN" w:bidi="ar-SA"/>
        </w:rPr>
      </w:pPr>
      <w:r>
        <w:rPr>
          <w:rFonts w:hint="eastAsia" w:ascii="宋体" w:hAnsi="宋体" w:eastAsia="宋体" w:cs="宋体"/>
          <w:b w:val="0"/>
          <w:bCs w:val="0"/>
          <w:color w:val="auto"/>
          <w:kern w:val="2"/>
          <w:sz w:val="24"/>
          <w:highlight w:val="none"/>
          <w:u w:val="single"/>
          <w:lang w:val="en-US" w:eastAsia="zh-CN" w:bidi="ar-SA"/>
        </w:rPr>
        <w:t>②</w:t>
      </w:r>
      <w:r>
        <w:rPr>
          <w:rFonts w:hint="eastAsia" w:cs="Times New Roman"/>
          <w:b w:val="0"/>
          <w:bCs w:val="0"/>
          <w:color w:val="auto"/>
          <w:kern w:val="2"/>
          <w:sz w:val="24"/>
          <w:highlight w:val="none"/>
          <w:u w:val="single"/>
          <w:lang w:val="en-US" w:eastAsia="zh-CN" w:bidi="ar-SA"/>
        </w:rPr>
        <w:t>水量</w:t>
      </w:r>
    </w:p>
    <w:p w14:paraId="216360D9">
      <w:pPr>
        <w:pStyle w:val="2"/>
        <w:bidi w:val="0"/>
        <w:rPr>
          <w:rFonts w:hint="default"/>
          <w:color w:val="auto"/>
          <w:highlight w:val="none"/>
          <w:u w:val="single"/>
          <w:lang w:eastAsia="zh-CN"/>
        </w:rPr>
      </w:pPr>
      <w:r>
        <w:rPr>
          <w:rFonts w:hint="eastAsia" w:ascii="Times New Roman" w:hAnsi="Times New Roman" w:eastAsia="宋体" w:cs="Times New Roman"/>
          <w:color w:val="auto"/>
          <w:kern w:val="2"/>
          <w:sz w:val="24"/>
          <w:highlight w:val="none"/>
          <w:u w:val="single"/>
          <w:lang w:val="en-US" w:eastAsia="zh-CN" w:bidi="ar-SA"/>
        </w:rPr>
        <w:t>为计算排洪隧洞中的山体渗水产生量，考虑到山体渗水与降雨量正相关，而地表径流量也与降雨量正相关。</w:t>
      </w:r>
      <w:r>
        <w:rPr>
          <w:rFonts w:hint="default"/>
          <w:color w:val="auto"/>
          <w:highlight w:val="none"/>
          <w:u w:val="single"/>
        </w:rPr>
        <w:t>本报告通过比拟法</w:t>
      </w:r>
      <w:r>
        <w:rPr>
          <w:rFonts w:hint="default"/>
          <w:color w:val="auto"/>
          <w:highlight w:val="none"/>
          <w:u w:val="single"/>
          <w:lang w:val="en-US" w:eastAsia="zh-CN"/>
        </w:rPr>
        <w:t>，</w:t>
      </w:r>
      <w:r>
        <w:rPr>
          <w:rFonts w:hint="default"/>
          <w:color w:val="auto"/>
          <w:highlight w:val="none"/>
          <w:u w:val="single"/>
        </w:rPr>
        <w:t>并采用多年平均</w:t>
      </w:r>
      <w:r>
        <w:rPr>
          <w:rFonts w:hint="eastAsia"/>
          <w:color w:val="auto"/>
          <w:highlight w:val="none"/>
          <w:u w:val="single"/>
          <w:lang w:val="en-US" w:eastAsia="zh-CN"/>
        </w:rPr>
        <w:t>径流量</w:t>
      </w:r>
      <w:r>
        <w:rPr>
          <w:rFonts w:hint="default"/>
          <w:color w:val="auto"/>
          <w:highlight w:val="none"/>
          <w:u w:val="single"/>
        </w:rPr>
        <w:t>进行修正</w:t>
      </w:r>
      <w:r>
        <w:rPr>
          <w:rFonts w:hint="default"/>
          <w:color w:val="auto"/>
          <w:highlight w:val="none"/>
          <w:u w:val="single"/>
          <w:lang w:eastAsia="zh-CN"/>
        </w:rPr>
        <w:t>，</w:t>
      </w:r>
      <w:r>
        <w:rPr>
          <w:rFonts w:hint="default"/>
          <w:color w:val="auto"/>
          <w:highlight w:val="none"/>
          <w:u w:val="single"/>
          <w:lang w:val="en-US" w:eastAsia="zh-CN"/>
        </w:rPr>
        <w:t>推算</w:t>
      </w:r>
      <w:r>
        <w:rPr>
          <w:rFonts w:hint="eastAsia"/>
          <w:color w:val="auto"/>
          <w:highlight w:val="none"/>
          <w:u w:val="single"/>
          <w:lang w:val="en-US" w:eastAsia="zh-CN"/>
        </w:rPr>
        <w:t>各月山体渗水产生量</w:t>
      </w:r>
      <w:r>
        <w:rPr>
          <w:rFonts w:hint="default"/>
          <w:color w:val="auto"/>
          <w:highlight w:val="none"/>
          <w:u w:val="single"/>
          <w:lang w:eastAsia="zh-CN"/>
        </w:rPr>
        <w:t>。</w:t>
      </w:r>
      <w:r>
        <w:rPr>
          <w:rFonts w:hint="default"/>
          <w:color w:val="auto"/>
          <w:highlight w:val="none"/>
          <w:u w:val="single"/>
          <w:lang w:val="en-US" w:eastAsia="zh-CN"/>
        </w:rPr>
        <w:t>本次评价采用</w:t>
      </w:r>
      <w:r>
        <w:rPr>
          <w:rFonts w:hint="eastAsia"/>
          <w:color w:val="auto"/>
          <w:highlight w:val="none"/>
          <w:u w:val="single"/>
          <w:lang w:val="en-US" w:eastAsia="zh-CN"/>
        </w:rPr>
        <w:t>距离项目选址30km处的梧桐水文站作为</w:t>
      </w:r>
      <w:r>
        <w:rPr>
          <w:rFonts w:hint="default"/>
          <w:color w:val="auto"/>
          <w:highlight w:val="none"/>
          <w:u w:val="single"/>
        </w:rPr>
        <w:t>参证站</w:t>
      </w:r>
      <w:r>
        <w:rPr>
          <w:rFonts w:hint="default"/>
          <w:color w:val="auto"/>
          <w:highlight w:val="none"/>
          <w:u w:val="single"/>
          <w:lang w:eastAsia="zh-CN"/>
        </w:rPr>
        <w:t>，</w:t>
      </w:r>
      <w:r>
        <w:rPr>
          <w:rFonts w:hint="default"/>
          <w:color w:val="auto"/>
          <w:highlight w:val="none"/>
          <w:u w:val="single"/>
          <w:lang w:val="en-US" w:eastAsia="zh-CN"/>
        </w:rPr>
        <w:t>梧桐水文站集雨面积为</w:t>
      </w:r>
      <w:r>
        <w:rPr>
          <w:rFonts w:hint="eastAsia"/>
          <w:color w:val="auto"/>
          <w:highlight w:val="none"/>
          <w:u w:val="single"/>
          <w:lang w:val="en-US" w:eastAsia="zh-CN"/>
        </w:rPr>
        <w:t>57</w:t>
      </w:r>
      <w:r>
        <w:rPr>
          <w:rFonts w:hint="default"/>
          <w:color w:val="auto"/>
          <w:highlight w:val="none"/>
          <w:u w:val="single"/>
          <w:lang w:val="en-US" w:eastAsia="zh-CN"/>
        </w:rPr>
        <w:t>0</w:t>
      </w:r>
      <w:r>
        <w:rPr>
          <w:rFonts w:hint="default"/>
          <w:color w:val="auto"/>
          <w:highlight w:val="none"/>
          <w:u w:val="single"/>
        </w:rPr>
        <w:t>k</w:t>
      </w:r>
      <w:r>
        <w:rPr>
          <w:rFonts w:hint="eastAsia"/>
          <w:color w:val="auto"/>
          <w:highlight w:val="none"/>
          <w:u w:val="single"/>
          <w:lang w:eastAsia="zh-CN"/>
        </w:rPr>
        <w:t>m</w:t>
      </w:r>
      <w:r>
        <w:rPr>
          <w:rFonts w:hint="eastAsia"/>
          <w:color w:val="auto"/>
          <w:highlight w:val="none"/>
          <w:u w:val="single"/>
          <w:vertAlign w:val="superscript"/>
          <w:lang w:eastAsia="zh-CN"/>
        </w:rPr>
        <w:t>2</w:t>
      </w:r>
      <w:r>
        <w:rPr>
          <w:rFonts w:hint="default"/>
          <w:color w:val="auto"/>
          <w:highlight w:val="none"/>
          <w:u w:val="single"/>
          <w:lang w:val="en-US" w:eastAsia="zh-CN"/>
        </w:rPr>
        <w:t>；</w:t>
      </w:r>
      <w:r>
        <w:rPr>
          <w:rFonts w:hint="eastAsia"/>
          <w:color w:val="auto"/>
          <w:highlight w:val="none"/>
          <w:u w:val="single"/>
          <w:lang w:val="en-US" w:eastAsia="zh-CN"/>
        </w:rPr>
        <w:t>该</w:t>
      </w:r>
      <w:r>
        <w:rPr>
          <w:rFonts w:hint="default"/>
          <w:color w:val="auto"/>
          <w:highlight w:val="none"/>
          <w:u w:val="single"/>
          <w:lang w:val="en-US" w:eastAsia="zh-CN"/>
        </w:rPr>
        <w:t>区域</w:t>
      </w:r>
      <w:r>
        <w:rPr>
          <w:rFonts w:hint="eastAsia"/>
          <w:color w:val="auto"/>
          <w:highlight w:val="none"/>
          <w:u w:val="single"/>
          <w:lang w:val="en-US" w:eastAsia="zh-CN"/>
        </w:rPr>
        <w:t>与本项目区域的</w:t>
      </w:r>
      <w:r>
        <w:rPr>
          <w:rFonts w:hint="default"/>
          <w:color w:val="auto"/>
          <w:highlight w:val="none"/>
          <w:u w:val="single"/>
          <w:lang w:val="en-US" w:eastAsia="zh-CN"/>
        </w:rPr>
        <w:t>下垫面条件相近</w:t>
      </w:r>
      <w:r>
        <w:rPr>
          <w:rFonts w:hint="eastAsia"/>
          <w:color w:val="auto"/>
          <w:highlight w:val="none"/>
          <w:u w:val="single"/>
          <w:lang w:val="en-US" w:eastAsia="zh-CN"/>
        </w:rPr>
        <w:t>，</w:t>
      </w:r>
      <w:r>
        <w:rPr>
          <w:rFonts w:hint="default"/>
          <w:color w:val="auto"/>
          <w:highlight w:val="none"/>
          <w:u w:val="single"/>
          <w:lang w:val="en-US" w:eastAsia="zh-CN"/>
        </w:rPr>
        <w:t>降水条件</w:t>
      </w:r>
      <w:r>
        <w:rPr>
          <w:rFonts w:hint="eastAsia"/>
          <w:color w:val="auto"/>
          <w:highlight w:val="none"/>
          <w:u w:val="single"/>
          <w:lang w:val="en-US" w:eastAsia="zh-CN"/>
        </w:rPr>
        <w:t>相近</w:t>
      </w:r>
      <w:r>
        <w:rPr>
          <w:rFonts w:hint="default"/>
          <w:color w:val="auto"/>
          <w:highlight w:val="none"/>
          <w:u w:val="single"/>
          <w:lang w:val="en-US" w:eastAsia="zh-CN"/>
        </w:rPr>
        <w:t>。因此，</w:t>
      </w:r>
      <w:r>
        <w:rPr>
          <w:rFonts w:hint="default"/>
          <w:color w:val="auto"/>
          <w:highlight w:val="none"/>
          <w:u w:val="single"/>
        </w:rPr>
        <w:t>以</w:t>
      </w:r>
      <w:r>
        <w:rPr>
          <w:rFonts w:hint="default"/>
          <w:color w:val="auto"/>
          <w:highlight w:val="none"/>
          <w:u w:val="single"/>
          <w:lang w:val="en-US" w:eastAsia="zh-CN"/>
        </w:rPr>
        <w:t>梧桐</w:t>
      </w:r>
      <w:r>
        <w:rPr>
          <w:rFonts w:hint="default"/>
          <w:color w:val="auto"/>
          <w:highlight w:val="none"/>
          <w:u w:val="single"/>
          <w:lang w:eastAsia="zh-CN"/>
        </w:rPr>
        <w:t>水文站</w:t>
      </w:r>
      <w:r>
        <w:rPr>
          <w:rFonts w:hint="eastAsia"/>
          <w:color w:val="auto"/>
          <w:highlight w:val="none"/>
          <w:u w:val="single"/>
          <w:lang w:val="en-US" w:eastAsia="zh-CN"/>
        </w:rPr>
        <w:t>为参证站是可行的。</w:t>
      </w:r>
    </w:p>
    <w:p w14:paraId="79CEE015">
      <w:pPr>
        <w:pStyle w:val="2"/>
        <w:bidi w:val="0"/>
        <w:rPr>
          <w:rFonts w:hint="default"/>
          <w:color w:val="auto"/>
          <w:highlight w:val="none"/>
          <w:u w:val="single"/>
        </w:rPr>
      </w:pPr>
      <w:r>
        <w:rPr>
          <w:rFonts w:hint="default" w:ascii="Times New Roman" w:hAnsi="Times New Roman" w:eastAsia="宋体" w:cs="Times New Roman"/>
          <w:color w:val="auto"/>
          <w:kern w:val="0"/>
          <w:position w:val="-12"/>
          <w:szCs w:val="24"/>
          <w:highlight w:val="none"/>
          <w:u w:val="single"/>
        </w:rPr>
        <w:object>
          <v:shape id="_x0000_i1035" o:spt="75" type="#_x0000_t75" style="height:22.5pt;width:107.65pt;" o:ole="t" filled="f" o:preferrelative="t" stroked="f" coordsize="21600,21600">
            <v:path/>
            <v:fill on="f" focussize="0,0"/>
            <v:stroke on="f"/>
            <v:imagedata r:id="rId54" o:title=""/>
            <o:lock v:ext="edit" aspectratio="t"/>
            <w10:wrap type="none"/>
            <w10:anchorlock/>
          </v:shape>
          <o:OLEObject Type="Embed" ProgID="Equation.3" ShapeID="_x0000_i1035" DrawAspect="Content" ObjectID="_1468075735" r:id="rId53">
            <o:LockedField>false</o:LockedField>
          </o:OLEObject>
        </w:object>
      </w:r>
    </w:p>
    <w:p w14:paraId="10C097D3">
      <w:pPr>
        <w:pStyle w:val="2"/>
        <w:bidi w:val="0"/>
        <w:rPr>
          <w:rFonts w:hint="default"/>
          <w:color w:val="auto"/>
          <w:highlight w:val="none"/>
          <w:u w:val="single"/>
        </w:rPr>
      </w:pPr>
      <w:r>
        <w:rPr>
          <w:rFonts w:hint="default"/>
          <w:color w:val="auto"/>
          <w:highlight w:val="none"/>
          <w:u w:val="single"/>
        </w:rPr>
        <w:t>式中：Q</w:t>
      </w:r>
      <w:r>
        <w:rPr>
          <w:rFonts w:hint="eastAsia"/>
          <w:color w:val="auto"/>
          <w:highlight w:val="none"/>
          <w:u w:val="single"/>
          <w:lang w:val="en-US" w:eastAsia="zh-CN"/>
        </w:rPr>
        <w:t>山体</w:t>
      </w:r>
      <w:r>
        <w:rPr>
          <w:rFonts w:hint="default"/>
          <w:color w:val="auto"/>
          <w:highlight w:val="none"/>
          <w:u w:val="single"/>
        </w:rPr>
        <w:t>、Q</w:t>
      </w:r>
      <w:r>
        <w:rPr>
          <w:rFonts w:hint="eastAsia"/>
          <w:color w:val="auto"/>
          <w:highlight w:val="none"/>
          <w:u w:val="single"/>
          <w:lang w:val="en-US" w:eastAsia="zh-CN"/>
        </w:rPr>
        <w:t>测</w:t>
      </w:r>
      <w:r>
        <w:rPr>
          <w:rFonts w:hint="default"/>
          <w:color w:val="auto"/>
          <w:highlight w:val="none"/>
          <w:u w:val="single"/>
        </w:rPr>
        <w:t>——</w:t>
      </w:r>
      <w:r>
        <w:rPr>
          <w:rFonts w:hint="eastAsia"/>
          <w:color w:val="auto"/>
          <w:highlight w:val="none"/>
          <w:u w:val="single"/>
          <w:lang w:val="en-US" w:eastAsia="zh-CN"/>
        </w:rPr>
        <w:t>山体渗水产生量</w:t>
      </w:r>
      <w:r>
        <w:rPr>
          <w:rFonts w:hint="default"/>
          <w:color w:val="auto"/>
          <w:highlight w:val="none"/>
          <w:u w:val="single"/>
        </w:rPr>
        <w:t>、</w:t>
      </w:r>
      <w:r>
        <w:rPr>
          <w:rFonts w:hint="eastAsia"/>
          <w:color w:val="auto"/>
          <w:highlight w:val="none"/>
          <w:u w:val="single"/>
          <w:lang w:val="en-US" w:eastAsia="zh-CN"/>
        </w:rPr>
        <w:t>山体渗水实测量</w:t>
      </w:r>
      <w:r>
        <w:rPr>
          <w:rFonts w:hint="default"/>
          <w:color w:val="auto"/>
          <w:highlight w:val="none"/>
          <w:u w:val="single"/>
        </w:rPr>
        <w:t>，</w:t>
      </w:r>
      <w:r>
        <w:rPr>
          <w:rFonts w:hint="eastAsia"/>
          <w:color w:val="auto"/>
          <w:highlight w:val="none"/>
          <w:u w:val="single"/>
          <w:lang w:eastAsia="zh-CN"/>
        </w:rPr>
        <w:t>m</w:t>
      </w:r>
      <w:r>
        <w:rPr>
          <w:rFonts w:hint="eastAsia"/>
          <w:color w:val="auto"/>
          <w:highlight w:val="none"/>
          <w:u w:val="single"/>
          <w:vertAlign w:val="superscript"/>
          <w:lang w:eastAsia="zh-CN"/>
        </w:rPr>
        <w:t>3</w:t>
      </w:r>
      <w:r>
        <w:rPr>
          <w:rFonts w:hint="default"/>
          <w:color w:val="auto"/>
          <w:highlight w:val="none"/>
          <w:u w:val="single"/>
        </w:rPr>
        <w:t>/</w:t>
      </w:r>
      <w:r>
        <w:rPr>
          <w:rFonts w:hint="eastAsia"/>
          <w:color w:val="auto"/>
          <w:highlight w:val="none"/>
          <w:u w:val="single"/>
          <w:lang w:val="en-US" w:eastAsia="zh-CN"/>
        </w:rPr>
        <w:t>d</w:t>
      </w:r>
      <w:r>
        <w:rPr>
          <w:rFonts w:hint="default"/>
          <w:color w:val="auto"/>
          <w:highlight w:val="none"/>
          <w:u w:val="single"/>
        </w:rPr>
        <w:t>；</w:t>
      </w:r>
    </w:p>
    <w:p w14:paraId="5DBDDD55">
      <w:pPr>
        <w:pStyle w:val="2"/>
        <w:bidi w:val="0"/>
        <w:rPr>
          <w:rFonts w:hint="default"/>
          <w:color w:val="auto"/>
          <w:highlight w:val="none"/>
          <w:u w:val="single"/>
          <w:lang w:val="en-US" w:eastAsia="zh-CN"/>
        </w:rPr>
      </w:pPr>
      <w:r>
        <w:rPr>
          <w:rFonts w:hint="default"/>
          <w:color w:val="auto"/>
          <w:highlight w:val="none"/>
          <w:u w:val="single"/>
        </w:rPr>
        <w:t>P</w:t>
      </w:r>
      <w:r>
        <w:rPr>
          <w:rFonts w:hint="eastAsia"/>
          <w:color w:val="auto"/>
          <w:highlight w:val="none"/>
          <w:u w:val="single"/>
          <w:lang w:val="en-US" w:eastAsia="zh-CN"/>
        </w:rPr>
        <w:t>参</w:t>
      </w:r>
      <w:r>
        <w:rPr>
          <w:rFonts w:hint="default"/>
          <w:color w:val="auto"/>
          <w:highlight w:val="none"/>
          <w:u w:val="single"/>
        </w:rPr>
        <w:t>——参证</w:t>
      </w:r>
      <w:r>
        <w:rPr>
          <w:rFonts w:hint="eastAsia"/>
          <w:color w:val="auto"/>
          <w:highlight w:val="none"/>
          <w:u w:val="single"/>
          <w:lang w:val="en-US" w:eastAsia="zh-CN"/>
        </w:rPr>
        <w:t>水文站月平均径流量</w:t>
      </w:r>
      <w:r>
        <w:rPr>
          <w:rFonts w:hint="default"/>
          <w:color w:val="auto"/>
          <w:highlight w:val="none"/>
          <w:u w:val="single"/>
        </w:rPr>
        <w:t>，</w:t>
      </w:r>
      <w:r>
        <w:rPr>
          <w:rFonts w:hint="eastAsia"/>
          <w:color w:val="auto"/>
          <w:highlight w:val="none"/>
          <w:u w:val="single"/>
          <w:lang w:eastAsia="zh-CN"/>
        </w:rPr>
        <w:t>m</w:t>
      </w:r>
      <w:r>
        <w:rPr>
          <w:rFonts w:hint="eastAsia"/>
          <w:color w:val="auto"/>
          <w:highlight w:val="none"/>
          <w:u w:val="single"/>
          <w:vertAlign w:val="superscript"/>
          <w:lang w:eastAsia="zh-CN"/>
        </w:rPr>
        <w:t>3</w:t>
      </w:r>
      <w:r>
        <w:rPr>
          <w:rFonts w:hint="default"/>
          <w:color w:val="auto"/>
          <w:highlight w:val="none"/>
          <w:u w:val="single"/>
        </w:rPr>
        <w:t>/</w:t>
      </w:r>
      <w:r>
        <w:rPr>
          <w:rFonts w:hint="eastAsia"/>
          <w:color w:val="auto"/>
          <w:highlight w:val="none"/>
          <w:u w:val="single"/>
          <w:lang w:val="en-US" w:eastAsia="zh-CN"/>
        </w:rPr>
        <w:t>s</w:t>
      </w:r>
      <w:r>
        <w:rPr>
          <w:rFonts w:hint="default"/>
          <w:color w:val="auto"/>
          <w:highlight w:val="none"/>
          <w:u w:val="single"/>
        </w:rPr>
        <w:t>；</w:t>
      </w:r>
    </w:p>
    <w:p w14:paraId="587D725D">
      <w:pPr>
        <w:pStyle w:val="2"/>
        <w:bidi w:val="0"/>
        <w:rPr>
          <w:rFonts w:hint="default"/>
          <w:color w:val="auto"/>
          <w:highlight w:val="none"/>
          <w:u w:val="single"/>
          <w:lang w:val="en-US" w:eastAsia="zh-CN"/>
        </w:rPr>
      </w:pPr>
      <w:r>
        <w:rPr>
          <w:rFonts w:hint="default"/>
          <w:color w:val="auto"/>
          <w:highlight w:val="none"/>
          <w:u w:val="single"/>
        </w:rPr>
        <w:t>P</w:t>
      </w:r>
      <w:r>
        <w:rPr>
          <w:rFonts w:hint="eastAsia"/>
          <w:color w:val="auto"/>
          <w:highlight w:val="none"/>
          <w:u w:val="single"/>
          <w:lang w:val="en-US" w:eastAsia="zh-CN"/>
        </w:rPr>
        <w:t>基</w:t>
      </w:r>
      <w:r>
        <w:rPr>
          <w:rFonts w:hint="default"/>
          <w:color w:val="auto"/>
          <w:highlight w:val="none"/>
          <w:u w:val="single"/>
        </w:rPr>
        <w:t>——</w:t>
      </w:r>
      <w:r>
        <w:rPr>
          <w:rFonts w:hint="eastAsia"/>
          <w:color w:val="auto"/>
          <w:highlight w:val="none"/>
          <w:u w:val="single"/>
          <w:lang w:val="en-US" w:eastAsia="zh-CN"/>
        </w:rPr>
        <w:t>实测量对应的当月平均径流量</w:t>
      </w:r>
      <w:r>
        <w:rPr>
          <w:rFonts w:hint="default"/>
          <w:color w:val="auto"/>
          <w:highlight w:val="none"/>
          <w:u w:val="single"/>
        </w:rPr>
        <w:t>，</w:t>
      </w:r>
      <w:r>
        <w:rPr>
          <w:rFonts w:hint="eastAsia"/>
          <w:color w:val="auto"/>
          <w:highlight w:val="none"/>
          <w:u w:val="single"/>
          <w:lang w:eastAsia="zh-CN"/>
        </w:rPr>
        <w:t>m</w:t>
      </w:r>
      <w:r>
        <w:rPr>
          <w:rFonts w:hint="eastAsia"/>
          <w:color w:val="auto"/>
          <w:highlight w:val="none"/>
          <w:u w:val="single"/>
          <w:vertAlign w:val="superscript"/>
          <w:lang w:eastAsia="zh-CN"/>
        </w:rPr>
        <w:t>3</w:t>
      </w:r>
      <w:r>
        <w:rPr>
          <w:rFonts w:hint="default"/>
          <w:color w:val="auto"/>
          <w:highlight w:val="none"/>
          <w:u w:val="single"/>
        </w:rPr>
        <w:t>/</w:t>
      </w:r>
      <w:r>
        <w:rPr>
          <w:rFonts w:hint="eastAsia"/>
          <w:color w:val="auto"/>
          <w:highlight w:val="none"/>
          <w:u w:val="single"/>
          <w:lang w:val="en-US" w:eastAsia="zh-CN"/>
        </w:rPr>
        <w:t>s，本报告取对应的2021年9月流量</w:t>
      </w:r>
      <w:r>
        <w:rPr>
          <w:rFonts w:hint="default"/>
          <w:color w:val="auto"/>
          <w:highlight w:val="none"/>
          <w:u w:val="single"/>
        </w:rPr>
        <w:t>。</w:t>
      </w:r>
    </w:p>
    <w:p w14:paraId="1763A583">
      <w:pPr>
        <w:pStyle w:val="28"/>
        <w:bidi w:val="0"/>
        <w:rPr>
          <w:rFonts w:hint="eastAsia"/>
          <w:color w:val="auto"/>
          <w:highlight w:val="none"/>
          <w:u w:val="single"/>
          <w:lang w:val="en-US" w:eastAsia="zh-CN"/>
        </w:rPr>
      </w:pPr>
      <w:r>
        <w:rPr>
          <w:rFonts w:hint="default"/>
          <w:color w:val="auto"/>
          <w:highlight w:val="none"/>
          <w:u w:val="single"/>
          <w:lang w:val="en-US" w:eastAsia="zh-CN"/>
        </w:rPr>
        <w:t>表</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表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34</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w:t>
      </w:r>
      <w:r>
        <w:rPr>
          <w:rFonts w:hint="eastAsia"/>
          <w:color w:val="auto"/>
          <w:highlight w:val="none"/>
          <w:u w:val="single"/>
          <w:lang w:val="en-US" w:eastAsia="zh-CN"/>
        </w:rPr>
        <w:t>隧洞内山体渗水各月产生量一览表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11"/>
        <w:gridCol w:w="1964"/>
        <w:gridCol w:w="1772"/>
        <w:gridCol w:w="2440"/>
        <w:gridCol w:w="2355"/>
      </w:tblGrid>
      <w:tr w14:paraId="64F84D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711" w:type="dxa"/>
            <w:tcBorders>
              <w:tl2br w:val="nil"/>
              <w:tr2bl w:val="nil"/>
            </w:tcBorders>
            <w:shd w:val="clear" w:color="auto" w:fill="auto"/>
            <w:noWrap/>
            <w:vAlign w:val="center"/>
          </w:tcPr>
          <w:p w14:paraId="462C2F82">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月份</w:t>
            </w:r>
          </w:p>
        </w:tc>
        <w:tc>
          <w:tcPr>
            <w:tcW w:w="1964" w:type="dxa"/>
            <w:tcBorders>
              <w:tl2br w:val="nil"/>
              <w:tr2bl w:val="nil"/>
            </w:tcBorders>
            <w:shd w:val="clear" w:color="auto" w:fill="auto"/>
            <w:noWrap/>
            <w:vAlign w:val="center"/>
          </w:tcPr>
          <w:p w14:paraId="31BD5189">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参证流量（m</w:t>
            </w:r>
            <w:r>
              <w:rPr>
                <w:rFonts w:hint="eastAsia"/>
                <w:color w:val="auto"/>
                <w:highlight w:val="none"/>
                <w:u w:val="single"/>
                <w:vertAlign w:val="superscript"/>
                <w:lang w:val="en-US" w:eastAsia="zh-CN"/>
              </w:rPr>
              <w:t>3</w:t>
            </w:r>
            <w:r>
              <w:rPr>
                <w:rFonts w:hint="eastAsia"/>
                <w:color w:val="auto"/>
                <w:highlight w:val="none"/>
                <w:u w:val="single"/>
                <w:lang w:val="en-US" w:eastAsia="zh-CN"/>
              </w:rPr>
              <w:t>/s）</w:t>
            </w:r>
          </w:p>
        </w:tc>
        <w:tc>
          <w:tcPr>
            <w:tcW w:w="1772" w:type="dxa"/>
            <w:tcBorders>
              <w:tl2br w:val="nil"/>
              <w:tr2bl w:val="nil"/>
            </w:tcBorders>
            <w:shd w:val="clear" w:color="auto" w:fill="auto"/>
            <w:noWrap/>
            <w:vAlign w:val="center"/>
          </w:tcPr>
          <w:p w14:paraId="6CE8C3C3">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基准流量（m</w:t>
            </w:r>
            <w:r>
              <w:rPr>
                <w:rFonts w:hint="eastAsia"/>
                <w:color w:val="auto"/>
                <w:highlight w:val="none"/>
                <w:u w:val="single"/>
                <w:vertAlign w:val="superscript"/>
                <w:lang w:val="en-US" w:eastAsia="zh-CN"/>
              </w:rPr>
              <w:t>3</w:t>
            </w:r>
            <w:r>
              <w:rPr>
                <w:rFonts w:hint="eastAsia"/>
                <w:color w:val="auto"/>
                <w:highlight w:val="none"/>
                <w:u w:val="single"/>
                <w:lang w:val="en-US" w:eastAsia="zh-CN"/>
              </w:rPr>
              <w:t>/s）</w:t>
            </w:r>
          </w:p>
        </w:tc>
        <w:tc>
          <w:tcPr>
            <w:tcW w:w="2440" w:type="dxa"/>
            <w:tcBorders>
              <w:tl2br w:val="nil"/>
              <w:tr2bl w:val="nil"/>
            </w:tcBorders>
            <w:shd w:val="clear" w:color="auto" w:fill="auto"/>
            <w:vAlign w:val="center"/>
          </w:tcPr>
          <w:p w14:paraId="3EAC8E76">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山体渗水实测量(</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default"/>
                <w:color w:val="auto"/>
                <w:highlight w:val="none"/>
                <w:u w:val="single"/>
                <w:lang w:val="en-US" w:eastAsia="zh-CN"/>
              </w:rPr>
              <w:t>/d)</w:t>
            </w:r>
          </w:p>
        </w:tc>
        <w:tc>
          <w:tcPr>
            <w:tcW w:w="2355" w:type="dxa"/>
            <w:tcBorders>
              <w:tl2br w:val="nil"/>
              <w:tr2bl w:val="nil"/>
            </w:tcBorders>
            <w:shd w:val="clear" w:color="auto" w:fill="auto"/>
            <w:noWrap/>
            <w:vAlign w:val="center"/>
          </w:tcPr>
          <w:p w14:paraId="3A71B938">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山体渗水</w:t>
            </w:r>
            <w:r>
              <w:rPr>
                <w:rFonts w:hint="eastAsia"/>
                <w:color w:val="auto"/>
                <w:highlight w:val="none"/>
                <w:u w:val="single"/>
                <w:lang w:val="en-US" w:eastAsia="zh-CN"/>
              </w:rPr>
              <w:t>产生</w:t>
            </w:r>
            <w:r>
              <w:rPr>
                <w:rFonts w:hint="default"/>
                <w:color w:val="auto"/>
                <w:highlight w:val="none"/>
                <w:u w:val="single"/>
                <w:lang w:val="en-US" w:eastAsia="zh-CN"/>
              </w:rPr>
              <w:t>量(</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default"/>
                <w:color w:val="auto"/>
                <w:highlight w:val="none"/>
                <w:u w:val="single"/>
                <w:lang w:val="en-US" w:eastAsia="zh-CN"/>
              </w:rPr>
              <w:t>/d)</w:t>
            </w:r>
          </w:p>
        </w:tc>
      </w:tr>
      <w:tr w14:paraId="731FE3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35E2CE36">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1月</w:t>
            </w:r>
          </w:p>
        </w:tc>
        <w:tc>
          <w:tcPr>
            <w:tcW w:w="1964" w:type="dxa"/>
            <w:tcBorders>
              <w:tl2br w:val="nil"/>
              <w:tr2bl w:val="nil"/>
            </w:tcBorders>
            <w:shd w:val="clear" w:color="auto" w:fill="auto"/>
            <w:noWrap/>
            <w:vAlign w:val="center"/>
          </w:tcPr>
          <w:p w14:paraId="52D93A9E">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10.06</w:t>
            </w:r>
          </w:p>
        </w:tc>
        <w:tc>
          <w:tcPr>
            <w:tcW w:w="1772" w:type="dxa"/>
            <w:vMerge w:val="restart"/>
            <w:tcBorders>
              <w:tl2br w:val="nil"/>
              <w:tr2bl w:val="nil"/>
            </w:tcBorders>
            <w:shd w:val="clear" w:color="auto" w:fill="auto"/>
            <w:noWrap/>
            <w:vAlign w:val="center"/>
          </w:tcPr>
          <w:p w14:paraId="07733851">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15.84</w:t>
            </w:r>
          </w:p>
        </w:tc>
        <w:tc>
          <w:tcPr>
            <w:tcW w:w="2440" w:type="dxa"/>
            <w:vMerge w:val="restart"/>
            <w:tcBorders>
              <w:tl2br w:val="nil"/>
              <w:tr2bl w:val="nil"/>
            </w:tcBorders>
            <w:shd w:val="clear" w:color="auto" w:fill="auto"/>
            <w:vAlign w:val="center"/>
          </w:tcPr>
          <w:p w14:paraId="213FD7B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1996.6</w:t>
            </w:r>
          </w:p>
        </w:tc>
        <w:tc>
          <w:tcPr>
            <w:tcW w:w="2355" w:type="dxa"/>
            <w:tcBorders>
              <w:tl2br w:val="nil"/>
              <w:tr2bl w:val="nil"/>
            </w:tcBorders>
            <w:shd w:val="clear" w:color="auto" w:fill="auto"/>
            <w:noWrap/>
            <w:vAlign w:val="center"/>
          </w:tcPr>
          <w:p w14:paraId="197E26EC">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1268.0</w:t>
            </w:r>
          </w:p>
        </w:tc>
      </w:tr>
      <w:tr w14:paraId="186406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4C3271B7">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2月</w:t>
            </w:r>
          </w:p>
        </w:tc>
        <w:tc>
          <w:tcPr>
            <w:tcW w:w="1964" w:type="dxa"/>
            <w:tcBorders>
              <w:tl2br w:val="nil"/>
              <w:tr2bl w:val="nil"/>
            </w:tcBorders>
            <w:shd w:val="clear" w:color="auto" w:fill="auto"/>
            <w:noWrap/>
            <w:vAlign w:val="center"/>
          </w:tcPr>
          <w:p w14:paraId="2F38324E">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13.76</w:t>
            </w:r>
          </w:p>
        </w:tc>
        <w:tc>
          <w:tcPr>
            <w:tcW w:w="1772" w:type="dxa"/>
            <w:vMerge w:val="continue"/>
            <w:tcBorders>
              <w:tl2br w:val="nil"/>
              <w:tr2bl w:val="nil"/>
            </w:tcBorders>
            <w:shd w:val="clear" w:color="auto" w:fill="auto"/>
            <w:noWrap/>
            <w:vAlign w:val="center"/>
          </w:tcPr>
          <w:p w14:paraId="1414E583">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4DCDC8E7">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3CAAEAE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1734.4</w:t>
            </w:r>
          </w:p>
        </w:tc>
      </w:tr>
      <w:tr w14:paraId="5A0DA0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0134D568">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3月</w:t>
            </w:r>
          </w:p>
        </w:tc>
        <w:tc>
          <w:tcPr>
            <w:tcW w:w="1964" w:type="dxa"/>
            <w:tcBorders>
              <w:tl2br w:val="nil"/>
              <w:tr2bl w:val="nil"/>
            </w:tcBorders>
            <w:shd w:val="clear" w:color="auto" w:fill="auto"/>
            <w:noWrap/>
            <w:vAlign w:val="center"/>
          </w:tcPr>
          <w:p w14:paraId="6AD29C42">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27.78</w:t>
            </w:r>
          </w:p>
        </w:tc>
        <w:tc>
          <w:tcPr>
            <w:tcW w:w="1772" w:type="dxa"/>
            <w:vMerge w:val="continue"/>
            <w:tcBorders>
              <w:tl2br w:val="nil"/>
              <w:tr2bl w:val="nil"/>
            </w:tcBorders>
            <w:shd w:val="clear" w:color="auto" w:fill="auto"/>
            <w:noWrap/>
            <w:vAlign w:val="center"/>
          </w:tcPr>
          <w:p w14:paraId="7E8CDF96">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31B19D2D">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55FA1883">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3501.6</w:t>
            </w:r>
          </w:p>
        </w:tc>
      </w:tr>
      <w:tr w14:paraId="38FAB5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444C542C">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4月</w:t>
            </w:r>
          </w:p>
        </w:tc>
        <w:tc>
          <w:tcPr>
            <w:tcW w:w="1964" w:type="dxa"/>
            <w:tcBorders>
              <w:tl2br w:val="nil"/>
              <w:tr2bl w:val="nil"/>
            </w:tcBorders>
            <w:shd w:val="clear" w:color="auto" w:fill="auto"/>
            <w:noWrap/>
            <w:vAlign w:val="center"/>
          </w:tcPr>
          <w:p w14:paraId="7C6B463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37.91</w:t>
            </w:r>
          </w:p>
        </w:tc>
        <w:tc>
          <w:tcPr>
            <w:tcW w:w="1772" w:type="dxa"/>
            <w:vMerge w:val="continue"/>
            <w:tcBorders>
              <w:tl2br w:val="nil"/>
              <w:tr2bl w:val="nil"/>
            </w:tcBorders>
            <w:shd w:val="clear" w:color="auto" w:fill="auto"/>
            <w:noWrap/>
            <w:vAlign w:val="center"/>
          </w:tcPr>
          <w:p w14:paraId="0D984429">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4735A0F3">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036CB606">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4778.5</w:t>
            </w:r>
          </w:p>
        </w:tc>
      </w:tr>
      <w:tr w14:paraId="41126A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7E331061">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5月</w:t>
            </w:r>
          </w:p>
        </w:tc>
        <w:tc>
          <w:tcPr>
            <w:tcW w:w="1964" w:type="dxa"/>
            <w:tcBorders>
              <w:tl2br w:val="nil"/>
              <w:tr2bl w:val="nil"/>
            </w:tcBorders>
            <w:shd w:val="clear" w:color="auto" w:fill="auto"/>
            <w:noWrap/>
            <w:vAlign w:val="center"/>
          </w:tcPr>
          <w:p w14:paraId="43EA3563">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49.30</w:t>
            </w:r>
          </w:p>
        </w:tc>
        <w:tc>
          <w:tcPr>
            <w:tcW w:w="1772" w:type="dxa"/>
            <w:vMerge w:val="continue"/>
            <w:tcBorders>
              <w:tl2br w:val="nil"/>
              <w:tr2bl w:val="nil"/>
            </w:tcBorders>
            <w:shd w:val="clear" w:color="auto" w:fill="auto"/>
            <w:noWrap/>
            <w:vAlign w:val="center"/>
          </w:tcPr>
          <w:p w14:paraId="577C34FA">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7D40D164">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1C69B44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6214.2</w:t>
            </w:r>
          </w:p>
        </w:tc>
      </w:tr>
      <w:tr w14:paraId="773C7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3316E70F">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6月</w:t>
            </w:r>
          </w:p>
        </w:tc>
        <w:tc>
          <w:tcPr>
            <w:tcW w:w="1964" w:type="dxa"/>
            <w:tcBorders>
              <w:tl2br w:val="nil"/>
              <w:tr2bl w:val="nil"/>
            </w:tcBorders>
            <w:shd w:val="clear" w:color="auto" w:fill="auto"/>
            <w:noWrap/>
            <w:vAlign w:val="center"/>
          </w:tcPr>
          <w:p w14:paraId="1A1D803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53.60</w:t>
            </w:r>
          </w:p>
        </w:tc>
        <w:tc>
          <w:tcPr>
            <w:tcW w:w="1772" w:type="dxa"/>
            <w:vMerge w:val="continue"/>
            <w:tcBorders>
              <w:tl2br w:val="nil"/>
              <w:tr2bl w:val="nil"/>
            </w:tcBorders>
            <w:shd w:val="clear" w:color="auto" w:fill="auto"/>
            <w:noWrap/>
            <w:vAlign w:val="center"/>
          </w:tcPr>
          <w:p w14:paraId="6C64D40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7B350133">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4EDD0EC2">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6756.1</w:t>
            </w:r>
          </w:p>
        </w:tc>
      </w:tr>
      <w:tr w14:paraId="30D871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46FC64FC">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7月</w:t>
            </w:r>
          </w:p>
        </w:tc>
        <w:tc>
          <w:tcPr>
            <w:tcW w:w="1964" w:type="dxa"/>
            <w:tcBorders>
              <w:tl2br w:val="nil"/>
              <w:tr2bl w:val="nil"/>
            </w:tcBorders>
            <w:shd w:val="clear" w:color="auto" w:fill="auto"/>
            <w:noWrap/>
            <w:vAlign w:val="center"/>
          </w:tcPr>
          <w:p w14:paraId="07037A04">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55.88</w:t>
            </w:r>
          </w:p>
        </w:tc>
        <w:tc>
          <w:tcPr>
            <w:tcW w:w="1772" w:type="dxa"/>
            <w:vMerge w:val="continue"/>
            <w:tcBorders>
              <w:tl2br w:val="nil"/>
              <w:tr2bl w:val="nil"/>
            </w:tcBorders>
            <w:shd w:val="clear" w:color="auto" w:fill="auto"/>
            <w:noWrap/>
            <w:vAlign w:val="center"/>
          </w:tcPr>
          <w:p w14:paraId="10D7AEE0">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484EAC6A">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6C15BFED">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7043.6</w:t>
            </w:r>
          </w:p>
        </w:tc>
      </w:tr>
      <w:tr w14:paraId="13906E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711" w:type="dxa"/>
            <w:tcBorders>
              <w:tl2br w:val="nil"/>
              <w:tr2bl w:val="nil"/>
            </w:tcBorders>
            <w:shd w:val="clear" w:color="auto" w:fill="auto"/>
            <w:noWrap/>
            <w:vAlign w:val="center"/>
          </w:tcPr>
          <w:p w14:paraId="6A960C12">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8月</w:t>
            </w:r>
          </w:p>
        </w:tc>
        <w:tc>
          <w:tcPr>
            <w:tcW w:w="1964" w:type="dxa"/>
            <w:tcBorders>
              <w:tl2br w:val="nil"/>
              <w:tr2bl w:val="nil"/>
            </w:tcBorders>
            <w:shd w:val="clear" w:color="auto" w:fill="auto"/>
            <w:noWrap/>
            <w:vAlign w:val="center"/>
          </w:tcPr>
          <w:p w14:paraId="5C19B8DB">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23.69</w:t>
            </w:r>
          </w:p>
        </w:tc>
        <w:tc>
          <w:tcPr>
            <w:tcW w:w="1772" w:type="dxa"/>
            <w:vMerge w:val="continue"/>
            <w:tcBorders>
              <w:tl2br w:val="nil"/>
              <w:tr2bl w:val="nil"/>
            </w:tcBorders>
            <w:shd w:val="clear" w:color="auto" w:fill="auto"/>
            <w:noWrap/>
            <w:vAlign w:val="center"/>
          </w:tcPr>
          <w:p w14:paraId="4F65627A">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74945379">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0BBDEBCF">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2986.1</w:t>
            </w:r>
          </w:p>
        </w:tc>
      </w:tr>
      <w:tr w14:paraId="115695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0D3037C7">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9月</w:t>
            </w:r>
          </w:p>
        </w:tc>
        <w:tc>
          <w:tcPr>
            <w:tcW w:w="1964" w:type="dxa"/>
            <w:tcBorders>
              <w:tl2br w:val="nil"/>
              <w:tr2bl w:val="nil"/>
            </w:tcBorders>
            <w:shd w:val="clear" w:color="auto" w:fill="auto"/>
            <w:noWrap/>
            <w:vAlign w:val="center"/>
          </w:tcPr>
          <w:p w14:paraId="6FA4B78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16.83</w:t>
            </w:r>
          </w:p>
        </w:tc>
        <w:tc>
          <w:tcPr>
            <w:tcW w:w="1772" w:type="dxa"/>
            <w:vMerge w:val="continue"/>
            <w:tcBorders>
              <w:tl2br w:val="nil"/>
              <w:tr2bl w:val="nil"/>
            </w:tcBorders>
            <w:shd w:val="clear" w:color="auto" w:fill="auto"/>
            <w:noWrap/>
            <w:vAlign w:val="center"/>
          </w:tcPr>
          <w:p w14:paraId="6AF07DE8">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7F55940E">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6C171CFE">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2121.4</w:t>
            </w:r>
          </w:p>
        </w:tc>
      </w:tr>
      <w:tr w14:paraId="59EEA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6471B4E4">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10月</w:t>
            </w:r>
          </w:p>
        </w:tc>
        <w:tc>
          <w:tcPr>
            <w:tcW w:w="1964" w:type="dxa"/>
            <w:tcBorders>
              <w:tl2br w:val="nil"/>
              <w:tr2bl w:val="nil"/>
            </w:tcBorders>
            <w:shd w:val="clear" w:color="auto" w:fill="auto"/>
            <w:noWrap/>
            <w:vAlign w:val="center"/>
          </w:tcPr>
          <w:p w14:paraId="194CD189">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11.49</w:t>
            </w:r>
          </w:p>
        </w:tc>
        <w:tc>
          <w:tcPr>
            <w:tcW w:w="1772" w:type="dxa"/>
            <w:vMerge w:val="continue"/>
            <w:tcBorders>
              <w:tl2br w:val="nil"/>
              <w:tr2bl w:val="nil"/>
            </w:tcBorders>
            <w:shd w:val="clear" w:color="auto" w:fill="auto"/>
            <w:noWrap/>
            <w:vAlign w:val="center"/>
          </w:tcPr>
          <w:p w14:paraId="1B724704">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1036F878">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1E5D3FE6">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1448.3</w:t>
            </w:r>
          </w:p>
        </w:tc>
      </w:tr>
      <w:tr w14:paraId="71592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169D8323">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11月</w:t>
            </w:r>
          </w:p>
        </w:tc>
        <w:tc>
          <w:tcPr>
            <w:tcW w:w="1964" w:type="dxa"/>
            <w:tcBorders>
              <w:tl2br w:val="nil"/>
              <w:tr2bl w:val="nil"/>
            </w:tcBorders>
            <w:shd w:val="clear" w:color="auto" w:fill="auto"/>
            <w:noWrap/>
            <w:vAlign w:val="center"/>
          </w:tcPr>
          <w:p w14:paraId="67B4BD14">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12.53</w:t>
            </w:r>
          </w:p>
        </w:tc>
        <w:tc>
          <w:tcPr>
            <w:tcW w:w="1772" w:type="dxa"/>
            <w:vMerge w:val="continue"/>
            <w:tcBorders>
              <w:tl2br w:val="nil"/>
              <w:tr2bl w:val="nil"/>
            </w:tcBorders>
            <w:shd w:val="clear" w:color="auto" w:fill="auto"/>
            <w:noWrap/>
            <w:vAlign w:val="center"/>
          </w:tcPr>
          <w:p w14:paraId="21C79CD1">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3205AD77">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2041E929">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1579.4</w:t>
            </w:r>
          </w:p>
        </w:tc>
      </w:tr>
      <w:tr w14:paraId="2F009E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11" w:type="dxa"/>
            <w:tcBorders>
              <w:tl2br w:val="nil"/>
              <w:tr2bl w:val="nil"/>
            </w:tcBorders>
            <w:shd w:val="clear" w:color="auto" w:fill="auto"/>
            <w:noWrap/>
            <w:vAlign w:val="center"/>
          </w:tcPr>
          <w:p w14:paraId="0B6B14B2">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12月</w:t>
            </w:r>
          </w:p>
        </w:tc>
        <w:tc>
          <w:tcPr>
            <w:tcW w:w="1964" w:type="dxa"/>
            <w:tcBorders>
              <w:tl2br w:val="nil"/>
              <w:tr2bl w:val="nil"/>
            </w:tcBorders>
            <w:shd w:val="clear" w:color="auto" w:fill="auto"/>
            <w:noWrap/>
            <w:vAlign w:val="center"/>
          </w:tcPr>
          <w:p w14:paraId="217EBFB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9.12</w:t>
            </w:r>
          </w:p>
        </w:tc>
        <w:tc>
          <w:tcPr>
            <w:tcW w:w="1772" w:type="dxa"/>
            <w:vMerge w:val="continue"/>
            <w:tcBorders>
              <w:tl2br w:val="nil"/>
              <w:tr2bl w:val="nil"/>
            </w:tcBorders>
            <w:shd w:val="clear" w:color="auto" w:fill="auto"/>
            <w:noWrap/>
            <w:vAlign w:val="center"/>
          </w:tcPr>
          <w:p w14:paraId="26923800">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440" w:type="dxa"/>
            <w:vMerge w:val="continue"/>
            <w:tcBorders>
              <w:tl2br w:val="nil"/>
              <w:tr2bl w:val="nil"/>
            </w:tcBorders>
            <w:shd w:val="clear" w:color="auto" w:fill="auto"/>
            <w:vAlign w:val="center"/>
          </w:tcPr>
          <w:p w14:paraId="5186B1CF">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2355" w:type="dxa"/>
            <w:tcBorders>
              <w:tl2br w:val="nil"/>
              <w:tr2bl w:val="nil"/>
            </w:tcBorders>
            <w:shd w:val="clear" w:color="auto" w:fill="auto"/>
            <w:noWrap/>
            <w:vAlign w:val="center"/>
          </w:tcPr>
          <w:p w14:paraId="5449DEDA">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1149.6</w:t>
            </w:r>
          </w:p>
        </w:tc>
      </w:tr>
    </w:tbl>
    <w:p w14:paraId="566E2348">
      <w:pPr>
        <w:widowControl w:val="0"/>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eastAsia" w:ascii="Times New Roman" w:hAnsi="Times New Roman" w:eastAsia="宋体" w:cs="Times New Roman"/>
          <w:color w:val="auto"/>
          <w:kern w:val="2"/>
          <w:sz w:val="24"/>
          <w:highlight w:val="none"/>
          <w:u w:val="single"/>
          <w:lang w:val="en-US" w:eastAsia="zh-CN" w:bidi="ar-SA"/>
        </w:rPr>
        <w:t>为方便计算，同时根据本项目所在地实际情况，1月~2月、9月~12月</w:t>
      </w:r>
      <w:r>
        <w:rPr>
          <w:rFonts w:hint="eastAsia" w:cs="Times New Roman"/>
          <w:color w:val="auto"/>
          <w:kern w:val="2"/>
          <w:sz w:val="24"/>
          <w:highlight w:val="none"/>
          <w:u w:val="single"/>
          <w:lang w:val="en-US" w:eastAsia="zh-CN" w:bidi="ar-SA"/>
        </w:rPr>
        <w:t>为枯水期，3月~4月、8月为平水期，</w:t>
      </w:r>
      <w:r>
        <w:rPr>
          <w:rFonts w:hint="eastAsia" w:ascii="Times New Roman" w:hAnsi="Times New Roman" w:eastAsia="宋体" w:cs="Times New Roman"/>
          <w:color w:val="auto"/>
          <w:kern w:val="2"/>
          <w:sz w:val="24"/>
          <w:highlight w:val="none"/>
          <w:u w:val="single"/>
          <w:lang w:val="en-US" w:eastAsia="zh-CN" w:bidi="ar-SA"/>
        </w:rPr>
        <w:t>5月~7月为丰水期，本报告</w:t>
      </w:r>
      <w:r>
        <w:rPr>
          <w:rFonts w:hint="eastAsia" w:cs="Times New Roman"/>
          <w:color w:val="auto"/>
          <w:kern w:val="2"/>
          <w:sz w:val="24"/>
          <w:highlight w:val="none"/>
          <w:u w:val="single"/>
          <w:lang w:val="en-US" w:eastAsia="zh-CN" w:bidi="ar-SA"/>
        </w:rPr>
        <w:t>取各水期</w:t>
      </w:r>
      <w:r>
        <w:rPr>
          <w:rFonts w:hint="eastAsia" w:ascii="Times New Roman" w:hAnsi="Times New Roman" w:eastAsia="宋体" w:cs="Times New Roman"/>
          <w:color w:val="auto"/>
          <w:kern w:val="2"/>
          <w:sz w:val="24"/>
          <w:highlight w:val="none"/>
          <w:u w:val="single"/>
          <w:lang w:val="en-US" w:eastAsia="zh-CN" w:bidi="ar-SA"/>
        </w:rPr>
        <w:t>的</w:t>
      </w:r>
      <w:r>
        <w:rPr>
          <w:rFonts w:hint="eastAsia" w:cs="Times New Roman"/>
          <w:color w:val="auto"/>
          <w:kern w:val="2"/>
          <w:sz w:val="24"/>
          <w:highlight w:val="none"/>
          <w:u w:val="single"/>
          <w:lang w:val="en-US" w:eastAsia="zh-CN" w:bidi="ar-SA"/>
        </w:rPr>
        <w:t>日流量</w:t>
      </w:r>
      <w:r>
        <w:rPr>
          <w:rFonts w:hint="eastAsia" w:ascii="Times New Roman" w:hAnsi="Times New Roman" w:eastAsia="宋体" w:cs="Times New Roman"/>
          <w:color w:val="auto"/>
          <w:kern w:val="2"/>
          <w:sz w:val="24"/>
          <w:highlight w:val="none"/>
          <w:u w:val="single"/>
          <w:lang w:val="en-US" w:eastAsia="zh-CN" w:bidi="ar-SA"/>
        </w:rPr>
        <w:t>平均值作为</w:t>
      </w:r>
      <w:r>
        <w:rPr>
          <w:rFonts w:hint="eastAsia" w:cs="Times New Roman"/>
          <w:color w:val="auto"/>
          <w:kern w:val="2"/>
          <w:sz w:val="24"/>
          <w:highlight w:val="none"/>
          <w:u w:val="single"/>
          <w:lang w:val="en-US" w:eastAsia="zh-CN" w:bidi="ar-SA"/>
        </w:rPr>
        <w:t>计算依据</w:t>
      </w:r>
      <w:r>
        <w:rPr>
          <w:rFonts w:hint="eastAsia" w:ascii="Times New Roman" w:hAnsi="Times New Roman" w:eastAsia="宋体" w:cs="Times New Roman"/>
          <w:color w:val="auto"/>
          <w:kern w:val="2"/>
          <w:sz w:val="24"/>
          <w:highlight w:val="none"/>
          <w:u w:val="single"/>
          <w:lang w:val="en-US" w:eastAsia="zh-CN" w:bidi="ar-SA"/>
        </w:rPr>
        <w:t>。</w:t>
      </w:r>
    </w:p>
    <w:p w14:paraId="66E15465">
      <w:pPr>
        <w:pStyle w:val="28"/>
        <w:bidi w:val="0"/>
        <w:rPr>
          <w:rFonts w:hint="eastAsia"/>
          <w:color w:val="auto"/>
          <w:highlight w:val="none"/>
          <w:u w:val="single"/>
          <w:lang w:val="en-US" w:eastAsia="zh-CN"/>
        </w:rPr>
      </w:pPr>
      <w:r>
        <w:rPr>
          <w:rFonts w:hint="default"/>
          <w:color w:val="auto"/>
          <w:highlight w:val="none"/>
          <w:u w:val="single"/>
          <w:lang w:val="en-US" w:eastAsia="zh-CN"/>
        </w:rPr>
        <w:t>表</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表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35</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w:t>
      </w:r>
      <w:r>
        <w:rPr>
          <w:rFonts w:hint="eastAsia"/>
          <w:color w:val="auto"/>
          <w:highlight w:val="none"/>
          <w:u w:val="single"/>
          <w:lang w:val="en-US" w:eastAsia="zh-CN"/>
        </w:rPr>
        <w:t>隧洞内山体渗水水量一览表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326"/>
        <w:gridCol w:w="4936"/>
        <w:gridCol w:w="1976"/>
      </w:tblGrid>
      <w:tr w14:paraId="7CB99E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6" w:hRule="atLeast"/>
        </w:trPr>
        <w:tc>
          <w:tcPr>
            <w:tcW w:w="1259" w:type="pct"/>
            <w:tcBorders>
              <w:tl2br w:val="nil"/>
              <w:tr2bl w:val="nil"/>
            </w:tcBorders>
            <w:shd w:val="clear" w:color="auto" w:fill="auto"/>
            <w:noWrap/>
            <w:vAlign w:val="center"/>
          </w:tcPr>
          <w:p w14:paraId="18D1BA4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季节</w:t>
            </w:r>
          </w:p>
        </w:tc>
        <w:tc>
          <w:tcPr>
            <w:tcW w:w="2671" w:type="pct"/>
            <w:tcBorders>
              <w:tl2br w:val="nil"/>
              <w:tr2bl w:val="nil"/>
            </w:tcBorders>
            <w:shd w:val="clear" w:color="auto" w:fill="auto"/>
            <w:noWrap/>
            <w:vAlign w:val="center"/>
          </w:tcPr>
          <w:p w14:paraId="1836FF3B">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月份</w:t>
            </w:r>
          </w:p>
        </w:tc>
        <w:tc>
          <w:tcPr>
            <w:tcW w:w="1069" w:type="pct"/>
            <w:tcBorders>
              <w:tl2br w:val="nil"/>
              <w:tr2bl w:val="nil"/>
            </w:tcBorders>
            <w:shd w:val="clear" w:color="auto" w:fill="auto"/>
            <w:noWrap/>
            <w:vAlign w:val="center"/>
          </w:tcPr>
          <w:p w14:paraId="1EE11453">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流量</w:t>
            </w:r>
          </w:p>
          <w:p w14:paraId="2F4FB5D1">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default"/>
                <w:color w:val="auto"/>
                <w:highlight w:val="none"/>
                <w:u w:val="single"/>
                <w:lang w:val="en-US" w:eastAsia="zh-CN"/>
              </w:rPr>
              <w:t>/d)</w:t>
            </w:r>
          </w:p>
        </w:tc>
      </w:tr>
      <w:tr w14:paraId="365CB3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1259" w:type="pct"/>
            <w:tcBorders>
              <w:tl2br w:val="nil"/>
              <w:tr2bl w:val="nil"/>
            </w:tcBorders>
            <w:shd w:val="clear" w:color="auto" w:fill="auto"/>
            <w:noWrap/>
            <w:vAlign w:val="center"/>
          </w:tcPr>
          <w:p w14:paraId="7F284C32">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枯水期</w:t>
            </w:r>
          </w:p>
        </w:tc>
        <w:tc>
          <w:tcPr>
            <w:tcW w:w="2671" w:type="pct"/>
            <w:tcBorders>
              <w:tl2br w:val="nil"/>
              <w:tr2bl w:val="nil"/>
            </w:tcBorders>
            <w:shd w:val="clear" w:color="auto" w:fill="auto"/>
            <w:noWrap/>
            <w:vAlign w:val="center"/>
          </w:tcPr>
          <w:p w14:paraId="2EBA6AF2">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1月~2月、9月~12月</w:t>
            </w:r>
          </w:p>
        </w:tc>
        <w:tc>
          <w:tcPr>
            <w:tcW w:w="1069" w:type="pct"/>
            <w:tcBorders>
              <w:tl2br w:val="nil"/>
              <w:tr2bl w:val="nil"/>
            </w:tcBorders>
            <w:shd w:val="clear" w:color="auto" w:fill="auto"/>
            <w:noWrap/>
            <w:vAlign w:val="center"/>
          </w:tcPr>
          <w:p w14:paraId="76E83C0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1550.2</w:t>
            </w:r>
          </w:p>
        </w:tc>
      </w:tr>
      <w:tr w14:paraId="7417B9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259" w:type="pct"/>
            <w:tcBorders>
              <w:tl2br w:val="nil"/>
              <w:tr2bl w:val="nil"/>
            </w:tcBorders>
            <w:shd w:val="clear" w:color="auto" w:fill="auto"/>
            <w:noWrap/>
            <w:vAlign w:val="center"/>
          </w:tcPr>
          <w:p w14:paraId="74B04116">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平水期</w:t>
            </w:r>
          </w:p>
        </w:tc>
        <w:tc>
          <w:tcPr>
            <w:tcW w:w="2671" w:type="pct"/>
            <w:tcBorders>
              <w:tl2br w:val="nil"/>
              <w:tr2bl w:val="nil"/>
            </w:tcBorders>
            <w:shd w:val="clear" w:color="auto" w:fill="auto"/>
            <w:noWrap/>
            <w:vAlign w:val="center"/>
          </w:tcPr>
          <w:p w14:paraId="3C43117A">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3月~4月、8月</w:t>
            </w:r>
          </w:p>
        </w:tc>
        <w:tc>
          <w:tcPr>
            <w:tcW w:w="1069" w:type="pct"/>
            <w:tcBorders>
              <w:tl2br w:val="nil"/>
              <w:tr2bl w:val="nil"/>
            </w:tcBorders>
            <w:shd w:val="clear" w:color="auto" w:fill="auto"/>
            <w:noWrap/>
            <w:vAlign w:val="center"/>
          </w:tcPr>
          <w:p w14:paraId="73898DAC">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3755.4</w:t>
            </w:r>
          </w:p>
        </w:tc>
      </w:tr>
      <w:tr w14:paraId="15EF6F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259" w:type="pct"/>
            <w:tcBorders>
              <w:tl2br w:val="nil"/>
              <w:tr2bl w:val="nil"/>
            </w:tcBorders>
            <w:shd w:val="clear" w:color="auto" w:fill="auto"/>
            <w:noWrap/>
            <w:vAlign w:val="center"/>
          </w:tcPr>
          <w:p w14:paraId="71C14F9A">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丰水期</w:t>
            </w:r>
          </w:p>
        </w:tc>
        <w:tc>
          <w:tcPr>
            <w:tcW w:w="2671" w:type="pct"/>
            <w:tcBorders>
              <w:tl2br w:val="nil"/>
              <w:tr2bl w:val="nil"/>
            </w:tcBorders>
            <w:shd w:val="clear" w:color="auto" w:fill="auto"/>
            <w:noWrap/>
            <w:vAlign w:val="center"/>
          </w:tcPr>
          <w:p w14:paraId="5E9C9B08">
            <w:pPr>
              <w:pStyle w:val="26"/>
              <w:keepNext w:val="0"/>
              <w:keepLines w:val="0"/>
              <w:suppressLineNumbers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5月~7月</w:t>
            </w:r>
          </w:p>
        </w:tc>
        <w:tc>
          <w:tcPr>
            <w:tcW w:w="1069" w:type="pct"/>
            <w:tcBorders>
              <w:tl2br w:val="nil"/>
              <w:tr2bl w:val="nil"/>
            </w:tcBorders>
            <w:shd w:val="clear" w:color="auto" w:fill="auto"/>
            <w:noWrap/>
            <w:vAlign w:val="center"/>
          </w:tcPr>
          <w:p w14:paraId="4359CCCB">
            <w:pPr>
              <w:pStyle w:val="26"/>
              <w:keepNext w:val="0"/>
              <w:keepLines w:val="0"/>
              <w:suppressLineNumbers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6671.3</w:t>
            </w:r>
          </w:p>
        </w:tc>
      </w:tr>
    </w:tbl>
    <w:p w14:paraId="6ABE3482">
      <w:pPr>
        <w:widowControl w:val="0"/>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eastAsia" w:ascii="宋体" w:hAnsi="宋体" w:eastAsia="宋体" w:cs="宋体"/>
          <w:color w:val="auto"/>
          <w:kern w:val="2"/>
          <w:sz w:val="24"/>
          <w:highlight w:val="none"/>
          <w:u w:val="single"/>
          <w:lang w:val="en-US" w:eastAsia="zh-CN" w:bidi="ar-SA"/>
        </w:rPr>
        <w:t>③隧洞内山体渗水锑产生情况</w:t>
      </w:r>
    </w:p>
    <w:p w14:paraId="1BB0F751">
      <w:pPr>
        <w:pStyle w:val="28"/>
        <w:bidi w:val="0"/>
        <w:rPr>
          <w:rFonts w:hint="eastAsia"/>
          <w:color w:val="auto"/>
          <w:highlight w:val="none"/>
          <w:u w:val="single"/>
          <w:lang w:val="en-US" w:eastAsia="zh-CN"/>
        </w:rPr>
      </w:pPr>
      <w:r>
        <w:rPr>
          <w:rFonts w:hint="default"/>
          <w:color w:val="auto"/>
          <w:highlight w:val="none"/>
          <w:u w:val="single"/>
          <w:lang w:val="en-US" w:eastAsia="zh-CN"/>
        </w:rPr>
        <w:t>表</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表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36</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w:t>
      </w:r>
      <w:r>
        <w:rPr>
          <w:rFonts w:hint="eastAsia"/>
          <w:color w:val="auto"/>
          <w:highlight w:val="none"/>
          <w:u w:val="single"/>
          <w:lang w:val="en-US" w:eastAsia="zh-CN"/>
        </w:rPr>
        <w:t>隧洞内山体渗水锑产生情况一览表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21"/>
        <w:gridCol w:w="2138"/>
        <w:gridCol w:w="1437"/>
        <w:gridCol w:w="2073"/>
        <w:gridCol w:w="2069"/>
      </w:tblGrid>
      <w:tr w14:paraId="40793A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6" w:hRule="atLeast"/>
        </w:trPr>
        <w:tc>
          <w:tcPr>
            <w:tcW w:w="823" w:type="pct"/>
            <w:tcBorders>
              <w:tl2br w:val="nil"/>
              <w:tr2bl w:val="nil"/>
            </w:tcBorders>
            <w:shd w:val="clear" w:color="auto" w:fill="auto"/>
            <w:noWrap/>
            <w:vAlign w:val="center"/>
          </w:tcPr>
          <w:p w14:paraId="6D149D8F">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季节</w:t>
            </w:r>
          </w:p>
        </w:tc>
        <w:tc>
          <w:tcPr>
            <w:tcW w:w="1157" w:type="pct"/>
            <w:tcBorders>
              <w:tl2br w:val="nil"/>
              <w:tr2bl w:val="nil"/>
            </w:tcBorders>
            <w:shd w:val="clear" w:color="auto" w:fill="auto"/>
            <w:noWrap/>
            <w:vAlign w:val="center"/>
          </w:tcPr>
          <w:p w14:paraId="207F2960">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编号</w:t>
            </w:r>
          </w:p>
        </w:tc>
        <w:tc>
          <w:tcPr>
            <w:tcW w:w="778" w:type="pct"/>
            <w:tcBorders>
              <w:tl2br w:val="nil"/>
              <w:tr2bl w:val="nil"/>
            </w:tcBorders>
            <w:shd w:val="clear" w:color="auto" w:fill="auto"/>
            <w:noWrap/>
            <w:vAlign w:val="center"/>
          </w:tcPr>
          <w:p w14:paraId="63280935">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流量</w:t>
            </w:r>
          </w:p>
          <w:p w14:paraId="2DB70119">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default"/>
                <w:color w:val="auto"/>
                <w:highlight w:val="none"/>
                <w:u w:val="single"/>
                <w:lang w:val="en-US" w:eastAsia="zh-CN"/>
              </w:rPr>
              <w:t>/d)</w:t>
            </w:r>
          </w:p>
        </w:tc>
        <w:tc>
          <w:tcPr>
            <w:tcW w:w="2070" w:type="dxa"/>
            <w:tcBorders>
              <w:tl2br w:val="nil"/>
              <w:tr2bl w:val="nil"/>
            </w:tcBorders>
            <w:shd w:val="clear" w:color="auto" w:fill="auto"/>
            <w:vAlign w:val="center"/>
          </w:tcPr>
          <w:p w14:paraId="081F902C">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锑浓度</w:t>
            </w:r>
          </w:p>
          <w:p w14:paraId="23E3AF47">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default"/>
                <w:color w:val="auto"/>
                <w:highlight w:val="none"/>
                <w:u w:val="single"/>
                <w:lang w:val="en-US" w:eastAsia="zh-CN"/>
              </w:rPr>
              <w:t>（mg/L）</w:t>
            </w:r>
          </w:p>
        </w:tc>
        <w:tc>
          <w:tcPr>
            <w:tcW w:w="1120" w:type="pct"/>
            <w:tcBorders>
              <w:tl2br w:val="nil"/>
              <w:tr2bl w:val="nil"/>
            </w:tcBorders>
            <w:shd w:val="clear" w:color="auto" w:fill="auto"/>
            <w:vAlign w:val="center"/>
          </w:tcPr>
          <w:p w14:paraId="3762B286">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锑产生量</w:t>
            </w:r>
            <w:r>
              <w:rPr>
                <w:rFonts w:hint="default"/>
                <w:color w:val="auto"/>
                <w:highlight w:val="none"/>
                <w:u w:val="single"/>
                <w:lang w:val="en-US" w:eastAsia="zh-CN"/>
              </w:rPr>
              <w:t>（</w:t>
            </w:r>
            <w:r>
              <w:rPr>
                <w:rFonts w:hint="eastAsia"/>
                <w:color w:val="auto"/>
                <w:highlight w:val="none"/>
                <w:u w:val="single"/>
                <w:lang w:val="en-US" w:eastAsia="zh-CN"/>
              </w:rPr>
              <w:t>kg/d</w:t>
            </w:r>
            <w:r>
              <w:rPr>
                <w:rFonts w:hint="default"/>
                <w:color w:val="auto"/>
                <w:highlight w:val="none"/>
                <w:u w:val="single"/>
                <w:lang w:val="en-US" w:eastAsia="zh-CN"/>
              </w:rPr>
              <w:t>）</w:t>
            </w:r>
          </w:p>
        </w:tc>
      </w:tr>
      <w:tr w14:paraId="29D989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823" w:type="pct"/>
            <w:tcBorders>
              <w:tl2br w:val="nil"/>
              <w:tr2bl w:val="nil"/>
            </w:tcBorders>
            <w:shd w:val="clear" w:color="auto" w:fill="auto"/>
            <w:noWrap/>
            <w:vAlign w:val="center"/>
          </w:tcPr>
          <w:p w14:paraId="7DBC7E6B">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枯水期</w:t>
            </w:r>
          </w:p>
        </w:tc>
        <w:tc>
          <w:tcPr>
            <w:tcW w:w="1157" w:type="pct"/>
            <w:tcBorders>
              <w:tl2br w:val="nil"/>
              <w:tr2bl w:val="nil"/>
            </w:tcBorders>
            <w:shd w:val="clear" w:color="auto" w:fill="auto"/>
            <w:noWrap/>
            <w:vAlign w:val="center"/>
          </w:tcPr>
          <w:p w14:paraId="4C1B740E">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隧洞山体渗水</w:t>
            </w:r>
          </w:p>
        </w:tc>
        <w:tc>
          <w:tcPr>
            <w:tcW w:w="778" w:type="pct"/>
            <w:tcBorders>
              <w:tl2br w:val="nil"/>
              <w:tr2bl w:val="nil"/>
            </w:tcBorders>
            <w:shd w:val="clear" w:color="auto" w:fill="auto"/>
            <w:noWrap/>
            <w:vAlign w:val="center"/>
          </w:tcPr>
          <w:p w14:paraId="39DB6FE0">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1550.2</w:t>
            </w:r>
          </w:p>
        </w:tc>
        <w:tc>
          <w:tcPr>
            <w:tcW w:w="2070" w:type="dxa"/>
            <w:tcBorders>
              <w:tl2br w:val="nil"/>
              <w:tr2bl w:val="nil"/>
            </w:tcBorders>
            <w:shd w:val="clear" w:color="auto" w:fill="auto"/>
            <w:vAlign w:val="center"/>
          </w:tcPr>
          <w:p w14:paraId="6D54936D">
            <w:pPr>
              <w:pStyle w:val="26"/>
              <w:keepNext w:val="0"/>
              <w:keepLines w:val="0"/>
              <w:suppressLineNumbers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1.51</w:t>
            </w:r>
          </w:p>
        </w:tc>
        <w:tc>
          <w:tcPr>
            <w:tcW w:w="2069" w:type="dxa"/>
            <w:tcBorders>
              <w:tl2br w:val="nil"/>
              <w:tr2bl w:val="nil"/>
            </w:tcBorders>
            <w:shd w:val="clear" w:color="auto" w:fill="auto"/>
            <w:vAlign w:val="center"/>
          </w:tcPr>
          <w:p w14:paraId="30779B66">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2.341</w:t>
            </w:r>
          </w:p>
        </w:tc>
      </w:tr>
      <w:tr w14:paraId="148D9B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823" w:type="pct"/>
            <w:tcBorders>
              <w:tl2br w:val="nil"/>
              <w:tr2bl w:val="nil"/>
            </w:tcBorders>
            <w:shd w:val="clear" w:color="auto" w:fill="auto"/>
            <w:noWrap/>
            <w:vAlign w:val="center"/>
          </w:tcPr>
          <w:p w14:paraId="48871609">
            <w:pPr>
              <w:pStyle w:val="26"/>
              <w:keepNext w:val="0"/>
              <w:keepLines w:val="0"/>
              <w:suppressLineNumbers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平水期</w:t>
            </w:r>
          </w:p>
        </w:tc>
        <w:tc>
          <w:tcPr>
            <w:tcW w:w="1157" w:type="pct"/>
            <w:tcBorders>
              <w:tl2br w:val="nil"/>
              <w:tr2bl w:val="nil"/>
            </w:tcBorders>
            <w:shd w:val="clear" w:color="auto" w:fill="auto"/>
            <w:noWrap/>
            <w:vAlign w:val="center"/>
          </w:tcPr>
          <w:p w14:paraId="7E4AFA78">
            <w:pPr>
              <w:pStyle w:val="26"/>
              <w:keepNext w:val="0"/>
              <w:keepLines w:val="0"/>
              <w:suppressLineNumbers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隧洞山体渗水</w:t>
            </w:r>
          </w:p>
        </w:tc>
        <w:tc>
          <w:tcPr>
            <w:tcW w:w="778" w:type="pct"/>
            <w:tcBorders>
              <w:tl2br w:val="nil"/>
              <w:tr2bl w:val="nil"/>
            </w:tcBorders>
            <w:shd w:val="clear" w:color="auto" w:fill="auto"/>
            <w:noWrap/>
            <w:vAlign w:val="center"/>
          </w:tcPr>
          <w:p w14:paraId="7978BEE7">
            <w:pPr>
              <w:pStyle w:val="26"/>
              <w:keepNext w:val="0"/>
              <w:keepLines w:val="0"/>
              <w:suppressLineNumbers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3755.4</w:t>
            </w:r>
          </w:p>
        </w:tc>
        <w:tc>
          <w:tcPr>
            <w:tcW w:w="2070" w:type="dxa"/>
            <w:tcBorders>
              <w:tl2br w:val="nil"/>
              <w:tr2bl w:val="nil"/>
            </w:tcBorders>
            <w:shd w:val="clear" w:color="auto" w:fill="auto"/>
            <w:vAlign w:val="center"/>
          </w:tcPr>
          <w:p w14:paraId="44FC3E87">
            <w:pPr>
              <w:pStyle w:val="26"/>
              <w:keepNext w:val="0"/>
              <w:keepLines w:val="0"/>
              <w:suppressLineNumbers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1.84</w:t>
            </w:r>
          </w:p>
        </w:tc>
        <w:tc>
          <w:tcPr>
            <w:tcW w:w="2069" w:type="dxa"/>
            <w:tcBorders>
              <w:tl2br w:val="nil"/>
              <w:tr2bl w:val="nil"/>
            </w:tcBorders>
            <w:shd w:val="clear" w:color="auto" w:fill="auto"/>
            <w:vAlign w:val="center"/>
          </w:tcPr>
          <w:p w14:paraId="1BB5430A">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6.910</w:t>
            </w:r>
          </w:p>
        </w:tc>
      </w:tr>
      <w:tr w14:paraId="594E5F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823" w:type="pct"/>
            <w:tcBorders>
              <w:tl2br w:val="nil"/>
              <w:tr2bl w:val="nil"/>
            </w:tcBorders>
            <w:shd w:val="clear" w:color="auto" w:fill="auto"/>
            <w:noWrap/>
            <w:vAlign w:val="center"/>
          </w:tcPr>
          <w:p w14:paraId="1D99DAF3">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丰水期</w:t>
            </w:r>
          </w:p>
        </w:tc>
        <w:tc>
          <w:tcPr>
            <w:tcW w:w="1157" w:type="pct"/>
            <w:tcBorders>
              <w:tl2br w:val="nil"/>
              <w:tr2bl w:val="nil"/>
            </w:tcBorders>
            <w:shd w:val="clear" w:color="auto" w:fill="auto"/>
            <w:noWrap/>
            <w:vAlign w:val="center"/>
          </w:tcPr>
          <w:p w14:paraId="2712950B">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隧洞山体渗水</w:t>
            </w:r>
          </w:p>
        </w:tc>
        <w:tc>
          <w:tcPr>
            <w:tcW w:w="778" w:type="pct"/>
            <w:tcBorders>
              <w:tl2br w:val="nil"/>
              <w:tr2bl w:val="nil"/>
            </w:tcBorders>
            <w:shd w:val="clear" w:color="auto" w:fill="auto"/>
            <w:noWrap/>
            <w:vAlign w:val="center"/>
          </w:tcPr>
          <w:p w14:paraId="366D82B2">
            <w:pPr>
              <w:pStyle w:val="26"/>
              <w:keepNext w:val="0"/>
              <w:keepLines w:val="0"/>
              <w:suppressLineNumbers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6671.3</w:t>
            </w:r>
          </w:p>
        </w:tc>
        <w:tc>
          <w:tcPr>
            <w:tcW w:w="2070" w:type="dxa"/>
            <w:tcBorders>
              <w:tl2br w:val="nil"/>
              <w:tr2bl w:val="nil"/>
            </w:tcBorders>
            <w:shd w:val="clear" w:color="auto" w:fill="auto"/>
            <w:vAlign w:val="center"/>
          </w:tcPr>
          <w:p w14:paraId="198999DB">
            <w:pPr>
              <w:pStyle w:val="26"/>
              <w:keepNext w:val="0"/>
              <w:keepLines w:val="0"/>
              <w:suppressLineNumbers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0.623</w:t>
            </w:r>
          </w:p>
        </w:tc>
        <w:tc>
          <w:tcPr>
            <w:tcW w:w="2069" w:type="dxa"/>
            <w:tcBorders>
              <w:tl2br w:val="nil"/>
              <w:tr2bl w:val="nil"/>
            </w:tcBorders>
            <w:shd w:val="clear" w:color="auto" w:fill="auto"/>
            <w:vAlign w:val="center"/>
          </w:tcPr>
          <w:p w14:paraId="26BDE548">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4.156</w:t>
            </w:r>
          </w:p>
        </w:tc>
      </w:tr>
    </w:tbl>
    <w:p w14:paraId="0CB7713D">
      <w:pPr>
        <w:widowControl w:val="0"/>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eastAsia" w:ascii="宋体" w:hAnsi="宋体" w:eastAsia="宋体" w:cs="宋体"/>
          <w:color w:val="auto"/>
          <w:kern w:val="2"/>
          <w:sz w:val="24"/>
          <w:highlight w:val="none"/>
          <w:u w:val="single"/>
          <w:lang w:val="en-US" w:eastAsia="zh-CN" w:bidi="ar-SA"/>
        </w:rPr>
        <w:t>④</w:t>
      </w:r>
      <w:r>
        <w:rPr>
          <w:rFonts w:hint="eastAsia" w:cs="Times New Roman"/>
          <w:color w:val="auto"/>
          <w:kern w:val="2"/>
          <w:sz w:val="24"/>
          <w:highlight w:val="none"/>
          <w:u w:val="single"/>
          <w:lang w:val="en-US" w:eastAsia="zh-CN" w:bidi="ar-SA"/>
        </w:rPr>
        <w:t>引水工程实施后隧洞内山体渗水排放情况</w:t>
      </w:r>
    </w:p>
    <w:p w14:paraId="51B4E55B">
      <w:pPr>
        <w:widowControl w:val="0"/>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eastAsia" w:cs="Times New Roman"/>
          <w:color w:val="auto"/>
          <w:kern w:val="2"/>
          <w:sz w:val="24"/>
          <w:highlight w:val="none"/>
          <w:u w:val="single"/>
          <w:lang w:val="en-US" w:eastAsia="zh-CN" w:bidi="ar-SA"/>
        </w:rPr>
        <w:t>引水工程实施后，枯水期</w:t>
      </w:r>
      <w:r>
        <w:rPr>
          <w:rFonts w:hint="eastAsia" w:ascii="Times New Roman" w:hAnsi="Times New Roman" w:eastAsia="宋体" w:cs="Times New Roman"/>
          <w:color w:val="auto"/>
          <w:kern w:val="2"/>
          <w:sz w:val="24"/>
          <w:highlight w:val="none"/>
          <w:u w:val="single"/>
          <w:lang w:val="en-US" w:eastAsia="zh-CN" w:bidi="ar-SA"/>
        </w:rPr>
        <w:t>，</w:t>
      </w:r>
      <w:r>
        <w:rPr>
          <w:rFonts w:hint="eastAsia" w:cs="Times New Roman"/>
          <w:color w:val="auto"/>
          <w:kern w:val="2"/>
          <w:sz w:val="24"/>
          <w:highlight w:val="none"/>
          <w:u w:val="single"/>
          <w:lang w:val="en-US" w:eastAsia="zh-CN" w:bidi="ar-SA"/>
        </w:rPr>
        <w:t>隧洞内山体渗水可全部转至废水处理站处理，再达标排放</w:t>
      </w:r>
      <w:r>
        <w:rPr>
          <w:rFonts w:hint="eastAsia" w:ascii="Times New Roman" w:hAnsi="Times New Roman" w:eastAsia="宋体" w:cs="Times New Roman"/>
          <w:color w:val="auto"/>
          <w:kern w:val="2"/>
          <w:sz w:val="24"/>
          <w:highlight w:val="none"/>
          <w:u w:val="single"/>
          <w:lang w:val="en-US" w:eastAsia="zh-CN" w:bidi="ar-SA"/>
        </w:rPr>
        <w:t>；</w:t>
      </w:r>
      <w:r>
        <w:rPr>
          <w:rFonts w:hint="eastAsia" w:cs="Times New Roman"/>
          <w:color w:val="auto"/>
          <w:kern w:val="2"/>
          <w:sz w:val="24"/>
          <w:highlight w:val="none"/>
          <w:u w:val="single"/>
          <w:lang w:val="en-US" w:eastAsia="zh-CN" w:bidi="ar-SA"/>
        </w:rPr>
        <w:t>平水期、</w:t>
      </w:r>
      <w:r>
        <w:rPr>
          <w:rFonts w:hint="eastAsia" w:ascii="Times New Roman" w:hAnsi="Times New Roman" w:eastAsia="宋体" w:cs="Times New Roman"/>
          <w:color w:val="auto"/>
          <w:kern w:val="2"/>
          <w:sz w:val="24"/>
          <w:highlight w:val="none"/>
          <w:u w:val="single"/>
          <w:lang w:val="en-US" w:eastAsia="zh-CN" w:bidi="ar-SA"/>
        </w:rPr>
        <w:t>丰水期</w:t>
      </w:r>
      <w:r>
        <w:rPr>
          <w:rFonts w:hint="eastAsia" w:cs="Times New Roman"/>
          <w:color w:val="auto"/>
          <w:kern w:val="2"/>
          <w:sz w:val="24"/>
          <w:highlight w:val="none"/>
          <w:u w:val="single"/>
          <w:lang w:val="en-US" w:eastAsia="zh-CN" w:bidi="ar-SA"/>
        </w:rPr>
        <w:t>等降雨量较大的情况下</w:t>
      </w:r>
      <w:r>
        <w:rPr>
          <w:rFonts w:hint="eastAsia" w:ascii="Times New Roman" w:hAnsi="Times New Roman" w:eastAsia="宋体" w:cs="Times New Roman"/>
          <w:color w:val="auto"/>
          <w:kern w:val="2"/>
          <w:sz w:val="24"/>
          <w:highlight w:val="none"/>
          <w:u w:val="single"/>
          <w:lang w:val="en-US" w:eastAsia="zh-CN" w:bidi="ar-SA"/>
        </w:rPr>
        <w:t>，</w:t>
      </w:r>
      <w:r>
        <w:rPr>
          <w:rFonts w:hint="eastAsia" w:cs="Times New Roman"/>
          <w:color w:val="auto"/>
          <w:kern w:val="2"/>
          <w:sz w:val="24"/>
          <w:highlight w:val="none"/>
          <w:u w:val="single"/>
          <w:lang w:val="en-US" w:eastAsia="zh-CN" w:bidi="ar-SA"/>
        </w:rPr>
        <w:t>废水处理站已满负荷运行时，不能处理的隧洞内山体渗水需直接排放至渣滓溪</w:t>
      </w:r>
      <w:r>
        <w:rPr>
          <w:rFonts w:hint="eastAsia" w:ascii="Times New Roman" w:hAnsi="Times New Roman" w:eastAsia="宋体" w:cs="Times New Roman"/>
          <w:color w:val="auto"/>
          <w:kern w:val="2"/>
          <w:sz w:val="24"/>
          <w:highlight w:val="none"/>
          <w:u w:val="single"/>
          <w:lang w:val="en-US" w:eastAsia="zh-CN" w:bidi="ar-SA"/>
        </w:rPr>
        <w:t>。</w:t>
      </w:r>
    </w:p>
    <w:p w14:paraId="30EF0BB6">
      <w:pPr>
        <w:pStyle w:val="2"/>
        <w:numPr>
          <w:ilvl w:val="0"/>
          <w:numId w:val="0"/>
        </w:numPr>
        <w:tabs>
          <w:tab w:val="left" w:pos="0"/>
          <w:tab w:val="clear" w:pos="1021"/>
        </w:tabs>
        <w:bidi w:val="0"/>
        <w:ind w:left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四、收集处理下游河道地下渗水及周边山体渗水</w:t>
      </w:r>
    </w:p>
    <w:p w14:paraId="4838C480">
      <w:pPr>
        <w:pStyle w:val="2"/>
        <w:bidi w:val="0"/>
        <w:rPr>
          <w:rFonts w:hint="default"/>
          <w:color w:val="auto"/>
          <w:highlight w:val="none"/>
          <w:lang w:val="en-US" w:eastAsia="zh-CN"/>
        </w:rPr>
      </w:pPr>
      <w:r>
        <w:rPr>
          <w:rFonts w:hint="eastAsia"/>
          <w:color w:val="auto"/>
          <w:highlight w:val="none"/>
          <w:lang w:val="en-US" w:eastAsia="zh-CN"/>
        </w:rPr>
        <w:t>上游地表水及达标排放废水被引流后，新建渗滤液收集池主要收集下游河道地下渗水及山体渗水，收集后的水通过潜污泵泵送至废水处理站处理后排放。渗滤液收集池由河道内新建坝体及右侧山体组成。新建拦水坝长25m、高2.5m（地下1m，地上1.5m）、厚0.5m，有效蓄水量为75m</w:t>
      </w:r>
      <w:r>
        <w:rPr>
          <w:rFonts w:hint="eastAsia"/>
          <w:color w:val="auto"/>
          <w:highlight w:val="none"/>
          <w:vertAlign w:val="superscript"/>
          <w:lang w:val="en-US" w:eastAsia="zh-CN"/>
        </w:rPr>
        <w:t>3</w:t>
      </w:r>
      <w:r>
        <w:rPr>
          <w:rFonts w:hint="eastAsia"/>
          <w:color w:val="auto"/>
          <w:highlight w:val="none"/>
          <w:lang w:val="en-US" w:eastAsia="zh-CN"/>
        </w:rPr>
        <w:t>。渗滤液收集池顶部增加盖板，防止洪水期排洪隧道内水流进入收集池内，盖板尺寸为25*3*0.5m。</w:t>
      </w:r>
    </w:p>
    <w:p w14:paraId="53BA0795">
      <w:pPr>
        <w:widowControl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宋体" w:hAnsi="宋体" w:eastAsia="宋体" w:cs="宋体"/>
          <w:b w:val="0"/>
          <w:bCs w:val="0"/>
          <w:color w:val="auto"/>
          <w:kern w:val="2"/>
          <w:sz w:val="24"/>
          <w:highlight w:val="none"/>
          <w:lang w:val="en-US" w:eastAsia="zh-CN" w:bidi="ar-SA"/>
        </w:rPr>
        <w:t>①锑背景浓度</w:t>
      </w:r>
    </w:p>
    <w:p w14:paraId="20B994D2">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下游河道地下渗水及周边山体渗水锑浓度参照排洪隧洞中的山体渗水的锑浓度平均值，为1.84mg/L。</w:t>
      </w:r>
    </w:p>
    <w:p w14:paraId="7A1F33B5">
      <w:pPr>
        <w:widowControl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宋体" w:hAnsi="宋体" w:eastAsia="宋体" w:cs="宋体"/>
          <w:b w:val="0"/>
          <w:bCs w:val="0"/>
          <w:color w:val="auto"/>
          <w:kern w:val="2"/>
          <w:sz w:val="24"/>
          <w:highlight w:val="none"/>
          <w:lang w:val="en-US" w:eastAsia="zh-CN" w:bidi="ar-SA"/>
        </w:rPr>
        <w:t>②</w:t>
      </w:r>
      <w:r>
        <w:rPr>
          <w:rFonts w:hint="eastAsia" w:cs="Times New Roman"/>
          <w:b w:val="0"/>
          <w:bCs w:val="0"/>
          <w:color w:val="auto"/>
          <w:kern w:val="2"/>
          <w:sz w:val="24"/>
          <w:highlight w:val="none"/>
          <w:lang w:val="en-US" w:eastAsia="zh-CN" w:bidi="ar-SA"/>
        </w:rPr>
        <w:t>水量</w:t>
      </w:r>
    </w:p>
    <w:p w14:paraId="7A31344F">
      <w:pPr>
        <w:widowControl w:val="0"/>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此部分水量较小，本次论证不再考虑其水量。</w:t>
      </w:r>
    </w:p>
    <w:p w14:paraId="1FAD75D0">
      <w:pPr>
        <w:pStyle w:val="34"/>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 xml:space="preserve"> 调整</w:t>
      </w:r>
      <w:r>
        <w:rPr>
          <w:rFonts w:hint="eastAsia" w:ascii="Times New Roman" w:hAnsi="Times New Roman" w:eastAsia="宋体" w:cs="Times New Roman"/>
          <w:color w:val="auto"/>
          <w:highlight w:val="none"/>
          <w:lang w:val="en-US" w:eastAsia="zh-CN"/>
        </w:rPr>
        <w:t>后水平衡</w:t>
      </w:r>
    </w:p>
    <w:p w14:paraId="73A45A1B">
      <w:pPr>
        <w:pStyle w:val="2"/>
        <w:bidi w:val="0"/>
        <w:ind w:left="0" w:leftChars="0" w:firstLine="0" w:firstLineChars="0"/>
        <w:rPr>
          <w:rFonts w:hint="default"/>
          <w:color w:val="auto"/>
          <w:highlight w:val="none"/>
          <w:u w:val="single"/>
          <w:lang w:val="en-US" w:eastAsia="zh-CN"/>
        </w:rPr>
      </w:pPr>
      <w:r>
        <w:rPr>
          <w:rFonts w:hint="eastAsia"/>
          <w:color w:val="auto"/>
          <w:highlight w:val="none"/>
          <w:lang w:val="en-US" w:eastAsia="zh-CN"/>
        </w:rPr>
        <w:t xml:space="preserve">      </w:t>
      </w:r>
      <w:r>
        <w:rPr>
          <w:rFonts w:hint="default"/>
          <w:color w:val="auto"/>
          <w:highlight w:val="none"/>
          <w:u w:val="single"/>
          <w:lang w:val="en-US" w:eastAsia="zh-CN"/>
        </w:rPr>
        <w:drawing>
          <wp:inline distT="0" distB="0" distL="114300" distR="114300">
            <wp:extent cx="5720715" cy="3958590"/>
            <wp:effectExtent l="0" t="0" r="0" b="0"/>
            <wp:docPr id="29" name="ECB019B1-382A-4266-B25C-5B523AA43C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B019B1-382A-4266-B25C-5B523AA43C14-6" descr="wps"/>
                    <pic:cNvPicPr>
                      <a:picLocks noChangeAspect="1"/>
                    </pic:cNvPicPr>
                  </pic:nvPicPr>
                  <pic:blipFill>
                    <a:blip r:embed="rId55"/>
                    <a:stretch>
                      <a:fillRect/>
                    </a:stretch>
                  </pic:blipFill>
                  <pic:spPr>
                    <a:xfrm>
                      <a:off x="0" y="0"/>
                      <a:ext cx="5720715" cy="3958590"/>
                    </a:xfrm>
                    <a:prstGeom prst="rect">
                      <a:avLst/>
                    </a:prstGeom>
                  </pic:spPr>
                </pic:pic>
              </a:graphicData>
            </a:graphic>
          </wp:inline>
        </w:drawing>
      </w:r>
    </w:p>
    <w:p w14:paraId="5A26B27A">
      <w:pPr>
        <w:pStyle w:val="40"/>
        <w:bidi w:val="0"/>
        <w:rPr>
          <w:color w:val="auto"/>
          <w:highlight w:val="none"/>
          <w:u w:val="single"/>
          <w:lang w:val="en-US" w:eastAsia="zh-CN"/>
        </w:rPr>
      </w:pPr>
      <w:r>
        <w:rPr>
          <w:rFonts w:hint="default"/>
          <w:color w:val="auto"/>
          <w:highlight w:val="none"/>
          <w:u w:val="single"/>
          <w:lang w:val="en-US" w:eastAsia="zh-CN"/>
        </w:rPr>
        <w:t>图</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图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12</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w:t>
      </w:r>
      <w:r>
        <w:rPr>
          <w:rFonts w:hint="eastAsia"/>
          <w:color w:val="auto"/>
          <w:highlight w:val="none"/>
          <w:u w:val="single"/>
          <w:lang w:val="en-US" w:eastAsia="zh-CN"/>
        </w:rPr>
        <w:t>调整后</w:t>
      </w:r>
      <w:r>
        <w:rPr>
          <w:rFonts w:hint="default"/>
          <w:color w:val="auto"/>
          <w:highlight w:val="none"/>
          <w:u w:val="single"/>
          <w:lang w:val="en-US" w:eastAsia="zh-CN"/>
        </w:rPr>
        <w:t>矿山</w:t>
      </w:r>
      <w:r>
        <w:rPr>
          <w:rFonts w:hint="eastAsia"/>
          <w:color w:val="auto"/>
          <w:highlight w:val="none"/>
          <w:u w:val="single"/>
          <w:lang w:val="en-US" w:eastAsia="zh-CN"/>
        </w:rPr>
        <w:t>枯水期</w:t>
      </w:r>
      <w:r>
        <w:rPr>
          <w:rFonts w:hint="default"/>
          <w:color w:val="auto"/>
          <w:highlight w:val="none"/>
          <w:u w:val="single"/>
          <w:lang w:val="en-US" w:eastAsia="zh-CN"/>
        </w:rPr>
        <w:t>水平衡图（单位：</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default"/>
          <w:color w:val="auto"/>
          <w:highlight w:val="none"/>
          <w:u w:val="single"/>
          <w:lang w:val="en-US" w:eastAsia="zh-CN"/>
        </w:rPr>
        <w:t>/d）</w:t>
      </w:r>
    </w:p>
    <w:p w14:paraId="3DEED0DA">
      <w:pPr>
        <w:pStyle w:val="2"/>
        <w:bidi w:val="0"/>
        <w:ind w:left="0" w:leftChars="0" w:firstLine="0" w:firstLineChars="0"/>
        <w:rPr>
          <w:rFonts w:hint="default"/>
          <w:color w:val="auto"/>
          <w:highlight w:val="none"/>
          <w:u w:val="single"/>
          <w:lang w:val="en-US" w:eastAsia="zh-CN"/>
        </w:rPr>
      </w:pPr>
      <w:r>
        <w:rPr>
          <w:rFonts w:hint="default"/>
          <w:color w:val="auto"/>
          <w:highlight w:val="none"/>
          <w:u w:val="single"/>
          <w:lang w:val="en-US" w:eastAsia="zh-CN"/>
        </w:rPr>
        <w:drawing>
          <wp:inline distT="0" distB="0" distL="114300" distR="114300">
            <wp:extent cx="5714365" cy="3945890"/>
            <wp:effectExtent l="0" t="0" r="0" b="0"/>
            <wp:docPr id="30" name="ECB019B1-382A-4266-B25C-5B523AA43C1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B019B1-382A-4266-B25C-5B523AA43C14-7" descr="wps"/>
                    <pic:cNvPicPr>
                      <a:picLocks noChangeAspect="1"/>
                    </pic:cNvPicPr>
                  </pic:nvPicPr>
                  <pic:blipFill>
                    <a:blip r:embed="rId56"/>
                    <a:stretch>
                      <a:fillRect/>
                    </a:stretch>
                  </pic:blipFill>
                  <pic:spPr>
                    <a:xfrm>
                      <a:off x="0" y="0"/>
                      <a:ext cx="5714365" cy="3945890"/>
                    </a:xfrm>
                    <a:prstGeom prst="rect">
                      <a:avLst/>
                    </a:prstGeom>
                  </pic:spPr>
                </pic:pic>
              </a:graphicData>
            </a:graphic>
          </wp:inline>
        </w:drawing>
      </w:r>
    </w:p>
    <w:p w14:paraId="02C164F7">
      <w:pPr>
        <w:pStyle w:val="40"/>
        <w:bidi w:val="0"/>
        <w:rPr>
          <w:color w:val="auto"/>
          <w:highlight w:val="none"/>
          <w:u w:val="single"/>
          <w:lang w:val="en-US" w:eastAsia="zh-CN"/>
        </w:rPr>
      </w:pPr>
      <w:r>
        <w:rPr>
          <w:rFonts w:hint="default"/>
          <w:color w:val="auto"/>
          <w:highlight w:val="none"/>
          <w:u w:val="single"/>
          <w:lang w:val="en-US" w:eastAsia="zh-CN"/>
        </w:rPr>
        <w:t>图</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图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13</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w:t>
      </w:r>
      <w:r>
        <w:rPr>
          <w:rFonts w:hint="eastAsia"/>
          <w:color w:val="auto"/>
          <w:highlight w:val="none"/>
          <w:u w:val="single"/>
          <w:lang w:val="en-US" w:eastAsia="zh-CN"/>
        </w:rPr>
        <w:t>调整后</w:t>
      </w:r>
      <w:r>
        <w:rPr>
          <w:rFonts w:hint="default"/>
          <w:color w:val="auto"/>
          <w:highlight w:val="none"/>
          <w:u w:val="single"/>
          <w:lang w:val="en-US" w:eastAsia="zh-CN"/>
        </w:rPr>
        <w:t>矿山</w:t>
      </w:r>
      <w:r>
        <w:rPr>
          <w:rFonts w:hint="eastAsia"/>
          <w:color w:val="auto"/>
          <w:highlight w:val="none"/>
          <w:u w:val="single"/>
          <w:lang w:val="en-US" w:eastAsia="zh-CN"/>
        </w:rPr>
        <w:t>平水期</w:t>
      </w:r>
      <w:r>
        <w:rPr>
          <w:rFonts w:hint="default"/>
          <w:color w:val="auto"/>
          <w:highlight w:val="none"/>
          <w:u w:val="single"/>
          <w:lang w:val="en-US" w:eastAsia="zh-CN"/>
        </w:rPr>
        <w:t>水平衡图（单位：</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default"/>
          <w:color w:val="auto"/>
          <w:highlight w:val="none"/>
          <w:u w:val="single"/>
          <w:lang w:val="en-US" w:eastAsia="zh-CN"/>
        </w:rPr>
        <w:t>/d）</w:t>
      </w:r>
    </w:p>
    <w:p w14:paraId="62D2F0AA">
      <w:pPr>
        <w:pStyle w:val="2"/>
        <w:bidi w:val="0"/>
        <w:ind w:left="0" w:leftChars="0" w:firstLine="0" w:firstLineChars="0"/>
        <w:rPr>
          <w:rFonts w:hint="default"/>
          <w:color w:val="auto"/>
          <w:highlight w:val="none"/>
          <w:u w:val="single"/>
          <w:lang w:val="en-US" w:eastAsia="zh-CN"/>
        </w:rPr>
      </w:pPr>
      <w:r>
        <w:rPr>
          <w:rFonts w:hint="default"/>
          <w:color w:val="auto"/>
          <w:highlight w:val="none"/>
          <w:u w:val="single"/>
          <w:lang w:val="en-US" w:eastAsia="zh-CN"/>
        </w:rPr>
        <w:drawing>
          <wp:inline distT="0" distB="0" distL="114300" distR="114300">
            <wp:extent cx="5324475" cy="4102100"/>
            <wp:effectExtent l="0" t="0" r="0" b="0"/>
            <wp:docPr id="31" name="ECB019B1-382A-4266-B25C-5B523AA43C1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8" descr="wps"/>
                    <pic:cNvPicPr>
                      <a:picLocks noChangeAspect="1"/>
                    </pic:cNvPicPr>
                  </pic:nvPicPr>
                  <pic:blipFill>
                    <a:blip r:embed="rId27"/>
                    <a:stretch>
                      <a:fillRect/>
                    </a:stretch>
                  </pic:blipFill>
                  <pic:spPr>
                    <a:xfrm>
                      <a:off x="0" y="0"/>
                      <a:ext cx="5324475" cy="4102100"/>
                    </a:xfrm>
                    <a:prstGeom prst="rect">
                      <a:avLst/>
                    </a:prstGeom>
                  </pic:spPr>
                </pic:pic>
              </a:graphicData>
            </a:graphic>
          </wp:inline>
        </w:drawing>
      </w:r>
    </w:p>
    <w:p w14:paraId="3980846A">
      <w:pPr>
        <w:pStyle w:val="40"/>
        <w:bidi w:val="0"/>
        <w:rPr>
          <w:color w:val="auto"/>
          <w:highlight w:val="none"/>
          <w:u w:val="single"/>
          <w:lang w:val="en-US" w:eastAsia="zh-CN"/>
        </w:rPr>
      </w:pPr>
      <w:r>
        <w:rPr>
          <w:rFonts w:hint="default"/>
          <w:color w:val="auto"/>
          <w:highlight w:val="none"/>
          <w:u w:val="single"/>
          <w:lang w:val="en-US" w:eastAsia="zh-CN"/>
        </w:rPr>
        <w:t>图</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STYLEREF guo-二级标题 \n </w:instrText>
      </w:r>
      <w:r>
        <w:rPr>
          <w:rFonts w:hint="default"/>
          <w:color w:val="auto"/>
          <w:highlight w:val="none"/>
          <w:u w:val="single"/>
          <w:lang w:val="en-US" w:eastAsia="zh-CN"/>
        </w:rPr>
        <w:fldChar w:fldCharType="separate"/>
      </w:r>
      <w:r>
        <w:rPr>
          <w:rFonts w:hint="default"/>
          <w:color w:val="auto"/>
          <w:highlight w:val="none"/>
          <w:u w:val="single"/>
          <w:lang w:val="en-US" w:eastAsia="zh-CN"/>
        </w:rPr>
        <w:t>2.1</w:t>
      </w:r>
      <w:r>
        <w:rPr>
          <w:rFonts w:hint="default"/>
          <w:color w:val="auto"/>
          <w:highlight w:val="none"/>
          <w:u w:val="single"/>
          <w:lang w:val="en-US" w:eastAsia="zh-CN"/>
        </w:rPr>
        <w:fldChar w:fldCharType="end"/>
      </w:r>
      <w:r>
        <w:rPr>
          <w:rFonts w:hint="default"/>
          <w:color w:val="auto"/>
          <w:highlight w:val="none"/>
          <w:u w:val="single"/>
          <w:lang w:val="en-US" w:eastAsia="zh-CN"/>
        </w:rPr>
        <w:t>–</w:t>
      </w:r>
      <w:r>
        <w:rPr>
          <w:rFonts w:hint="default"/>
          <w:color w:val="auto"/>
          <w:highlight w:val="none"/>
          <w:u w:val="single"/>
          <w:lang w:val="en-US" w:eastAsia="zh-CN"/>
        </w:rPr>
        <w:fldChar w:fldCharType="begin"/>
      </w:r>
      <w:r>
        <w:rPr>
          <w:rFonts w:hint="default"/>
          <w:color w:val="auto"/>
          <w:highlight w:val="none"/>
          <w:u w:val="single"/>
          <w:lang w:val="en-US" w:eastAsia="zh-CN"/>
        </w:rPr>
        <w:instrText xml:space="preserve"> SEQ 图 \* ARABIC \s 2 </w:instrText>
      </w:r>
      <w:r>
        <w:rPr>
          <w:rFonts w:hint="default"/>
          <w:color w:val="auto"/>
          <w:highlight w:val="none"/>
          <w:u w:val="single"/>
          <w:lang w:val="en-US" w:eastAsia="zh-CN"/>
        </w:rPr>
        <w:fldChar w:fldCharType="separate"/>
      </w:r>
      <w:r>
        <w:rPr>
          <w:rFonts w:hint="default"/>
          <w:color w:val="auto"/>
          <w:highlight w:val="none"/>
          <w:u w:val="single"/>
          <w:lang w:val="en-US" w:eastAsia="zh-CN"/>
        </w:rPr>
        <w:t>14</w:t>
      </w:r>
      <w:r>
        <w:rPr>
          <w:rFonts w:hint="default"/>
          <w:color w:val="auto"/>
          <w:highlight w:val="none"/>
          <w:u w:val="single"/>
          <w:lang w:val="en-US" w:eastAsia="zh-CN"/>
        </w:rPr>
        <w:fldChar w:fldCharType="end"/>
      </w:r>
      <w:r>
        <w:rPr>
          <w:rFonts w:hint="default"/>
          <w:color w:val="auto"/>
          <w:highlight w:val="none"/>
          <w:u w:val="single"/>
          <w:lang w:val="en-US" w:eastAsia="zh-CN"/>
        </w:rPr>
        <w:t xml:space="preserve">  </w:t>
      </w:r>
      <w:r>
        <w:rPr>
          <w:rFonts w:hint="eastAsia"/>
          <w:color w:val="auto"/>
          <w:highlight w:val="none"/>
          <w:u w:val="single"/>
          <w:lang w:val="en-US" w:eastAsia="zh-CN"/>
        </w:rPr>
        <w:t>调整后</w:t>
      </w:r>
      <w:r>
        <w:rPr>
          <w:rFonts w:hint="default"/>
          <w:color w:val="auto"/>
          <w:highlight w:val="none"/>
          <w:u w:val="single"/>
          <w:lang w:val="en-US" w:eastAsia="zh-CN"/>
        </w:rPr>
        <w:t>矿山</w:t>
      </w:r>
      <w:r>
        <w:rPr>
          <w:rFonts w:hint="eastAsia"/>
          <w:color w:val="auto"/>
          <w:highlight w:val="none"/>
          <w:u w:val="single"/>
          <w:lang w:val="en-US" w:eastAsia="zh-CN"/>
        </w:rPr>
        <w:t>丰水期</w:t>
      </w:r>
      <w:r>
        <w:rPr>
          <w:rFonts w:hint="default"/>
          <w:color w:val="auto"/>
          <w:highlight w:val="none"/>
          <w:u w:val="single"/>
          <w:lang w:val="en-US" w:eastAsia="zh-CN"/>
        </w:rPr>
        <w:t>水平衡图（单位：</w:t>
      </w: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default"/>
          <w:color w:val="auto"/>
          <w:highlight w:val="none"/>
          <w:u w:val="single"/>
          <w:lang w:val="en-US" w:eastAsia="zh-CN"/>
        </w:rPr>
        <w:t>/d）</w:t>
      </w:r>
    </w:p>
    <w:p w14:paraId="3ABE26CA">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废水产生及排水情况</w:t>
      </w:r>
    </w:p>
    <w:p w14:paraId="05FFEFC1">
      <w:pPr>
        <w:pStyle w:val="34"/>
        <w:bidi w:val="0"/>
        <w:rPr>
          <w:rFonts w:hint="eastAsia"/>
          <w:color w:val="auto"/>
          <w:highlight w:val="none"/>
          <w:lang w:val="en-US" w:eastAsia="zh-CN"/>
        </w:rPr>
      </w:pPr>
      <w:r>
        <w:rPr>
          <w:rFonts w:hint="eastAsia"/>
          <w:color w:val="auto"/>
          <w:highlight w:val="none"/>
          <w:lang w:val="en-US" w:eastAsia="zh-CN"/>
        </w:rPr>
        <w:t>调整前废水产排情况</w:t>
      </w:r>
    </w:p>
    <w:p w14:paraId="5466EABC">
      <w:pPr>
        <w:widowControl w:val="0"/>
        <w:spacing w:line="360" w:lineRule="auto"/>
        <w:ind w:firstLine="482" w:firstLineChars="200"/>
        <w:jc w:val="both"/>
        <w:rPr>
          <w:rFonts w:hint="default"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一、生产废水</w:t>
      </w:r>
    </w:p>
    <w:p w14:paraId="1C00AECA">
      <w:pPr>
        <w:widowControl w:val="0"/>
        <w:spacing w:line="360" w:lineRule="auto"/>
        <w:ind w:firstLine="482" w:firstLineChars="200"/>
        <w:jc w:val="both"/>
        <w:rPr>
          <w:rFonts w:hint="default"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（1）</w:t>
      </w:r>
      <w:r>
        <w:rPr>
          <w:rFonts w:hint="eastAsia" w:cs="Times New Roman"/>
          <w:b/>
          <w:bCs/>
          <w:color w:val="auto"/>
          <w:kern w:val="2"/>
          <w:sz w:val="24"/>
          <w:highlight w:val="none"/>
          <w:lang w:val="en-US" w:eastAsia="zh-CN" w:bidi="ar-SA"/>
        </w:rPr>
        <w:t>废水处理站</w:t>
      </w:r>
      <w:r>
        <w:rPr>
          <w:rFonts w:hint="eastAsia" w:ascii="Times New Roman" w:hAnsi="Times New Roman" w:eastAsia="宋体" w:cs="Times New Roman"/>
          <w:b/>
          <w:bCs/>
          <w:color w:val="auto"/>
          <w:kern w:val="2"/>
          <w:sz w:val="24"/>
          <w:highlight w:val="none"/>
          <w:lang w:val="en-US" w:eastAsia="zh-CN" w:bidi="ar-SA"/>
        </w:rPr>
        <w:t>处理水量</w:t>
      </w:r>
    </w:p>
    <w:p w14:paraId="2EEC41E2">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目前，渣滓溪矿业主要的废水有井下涌水、采矿废水、充填废水、选矿废水、尾矿库废水、雨水、生活污水，其中采选废水、充填废水、尾矿库废水经矿山</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处理后排放，生活污水经化粪池处理后排入排洪隧洞；冶炼系统为独立的生产系统，不排放</w:t>
      </w:r>
      <w:r>
        <w:rPr>
          <w:rFonts w:hint="eastAsia" w:cs="Times New Roman"/>
          <w:color w:val="auto"/>
          <w:kern w:val="2"/>
          <w:sz w:val="24"/>
          <w:highlight w:val="none"/>
          <w:lang w:val="en-US" w:eastAsia="zh-CN" w:bidi="ar-SA"/>
        </w:rPr>
        <w:t>生产</w:t>
      </w:r>
      <w:r>
        <w:rPr>
          <w:rFonts w:hint="eastAsia" w:ascii="Times New Roman" w:hAnsi="Times New Roman" w:eastAsia="宋体" w:cs="Times New Roman"/>
          <w:color w:val="auto"/>
          <w:kern w:val="2"/>
          <w:sz w:val="24"/>
          <w:highlight w:val="none"/>
          <w:lang w:val="en-US" w:eastAsia="zh-CN" w:bidi="ar-SA"/>
        </w:rPr>
        <w:t>废水</w:t>
      </w:r>
      <w:r>
        <w:rPr>
          <w:rFonts w:hint="eastAsia" w:cs="Times New Roman"/>
          <w:color w:val="auto"/>
          <w:kern w:val="2"/>
          <w:sz w:val="24"/>
          <w:highlight w:val="none"/>
          <w:lang w:val="en-US" w:eastAsia="zh-CN" w:bidi="ar-SA"/>
        </w:rPr>
        <w:t>，但脱硫系统废水排至尾矿库</w:t>
      </w:r>
      <w:r>
        <w:rPr>
          <w:rFonts w:hint="eastAsia" w:ascii="Times New Roman" w:hAnsi="Times New Roman" w:eastAsia="宋体" w:cs="Times New Roman"/>
          <w:color w:val="auto"/>
          <w:kern w:val="2"/>
          <w:sz w:val="24"/>
          <w:highlight w:val="none"/>
          <w:lang w:val="en-US" w:eastAsia="zh-CN" w:bidi="ar-SA"/>
        </w:rPr>
        <w:t>；另外，排入渣滓溪的除了</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废水外，还有厂区雨水和隧洞山体渗水。</w:t>
      </w:r>
    </w:p>
    <w:p w14:paraId="344AF0F7">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进入下游渣滓溪的水，主要包括两部分：一、</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出水；二、隧洞出水（</w:t>
      </w:r>
      <w:r>
        <w:rPr>
          <w:rFonts w:hint="eastAsia" w:cs="Times New Roman"/>
          <w:color w:val="auto"/>
          <w:kern w:val="2"/>
          <w:sz w:val="24"/>
          <w:highlight w:val="none"/>
          <w:lang w:val="en-US" w:eastAsia="zh-CN" w:bidi="ar-SA"/>
        </w:rPr>
        <w:t>不包括</w:t>
      </w:r>
      <w:r>
        <w:rPr>
          <w:rFonts w:hint="eastAsia" w:ascii="Times New Roman" w:hAnsi="Times New Roman" w:eastAsia="宋体" w:cs="Times New Roman"/>
          <w:color w:val="auto"/>
          <w:kern w:val="2"/>
          <w:sz w:val="24"/>
          <w:highlight w:val="none"/>
          <w:lang w:val="en-US" w:eastAsia="zh-CN" w:bidi="ar-SA"/>
        </w:rPr>
        <w:t>进入</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部分）。根据前文水平衡，</w:t>
      </w:r>
      <w:r>
        <w:rPr>
          <w:rFonts w:hint="eastAsia" w:cs="Times New Roman"/>
          <w:color w:val="auto"/>
          <w:kern w:val="2"/>
          <w:sz w:val="24"/>
          <w:highlight w:val="none"/>
          <w:lang w:val="en-US" w:eastAsia="zh-CN" w:bidi="ar-SA"/>
        </w:rPr>
        <w:t>枯水期</w:t>
      </w:r>
      <w:r>
        <w:rPr>
          <w:rFonts w:hint="eastAsia" w:ascii="Times New Roman" w:hAnsi="Times New Roman" w:eastAsia="宋体" w:cs="Times New Roman"/>
          <w:color w:val="auto"/>
          <w:kern w:val="2"/>
          <w:sz w:val="24"/>
          <w:highlight w:val="none"/>
          <w:lang w:val="en-US" w:eastAsia="zh-CN" w:bidi="ar-SA"/>
        </w:rPr>
        <w:t>，进入</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的生产废水为</w:t>
      </w:r>
      <w:r>
        <w:rPr>
          <w:rFonts w:hint="eastAsia" w:cs="Times New Roman"/>
          <w:color w:val="auto"/>
          <w:kern w:val="2"/>
          <w:sz w:val="24"/>
          <w:highlight w:val="none"/>
          <w:lang w:val="en-US" w:eastAsia="zh-CN" w:bidi="ar-SA"/>
        </w:rPr>
        <w:t>526</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9m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hint="eastAsia" w:ascii="Times New Roman" w:hAnsi="Times New Roman" w:eastAsia="宋体" w:cs="Times New Roman"/>
          <w:color w:val="auto"/>
          <w:kern w:val="2"/>
          <w:sz w:val="24"/>
          <w:highlight w:val="none"/>
          <w:lang w:val="en-US" w:eastAsia="zh-CN" w:bidi="ar-SA"/>
        </w:rPr>
        <w:t>，进入</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的隧洞水为</w:t>
      </w:r>
      <w:r>
        <w:rPr>
          <w:rFonts w:hint="eastAsia" w:cs="Times New Roman"/>
          <w:color w:val="auto"/>
          <w:kern w:val="2"/>
          <w:sz w:val="24"/>
          <w:highlight w:val="none"/>
          <w:lang w:val="en-US" w:eastAsia="zh-CN" w:bidi="ar-SA"/>
        </w:rPr>
        <w:t>115</w:t>
      </w:r>
      <w:r>
        <w:rPr>
          <w:rFonts w:hint="eastAsia" w:ascii="Times New Roman" w:hAnsi="Times New Roman" w:eastAsia="宋体" w:cs="Times New Roman"/>
          <w:color w:val="auto"/>
          <w:kern w:val="2"/>
          <w:sz w:val="24"/>
          <w:highlight w:val="none"/>
          <w:lang w:val="en-US" w:eastAsia="zh-CN" w:bidi="ar-SA"/>
        </w:rPr>
        <w:t>0</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平水期</w:t>
      </w:r>
      <w:r>
        <w:rPr>
          <w:rFonts w:hint="eastAsia" w:ascii="Times New Roman" w:hAnsi="Times New Roman" w:eastAsia="宋体" w:cs="Times New Roman"/>
          <w:color w:val="auto"/>
          <w:kern w:val="2"/>
          <w:sz w:val="24"/>
          <w:highlight w:val="none"/>
          <w:lang w:val="en-US" w:eastAsia="zh-CN" w:bidi="ar-SA"/>
        </w:rPr>
        <w:t>，进入</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的生产废水为</w:t>
      </w:r>
      <w:r>
        <w:rPr>
          <w:rFonts w:hint="eastAsia" w:cs="Times New Roman"/>
          <w:color w:val="auto"/>
          <w:kern w:val="2"/>
          <w:sz w:val="24"/>
          <w:highlight w:val="none"/>
          <w:lang w:val="en-US" w:eastAsia="zh-CN" w:bidi="ar-SA"/>
        </w:rPr>
        <w:t>1247</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3m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hint="eastAsia" w:ascii="Times New Roman" w:hAnsi="Times New Roman" w:eastAsia="宋体" w:cs="Times New Roman"/>
          <w:color w:val="auto"/>
          <w:kern w:val="2"/>
          <w:sz w:val="24"/>
          <w:highlight w:val="none"/>
          <w:lang w:val="en-US" w:eastAsia="zh-CN" w:bidi="ar-SA"/>
        </w:rPr>
        <w:t>，进入</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的隧洞水为</w:t>
      </w:r>
      <w:r>
        <w:rPr>
          <w:rFonts w:hint="eastAsia" w:cs="Times New Roman"/>
          <w:color w:val="auto"/>
          <w:kern w:val="2"/>
          <w:sz w:val="24"/>
          <w:highlight w:val="none"/>
          <w:lang w:val="en-US" w:eastAsia="zh-CN" w:bidi="ar-SA"/>
        </w:rPr>
        <w:t>115</w:t>
      </w:r>
      <w:r>
        <w:rPr>
          <w:rFonts w:hint="eastAsia" w:ascii="Times New Roman" w:hAnsi="Times New Roman" w:eastAsia="宋体" w:cs="Times New Roman"/>
          <w:color w:val="auto"/>
          <w:kern w:val="2"/>
          <w:sz w:val="24"/>
          <w:highlight w:val="none"/>
          <w:lang w:val="en-US" w:eastAsia="zh-CN" w:bidi="ar-SA"/>
        </w:rPr>
        <w:t>0</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丰水期</w:t>
      </w:r>
      <w:r>
        <w:rPr>
          <w:rFonts w:hint="eastAsia" w:ascii="Times New Roman" w:hAnsi="Times New Roman" w:eastAsia="宋体" w:cs="Times New Roman"/>
          <w:color w:val="auto"/>
          <w:kern w:val="2"/>
          <w:sz w:val="24"/>
          <w:highlight w:val="none"/>
          <w:lang w:val="en-US" w:eastAsia="zh-CN" w:bidi="ar-SA"/>
        </w:rPr>
        <w:t>，进入</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的生产废水为2</w:t>
      </w:r>
      <w:r>
        <w:rPr>
          <w:rFonts w:hint="eastAsia" w:cs="Times New Roman"/>
          <w:color w:val="auto"/>
          <w:kern w:val="2"/>
          <w:sz w:val="24"/>
          <w:highlight w:val="none"/>
          <w:lang w:val="en-US" w:eastAsia="zh-CN" w:bidi="ar-SA"/>
        </w:rPr>
        <w:t>207</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9m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hint="eastAsia" w:ascii="Times New Roman" w:hAnsi="Times New Roman" w:eastAsia="宋体" w:cs="Times New Roman"/>
          <w:color w:val="auto"/>
          <w:kern w:val="2"/>
          <w:sz w:val="24"/>
          <w:highlight w:val="none"/>
          <w:lang w:val="en-US" w:eastAsia="zh-CN" w:bidi="ar-SA"/>
        </w:rPr>
        <w:t>，进入</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的隧洞水为</w:t>
      </w:r>
      <w:r>
        <w:rPr>
          <w:rFonts w:hint="eastAsia" w:cs="Times New Roman"/>
          <w:color w:val="auto"/>
          <w:kern w:val="2"/>
          <w:sz w:val="24"/>
          <w:highlight w:val="none"/>
          <w:lang w:val="en-US" w:eastAsia="zh-CN" w:bidi="ar-SA"/>
        </w:rPr>
        <w:t>115</w:t>
      </w:r>
      <w:r>
        <w:rPr>
          <w:rFonts w:hint="eastAsia" w:ascii="Times New Roman" w:hAnsi="Times New Roman" w:eastAsia="宋体" w:cs="Times New Roman"/>
          <w:color w:val="auto"/>
          <w:kern w:val="2"/>
          <w:sz w:val="24"/>
          <w:highlight w:val="none"/>
          <w:lang w:val="en-US" w:eastAsia="zh-CN" w:bidi="ar-SA"/>
        </w:rPr>
        <w:t>0</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hint="eastAsia" w:ascii="Times New Roman" w:hAnsi="Times New Roman" w:eastAsia="宋体" w:cs="Times New Roman"/>
          <w:color w:val="auto"/>
          <w:kern w:val="2"/>
          <w:sz w:val="24"/>
          <w:highlight w:val="none"/>
          <w:lang w:val="en-US" w:eastAsia="zh-CN" w:bidi="ar-SA"/>
        </w:rPr>
        <w:t>。全年</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排水水量为8</w:t>
      </w:r>
      <w:r>
        <w:rPr>
          <w:rFonts w:hint="eastAsia" w:cs="Times New Roman"/>
          <w:color w:val="auto"/>
          <w:kern w:val="2"/>
          <w:sz w:val="24"/>
          <w:highlight w:val="none"/>
          <w:lang w:val="en-US" w:eastAsia="zh-CN" w:bidi="ar-SA"/>
        </w:rPr>
        <w:t>3</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30</w:t>
      </w:r>
      <w:r>
        <w:rPr>
          <w:rFonts w:hint="eastAsia" w:ascii="Times New Roman" w:hAnsi="Times New Roman" w:eastAsia="宋体" w:cs="Times New Roman"/>
          <w:color w:val="auto"/>
          <w:kern w:val="2"/>
          <w:sz w:val="24"/>
          <w:highlight w:val="none"/>
          <w:lang w:val="en-US" w:eastAsia="zh-CN" w:bidi="ar-SA"/>
        </w:rPr>
        <w:t>万t/a。2021~2023年，矿山</w:t>
      </w:r>
      <w:r>
        <w:rPr>
          <w:rFonts w:hint="eastAsia" w:cs="Times New Roman"/>
          <w:color w:val="auto"/>
          <w:kern w:val="2"/>
          <w:sz w:val="24"/>
          <w:highlight w:val="none"/>
          <w:lang w:val="en-US" w:eastAsia="zh-CN" w:bidi="ar-SA"/>
        </w:rPr>
        <w:t>废水处理站</w:t>
      </w:r>
      <w:r>
        <w:rPr>
          <w:rFonts w:hint="eastAsia" w:ascii="Times New Roman" w:hAnsi="Times New Roman" w:eastAsia="宋体" w:cs="Times New Roman"/>
          <w:color w:val="auto"/>
          <w:kern w:val="2"/>
          <w:sz w:val="24"/>
          <w:highlight w:val="none"/>
          <w:lang w:val="en-US" w:eastAsia="zh-CN" w:bidi="ar-SA"/>
        </w:rPr>
        <w:t>出水水量分别为：78.7万t/a、84万t/a、81.7万t/a，平均实际排水量为81.47万t/a。</w:t>
      </w:r>
    </w:p>
    <w:p w14:paraId="4A55C23F">
      <w:pPr>
        <w:widowControl w:val="0"/>
        <w:tabs>
          <w:tab w:val="left" w:pos="1021"/>
        </w:tabs>
        <w:bidi w:val="0"/>
        <w:spacing w:line="360" w:lineRule="auto"/>
        <w:ind w:firstLine="482" w:firstLineChars="200"/>
        <w:jc w:val="both"/>
        <w:outlineLvl w:val="9"/>
        <w:rPr>
          <w:rFonts w:hint="eastAsia"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（2）排放浓度及排放总量</w:t>
      </w:r>
    </w:p>
    <w:p w14:paraId="4C46BB51">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根据水平衡分析，企业全年废水排放量为</w:t>
      </w:r>
      <w:r>
        <w:rPr>
          <w:rFonts w:hint="eastAsia" w:ascii="Times New Roman" w:hAnsi="Times New Roman" w:eastAsia="宋体" w:cs="Times New Roman"/>
          <w:color w:val="auto"/>
          <w:kern w:val="2"/>
          <w:sz w:val="24"/>
          <w:highlight w:val="none"/>
          <w:lang w:val="en-US" w:eastAsia="zh-CN" w:bidi="ar-SA"/>
        </w:rPr>
        <w:t>8</w:t>
      </w:r>
      <w:r>
        <w:rPr>
          <w:rFonts w:hint="eastAsia" w:cs="Times New Roman"/>
          <w:color w:val="auto"/>
          <w:kern w:val="2"/>
          <w:sz w:val="24"/>
          <w:highlight w:val="none"/>
          <w:lang w:val="en-US" w:eastAsia="zh-CN" w:bidi="ar-SA"/>
        </w:rPr>
        <w:t>3</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30</w:t>
      </w:r>
      <w:r>
        <w:rPr>
          <w:rFonts w:hint="eastAsia" w:ascii="Times New Roman" w:hAnsi="Times New Roman" w:eastAsia="宋体" w:cs="Times New Roman"/>
          <w:color w:val="auto"/>
          <w:kern w:val="2"/>
          <w:sz w:val="24"/>
          <w:szCs w:val="20"/>
          <w:highlight w:val="none"/>
          <w:lang w:val="en-US" w:eastAsia="zh-CN" w:bidi="ar-SA"/>
        </w:rPr>
        <w:t>万t/a；近三年平均排水量为81.47万t/a。</w:t>
      </w:r>
      <w:r>
        <w:rPr>
          <w:rFonts w:hint="eastAsia" w:cs="Times New Roman"/>
          <w:color w:val="auto"/>
          <w:kern w:val="2"/>
          <w:sz w:val="24"/>
          <w:szCs w:val="20"/>
          <w:highlight w:val="none"/>
          <w:lang w:val="en-US" w:eastAsia="zh-CN" w:bidi="ar-SA"/>
        </w:rPr>
        <w:t>本次论证</w:t>
      </w:r>
      <w:r>
        <w:rPr>
          <w:rFonts w:hint="eastAsia" w:ascii="Times New Roman" w:hAnsi="Times New Roman" w:eastAsia="宋体" w:cs="Times New Roman"/>
          <w:color w:val="auto"/>
          <w:kern w:val="2"/>
          <w:sz w:val="24"/>
          <w:szCs w:val="20"/>
          <w:highlight w:val="none"/>
          <w:lang w:val="en-US" w:eastAsia="zh-CN" w:bidi="ar-SA"/>
        </w:rPr>
        <w:t>采用较大值作为计算值。</w:t>
      </w:r>
    </w:p>
    <w:p w14:paraId="55D68CEE">
      <w:pPr>
        <w:widowControl w:val="0"/>
        <w:tabs>
          <w:tab w:val="left" w:pos="1021"/>
        </w:tabs>
        <w:bidi w:val="0"/>
        <w:spacing w:line="360" w:lineRule="auto"/>
        <w:ind w:firstLine="480" w:firstLineChars="200"/>
        <w:jc w:val="both"/>
        <w:outlineLvl w:val="9"/>
        <w:rPr>
          <w:rFonts w:hint="eastAsia"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本次论证，参考《污染源源强核算技术指南 准则》HJ884-2018的规定：</w:t>
      </w:r>
    </w:p>
    <w:p w14:paraId="2AEB2C76">
      <w:pPr>
        <w:widowControl w:val="0"/>
        <w:tabs>
          <w:tab w:val="left" w:pos="1021"/>
        </w:tabs>
        <w:bidi w:val="0"/>
        <w:spacing w:line="360" w:lineRule="auto"/>
        <w:ind w:firstLine="480" w:firstLineChars="200"/>
        <w:jc w:val="both"/>
        <w:outlineLvl w:val="9"/>
        <w:rPr>
          <w:rFonts w:hint="eastAsia" w:cs="Times New Roman"/>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①</w:t>
      </w:r>
      <w:r>
        <w:rPr>
          <w:rFonts w:hint="eastAsia" w:cs="Times New Roman"/>
          <w:color w:val="auto"/>
          <w:kern w:val="2"/>
          <w:sz w:val="24"/>
          <w:szCs w:val="20"/>
          <w:highlight w:val="none"/>
          <w:lang w:val="en-US" w:eastAsia="zh-CN" w:bidi="ar-SA"/>
        </w:rPr>
        <w:t>现有工程污染源源强的核算应优先采用实测法，各行业指南也可根据行业特点确定其他核算方法</w:t>
      </w:r>
      <w:r>
        <w:rPr>
          <w:rFonts w:hint="eastAsia" w:ascii="Times New Roman" w:hAnsi="Times New Roman" w:eastAsia="宋体" w:cs="Times New Roman"/>
          <w:color w:val="auto"/>
          <w:kern w:val="2"/>
          <w:sz w:val="24"/>
          <w:szCs w:val="20"/>
          <w:highlight w:val="none"/>
          <w:lang w:val="en-US" w:eastAsia="zh-CN" w:bidi="ar-SA"/>
        </w:rPr>
        <w:t>；</w:t>
      </w:r>
    </w:p>
    <w:p w14:paraId="1EEA5556">
      <w:pPr>
        <w:widowControl w:val="0"/>
        <w:tabs>
          <w:tab w:val="left" w:pos="1021"/>
        </w:tabs>
        <w:bidi w:val="0"/>
        <w:spacing w:line="360" w:lineRule="auto"/>
        <w:ind w:firstLine="480" w:firstLineChars="200"/>
        <w:jc w:val="both"/>
        <w:outlineLvl w:val="9"/>
        <w:rPr>
          <w:rFonts w:hint="eastAsia" w:cs="Times New Roman"/>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②</w:t>
      </w:r>
      <w:r>
        <w:rPr>
          <w:rFonts w:hint="eastAsia" w:cs="Times New Roman"/>
          <w:color w:val="auto"/>
          <w:kern w:val="2"/>
          <w:sz w:val="24"/>
          <w:szCs w:val="20"/>
          <w:highlight w:val="none"/>
          <w:lang w:val="en-US" w:eastAsia="zh-CN" w:bidi="ar-SA"/>
        </w:rPr>
        <w:t>采用实测法核算时，对于排污单位自行监测技术指南及排污许可证等要求采用自动监测的污染因子，仅可采用有效的自动监测数据进行核算</w:t>
      </w:r>
      <w:r>
        <w:rPr>
          <w:rFonts w:hint="eastAsia" w:ascii="Times New Roman" w:hAnsi="Times New Roman" w:eastAsia="宋体" w:cs="Times New Roman"/>
          <w:color w:val="auto"/>
          <w:kern w:val="2"/>
          <w:sz w:val="24"/>
          <w:szCs w:val="20"/>
          <w:highlight w:val="none"/>
          <w:lang w:val="en-US" w:eastAsia="zh-CN" w:bidi="ar-SA"/>
        </w:rPr>
        <w:t>；</w:t>
      </w:r>
    </w:p>
    <w:p w14:paraId="6EC2729F">
      <w:pPr>
        <w:widowControl w:val="0"/>
        <w:tabs>
          <w:tab w:val="left" w:pos="1021"/>
        </w:tabs>
        <w:bidi w:val="0"/>
        <w:spacing w:line="360" w:lineRule="auto"/>
        <w:ind w:firstLine="480" w:firstLineChars="200"/>
        <w:jc w:val="both"/>
        <w:outlineLvl w:val="9"/>
        <w:rPr>
          <w:rFonts w:hint="eastAsia" w:cs="Times New Roman"/>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③</w:t>
      </w:r>
      <w:r>
        <w:rPr>
          <w:rFonts w:hint="eastAsia" w:cs="Times New Roman"/>
          <w:color w:val="auto"/>
          <w:kern w:val="2"/>
          <w:sz w:val="24"/>
          <w:szCs w:val="20"/>
          <w:highlight w:val="none"/>
          <w:lang w:val="en-US" w:eastAsia="zh-CN" w:bidi="ar-SA"/>
        </w:rPr>
        <w:t>对于排污单位自行监测技术指南及排污许可证等未要求采用自动监测的污染因子，核算源强时优先采用自动监测数据，其次采用手工监测数据。</w:t>
      </w:r>
    </w:p>
    <w:p w14:paraId="5FAF7582">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因此，本次论证采用</w:t>
      </w:r>
      <w:r>
        <w:rPr>
          <w:rFonts w:hint="default" w:ascii="Times New Roman" w:hAnsi="Times New Roman" w:eastAsia="宋体" w:cs="Times New Roman"/>
          <w:color w:val="auto"/>
          <w:kern w:val="2"/>
          <w:sz w:val="24"/>
          <w:szCs w:val="20"/>
          <w:highlight w:val="none"/>
          <w:lang w:val="en-US" w:eastAsia="zh-CN" w:bidi="ar-SA"/>
        </w:rPr>
        <w:t>2023年企业总排口在线监测数据，</w:t>
      </w:r>
      <w:r>
        <w:rPr>
          <w:rFonts w:hint="eastAsia" w:ascii="Times New Roman" w:hAnsi="Times New Roman" w:eastAsia="宋体" w:cs="Times New Roman"/>
          <w:color w:val="auto"/>
          <w:kern w:val="2"/>
          <w:sz w:val="24"/>
          <w:szCs w:val="20"/>
          <w:highlight w:val="none"/>
          <w:lang w:val="en-US" w:eastAsia="zh-CN" w:bidi="ar-SA"/>
        </w:rPr>
        <w:t>选用排放浓度的</w:t>
      </w:r>
      <w:r>
        <w:rPr>
          <w:rFonts w:hint="eastAsia" w:cs="Times New Roman"/>
          <w:color w:val="auto"/>
          <w:kern w:val="2"/>
          <w:sz w:val="24"/>
          <w:szCs w:val="20"/>
          <w:highlight w:val="none"/>
          <w:lang w:val="en-US" w:eastAsia="zh-CN" w:bidi="ar-SA"/>
        </w:rPr>
        <w:t>平均值</w:t>
      </w:r>
      <w:r>
        <w:rPr>
          <w:rFonts w:hint="eastAsia" w:ascii="Times New Roman" w:hAnsi="Times New Roman" w:eastAsia="宋体" w:cs="Times New Roman"/>
          <w:color w:val="auto"/>
          <w:kern w:val="2"/>
          <w:sz w:val="24"/>
          <w:szCs w:val="20"/>
          <w:highlight w:val="none"/>
          <w:lang w:val="en-US" w:eastAsia="zh-CN" w:bidi="ar-SA"/>
        </w:rPr>
        <w:t>计算</w:t>
      </w:r>
      <w:r>
        <w:rPr>
          <w:rFonts w:hint="eastAsia" w:cs="Times New Roman"/>
          <w:color w:val="auto"/>
          <w:kern w:val="2"/>
          <w:sz w:val="24"/>
          <w:szCs w:val="20"/>
          <w:highlight w:val="none"/>
          <w:lang w:val="en-US" w:eastAsia="zh-CN" w:bidi="ar-SA"/>
        </w:rPr>
        <w:t>企业排放总量</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铅、汞、镉、铬无在线数据，本次论证采用企业2023年月度自行监测数据的平均值。</w:t>
      </w:r>
    </w:p>
    <w:p w14:paraId="04131EE3">
      <w:pPr>
        <w:widowControl w:val="0"/>
        <w:tabs>
          <w:tab w:val="left" w:pos="1021"/>
        </w:tabs>
        <w:bidi w:val="0"/>
        <w:spacing w:line="300" w:lineRule="auto"/>
        <w:jc w:val="center"/>
        <w:outlineLvl w:val="4"/>
        <w:rPr>
          <w:rFonts w:hint="default" w:ascii="Times New Roman" w:hAnsi="Times New Roman" w:eastAsia="黑体" w:cs="Times New Roman"/>
          <w:color w:val="auto"/>
          <w:kern w:val="2"/>
          <w:sz w:val="24"/>
          <w:szCs w:val="20"/>
          <w:highlight w:val="none"/>
          <w:lang w:val="en-US" w:eastAsia="zh-CN" w:bidi="ar-SA"/>
        </w:rPr>
      </w:pPr>
      <w:bookmarkStart w:id="44" w:name="_Ref1581"/>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37</w:t>
      </w:r>
      <w:r>
        <w:rPr>
          <w:rFonts w:hint="default" w:ascii="Times New Roman" w:hAnsi="Times New Roman" w:eastAsia="黑体" w:cs="Times New Roman"/>
          <w:color w:val="auto"/>
          <w:kern w:val="2"/>
          <w:sz w:val="24"/>
          <w:szCs w:val="20"/>
          <w:highlight w:val="none"/>
          <w:lang w:val="en-US" w:eastAsia="zh-CN" w:bidi="ar-SA"/>
        </w:rPr>
        <w:fldChar w:fldCharType="end"/>
      </w:r>
      <w:bookmarkEnd w:id="44"/>
      <w:r>
        <w:rPr>
          <w:rFonts w:hint="default" w:ascii="Times New Roman" w:hAnsi="Times New Roman" w:eastAsia="黑体" w:cs="Times New Roman"/>
          <w:color w:val="auto"/>
          <w:kern w:val="2"/>
          <w:sz w:val="24"/>
          <w:szCs w:val="20"/>
          <w:highlight w:val="none"/>
          <w:lang w:val="en-US" w:eastAsia="zh-CN" w:bidi="ar-SA"/>
        </w:rPr>
        <w:t xml:space="preserve">  矿山废水污染物排放一览表</w:t>
      </w:r>
    </w:p>
    <w:tbl>
      <w:tblPr>
        <w:tblStyle w:val="2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07"/>
        <w:gridCol w:w="1378"/>
        <w:gridCol w:w="1725"/>
        <w:gridCol w:w="1004"/>
        <w:gridCol w:w="1263"/>
        <w:gridCol w:w="1327"/>
        <w:gridCol w:w="1637"/>
      </w:tblGrid>
      <w:tr w14:paraId="02146F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46" w:hRule="atLeast"/>
        </w:trPr>
        <w:tc>
          <w:tcPr>
            <w:tcW w:w="490" w:type="pct"/>
            <w:tcBorders>
              <w:tl2br w:val="nil"/>
              <w:tr2bl w:val="nil"/>
            </w:tcBorders>
            <w:shd w:val="clear" w:color="auto" w:fill="auto"/>
            <w:noWrap/>
            <w:vAlign w:val="center"/>
          </w:tcPr>
          <w:p w14:paraId="0F14E2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745" w:type="pct"/>
            <w:tcBorders>
              <w:tl2br w:val="nil"/>
              <w:tr2bl w:val="nil"/>
            </w:tcBorders>
            <w:shd w:val="clear" w:color="auto" w:fill="auto"/>
            <w:noWrap/>
            <w:vAlign w:val="center"/>
          </w:tcPr>
          <w:p w14:paraId="0F2F47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平均</w:t>
            </w:r>
            <w:r>
              <w:rPr>
                <w:rFonts w:hint="default"/>
                <w:color w:val="auto"/>
                <w:highlight w:val="none"/>
                <w:lang w:val="en-US" w:eastAsia="zh-CN"/>
              </w:rPr>
              <w:t>排放浓度（mg/L）</w:t>
            </w:r>
          </w:p>
        </w:tc>
        <w:tc>
          <w:tcPr>
            <w:tcW w:w="933" w:type="pct"/>
            <w:tcBorders>
              <w:tl2br w:val="nil"/>
              <w:tr2bl w:val="nil"/>
            </w:tcBorders>
            <w:shd w:val="clear" w:color="auto" w:fill="auto"/>
            <w:noWrap/>
            <w:vAlign w:val="center"/>
          </w:tcPr>
          <w:p w14:paraId="3FCBA56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排放标准</w:t>
            </w:r>
          </w:p>
          <w:p w14:paraId="0E46C0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（mg/L）</w:t>
            </w:r>
          </w:p>
        </w:tc>
        <w:tc>
          <w:tcPr>
            <w:tcW w:w="543" w:type="pct"/>
            <w:tcBorders>
              <w:tl2br w:val="nil"/>
              <w:tr2bl w:val="nil"/>
            </w:tcBorders>
            <w:shd w:val="clear" w:color="auto" w:fill="auto"/>
            <w:noWrap/>
            <w:vAlign w:val="center"/>
          </w:tcPr>
          <w:p w14:paraId="5A95BB6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废水排放量（万t/a）</w:t>
            </w:r>
          </w:p>
        </w:tc>
        <w:tc>
          <w:tcPr>
            <w:tcW w:w="683" w:type="pct"/>
            <w:tcBorders>
              <w:tl2br w:val="nil"/>
              <w:tr2bl w:val="nil"/>
            </w:tcBorders>
            <w:shd w:val="clear" w:color="auto" w:fill="auto"/>
            <w:noWrap/>
            <w:vAlign w:val="center"/>
          </w:tcPr>
          <w:p w14:paraId="3390C21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实际排放总量</w:t>
            </w:r>
          </w:p>
          <w:p w14:paraId="587BAA44">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（t/a）</w:t>
            </w:r>
          </w:p>
        </w:tc>
        <w:tc>
          <w:tcPr>
            <w:tcW w:w="717" w:type="pct"/>
            <w:tcBorders>
              <w:tl2br w:val="nil"/>
              <w:tr2bl w:val="nil"/>
            </w:tcBorders>
            <w:shd w:val="clear" w:color="auto" w:fill="auto"/>
            <w:noWrap/>
            <w:vAlign w:val="center"/>
          </w:tcPr>
          <w:p w14:paraId="31C674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排污权量</w:t>
            </w:r>
          </w:p>
          <w:p w14:paraId="4595F3E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（t/a）</w:t>
            </w:r>
          </w:p>
        </w:tc>
        <w:tc>
          <w:tcPr>
            <w:tcW w:w="885" w:type="pct"/>
            <w:tcBorders>
              <w:tl2br w:val="nil"/>
              <w:tr2bl w:val="nil"/>
            </w:tcBorders>
            <w:shd w:val="clear" w:color="auto" w:fill="auto"/>
            <w:noWrap/>
            <w:vAlign w:val="center"/>
          </w:tcPr>
          <w:p w14:paraId="2B215F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备注</w:t>
            </w:r>
          </w:p>
        </w:tc>
      </w:tr>
      <w:tr w14:paraId="412F70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90" w:type="pct"/>
            <w:tcBorders>
              <w:tl2br w:val="nil"/>
              <w:tr2bl w:val="nil"/>
            </w:tcBorders>
            <w:shd w:val="clear" w:color="auto" w:fill="auto"/>
            <w:noWrap/>
            <w:vAlign w:val="center"/>
          </w:tcPr>
          <w:p w14:paraId="439C96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w:t>
            </w:r>
          </w:p>
        </w:tc>
        <w:tc>
          <w:tcPr>
            <w:tcW w:w="745" w:type="pct"/>
            <w:tcBorders>
              <w:tl2br w:val="nil"/>
              <w:tr2bl w:val="nil"/>
            </w:tcBorders>
            <w:shd w:val="clear" w:color="auto" w:fill="auto"/>
            <w:noWrap/>
            <w:vAlign w:val="center"/>
          </w:tcPr>
          <w:p w14:paraId="2E97AEB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6.15</w:t>
            </w:r>
          </w:p>
        </w:tc>
        <w:tc>
          <w:tcPr>
            <w:tcW w:w="933" w:type="pct"/>
            <w:tcBorders>
              <w:tl2br w:val="nil"/>
              <w:tr2bl w:val="nil"/>
            </w:tcBorders>
            <w:shd w:val="clear" w:color="auto" w:fill="auto"/>
            <w:noWrap/>
            <w:vAlign w:val="center"/>
          </w:tcPr>
          <w:p w14:paraId="29A52C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60</w:t>
            </w:r>
          </w:p>
        </w:tc>
        <w:tc>
          <w:tcPr>
            <w:tcW w:w="543" w:type="pct"/>
            <w:vMerge w:val="restart"/>
            <w:tcBorders>
              <w:tl2br w:val="nil"/>
              <w:tr2bl w:val="nil"/>
            </w:tcBorders>
            <w:shd w:val="clear" w:color="auto" w:fill="auto"/>
            <w:noWrap/>
            <w:vAlign w:val="center"/>
          </w:tcPr>
          <w:p w14:paraId="25179B6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83.30</w:t>
            </w:r>
          </w:p>
        </w:tc>
        <w:tc>
          <w:tcPr>
            <w:tcW w:w="683" w:type="pct"/>
            <w:tcBorders>
              <w:tl2br w:val="nil"/>
              <w:tr2bl w:val="nil"/>
            </w:tcBorders>
            <w:shd w:val="clear" w:color="auto" w:fill="auto"/>
            <w:noWrap/>
            <w:vAlign w:val="center"/>
          </w:tcPr>
          <w:p w14:paraId="69A103A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5.123</w:t>
            </w:r>
          </w:p>
        </w:tc>
        <w:tc>
          <w:tcPr>
            <w:tcW w:w="717" w:type="pct"/>
            <w:tcBorders>
              <w:tl2br w:val="nil"/>
              <w:tr2bl w:val="nil"/>
            </w:tcBorders>
            <w:shd w:val="clear" w:color="auto" w:fill="auto"/>
            <w:noWrap/>
            <w:vAlign w:val="center"/>
          </w:tcPr>
          <w:p w14:paraId="0B2F69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6.83</w:t>
            </w:r>
          </w:p>
        </w:tc>
        <w:tc>
          <w:tcPr>
            <w:tcW w:w="885" w:type="pct"/>
            <w:tcBorders>
              <w:tl2br w:val="nil"/>
              <w:tr2bl w:val="nil"/>
            </w:tcBorders>
            <w:shd w:val="clear" w:color="auto" w:fill="auto"/>
            <w:noWrap/>
            <w:vAlign w:val="center"/>
          </w:tcPr>
          <w:p w14:paraId="6110707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896B5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90" w:type="pct"/>
            <w:tcBorders>
              <w:tl2br w:val="nil"/>
              <w:tr2bl w:val="nil"/>
            </w:tcBorders>
            <w:shd w:val="clear" w:color="auto" w:fill="auto"/>
            <w:noWrap/>
            <w:vAlign w:val="center"/>
          </w:tcPr>
          <w:p w14:paraId="43984E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745" w:type="pct"/>
            <w:tcBorders>
              <w:tl2br w:val="nil"/>
              <w:tr2bl w:val="nil"/>
            </w:tcBorders>
            <w:shd w:val="clear" w:color="auto" w:fill="auto"/>
            <w:noWrap/>
            <w:vAlign w:val="center"/>
          </w:tcPr>
          <w:p w14:paraId="47C78CB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0.32</w:t>
            </w:r>
          </w:p>
        </w:tc>
        <w:tc>
          <w:tcPr>
            <w:tcW w:w="933" w:type="pct"/>
            <w:tcBorders>
              <w:tl2br w:val="nil"/>
              <w:tr2bl w:val="nil"/>
            </w:tcBorders>
            <w:shd w:val="clear" w:color="auto" w:fill="auto"/>
            <w:noWrap/>
            <w:vAlign w:val="center"/>
          </w:tcPr>
          <w:p w14:paraId="6972E4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8.0</w:t>
            </w:r>
          </w:p>
        </w:tc>
        <w:tc>
          <w:tcPr>
            <w:tcW w:w="543" w:type="pct"/>
            <w:vMerge w:val="continue"/>
            <w:tcBorders>
              <w:tl2br w:val="nil"/>
              <w:tr2bl w:val="nil"/>
            </w:tcBorders>
            <w:shd w:val="clear" w:color="auto" w:fill="auto"/>
            <w:noWrap/>
            <w:vAlign w:val="center"/>
          </w:tcPr>
          <w:p w14:paraId="0B315CC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683" w:type="pct"/>
            <w:tcBorders>
              <w:tl2br w:val="nil"/>
              <w:tr2bl w:val="nil"/>
            </w:tcBorders>
            <w:shd w:val="clear" w:color="auto" w:fill="auto"/>
            <w:noWrap/>
            <w:vAlign w:val="center"/>
          </w:tcPr>
          <w:p w14:paraId="30B49B9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0.267</w:t>
            </w:r>
          </w:p>
        </w:tc>
        <w:tc>
          <w:tcPr>
            <w:tcW w:w="717" w:type="pct"/>
            <w:tcBorders>
              <w:tl2br w:val="nil"/>
              <w:tr2bl w:val="nil"/>
            </w:tcBorders>
            <w:shd w:val="clear" w:color="auto" w:fill="auto"/>
            <w:noWrap/>
            <w:vAlign w:val="center"/>
          </w:tcPr>
          <w:p w14:paraId="17F534D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0.37</w:t>
            </w:r>
          </w:p>
        </w:tc>
        <w:tc>
          <w:tcPr>
            <w:tcW w:w="885" w:type="pct"/>
            <w:tcBorders>
              <w:tl2br w:val="nil"/>
              <w:tr2bl w:val="nil"/>
            </w:tcBorders>
            <w:shd w:val="clear" w:color="auto" w:fill="auto"/>
            <w:noWrap/>
            <w:vAlign w:val="center"/>
          </w:tcPr>
          <w:p w14:paraId="7956A4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3A758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90" w:type="pct"/>
            <w:tcBorders>
              <w:tl2br w:val="nil"/>
              <w:tr2bl w:val="nil"/>
            </w:tcBorders>
            <w:shd w:val="clear" w:color="auto" w:fill="auto"/>
            <w:noWrap/>
            <w:vAlign w:val="center"/>
          </w:tcPr>
          <w:p w14:paraId="36F8E3DE">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总磷</w:t>
            </w:r>
          </w:p>
        </w:tc>
        <w:tc>
          <w:tcPr>
            <w:tcW w:w="745" w:type="pct"/>
            <w:tcBorders>
              <w:tl2br w:val="nil"/>
              <w:tr2bl w:val="nil"/>
            </w:tcBorders>
            <w:shd w:val="clear" w:color="auto" w:fill="auto"/>
            <w:noWrap/>
            <w:vAlign w:val="center"/>
          </w:tcPr>
          <w:p w14:paraId="64FC559B">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0.04</w:t>
            </w:r>
          </w:p>
        </w:tc>
        <w:tc>
          <w:tcPr>
            <w:tcW w:w="933" w:type="pct"/>
            <w:tcBorders>
              <w:tl2br w:val="nil"/>
              <w:tr2bl w:val="nil"/>
            </w:tcBorders>
            <w:shd w:val="clear" w:color="auto" w:fill="auto"/>
            <w:noWrap/>
            <w:vAlign w:val="center"/>
          </w:tcPr>
          <w:p w14:paraId="7F5E0CE0">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1.0</w:t>
            </w:r>
          </w:p>
        </w:tc>
        <w:tc>
          <w:tcPr>
            <w:tcW w:w="543" w:type="pct"/>
            <w:vMerge w:val="continue"/>
            <w:tcBorders>
              <w:tl2br w:val="nil"/>
              <w:tr2bl w:val="nil"/>
            </w:tcBorders>
            <w:shd w:val="clear" w:color="auto" w:fill="auto"/>
            <w:noWrap/>
            <w:vAlign w:val="center"/>
          </w:tcPr>
          <w:p w14:paraId="677EC99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683" w:type="pct"/>
            <w:tcBorders>
              <w:tl2br w:val="nil"/>
              <w:tr2bl w:val="nil"/>
            </w:tcBorders>
            <w:shd w:val="clear" w:color="auto" w:fill="auto"/>
            <w:noWrap/>
            <w:vAlign w:val="center"/>
          </w:tcPr>
          <w:p w14:paraId="0B07941A">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0.033</w:t>
            </w:r>
          </w:p>
        </w:tc>
        <w:tc>
          <w:tcPr>
            <w:tcW w:w="717" w:type="pct"/>
            <w:tcBorders>
              <w:tl2br w:val="nil"/>
              <w:tr2bl w:val="nil"/>
            </w:tcBorders>
            <w:shd w:val="clear" w:color="auto" w:fill="auto"/>
            <w:noWrap/>
            <w:vAlign w:val="center"/>
          </w:tcPr>
          <w:p w14:paraId="3D8AB5CE">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w:t>
            </w:r>
          </w:p>
        </w:tc>
        <w:tc>
          <w:tcPr>
            <w:tcW w:w="885" w:type="pct"/>
            <w:tcBorders>
              <w:tl2br w:val="nil"/>
              <w:tr2bl w:val="nil"/>
            </w:tcBorders>
            <w:shd w:val="clear" w:color="auto" w:fill="auto"/>
            <w:noWrap/>
            <w:vAlign w:val="center"/>
          </w:tcPr>
          <w:p w14:paraId="6C8DE9EA">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default"/>
                <w:color w:val="auto"/>
                <w:highlight w:val="none"/>
                <w:lang w:val="en-US" w:eastAsia="zh-CN"/>
              </w:rPr>
              <w:t>/</w:t>
            </w:r>
          </w:p>
        </w:tc>
      </w:tr>
      <w:tr w14:paraId="194F84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90" w:type="pct"/>
            <w:tcBorders>
              <w:tl2br w:val="nil"/>
              <w:tr2bl w:val="nil"/>
            </w:tcBorders>
            <w:shd w:val="clear" w:color="auto" w:fill="auto"/>
            <w:noWrap/>
            <w:vAlign w:val="center"/>
          </w:tcPr>
          <w:p w14:paraId="33ADDE52">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砷</w:t>
            </w:r>
          </w:p>
        </w:tc>
        <w:tc>
          <w:tcPr>
            <w:tcW w:w="745" w:type="pct"/>
            <w:tcBorders>
              <w:tl2br w:val="nil"/>
              <w:tr2bl w:val="nil"/>
            </w:tcBorders>
            <w:shd w:val="clear" w:color="auto" w:fill="auto"/>
            <w:noWrap/>
            <w:vAlign w:val="center"/>
          </w:tcPr>
          <w:p w14:paraId="1187AF75">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0.034</w:t>
            </w:r>
          </w:p>
        </w:tc>
        <w:tc>
          <w:tcPr>
            <w:tcW w:w="933" w:type="pct"/>
            <w:tcBorders>
              <w:tl2br w:val="nil"/>
              <w:tr2bl w:val="nil"/>
            </w:tcBorders>
            <w:shd w:val="clear" w:color="auto" w:fill="auto"/>
            <w:noWrap/>
            <w:vAlign w:val="center"/>
          </w:tcPr>
          <w:p w14:paraId="6E566697">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0.1</w:t>
            </w:r>
          </w:p>
        </w:tc>
        <w:tc>
          <w:tcPr>
            <w:tcW w:w="543" w:type="pct"/>
            <w:vMerge w:val="continue"/>
            <w:tcBorders>
              <w:tl2br w:val="nil"/>
              <w:tr2bl w:val="nil"/>
            </w:tcBorders>
            <w:shd w:val="clear" w:color="auto" w:fill="auto"/>
            <w:noWrap/>
            <w:vAlign w:val="center"/>
          </w:tcPr>
          <w:p w14:paraId="61E1AFC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683" w:type="pct"/>
            <w:tcBorders>
              <w:tl2br w:val="nil"/>
              <w:tr2bl w:val="nil"/>
            </w:tcBorders>
            <w:shd w:val="clear" w:color="auto" w:fill="auto"/>
            <w:noWrap/>
            <w:vAlign w:val="center"/>
          </w:tcPr>
          <w:p w14:paraId="5B06AB34">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28.322kg/a</w:t>
            </w:r>
          </w:p>
        </w:tc>
        <w:tc>
          <w:tcPr>
            <w:tcW w:w="717" w:type="pct"/>
            <w:tcBorders>
              <w:tl2br w:val="nil"/>
              <w:tr2bl w:val="nil"/>
            </w:tcBorders>
            <w:shd w:val="clear" w:color="auto" w:fill="auto"/>
            <w:noWrap/>
            <w:vAlign w:val="center"/>
          </w:tcPr>
          <w:p w14:paraId="64F2E5ED">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169.61kg/a</w:t>
            </w:r>
          </w:p>
        </w:tc>
        <w:tc>
          <w:tcPr>
            <w:tcW w:w="885" w:type="pct"/>
            <w:vMerge w:val="restart"/>
            <w:tcBorders>
              <w:tl2br w:val="nil"/>
              <w:tr2bl w:val="nil"/>
            </w:tcBorders>
            <w:shd w:val="clear" w:color="auto" w:fill="auto"/>
            <w:noWrap/>
            <w:vAlign w:val="center"/>
          </w:tcPr>
          <w:p w14:paraId="75D09710">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铅、汞、镉、铬、砷重点重金属总量指标可相互替换使用</w:t>
            </w:r>
            <w:r>
              <w:rPr>
                <w:rFonts w:hint="eastAsia"/>
                <w:color w:val="auto"/>
                <w:highlight w:val="none"/>
                <w:lang w:val="en-US" w:eastAsia="zh-CN"/>
              </w:rPr>
              <w:t>，</w:t>
            </w:r>
            <w:r>
              <w:rPr>
                <w:rFonts w:hint="eastAsia" w:cs="Times New Roman"/>
                <w:color w:val="auto"/>
                <w:kern w:val="2"/>
                <w:sz w:val="22"/>
                <w:szCs w:val="22"/>
                <w:highlight w:val="none"/>
                <w:lang w:val="en-US" w:eastAsia="zh-CN" w:bidi="ar-SA"/>
              </w:rPr>
              <w:t>合计559.26</w:t>
            </w:r>
            <w:r>
              <w:rPr>
                <w:rFonts w:hint="eastAsia"/>
                <w:color w:val="auto"/>
                <w:highlight w:val="none"/>
                <w:lang w:val="en-US" w:eastAsia="zh-CN"/>
              </w:rPr>
              <w:t>kg/a</w:t>
            </w:r>
          </w:p>
        </w:tc>
      </w:tr>
      <w:tr w14:paraId="20E299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90" w:type="pct"/>
            <w:tcBorders>
              <w:tl2br w:val="nil"/>
              <w:tr2bl w:val="nil"/>
            </w:tcBorders>
            <w:shd w:val="clear" w:color="auto" w:fill="auto"/>
            <w:noWrap/>
            <w:vAlign w:val="center"/>
          </w:tcPr>
          <w:p w14:paraId="4553D83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铅</w:t>
            </w:r>
          </w:p>
        </w:tc>
        <w:tc>
          <w:tcPr>
            <w:tcW w:w="745" w:type="pct"/>
            <w:tcBorders>
              <w:tl2br w:val="nil"/>
              <w:tr2bl w:val="nil"/>
            </w:tcBorders>
            <w:shd w:val="clear" w:color="auto" w:fill="auto"/>
            <w:noWrap/>
            <w:vAlign w:val="center"/>
          </w:tcPr>
          <w:p w14:paraId="6927142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0.024</w:t>
            </w:r>
          </w:p>
        </w:tc>
        <w:tc>
          <w:tcPr>
            <w:tcW w:w="933" w:type="pct"/>
            <w:tcBorders>
              <w:tl2br w:val="nil"/>
              <w:tr2bl w:val="nil"/>
            </w:tcBorders>
            <w:shd w:val="clear" w:color="auto" w:fill="auto"/>
            <w:noWrap/>
            <w:vAlign w:val="center"/>
          </w:tcPr>
          <w:p w14:paraId="5C39F9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543" w:type="pct"/>
            <w:vMerge w:val="continue"/>
            <w:tcBorders>
              <w:tl2br w:val="nil"/>
              <w:tr2bl w:val="nil"/>
            </w:tcBorders>
            <w:shd w:val="clear" w:color="auto" w:fill="auto"/>
            <w:noWrap/>
            <w:vAlign w:val="center"/>
          </w:tcPr>
          <w:p w14:paraId="2241E81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683" w:type="pct"/>
            <w:tcBorders>
              <w:tl2br w:val="nil"/>
              <w:tr2bl w:val="nil"/>
            </w:tcBorders>
            <w:shd w:val="clear" w:color="auto" w:fill="auto"/>
            <w:noWrap/>
            <w:vAlign w:val="center"/>
          </w:tcPr>
          <w:p w14:paraId="4CE59E7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19.992kg/a</w:t>
            </w:r>
          </w:p>
        </w:tc>
        <w:tc>
          <w:tcPr>
            <w:tcW w:w="717" w:type="pct"/>
            <w:tcBorders>
              <w:tl2br w:val="nil"/>
              <w:tr2bl w:val="nil"/>
            </w:tcBorders>
            <w:shd w:val="clear" w:color="auto" w:fill="auto"/>
            <w:noWrap/>
            <w:vAlign w:val="center"/>
          </w:tcPr>
          <w:p w14:paraId="283872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384.31kg/a</w:t>
            </w:r>
          </w:p>
        </w:tc>
        <w:tc>
          <w:tcPr>
            <w:tcW w:w="885" w:type="pct"/>
            <w:vMerge w:val="continue"/>
            <w:tcBorders>
              <w:tl2br w:val="nil"/>
              <w:tr2bl w:val="nil"/>
            </w:tcBorders>
            <w:shd w:val="clear" w:color="auto" w:fill="auto"/>
            <w:noWrap/>
            <w:vAlign w:val="center"/>
          </w:tcPr>
          <w:p w14:paraId="426E8FA9">
            <w:pPr>
              <w:pStyle w:val="26"/>
              <w:keepNext w:val="0"/>
              <w:keepLines w:val="0"/>
              <w:suppressLineNumbers w:val="0"/>
              <w:spacing w:before="0" w:beforeAutospacing="0" w:after="0" w:afterAutospacing="0"/>
              <w:ind w:left="0" w:right="0"/>
              <w:rPr>
                <w:rFonts w:hint="default"/>
                <w:color w:val="auto"/>
                <w:highlight w:val="none"/>
                <w:lang w:val="en-US" w:eastAsia="zh-CN"/>
              </w:rPr>
            </w:pPr>
          </w:p>
        </w:tc>
      </w:tr>
      <w:tr w14:paraId="20E958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90" w:type="pct"/>
            <w:tcBorders>
              <w:tl2br w:val="nil"/>
              <w:tr2bl w:val="nil"/>
            </w:tcBorders>
            <w:shd w:val="clear" w:color="auto" w:fill="auto"/>
            <w:noWrap/>
            <w:vAlign w:val="center"/>
          </w:tcPr>
          <w:p w14:paraId="5C41E2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745" w:type="pct"/>
            <w:tcBorders>
              <w:tl2br w:val="nil"/>
              <w:tr2bl w:val="nil"/>
            </w:tcBorders>
            <w:shd w:val="clear" w:color="auto" w:fill="auto"/>
            <w:noWrap/>
            <w:vAlign w:val="center"/>
          </w:tcPr>
          <w:p w14:paraId="7D0F540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0.00007</w:t>
            </w:r>
          </w:p>
        </w:tc>
        <w:tc>
          <w:tcPr>
            <w:tcW w:w="933" w:type="pct"/>
            <w:tcBorders>
              <w:tl2br w:val="nil"/>
              <w:tr2bl w:val="nil"/>
            </w:tcBorders>
            <w:shd w:val="clear" w:color="auto" w:fill="auto"/>
            <w:noWrap/>
            <w:vAlign w:val="center"/>
          </w:tcPr>
          <w:p w14:paraId="722860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543" w:type="pct"/>
            <w:vMerge w:val="continue"/>
            <w:tcBorders>
              <w:tl2br w:val="nil"/>
              <w:tr2bl w:val="nil"/>
            </w:tcBorders>
            <w:shd w:val="clear" w:color="auto" w:fill="auto"/>
            <w:noWrap/>
            <w:vAlign w:val="center"/>
          </w:tcPr>
          <w:p w14:paraId="7C22EB6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683" w:type="pct"/>
            <w:tcBorders>
              <w:tl2br w:val="nil"/>
              <w:tr2bl w:val="nil"/>
            </w:tcBorders>
            <w:shd w:val="clear" w:color="auto" w:fill="auto"/>
            <w:noWrap/>
            <w:vAlign w:val="center"/>
          </w:tcPr>
          <w:p w14:paraId="521D22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0.058kg/a</w:t>
            </w:r>
          </w:p>
        </w:tc>
        <w:tc>
          <w:tcPr>
            <w:tcW w:w="717" w:type="pct"/>
            <w:tcBorders>
              <w:tl2br w:val="nil"/>
              <w:tr2bl w:val="nil"/>
            </w:tcBorders>
            <w:shd w:val="clear" w:color="auto" w:fill="auto"/>
            <w:noWrap/>
            <w:vAlign w:val="center"/>
          </w:tcPr>
          <w:p w14:paraId="38469A3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0kg/a</w:t>
            </w:r>
          </w:p>
        </w:tc>
        <w:tc>
          <w:tcPr>
            <w:tcW w:w="885" w:type="pct"/>
            <w:vMerge w:val="continue"/>
            <w:tcBorders>
              <w:tl2br w:val="nil"/>
              <w:tr2bl w:val="nil"/>
            </w:tcBorders>
            <w:shd w:val="clear" w:color="auto" w:fill="auto"/>
            <w:noWrap/>
            <w:vAlign w:val="center"/>
          </w:tcPr>
          <w:p w14:paraId="69938496">
            <w:pPr>
              <w:pStyle w:val="26"/>
              <w:keepNext w:val="0"/>
              <w:keepLines w:val="0"/>
              <w:suppressLineNumbers w:val="0"/>
              <w:spacing w:before="0" w:beforeAutospacing="0" w:after="0" w:afterAutospacing="0"/>
              <w:ind w:left="0" w:right="0"/>
              <w:rPr>
                <w:rFonts w:hint="default"/>
                <w:color w:val="auto"/>
                <w:highlight w:val="none"/>
                <w:lang w:val="en-US" w:eastAsia="zh-CN"/>
              </w:rPr>
            </w:pPr>
          </w:p>
        </w:tc>
      </w:tr>
      <w:tr w14:paraId="01A8AD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4" w:hRule="atLeast"/>
        </w:trPr>
        <w:tc>
          <w:tcPr>
            <w:tcW w:w="490" w:type="pct"/>
            <w:tcBorders>
              <w:tl2br w:val="nil"/>
              <w:tr2bl w:val="nil"/>
            </w:tcBorders>
            <w:shd w:val="clear" w:color="auto" w:fill="auto"/>
            <w:noWrap/>
            <w:vAlign w:val="center"/>
          </w:tcPr>
          <w:p w14:paraId="68E1185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745" w:type="pct"/>
            <w:tcBorders>
              <w:tl2br w:val="nil"/>
              <w:tr2bl w:val="nil"/>
            </w:tcBorders>
            <w:shd w:val="clear" w:color="auto" w:fill="auto"/>
            <w:noWrap/>
            <w:vAlign w:val="center"/>
          </w:tcPr>
          <w:p w14:paraId="3A0209F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0.003</w:t>
            </w:r>
          </w:p>
        </w:tc>
        <w:tc>
          <w:tcPr>
            <w:tcW w:w="933" w:type="pct"/>
            <w:tcBorders>
              <w:tl2br w:val="nil"/>
              <w:tr2bl w:val="nil"/>
            </w:tcBorders>
            <w:shd w:val="clear" w:color="auto" w:fill="auto"/>
            <w:noWrap/>
            <w:vAlign w:val="center"/>
          </w:tcPr>
          <w:p w14:paraId="191CBBD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543" w:type="pct"/>
            <w:vMerge w:val="continue"/>
            <w:tcBorders>
              <w:tl2br w:val="nil"/>
              <w:tr2bl w:val="nil"/>
            </w:tcBorders>
            <w:shd w:val="clear" w:color="auto" w:fill="auto"/>
            <w:noWrap/>
            <w:vAlign w:val="center"/>
          </w:tcPr>
          <w:p w14:paraId="202D458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683" w:type="pct"/>
            <w:tcBorders>
              <w:tl2br w:val="nil"/>
              <w:tr2bl w:val="nil"/>
            </w:tcBorders>
            <w:shd w:val="clear" w:color="auto" w:fill="auto"/>
            <w:noWrap/>
            <w:vAlign w:val="center"/>
          </w:tcPr>
          <w:p w14:paraId="5519920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2.499kg/a</w:t>
            </w:r>
          </w:p>
        </w:tc>
        <w:tc>
          <w:tcPr>
            <w:tcW w:w="717" w:type="pct"/>
            <w:tcBorders>
              <w:tl2br w:val="nil"/>
              <w:tr2bl w:val="nil"/>
            </w:tcBorders>
            <w:shd w:val="clear" w:color="auto" w:fill="auto"/>
            <w:noWrap/>
            <w:vAlign w:val="center"/>
          </w:tcPr>
          <w:p w14:paraId="5D2EE4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1.37kg/a</w:t>
            </w:r>
          </w:p>
        </w:tc>
        <w:tc>
          <w:tcPr>
            <w:tcW w:w="885" w:type="pct"/>
            <w:vMerge w:val="continue"/>
            <w:tcBorders>
              <w:tl2br w:val="nil"/>
              <w:tr2bl w:val="nil"/>
            </w:tcBorders>
            <w:shd w:val="clear" w:color="auto" w:fill="auto"/>
            <w:noWrap/>
            <w:vAlign w:val="center"/>
          </w:tcPr>
          <w:p w14:paraId="50B0FA80">
            <w:pPr>
              <w:pStyle w:val="26"/>
              <w:keepNext w:val="0"/>
              <w:keepLines w:val="0"/>
              <w:suppressLineNumbers w:val="0"/>
              <w:spacing w:before="0" w:beforeAutospacing="0" w:after="0" w:afterAutospacing="0"/>
              <w:ind w:left="0" w:right="0"/>
              <w:rPr>
                <w:rFonts w:hint="default"/>
                <w:color w:val="auto"/>
                <w:highlight w:val="none"/>
                <w:lang w:val="en-US" w:eastAsia="zh-CN"/>
              </w:rPr>
            </w:pPr>
          </w:p>
        </w:tc>
      </w:tr>
      <w:tr w14:paraId="0F0F49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90" w:type="pct"/>
            <w:tcBorders>
              <w:tl2br w:val="nil"/>
              <w:tr2bl w:val="nil"/>
            </w:tcBorders>
            <w:shd w:val="clear" w:color="auto" w:fill="auto"/>
            <w:noWrap/>
            <w:vAlign w:val="center"/>
          </w:tcPr>
          <w:p w14:paraId="25127543">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锑</w:t>
            </w:r>
          </w:p>
        </w:tc>
        <w:tc>
          <w:tcPr>
            <w:tcW w:w="745" w:type="pct"/>
            <w:tcBorders>
              <w:tl2br w:val="nil"/>
              <w:tr2bl w:val="nil"/>
            </w:tcBorders>
            <w:shd w:val="clear" w:color="auto" w:fill="auto"/>
            <w:noWrap/>
            <w:vAlign w:val="center"/>
          </w:tcPr>
          <w:p w14:paraId="3A2DDC7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933" w:type="pct"/>
            <w:tcBorders>
              <w:tl2br w:val="nil"/>
              <w:tr2bl w:val="nil"/>
            </w:tcBorders>
            <w:shd w:val="clear" w:color="auto" w:fill="auto"/>
            <w:noWrap/>
            <w:vAlign w:val="center"/>
          </w:tcPr>
          <w:p w14:paraId="79C58479">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0.15</w:t>
            </w:r>
          </w:p>
          <w:p w14:paraId="019E619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0.3（排污许可）</w:t>
            </w:r>
          </w:p>
        </w:tc>
        <w:tc>
          <w:tcPr>
            <w:tcW w:w="543" w:type="pct"/>
            <w:vMerge w:val="continue"/>
            <w:tcBorders>
              <w:tl2br w:val="nil"/>
              <w:tr2bl w:val="nil"/>
            </w:tcBorders>
            <w:shd w:val="clear" w:color="auto" w:fill="auto"/>
            <w:noWrap/>
            <w:vAlign w:val="center"/>
          </w:tcPr>
          <w:p w14:paraId="4191F3B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683" w:type="pct"/>
            <w:tcBorders>
              <w:tl2br w:val="nil"/>
              <w:tr2bl w:val="nil"/>
            </w:tcBorders>
            <w:shd w:val="clear" w:color="auto" w:fill="auto"/>
            <w:noWrap/>
            <w:vAlign w:val="center"/>
          </w:tcPr>
          <w:p w14:paraId="103989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0.083</w:t>
            </w:r>
          </w:p>
        </w:tc>
        <w:tc>
          <w:tcPr>
            <w:tcW w:w="717" w:type="pct"/>
            <w:tcBorders>
              <w:tl2br w:val="nil"/>
              <w:tr2bl w:val="nil"/>
            </w:tcBorders>
            <w:shd w:val="clear" w:color="auto" w:fill="auto"/>
            <w:noWrap/>
            <w:vAlign w:val="center"/>
          </w:tcPr>
          <w:p w14:paraId="5BF7DB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885" w:type="pct"/>
            <w:tcBorders>
              <w:tl2br w:val="nil"/>
              <w:tr2bl w:val="nil"/>
            </w:tcBorders>
            <w:shd w:val="clear" w:color="auto" w:fill="auto"/>
            <w:noWrap/>
            <w:vAlign w:val="center"/>
          </w:tcPr>
          <w:p w14:paraId="0A3C5C5B">
            <w:pPr>
              <w:pStyle w:val="26"/>
              <w:keepNext w:val="0"/>
              <w:keepLines w:val="0"/>
              <w:suppressLineNumbers w:val="0"/>
              <w:spacing w:before="0" w:beforeAutospacing="0" w:after="0" w:afterAutospacing="0"/>
              <w:ind w:left="0" w:right="0"/>
              <w:rPr>
                <w:rFonts w:hint="default"/>
                <w:color w:val="auto"/>
                <w:highlight w:val="none"/>
                <w:lang w:val="en-US" w:eastAsia="zh-CN"/>
              </w:rPr>
            </w:pPr>
          </w:p>
        </w:tc>
      </w:tr>
    </w:tbl>
    <w:p w14:paraId="3016D7A8">
      <w:pPr>
        <w:widowControl w:val="0"/>
        <w:tabs>
          <w:tab w:val="left" w:pos="1021"/>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二、排洪隧洞水</w:t>
      </w:r>
    </w:p>
    <w:p w14:paraId="2543F16E">
      <w:pPr>
        <w:widowControl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根据水平衡分析，企业排洪隧洞水主要是渣滓溪溪水、矿山生活污水、隧洞山体渗水以及</w:t>
      </w:r>
      <w:r>
        <w:rPr>
          <w:rFonts w:hint="eastAsia" w:cs="Times New Roman"/>
          <w:b w:val="0"/>
          <w:bCs w:val="0"/>
          <w:color w:val="auto"/>
          <w:kern w:val="2"/>
          <w:sz w:val="24"/>
          <w:highlight w:val="none"/>
          <w:lang w:val="en-US" w:eastAsia="zh-CN" w:bidi="ar-SA"/>
        </w:rPr>
        <w:t>后期</w:t>
      </w:r>
      <w:r>
        <w:rPr>
          <w:rFonts w:hint="eastAsia" w:ascii="Times New Roman" w:hAnsi="Times New Roman" w:eastAsia="宋体" w:cs="Times New Roman"/>
          <w:b w:val="0"/>
          <w:bCs w:val="0"/>
          <w:color w:val="auto"/>
          <w:kern w:val="2"/>
          <w:sz w:val="24"/>
          <w:highlight w:val="none"/>
          <w:lang w:val="en-US" w:eastAsia="zh-CN" w:bidi="ar-SA"/>
        </w:rPr>
        <w:t>雨水。由于区域地表水中锑含量超标，虽然排洪隧洞水不属于企业的生产废水，但其对渣滓溪及下游河道中锑含量有巨大的贡献，现对排洪隧洞水中锑含量进行计算。</w:t>
      </w:r>
    </w:p>
    <w:p w14:paraId="4599D017">
      <w:pPr>
        <w:widowControl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（1）渣滓溪溪水</w:t>
      </w:r>
    </w:p>
    <w:p w14:paraId="427C12BE">
      <w:pPr>
        <w:widowControl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宋体" w:hAnsi="宋体" w:eastAsia="宋体" w:cs="宋体"/>
          <w:b w:val="0"/>
          <w:bCs w:val="0"/>
          <w:color w:val="auto"/>
          <w:kern w:val="2"/>
          <w:sz w:val="24"/>
          <w:highlight w:val="none"/>
          <w:lang w:val="en-US" w:eastAsia="zh-CN" w:bidi="ar-SA"/>
        </w:rPr>
        <w:t>①锑背景浓度</w:t>
      </w:r>
    </w:p>
    <w:p w14:paraId="30B3645F">
      <w:pPr>
        <w:widowControl w:val="0"/>
        <w:spacing w:line="360" w:lineRule="auto"/>
        <w:ind w:firstLine="480" w:firstLineChars="200"/>
        <w:jc w:val="both"/>
        <w:rPr>
          <w:rFonts w:hint="eastAsia"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对于渣滓溪溪水，本次评价对上游渣滓溪背景浓度进行了检测，1月监测结果分别为0.0602mg/L、0.0539mg/L、0.0556mg/L，3月监测结果为0.0360mg/L，5月监测结果分别为0.0598mg/L、0.0613mg/L、0.0510mg/L，6月监测结果为0.0541mg/L。</w:t>
      </w:r>
    </w:p>
    <w:p w14:paraId="769A2FDF">
      <w:pPr>
        <w:widowControl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宋体" w:hAnsi="宋体" w:eastAsia="宋体" w:cs="宋体"/>
          <w:b w:val="0"/>
          <w:bCs w:val="0"/>
          <w:color w:val="auto"/>
          <w:kern w:val="2"/>
          <w:sz w:val="24"/>
          <w:highlight w:val="none"/>
          <w:lang w:val="en-US" w:eastAsia="zh-CN" w:bidi="ar-SA"/>
        </w:rPr>
        <w:t>②</w:t>
      </w:r>
      <w:r>
        <w:rPr>
          <w:rFonts w:hint="eastAsia" w:cs="Times New Roman"/>
          <w:b w:val="0"/>
          <w:bCs w:val="0"/>
          <w:color w:val="auto"/>
          <w:kern w:val="2"/>
          <w:sz w:val="24"/>
          <w:highlight w:val="none"/>
          <w:lang w:val="en-US" w:eastAsia="zh-CN" w:bidi="ar-SA"/>
        </w:rPr>
        <w:t>水量</w:t>
      </w:r>
    </w:p>
    <w:p w14:paraId="489ADEE8">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调整</w:t>
      </w:r>
      <w:r>
        <w:rPr>
          <w:rFonts w:hint="eastAsia" w:ascii="Times New Roman" w:hAnsi="Times New Roman" w:eastAsia="宋体" w:cs="Times New Roman"/>
          <w:color w:val="auto"/>
          <w:kern w:val="2"/>
          <w:sz w:val="24"/>
          <w:highlight w:val="none"/>
          <w:lang w:val="en-US" w:eastAsia="zh-CN" w:bidi="ar-SA"/>
        </w:rPr>
        <w:t>前，企业在排洪隧洞进口处设置了取水点用于选矿，取水规模为326</w:t>
      </w:r>
      <w:r>
        <w:rPr>
          <w:rFonts w:hint="eastAsia" w:cs="Times New Roman"/>
          <w:color w:val="auto"/>
          <w:kern w:val="2"/>
          <w:sz w:val="24"/>
          <w:highlight w:val="none"/>
          <w:lang w:val="en-US" w:eastAsia="zh-CN" w:bidi="ar-SA"/>
        </w:rPr>
        <w:t>m</w:t>
      </w:r>
      <w:r>
        <w:rPr>
          <w:rFonts w:hint="eastAsia" w:cs="Times New Roman"/>
          <w:color w:val="auto"/>
          <w:kern w:val="2"/>
          <w:sz w:val="24"/>
          <w:highlight w:val="none"/>
          <w:vertAlign w:val="superscript"/>
          <w:lang w:val="en-US" w:eastAsia="zh-CN" w:bidi="ar-SA"/>
        </w:rPr>
        <w:t>3</w:t>
      </w:r>
      <w:r>
        <w:rPr>
          <w:rFonts w:hint="eastAsia" w:ascii="Times New Roman" w:hAnsi="Times New Roman" w:eastAsia="宋体" w:cs="Times New Roman"/>
          <w:color w:val="auto"/>
          <w:kern w:val="2"/>
          <w:sz w:val="24"/>
          <w:highlight w:val="none"/>
          <w:lang w:val="en-US" w:eastAsia="zh-CN" w:bidi="ar-SA"/>
        </w:rPr>
        <w:t>/d。</w:t>
      </w:r>
    </w:p>
    <w:p w14:paraId="0BB2E779">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③</w:t>
      </w:r>
      <w:r>
        <w:rPr>
          <w:rFonts w:hint="eastAsia" w:ascii="Times New Roman" w:hAnsi="Times New Roman" w:eastAsia="宋体" w:cs="Times New Roman"/>
          <w:b w:val="0"/>
          <w:bCs w:val="0"/>
          <w:color w:val="auto"/>
          <w:kern w:val="2"/>
          <w:sz w:val="24"/>
          <w:highlight w:val="none"/>
          <w:lang w:val="en-US" w:eastAsia="zh-CN" w:bidi="ar-SA"/>
        </w:rPr>
        <w:t>渣滓溪溪水</w:t>
      </w:r>
      <w:r>
        <w:rPr>
          <w:rFonts w:hint="eastAsia" w:cs="Times New Roman"/>
          <w:b w:val="0"/>
          <w:bCs w:val="0"/>
          <w:color w:val="auto"/>
          <w:kern w:val="2"/>
          <w:sz w:val="24"/>
          <w:highlight w:val="none"/>
          <w:lang w:val="en-US" w:eastAsia="zh-CN" w:bidi="ar-SA"/>
        </w:rPr>
        <w:t>锑产生情况</w:t>
      </w:r>
    </w:p>
    <w:p w14:paraId="15531739">
      <w:pPr>
        <w:pStyle w:val="28"/>
        <w:bidi w:val="0"/>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38</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调整前渣滓溪上游来水锑产生情况一览表</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77"/>
        <w:gridCol w:w="1756"/>
        <w:gridCol w:w="1051"/>
        <w:gridCol w:w="1142"/>
        <w:gridCol w:w="1536"/>
        <w:gridCol w:w="1176"/>
        <w:gridCol w:w="1498"/>
      </w:tblGrid>
      <w:tr w14:paraId="156A9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6" w:hRule="atLeast"/>
        </w:trPr>
        <w:tc>
          <w:tcPr>
            <w:tcW w:w="627" w:type="pct"/>
            <w:tcBorders>
              <w:tl2br w:val="nil"/>
              <w:tr2bl w:val="nil"/>
            </w:tcBorders>
            <w:shd w:val="clear" w:color="auto" w:fill="auto"/>
            <w:noWrap/>
            <w:vAlign w:val="center"/>
          </w:tcPr>
          <w:p w14:paraId="23DC56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882" w:type="pct"/>
            <w:tcBorders>
              <w:tl2br w:val="nil"/>
              <w:tr2bl w:val="nil"/>
            </w:tcBorders>
            <w:shd w:val="clear" w:color="auto" w:fill="auto"/>
            <w:noWrap/>
            <w:vAlign w:val="center"/>
          </w:tcPr>
          <w:p w14:paraId="692B3A9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594" w:type="pct"/>
            <w:tcBorders>
              <w:tl2br w:val="nil"/>
              <w:tr2bl w:val="nil"/>
            </w:tcBorders>
            <w:shd w:val="clear" w:color="auto" w:fill="auto"/>
            <w:noWrap/>
            <w:vAlign w:val="center"/>
          </w:tcPr>
          <w:p w14:paraId="679AC16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w:t>
            </w:r>
            <w:r>
              <w:rPr>
                <w:rFonts w:hint="default"/>
                <w:color w:val="auto"/>
                <w:highlight w:val="none"/>
                <w:lang w:val="en-US" w:eastAsia="zh-CN"/>
              </w:rPr>
              <w:t>流量</w:t>
            </w:r>
          </w:p>
          <w:p w14:paraId="2EE4C16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680" w:type="pct"/>
            <w:tcBorders>
              <w:tl2br w:val="nil"/>
              <w:tr2bl w:val="nil"/>
            </w:tcBorders>
            <w:shd w:val="clear" w:color="auto" w:fill="auto"/>
            <w:noWrap/>
            <w:vAlign w:val="center"/>
          </w:tcPr>
          <w:p w14:paraId="46F09A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取水量</w:t>
            </w:r>
          </w:p>
          <w:p w14:paraId="0AE3EC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680" w:type="pct"/>
            <w:tcBorders>
              <w:tl2br w:val="nil"/>
              <w:tr2bl w:val="nil"/>
            </w:tcBorders>
            <w:shd w:val="clear" w:color="auto" w:fill="auto"/>
            <w:noWrap/>
            <w:vAlign w:val="center"/>
          </w:tcPr>
          <w:p w14:paraId="135C48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进入排洪隧洞</w:t>
            </w:r>
          </w:p>
          <w:p w14:paraId="5E9AF87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水量</w:t>
            </w: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680" w:type="pct"/>
            <w:tcBorders>
              <w:tl2br w:val="nil"/>
              <w:tr2bl w:val="nil"/>
            </w:tcBorders>
            <w:shd w:val="clear" w:color="auto" w:fill="auto"/>
            <w:noWrap/>
            <w:vAlign w:val="center"/>
          </w:tcPr>
          <w:p w14:paraId="1A7C6FF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锑浓度</w:t>
            </w:r>
          </w:p>
          <w:p w14:paraId="4EDD10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（mg/L）</w:t>
            </w:r>
          </w:p>
        </w:tc>
        <w:tc>
          <w:tcPr>
            <w:tcW w:w="854" w:type="pct"/>
            <w:tcBorders>
              <w:tl2br w:val="nil"/>
              <w:tr2bl w:val="nil"/>
            </w:tcBorders>
            <w:shd w:val="clear" w:color="auto" w:fill="auto"/>
            <w:vAlign w:val="center"/>
          </w:tcPr>
          <w:p w14:paraId="0E5E179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锑产生量</w:t>
            </w:r>
            <w:r>
              <w:rPr>
                <w:rFonts w:hint="default"/>
                <w:color w:val="auto"/>
                <w:highlight w:val="none"/>
                <w:lang w:val="en-US" w:eastAsia="zh-CN"/>
              </w:rPr>
              <w:t>（</w:t>
            </w:r>
            <w:r>
              <w:rPr>
                <w:rFonts w:hint="eastAsia"/>
                <w:color w:val="auto"/>
                <w:highlight w:val="none"/>
                <w:lang w:val="en-US" w:eastAsia="zh-CN"/>
              </w:rPr>
              <w:t>kg/d</w:t>
            </w:r>
            <w:r>
              <w:rPr>
                <w:rFonts w:hint="default"/>
                <w:color w:val="auto"/>
                <w:highlight w:val="none"/>
                <w:lang w:val="en-US" w:eastAsia="zh-CN"/>
              </w:rPr>
              <w:t>）</w:t>
            </w:r>
          </w:p>
        </w:tc>
      </w:tr>
      <w:tr w14:paraId="6FAB76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trPr>
        <w:tc>
          <w:tcPr>
            <w:tcW w:w="627" w:type="pct"/>
            <w:tcBorders>
              <w:tl2br w:val="nil"/>
              <w:tr2bl w:val="nil"/>
            </w:tcBorders>
            <w:shd w:val="clear" w:color="auto" w:fill="auto"/>
            <w:noWrap/>
            <w:vAlign w:val="center"/>
          </w:tcPr>
          <w:p w14:paraId="546EFA2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枯水期</w:t>
            </w:r>
          </w:p>
        </w:tc>
        <w:tc>
          <w:tcPr>
            <w:tcW w:w="882" w:type="pct"/>
            <w:tcBorders>
              <w:tl2br w:val="nil"/>
              <w:tr2bl w:val="nil"/>
            </w:tcBorders>
            <w:shd w:val="clear" w:color="auto" w:fill="auto"/>
            <w:noWrap/>
            <w:vAlign w:val="center"/>
          </w:tcPr>
          <w:p w14:paraId="1846DE7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渣滓溪上游来水</w:t>
            </w:r>
          </w:p>
        </w:tc>
        <w:tc>
          <w:tcPr>
            <w:tcW w:w="1051" w:type="dxa"/>
            <w:tcBorders>
              <w:tl2br w:val="nil"/>
              <w:tr2bl w:val="nil"/>
            </w:tcBorders>
            <w:shd w:val="clear" w:color="auto" w:fill="auto"/>
            <w:noWrap/>
            <w:vAlign w:val="center"/>
          </w:tcPr>
          <w:p w14:paraId="6E72FC15">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4536</w:t>
            </w:r>
          </w:p>
        </w:tc>
        <w:tc>
          <w:tcPr>
            <w:tcW w:w="680" w:type="pct"/>
            <w:tcBorders>
              <w:tl2br w:val="nil"/>
              <w:tr2bl w:val="nil"/>
            </w:tcBorders>
            <w:shd w:val="clear" w:color="auto" w:fill="auto"/>
            <w:noWrap/>
            <w:vAlign w:val="center"/>
          </w:tcPr>
          <w:p w14:paraId="0C6197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326</w:t>
            </w:r>
          </w:p>
        </w:tc>
        <w:tc>
          <w:tcPr>
            <w:tcW w:w="680" w:type="pct"/>
            <w:tcBorders>
              <w:tl2br w:val="nil"/>
              <w:tr2bl w:val="nil"/>
            </w:tcBorders>
            <w:shd w:val="clear" w:color="auto" w:fill="auto"/>
            <w:noWrap/>
            <w:vAlign w:val="center"/>
          </w:tcPr>
          <w:p w14:paraId="0682BF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4210</w:t>
            </w:r>
          </w:p>
        </w:tc>
        <w:tc>
          <w:tcPr>
            <w:tcW w:w="680" w:type="pct"/>
            <w:tcBorders>
              <w:tl2br w:val="nil"/>
              <w:tr2bl w:val="nil"/>
            </w:tcBorders>
            <w:shd w:val="clear" w:color="auto" w:fill="auto"/>
            <w:noWrap/>
            <w:vAlign w:val="center"/>
          </w:tcPr>
          <w:p w14:paraId="6309B3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0.0566</w:t>
            </w:r>
          </w:p>
        </w:tc>
        <w:tc>
          <w:tcPr>
            <w:tcW w:w="854" w:type="pct"/>
            <w:tcBorders>
              <w:tl2br w:val="nil"/>
              <w:tr2bl w:val="nil"/>
            </w:tcBorders>
            <w:shd w:val="clear" w:color="auto" w:fill="auto"/>
            <w:vAlign w:val="center"/>
          </w:tcPr>
          <w:p w14:paraId="118876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0.238</w:t>
            </w:r>
          </w:p>
        </w:tc>
      </w:tr>
      <w:tr w14:paraId="3BBE47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27" w:type="pct"/>
            <w:tcBorders>
              <w:tl2br w:val="nil"/>
              <w:tr2bl w:val="nil"/>
            </w:tcBorders>
            <w:shd w:val="clear" w:color="auto" w:fill="auto"/>
            <w:noWrap/>
            <w:vAlign w:val="center"/>
          </w:tcPr>
          <w:p w14:paraId="37A107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平水期</w:t>
            </w:r>
          </w:p>
        </w:tc>
        <w:tc>
          <w:tcPr>
            <w:tcW w:w="882" w:type="pct"/>
            <w:tcBorders>
              <w:tl2br w:val="nil"/>
              <w:tr2bl w:val="nil"/>
            </w:tcBorders>
            <w:shd w:val="clear" w:color="auto" w:fill="auto"/>
            <w:noWrap/>
            <w:vAlign w:val="center"/>
          </w:tcPr>
          <w:p w14:paraId="003A5F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渣滓溪上游来水</w:t>
            </w:r>
          </w:p>
        </w:tc>
        <w:tc>
          <w:tcPr>
            <w:tcW w:w="1051" w:type="dxa"/>
            <w:tcBorders>
              <w:tl2br w:val="nil"/>
              <w:tr2bl w:val="nil"/>
            </w:tcBorders>
            <w:shd w:val="clear" w:color="auto" w:fill="auto"/>
            <w:noWrap/>
            <w:vAlign w:val="center"/>
          </w:tcPr>
          <w:p w14:paraId="12C8DD1C">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11001.6</w:t>
            </w:r>
          </w:p>
        </w:tc>
        <w:tc>
          <w:tcPr>
            <w:tcW w:w="680" w:type="pct"/>
            <w:tcBorders>
              <w:tl2br w:val="nil"/>
              <w:tr2bl w:val="nil"/>
            </w:tcBorders>
            <w:shd w:val="clear" w:color="auto" w:fill="auto"/>
            <w:noWrap/>
            <w:vAlign w:val="center"/>
          </w:tcPr>
          <w:p w14:paraId="2378C0B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326</w:t>
            </w:r>
          </w:p>
        </w:tc>
        <w:tc>
          <w:tcPr>
            <w:tcW w:w="680" w:type="pct"/>
            <w:tcBorders>
              <w:tl2br w:val="nil"/>
              <w:tr2bl w:val="nil"/>
            </w:tcBorders>
            <w:shd w:val="clear" w:color="auto" w:fill="auto"/>
            <w:noWrap/>
            <w:vAlign w:val="center"/>
          </w:tcPr>
          <w:p w14:paraId="4FC4715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10675.6</w:t>
            </w:r>
          </w:p>
        </w:tc>
        <w:tc>
          <w:tcPr>
            <w:tcW w:w="680" w:type="pct"/>
            <w:tcBorders>
              <w:tl2br w:val="nil"/>
              <w:tr2bl w:val="nil"/>
            </w:tcBorders>
            <w:shd w:val="clear" w:color="auto" w:fill="auto"/>
            <w:noWrap/>
            <w:vAlign w:val="center"/>
          </w:tcPr>
          <w:p w14:paraId="37CD687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0.0360</w:t>
            </w:r>
          </w:p>
        </w:tc>
        <w:tc>
          <w:tcPr>
            <w:tcW w:w="854" w:type="pct"/>
            <w:tcBorders>
              <w:tl2br w:val="nil"/>
              <w:tr2bl w:val="nil"/>
            </w:tcBorders>
            <w:shd w:val="clear" w:color="auto" w:fill="auto"/>
            <w:vAlign w:val="center"/>
          </w:tcPr>
          <w:p w14:paraId="29513A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0.384</w:t>
            </w:r>
          </w:p>
        </w:tc>
      </w:tr>
      <w:tr w14:paraId="33C263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627" w:type="pct"/>
            <w:tcBorders>
              <w:tl2br w:val="nil"/>
              <w:tr2bl w:val="nil"/>
            </w:tcBorders>
            <w:shd w:val="clear" w:color="auto" w:fill="auto"/>
            <w:noWrap/>
            <w:vAlign w:val="center"/>
          </w:tcPr>
          <w:p w14:paraId="073512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丰水期</w:t>
            </w:r>
          </w:p>
        </w:tc>
        <w:tc>
          <w:tcPr>
            <w:tcW w:w="882" w:type="pct"/>
            <w:tcBorders>
              <w:tl2br w:val="nil"/>
              <w:tr2bl w:val="nil"/>
            </w:tcBorders>
            <w:shd w:val="clear" w:color="auto" w:fill="auto"/>
            <w:noWrap/>
            <w:vAlign w:val="center"/>
          </w:tcPr>
          <w:p w14:paraId="5279CFE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渣滓溪上游来水</w:t>
            </w:r>
          </w:p>
        </w:tc>
        <w:tc>
          <w:tcPr>
            <w:tcW w:w="1051" w:type="dxa"/>
            <w:tcBorders>
              <w:tl2br w:val="nil"/>
              <w:tr2bl w:val="nil"/>
            </w:tcBorders>
            <w:shd w:val="clear" w:color="auto" w:fill="auto"/>
            <w:noWrap/>
            <w:vAlign w:val="center"/>
          </w:tcPr>
          <w:p w14:paraId="7B1ABFF1">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19526.4</w:t>
            </w:r>
          </w:p>
        </w:tc>
        <w:tc>
          <w:tcPr>
            <w:tcW w:w="680" w:type="pct"/>
            <w:tcBorders>
              <w:tl2br w:val="nil"/>
              <w:tr2bl w:val="nil"/>
            </w:tcBorders>
            <w:shd w:val="clear" w:color="auto" w:fill="auto"/>
            <w:noWrap/>
            <w:vAlign w:val="center"/>
          </w:tcPr>
          <w:p w14:paraId="3E2BE92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326</w:t>
            </w:r>
          </w:p>
        </w:tc>
        <w:tc>
          <w:tcPr>
            <w:tcW w:w="680" w:type="pct"/>
            <w:tcBorders>
              <w:tl2br w:val="nil"/>
              <w:tr2bl w:val="nil"/>
            </w:tcBorders>
            <w:shd w:val="clear" w:color="auto" w:fill="auto"/>
            <w:noWrap/>
            <w:vAlign w:val="center"/>
          </w:tcPr>
          <w:p w14:paraId="4A11E40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19200.4</w:t>
            </w:r>
          </w:p>
        </w:tc>
        <w:tc>
          <w:tcPr>
            <w:tcW w:w="680" w:type="pct"/>
            <w:tcBorders>
              <w:tl2br w:val="nil"/>
              <w:tr2bl w:val="nil"/>
            </w:tcBorders>
            <w:shd w:val="clear" w:color="auto" w:fill="auto"/>
            <w:noWrap/>
            <w:vAlign w:val="center"/>
          </w:tcPr>
          <w:p w14:paraId="2472A6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0.0574</w:t>
            </w:r>
          </w:p>
        </w:tc>
        <w:tc>
          <w:tcPr>
            <w:tcW w:w="854" w:type="pct"/>
            <w:tcBorders>
              <w:tl2br w:val="nil"/>
              <w:tr2bl w:val="nil"/>
            </w:tcBorders>
            <w:shd w:val="clear" w:color="auto" w:fill="auto"/>
            <w:vAlign w:val="center"/>
          </w:tcPr>
          <w:p w14:paraId="66BF0E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1.102</w:t>
            </w:r>
          </w:p>
        </w:tc>
      </w:tr>
    </w:tbl>
    <w:p w14:paraId="3ABC93CD">
      <w:pPr>
        <w:widowControl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（2）生活污水</w:t>
      </w:r>
    </w:p>
    <w:p w14:paraId="5C99367A">
      <w:pPr>
        <w:widowControl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根据前文水平衡可知，生活污水水量为</w:t>
      </w:r>
      <w:r>
        <w:rPr>
          <w:rFonts w:hint="eastAsia" w:cs="Times New Roman"/>
          <w:color w:val="auto"/>
          <w:kern w:val="2"/>
          <w:sz w:val="24"/>
          <w:highlight w:val="none"/>
          <w:lang w:val="en-US" w:eastAsia="zh-CN" w:bidi="ar-SA"/>
        </w:rPr>
        <w:t>43.2m</w:t>
      </w:r>
      <w:r>
        <w:rPr>
          <w:rFonts w:hint="eastAsia" w:cs="Times New Roman"/>
          <w:color w:val="auto"/>
          <w:kern w:val="2"/>
          <w:sz w:val="24"/>
          <w:highlight w:val="none"/>
          <w:vertAlign w:val="superscript"/>
          <w:lang w:val="en-US" w:eastAsia="zh-CN" w:bidi="ar-SA"/>
        </w:rPr>
        <w:t>3</w:t>
      </w:r>
      <w:r>
        <w:rPr>
          <w:rFonts w:hint="eastAsia" w:cs="Times New Roman"/>
          <w:color w:val="auto"/>
          <w:kern w:val="2"/>
          <w:sz w:val="24"/>
          <w:highlight w:val="none"/>
          <w:lang w:val="en-US" w:eastAsia="zh-CN" w:bidi="ar-SA"/>
        </w:rPr>
        <w:t>/d</w:t>
      </w:r>
      <w:r>
        <w:rPr>
          <w:rFonts w:hint="eastAsia" w:ascii="Times New Roman" w:hAnsi="Times New Roman" w:eastAsia="宋体" w:cs="Times New Roman"/>
          <w:color w:val="auto"/>
          <w:kern w:val="2"/>
          <w:sz w:val="24"/>
          <w:highlight w:val="none"/>
          <w:lang w:val="en-US" w:eastAsia="zh-CN" w:bidi="ar-SA"/>
        </w:rPr>
        <w:t>。生活污水中锑含量很低，不纳入计算</w:t>
      </w:r>
    </w:p>
    <w:p w14:paraId="324D1FFC">
      <w:pPr>
        <w:widowControl w:val="0"/>
        <w:spacing w:line="360" w:lineRule="auto"/>
        <w:ind w:firstLine="480" w:firstLineChars="200"/>
        <w:jc w:val="both"/>
        <w:rPr>
          <w:rFonts w:hint="default" w:ascii="Times New Roman" w:hAnsi="Times New Roman" w:eastAsia="宋体" w:cs="Times New Roman"/>
          <w:b w:val="0"/>
          <w:bCs w:val="0"/>
          <w:color w:val="auto"/>
          <w:kern w:val="2"/>
          <w:sz w:val="24"/>
          <w:highlight w:val="none"/>
          <w:lang w:val="en-US" w:eastAsia="zh-CN" w:bidi="ar-SA"/>
        </w:rPr>
      </w:pPr>
      <w:r>
        <w:rPr>
          <w:rFonts w:hint="eastAsia" w:ascii="Times New Roman" w:hAnsi="Times New Roman" w:eastAsia="宋体" w:cs="Times New Roman"/>
          <w:b w:val="0"/>
          <w:bCs w:val="0"/>
          <w:color w:val="auto"/>
          <w:kern w:val="2"/>
          <w:sz w:val="24"/>
          <w:highlight w:val="none"/>
          <w:lang w:val="en-US" w:eastAsia="zh-CN" w:bidi="ar-SA"/>
        </w:rPr>
        <w:t>（3）隧洞山体渗水</w:t>
      </w:r>
    </w:p>
    <w:p w14:paraId="4E170422">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本报告前文</w:t>
      </w:r>
      <w:r>
        <w:rPr>
          <w:rFonts w:hint="eastAsia" w:cs="Times New Roman"/>
          <w:color w:val="auto"/>
          <w:kern w:val="2"/>
          <w:sz w:val="24"/>
          <w:highlight w:val="none"/>
          <w:lang w:val="en-US" w:eastAsia="zh-CN" w:bidi="ar-SA"/>
        </w:rPr>
        <w:fldChar w:fldCharType="begin"/>
      </w:r>
      <w:r>
        <w:rPr>
          <w:rFonts w:hint="eastAsia" w:cs="Times New Roman"/>
          <w:color w:val="auto"/>
          <w:kern w:val="2"/>
          <w:sz w:val="24"/>
          <w:highlight w:val="none"/>
          <w:lang w:val="en-US" w:eastAsia="zh-CN" w:bidi="ar-SA"/>
        </w:rPr>
        <w:instrText xml:space="preserve"> REF _Ref14971 \r \h </w:instrText>
      </w:r>
      <w:r>
        <w:rPr>
          <w:rFonts w:hint="eastAsia" w:cs="Times New Roman"/>
          <w:color w:val="auto"/>
          <w:kern w:val="2"/>
          <w:sz w:val="24"/>
          <w:highlight w:val="none"/>
          <w:lang w:val="en-US" w:eastAsia="zh-CN" w:bidi="ar-SA"/>
        </w:rPr>
        <w:fldChar w:fldCharType="separate"/>
      </w:r>
      <w:r>
        <w:rPr>
          <w:rFonts w:hint="eastAsia" w:cs="Times New Roman"/>
          <w:color w:val="auto"/>
          <w:kern w:val="2"/>
          <w:sz w:val="24"/>
          <w:highlight w:val="none"/>
          <w:lang w:val="en-US" w:eastAsia="zh-CN" w:bidi="ar-SA"/>
        </w:rPr>
        <w:t>2.1.4.3</w:t>
      </w:r>
      <w:r>
        <w:rPr>
          <w:rFonts w:hint="eastAsia" w:cs="Times New Roman"/>
          <w:color w:val="auto"/>
          <w:kern w:val="2"/>
          <w:sz w:val="24"/>
          <w:highlight w:val="none"/>
          <w:lang w:val="en-US" w:eastAsia="zh-CN" w:bidi="ar-SA"/>
        </w:rPr>
        <w:fldChar w:fldCharType="end"/>
      </w:r>
      <w:r>
        <w:rPr>
          <w:rFonts w:hint="eastAsia" w:cs="Times New Roman"/>
          <w:color w:val="auto"/>
          <w:kern w:val="2"/>
          <w:sz w:val="24"/>
          <w:highlight w:val="none"/>
          <w:lang w:val="en-US" w:eastAsia="zh-CN" w:bidi="ar-SA"/>
        </w:rPr>
        <w:t>章节P</w:t>
      </w:r>
      <w:r>
        <w:rPr>
          <w:rFonts w:hint="eastAsia" w:cs="Times New Roman"/>
          <w:color w:val="auto"/>
          <w:kern w:val="2"/>
          <w:sz w:val="24"/>
          <w:highlight w:val="none"/>
          <w:lang w:val="en-US" w:eastAsia="zh-CN" w:bidi="ar-SA"/>
        </w:rPr>
        <w:fldChar w:fldCharType="begin"/>
      </w:r>
      <w:r>
        <w:rPr>
          <w:rFonts w:hint="eastAsia" w:cs="Times New Roman"/>
          <w:color w:val="auto"/>
          <w:kern w:val="2"/>
          <w:sz w:val="24"/>
          <w:highlight w:val="none"/>
          <w:lang w:val="en-US" w:eastAsia="zh-CN" w:bidi="ar-SA"/>
        </w:rPr>
        <w:instrText xml:space="preserve"> PAGEREF _Ref14971 \h </w:instrText>
      </w:r>
      <w:r>
        <w:rPr>
          <w:rFonts w:hint="eastAsia" w:cs="Times New Roman"/>
          <w:color w:val="auto"/>
          <w:kern w:val="2"/>
          <w:sz w:val="24"/>
          <w:highlight w:val="none"/>
          <w:lang w:val="en-US" w:eastAsia="zh-CN" w:bidi="ar-SA"/>
        </w:rPr>
        <w:fldChar w:fldCharType="separate"/>
      </w:r>
      <w:r>
        <w:rPr>
          <w:rFonts w:hint="eastAsia" w:cs="Times New Roman"/>
          <w:color w:val="auto"/>
          <w:kern w:val="2"/>
          <w:sz w:val="24"/>
          <w:highlight w:val="none"/>
          <w:lang w:val="en-US" w:eastAsia="zh-CN" w:bidi="ar-SA"/>
        </w:rPr>
        <w:t>44</w:t>
      </w:r>
      <w:r>
        <w:rPr>
          <w:rFonts w:hint="eastAsia" w:cs="Times New Roman"/>
          <w:color w:val="auto"/>
          <w:kern w:val="2"/>
          <w:sz w:val="24"/>
          <w:highlight w:val="none"/>
          <w:lang w:val="en-US" w:eastAsia="zh-CN" w:bidi="ar-SA"/>
        </w:rPr>
        <w:fldChar w:fldCharType="end"/>
      </w:r>
      <w:r>
        <w:rPr>
          <w:rFonts w:hint="eastAsia" w:cs="Times New Roman"/>
          <w:color w:val="auto"/>
          <w:kern w:val="2"/>
          <w:sz w:val="24"/>
          <w:highlight w:val="none"/>
          <w:lang w:val="en-US" w:eastAsia="zh-CN" w:bidi="ar-SA"/>
        </w:rPr>
        <w:t>已说明</w:t>
      </w:r>
      <w:r>
        <w:rPr>
          <w:rFonts w:hint="eastAsia" w:ascii="Times New Roman" w:hAnsi="Times New Roman" w:eastAsia="宋体" w:cs="Times New Roman"/>
          <w:b w:val="0"/>
          <w:bCs w:val="0"/>
          <w:color w:val="auto"/>
          <w:kern w:val="2"/>
          <w:sz w:val="24"/>
          <w:highlight w:val="none"/>
          <w:lang w:val="en-US" w:eastAsia="zh-CN" w:bidi="ar-SA"/>
        </w:rPr>
        <w:t>隧洞山体渗水</w:t>
      </w:r>
      <w:r>
        <w:rPr>
          <w:rFonts w:hint="eastAsia" w:cs="Times New Roman"/>
          <w:b w:val="0"/>
          <w:bCs w:val="0"/>
          <w:color w:val="auto"/>
          <w:kern w:val="2"/>
          <w:sz w:val="24"/>
          <w:highlight w:val="none"/>
          <w:lang w:val="en-US" w:eastAsia="zh-CN" w:bidi="ar-SA"/>
        </w:rPr>
        <w:t>锑含量和水量，此处不再重复。</w:t>
      </w:r>
    </w:p>
    <w:p w14:paraId="49605BAD">
      <w:pPr>
        <w:pStyle w:val="28"/>
        <w:bidi w:val="0"/>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2.1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39</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隧洞内山体渗水锑产生情况一览表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21"/>
        <w:gridCol w:w="2138"/>
        <w:gridCol w:w="1437"/>
        <w:gridCol w:w="2073"/>
        <w:gridCol w:w="2069"/>
      </w:tblGrid>
      <w:tr w14:paraId="77DADC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6" w:hRule="atLeast"/>
        </w:trPr>
        <w:tc>
          <w:tcPr>
            <w:tcW w:w="823" w:type="pct"/>
            <w:tcBorders>
              <w:tl2br w:val="nil"/>
              <w:tr2bl w:val="nil"/>
            </w:tcBorders>
            <w:shd w:val="clear" w:color="auto" w:fill="auto"/>
            <w:noWrap/>
            <w:vAlign w:val="center"/>
          </w:tcPr>
          <w:p w14:paraId="36562E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1157" w:type="pct"/>
            <w:tcBorders>
              <w:tl2br w:val="nil"/>
              <w:tr2bl w:val="nil"/>
            </w:tcBorders>
            <w:shd w:val="clear" w:color="auto" w:fill="auto"/>
            <w:noWrap/>
            <w:vAlign w:val="center"/>
          </w:tcPr>
          <w:p w14:paraId="7886E2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778" w:type="pct"/>
            <w:tcBorders>
              <w:tl2br w:val="nil"/>
              <w:tr2bl w:val="nil"/>
            </w:tcBorders>
            <w:shd w:val="clear" w:color="auto" w:fill="auto"/>
            <w:noWrap/>
            <w:vAlign w:val="center"/>
          </w:tcPr>
          <w:p w14:paraId="61A5666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流量</w:t>
            </w:r>
          </w:p>
          <w:p w14:paraId="5F9D92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color w:val="auto"/>
                <w:highlight w:val="none"/>
                <w:lang w:val="en-US" w:eastAsia="zh-CN"/>
              </w:rPr>
              <w:t>/d)</w:t>
            </w:r>
          </w:p>
        </w:tc>
        <w:tc>
          <w:tcPr>
            <w:tcW w:w="2070" w:type="dxa"/>
            <w:tcBorders>
              <w:tl2br w:val="nil"/>
              <w:tr2bl w:val="nil"/>
            </w:tcBorders>
            <w:shd w:val="clear" w:color="auto" w:fill="auto"/>
            <w:vAlign w:val="center"/>
          </w:tcPr>
          <w:p w14:paraId="7C6CDC8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锑浓度</w:t>
            </w:r>
          </w:p>
          <w:p w14:paraId="6002607E">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（mg/L）</w:t>
            </w:r>
          </w:p>
        </w:tc>
        <w:tc>
          <w:tcPr>
            <w:tcW w:w="1120" w:type="pct"/>
            <w:tcBorders>
              <w:tl2br w:val="nil"/>
              <w:tr2bl w:val="nil"/>
            </w:tcBorders>
            <w:shd w:val="clear" w:color="auto" w:fill="auto"/>
            <w:vAlign w:val="center"/>
          </w:tcPr>
          <w:p w14:paraId="63F6731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锑产生量</w:t>
            </w:r>
            <w:r>
              <w:rPr>
                <w:rFonts w:hint="default"/>
                <w:color w:val="auto"/>
                <w:highlight w:val="none"/>
                <w:lang w:val="en-US" w:eastAsia="zh-CN"/>
              </w:rPr>
              <w:t>（</w:t>
            </w:r>
            <w:r>
              <w:rPr>
                <w:rFonts w:hint="eastAsia"/>
                <w:color w:val="auto"/>
                <w:highlight w:val="none"/>
                <w:lang w:val="en-US" w:eastAsia="zh-CN"/>
              </w:rPr>
              <w:t>kg/d</w:t>
            </w:r>
            <w:r>
              <w:rPr>
                <w:rFonts w:hint="default"/>
                <w:color w:val="auto"/>
                <w:highlight w:val="none"/>
                <w:lang w:val="en-US" w:eastAsia="zh-CN"/>
              </w:rPr>
              <w:t>）</w:t>
            </w:r>
          </w:p>
        </w:tc>
      </w:tr>
      <w:tr w14:paraId="519647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9" w:hRule="atLeast"/>
        </w:trPr>
        <w:tc>
          <w:tcPr>
            <w:tcW w:w="823" w:type="pct"/>
            <w:tcBorders>
              <w:tl2br w:val="nil"/>
              <w:tr2bl w:val="nil"/>
            </w:tcBorders>
            <w:shd w:val="clear" w:color="auto" w:fill="auto"/>
            <w:noWrap/>
            <w:vAlign w:val="center"/>
          </w:tcPr>
          <w:p w14:paraId="67B329BB">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枯水期</w:t>
            </w:r>
          </w:p>
        </w:tc>
        <w:tc>
          <w:tcPr>
            <w:tcW w:w="1157" w:type="pct"/>
            <w:tcBorders>
              <w:tl2br w:val="nil"/>
              <w:tr2bl w:val="nil"/>
            </w:tcBorders>
            <w:shd w:val="clear" w:color="auto" w:fill="auto"/>
            <w:noWrap/>
            <w:vAlign w:val="center"/>
          </w:tcPr>
          <w:p w14:paraId="0CED3F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隧洞山体渗水</w:t>
            </w:r>
          </w:p>
        </w:tc>
        <w:tc>
          <w:tcPr>
            <w:tcW w:w="778" w:type="pct"/>
            <w:tcBorders>
              <w:tl2br w:val="nil"/>
              <w:tr2bl w:val="nil"/>
            </w:tcBorders>
            <w:shd w:val="clear" w:color="auto" w:fill="auto"/>
            <w:noWrap/>
            <w:vAlign w:val="center"/>
          </w:tcPr>
          <w:p w14:paraId="2E77205C">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1550.2</w:t>
            </w:r>
          </w:p>
        </w:tc>
        <w:tc>
          <w:tcPr>
            <w:tcW w:w="2070" w:type="dxa"/>
            <w:tcBorders>
              <w:tl2br w:val="nil"/>
              <w:tr2bl w:val="nil"/>
            </w:tcBorders>
            <w:shd w:val="clear" w:color="auto" w:fill="auto"/>
            <w:vAlign w:val="center"/>
          </w:tcPr>
          <w:p w14:paraId="06EB2777">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1.51</w:t>
            </w:r>
          </w:p>
        </w:tc>
        <w:tc>
          <w:tcPr>
            <w:tcW w:w="2069" w:type="dxa"/>
            <w:tcBorders>
              <w:tl2br w:val="nil"/>
              <w:tr2bl w:val="nil"/>
            </w:tcBorders>
            <w:shd w:val="clear" w:color="auto" w:fill="auto"/>
            <w:vAlign w:val="center"/>
          </w:tcPr>
          <w:p w14:paraId="3DF05369">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2.341</w:t>
            </w:r>
          </w:p>
        </w:tc>
      </w:tr>
      <w:tr w14:paraId="7F1871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9" w:hRule="atLeast"/>
        </w:trPr>
        <w:tc>
          <w:tcPr>
            <w:tcW w:w="823" w:type="pct"/>
            <w:tcBorders>
              <w:tl2br w:val="nil"/>
              <w:tr2bl w:val="nil"/>
            </w:tcBorders>
            <w:shd w:val="clear" w:color="auto" w:fill="auto"/>
            <w:noWrap/>
            <w:vAlign w:val="center"/>
          </w:tcPr>
          <w:p w14:paraId="7CF64F94">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平水期</w:t>
            </w:r>
          </w:p>
        </w:tc>
        <w:tc>
          <w:tcPr>
            <w:tcW w:w="1157" w:type="pct"/>
            <w:tcBorders>
              <w:tl2br w:val="nil"/>
              <w:tr2bl w:val="nil"/>
            </w:tcBorders>
            <w:shd w:val="clear" w:color="auto" w:fill="auto"/>
            <w:noWrap/>
            <w:vAlign w:val="center"/>
          </w:tcPr>
          <w:p w14:paraId="075E8208">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隧洞山体渗水</w:t>
            </w:r>
          </w:p>
        </w:tc>
        <w:tc>
          <w:tcPr>
            <w:tcW w:w="778" w:type="pct"/>
            <w:tcBorders>
              <w:tl2br w:val="nil"/>
              <w:tr2bl w:val="nil"/>
            </w:tcBorders>
            <w:shd w:val="clear" w:color="auto" w:fill="auto"/>
            <w:noWrap/>
            <w:vAlign w:val="center"/>
          </w:tcPr>
          <w:p w14:paraId="706D9544">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3755.4</w:t>
            </w:r>
          </w:p>
        </w:tc>
        <w:tc>
          <w:tcPr>
            <w:tcW w:w="2070" w:type="dxa"/>
            <w:tcBorders>
              <w:tl2br w:val="nil"/>
              <w:tr2bl w:val="nil"/>
            </w:tcBorders>
            <w:shd w:val="clear" w:color="auto" w:fill="auto"/>
            <w:vAlign w:val="center"/>
          </w:tcPr>
          <w:p w14:paraId="72543EF4">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1.84</w:t>
            </w:r>
          </w:p>
        </w:tc>
        <w:tc>
          <w:tcPr>
            <w:tcW w:w="2069" w:type="dxa"/>
            <w:tcBorders>
              <w:tl2br w:val="nil"/>
              <w:tr2bl w:val="nil"/>
            </w:tcBorders>
            <w:shd w:val="clear" w:color="auto" w:fill="auto"/>
            <w:vAlign w:val="center"/>
          </w:tcPr>
          <w:p w14:paraId="7F610BDB">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6.910</w:t>
            </w:r>
          </w:p>
        </w:tc>
      </w:tr>
      <w:tr w14:paraId="6A1899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823" w:type="pct"/>
            <w:tcBorders>
              <w:tl2br w:val="nil"/>
              <w:tr2bl w:val="nil"/>
            </w:tcBorders>
            <w:shd w:val="clear" w:color="auto" w:fill="auto"/>
            <w:noWrap/>
            <w:vAlign w:val="center"/>
          </w:tcPr>
          <w:p w14:paraId="62235FFC">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丰水期</w:t>
            </w:r>
          </w:p>
        </w:tc>
        <w:tc>
          <w:tcPr>
            <w:tcW w:w="1157" w:type="pct"/>
            <w:tcBorders>
              <w:tl2br w:val="nil"/>
              <w:tr2bl w:val="nil"/>
            </w:tcBorders>
            <w:shd w:val="clear" w:color="auto" w:fill="auto"/>
            <w:noWrap/>
            <w:vAlign w:val="center"/>
          </w:tcPr>
          <w:p w14:paraId="355629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隧洞山体渗水</w:t>
            </w:r>
          </w:p>
        </w:tc>
        <w:tc>
          <w:tcPr>
            <w:tcW w:w="778" w:type="pct"/>
            <w:tcBorders>
              <w:tl2br w:val="nil"/>
              <w:tr2bl w:val="nil"/>
            </w:tcBorders>
            <w:shd w:val="clear" w:color="auto" w:fill="auto"/>
            <w:noWrap/>
            <w:vAlign w:val="center"/>
          </w:tcPr>
          <w:p w14:paraId="03491F73">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6671.3</w:t>
            </w:r>
          </w:p>
        </w:tc>
        <w:tc>
          <w:tcPr>
            <w:tcW w:w="2070" w:type="dxa"/>
            <w:tcBorders>
              <w:tl2br w:val="nil"/>
              <w:tr2bl w:val="nil"/>
            </w:tcBorders>
            <w:shd w:val="clear" w:color="auto" w:fill="auto"/>
            <w:vAlign w:val="center"/>
          </w:tcPr>
          <w:p w14:paraId="30A936E4">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0.623</w:t>
            </w:r>
          </w:p>
        </w:tc>
        <w:tc>
          <w:tcPr>
            <w:tcW w:w="2069" w:type="dxa"/>
            <w:tcBorders>
              <w:tl2br w:val="nil"/>
              <w:tr2bl w:val="nil"/>
            </w:tcBorders>
            <w:shd w:val="clear" w:color="auto" w:fill="auto"/>
            <w:vAlign w:val="center"/>
          </w:tcPr>
          <w:p w14:paraId="00E33032">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4.156</w:t>
            </w:r>
          </w:p>
        </w:tc>
      </w:tr>
    </w:tbl>
    <w:p w14:paraId="612AAD53">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（4）后期雨水</w:t>
      </w:r>
    </w:p>
    <w:p w14:paraId="61F06391">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进入隧洞内的雨水主要是后期雨水，锑含量较低，不纳入计算。</w:t>
      </w:r>
    </w:p>
    <w:p w14:paraId="01125BD4">
      <w:pPr>
        <w:pStyle w:val="2"/>
        <w:bidi w:val="0"/>
        <w:rPr>
          <w:rFonts w:hint="default"/>
          <w:color w:val="auto"/>
          <w:highlight w:val="none"/>
          <w:lang w:val="en-US" w:eastAsia="zh-CN"/>
        </w:rPr>
      </w:pPr>
      <w:r>
        <w:rPr>
          <w:rFonts w:hint="eastAsia"/>
          <w:color w:val="auto"/>
          <w:highlight w:val="none"/>
          <w:lang w:val="en-US" w:eastAsia="zh-CN"/>
        </w:rPr>
        <w:t>（5）调整前废水产排情况</w:t>
      </w:r>
    </w:p>
    <w:p w14:paraId="3D87EECE">
      <w:pPr>
        <w:pStyle w:val="2"/>
        <w:bidi w:val="0"/>
        <w:rPr>
          <w:rFonts w:hint="eastAsia"/>
          <w:color w:val="auto"/>
          <w:highlight w:val="none"/>
          <w:lang w:val="en-US" w:eastAsia="zh-CN"/>
        </w:rPr>
      </w:pPr>
      <w:r>
        <w:rPr>
          <w:rFonts w:hint="eastAsia"/>
          <w:color w:val="auto"/>
          <w:highlight w:val="none"/>
          <w:lang w:val="en-US" w:eastAsia="zh-CN"/>
        </w:rPr>
        <w:t>综上，现阶段，不考虑矿区雨水，枯水期时排洪隧洞水水量为5803.4m</w:t>
      </w:r>
      <w:r>
        <w:rPr>
          <w:rFonts w:hint="eastAsia"/>
          <w:color w:val="auto"/>
          <w:highlight w:val="none"/>
          <w:vertAlign w:val="superscript"/>
          <w:lang w:val="en-US" w:eastAsia="zh-CN"/>
        </w:rPr>
        <w:t>3</w:t>
      </w:r>
      <w:r>
        <w:rPr>
          <w:rFonts w:hint="eastAsia"/>
          <w:color w:val="auto"/>
          <w:highlight w:val="none"/>
          <w:lang w:val="en-US" w:eastAsia="zh-CN"/>
        </w:rPr>
        <w:t>/d，其中约1150m</w:t>
      </w:r>
      <w:r>
        <w:rPr>
          <w:rFonts w:hint="eastAsia"/>
          <w:color w:val="auto"/>
          <w:highlight w:val="none"/>
          <w:vertAlign w:val="superscript"/>
          <w:lang w:val="en-US" w:eastAsia="zh-CN"/>
        </w:rPr>
        <w:t>3</w:t>
      </w:r>
      <w:r>
        <w:rPr>
          <w:rFonts w:hint="eastAsia"/>
          <w:color w:val="auto"/>
          <w:highlight w:val="none"/>
          <w:lang w:val="en-US" w:eastAsia="zh-CN"/>
        </w:rPr>
        <w:t>/d排入矿山废水处理站处理达标后排放至渣滓溪，剩余的4653.4m</w:t>
      </w:r>
      <w:r>
        <w:rPr>
          <w:rFonts w:hint="eastAsia"/>
          <w:color w:val="auto"/>
          <w:highlight w:val="none"/>
          <w:vertAlign w:val="superscript"/>
          <w:lang w:val="en-US" w:eastAsia="zh-CN"/>
        </w:rPr>
        <w:t>3</w:t>
      </w:r>
      <w:r>
        <w:rPr>
          <w:rFonts w:hint="eastAsia"/>
          <w:color w:val="auto"/>
          <w:highlight w:val="none"/>
          <w:lang w:val="en-US" w:eastAsia="zh-CN"/>
        </w:rPr>
        <w:t>/d直接排放；平水期时，排洪隧洞水水量为14474.2m</w:t>
      </w:r>
      <w:r>
        <w:rPr>
          <w:rFonts w:hint="eastAsia"/>
          <w:color w:val="auto"/>
          <w:highlight w:val="none"/>
          <w:vertAlign w:val="superscript"/>
          <w:lang w:val="en-US" w:eastAsia="zh-CN"/>
        </w:rPr>
        <w:t>3</w:t>
      </w:r>
      <w:r>
        <w:rPr>
          <w:rFonts w:hint="eastAsia"/>
          <w:color w:val="auto"/>
          <w:highlight w:val="none"/>
          <w:lang w:val="en-US" w:eastAsia="zh-CN"/>
        </w:rPr>
        <w:t>/d，其中约1150m</w:t>
      </w:r>
      <w:r>
        <w:rPr>
          <w:rFonts w:hint="eastAsia"/>
          <w:color w:val="auto"/>
          <w:highlight w:val="none"/>
          <w:vertAlign w:val="superscript"/>
          <w:lang w:val="en-US" w:eastAsia="zh-CN"/>
        </w:rPr>
        <w:t>3</w:t>
      </w:r>
      <w:r>
        <w:rPr>
          <w:rFonts w:hint="eastAsia"/>
          <w:color w:val="auto"/>
          <w:highlight w:val="none"/>
          <w:lang w:val="en-US" w:eastAsia="zh-CN"/>
        </w:rPr>
        <w:t>/d排入矿山废水处理站处理达标后排放至渣滓溪，剩余的13324.2m</w:t>
      </w:r>
      <w:r>
        <w:rPr>
          <w:rFonts w:hint="eastAsia"/>
          <w:color w:val="auto"/>
          <w:highlight w:val="none"/>
          <w:vertAlign w:val="superscript"/>
          <w:lang w:val="en-US" w:eastAsia="zh-CN"/>
        </w:rPr>
        <w:t>3</w:t>
      </w:r>
      <w:r>
        <w:rPr>
          <w:rFonts w:hint="eastAsia"/>
          <w:color w:val="auto"/>
          <w:highlight w:val="none"/>
          <w:lang w:val="en-US" w:eastAsia="zh-CN"/>
        </w:rPr>
        <w:t>/d直接排放；丰水期时，排洪隧洞水水量为25914.9m</w:t>
      </w:r>
      <w:r>
        <w:rPr>
          <w:rFonts w:hint="eastAsia"/>
          <w:color w:val="auto"/>
          <w:highlight w:val="none"/>
          <w:vertAlign w:val="superscript"/>
          <w:lang w:val="en-US" w:eastAsia="zh-CN"/>
        </w:rPr>
        <w:t>3</w:t>
      </w:r>
      <w:r>
        <w:rPr>
          <w:rFonts w:hint="eastAsia"/>
          <w:color w:val="auto"/>
          <w:highlight w:val="none"/>
          <w:lang w:val="en-US" w:eastAsia="zh-CN"/>
        </w:rPr>
        <w:t>/d，其中约1150m</w:t>
      </w:r>
      <w:r>
        <w:rPr>
          <w:rFonts w:hint="eastAsia"/>
          <w:color w:val="auto"/>
          <w:highlight w:val="none"/>
          <w:vertAlign w:val="superscript"/>
          <w:lang w:val="en-US" w:eastAsia="zh-CN"/>
        </w:rPr>
        <w:t>3</w:t>
      </w:r>
      <w:r>
        <w:rPr>
          <w:rFonts w:hint="eastAsia"/>
          <w:color w:val="auto"/>
          <w:highlight w:val="none"/>
          <w:lang w:val="en-US" w:eastAsia="zh-CN"/>
        </w:rPr>
        <w:t>/d排入矿山废水处理站处理达标后排放至渣滓溪，剩余的24764.9m</w:t>
      </w:r>
      <w:r>
        <w:rPr>
          <w:rFonts w:hint="eastAsia"/>
          <w:color w:val="auto"/>
          <w:highlight w:val="none"/>
          <w:vertAlign w:val="superscript"/>
          <w:lang w:val="en-US" w:eastAsia="zh-CN"/>
        </w:rPr>
        <w:t>3</w:t>
      </w:r>
      <w:r>
        <w:rPr>
          <w:rFonts w:hint="eastAsia"/>
          <w:color w:val="auto"/>
          <w:highlight w:val="none"/>
          <w:lang w:val="en-US" w:eastAsia="zh-CN"/>
        </w:rPr>
        <w:t>/d直接排放。</w:t>
      </w:r>
    </w:p>
    <w:p w14:paraId="6C7F1BCB">
      <w:pPr>
        <w:pStyle w:val="2"/>
        <w:bidi w:val="0"/>
        <w:rPr>
          <w:rFonts w:hint="eastAsia"/>
          <w:color w:val="auto"/>
          <w:highlight w:val="none"/>
          <w:lang w:val="en-US" w:eastAsia="zh-CN"/>
        </w:rPr>
      </w:pPr>
      <w:r>
        <w:rPr>
          <w:rFonts w:hint="eastAsia"/>
          <w:color w:val="auto"/>
          <w:highlight w:val="none"/>
          <w:lang w:val="en-US" w:eastAsia="zh-CN"/>
        </w:rPr>
        <w:t>排洪隧洞除进入废水处理站水量外，直接排放的水量及水质见下表。</w:t>
      </w:r>
    </w:p>
    <w:p w14:paraId="440FBB4F">
      <w:pPr>
        <w:widowControl w:val="0"/>
        <w:tabs>
          <w:tab w:val="left" w:pos="1021"/>
        </w:tabs>
        <w:bidi w:val="0"/>
        <w:spacing w:line="300" w:lineRule="auto"/>
        <w:jc w:val="center"/>
        <w:outlineLvl w:val="4"/>
        <w:rPr>
          <w:rFonts w:hint="default" w:ascii="Times New Roman" w:hAnsi="Times New Roman" w:eastAsia="黑体" w:cs="Times New Roman"/>
          <w:color w:val="auto"/>
          <w:kern w:val="2"/>
          <w:sz w:val="24"/>
          <w:szCs w:val="20"/>
          <w:highlight w:val="none"/>
          <w:lang w:val="en-US" w:eastAsia="zh-CN" w:bidi="ar-SA"/>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40</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w:t>
      </w:r>
      <w:r>
        <w:rPr>
          <w:rFonts w:hint="eastAsia" w:ascii="Times New Roman" w:hAnsi="Times New Roman" w:eastAsia="黑体" w:cs="Times New Roman"/>
          <w:color w:val="auto"/>
          <w:kern w:val="2"/>
          <w:sz w:val="24"/>
          <w:szCs w:val="20"/>
          <w:highlight w:val="none"/>
          <w:lang w:val="en-US" w:eastAsia="zh-CN" w:bidi="ar-SA"/>
        </w:rPr>
        <w:t>隧洞内直接排水锑排放情况一览表</w:t>
      </w:r>
    </w:p>
    <w:tbl>
      <w:tblPr>
        <w:tblStyle w:val="21"/>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79"/>
        <w:gridCol w:w="1536"/>
        <w:gridCol w:w="1013"/>
        <w:gridCol w:w="1174"/>
        <w:gridCol w:w="1477"/>
        <w:gridCol w:w="1536"/>
        <w:gridCol w:w="1420"/>
      </w:tblGrid>
      <w:tr w14:paraId="63F162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584" w:type="pct"/>
            <w:tcBorders>
              <w:tl2br w:val="nil"/>
              <w:tr2bl w:val="nil"/>
            </w:tcBorders>
            <w:shd w:val="clear" w:color="auto" w:fill="auto"/>
            <w:noWrap/>
            <w:vAlign w:val="center"/>
          </w:tcPr>
          <w:p w14:paraId="3C745F7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831" w:type="pct"/>
            <w:tcBorders>
              <w:tl2br w:val="nil"/>
              <w:tr2bl w:val="nil"/>
            </w:tcBorders>
            <w:shd w:val="clear" w:color="auto" w:fill="auto"/>
            <w:noWrap/>
            <w:vAlign w:val="center"/>
          </w:tcPr>
          <w:p w14:paraId="52F412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548" w:type="pct"/>
            <w:tcBorders>
              <w:tl2br w:val="nil"/>
              <w:tr2bl w:val="nil"/>
            </w:tcBorders>
            <w:shd w:val="clear" w:color="auto" w:fill="auto"/>
            <w:noWrap/>
            <w:vAlign w:val="center"/>
          </w:tcPr>
          <w:p w14:paraId="025F14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流量</w:t>
            </w:r>
          </w:p>
          <w:p w14:paraId="0441B0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/d</w:t>
            </w:r>
            <w:r>
              <w:rPr>
                <w:rFonts w:hint="default"/>
                <w:color w:val="auto"/>
                <w:highlight w:val="none"/>
                <w:lang w:val="en-US" w:eastAsia="zh-CN"/>
              </w:rPr>
              <w:t>)</w:t>
            </w:r>
          </w:p>
        </w:tc>
        <w:tc>
          <w:tcPr>
            <w:tcW w:w="635" w:type="pct"/>
            <w:tcBorders>
              <w:tl2br w:val="nil"/>
              <w:tr2bl w:val="nil"/>
            </w:tcBorders>
            <w:shd w:val="clear" w:color="auto" w:fill="auto"/>
            <w:noWrap/>
            <w:vAlign w:val="center"/>
          </w:tcPr>
          <w:p w14:paraId="2612559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锑浓度</w:t>
            </w:r>
          </w:p>
          <w:p w14:paraId="3F63AE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（mg/L）</w:t>
            </w:r>
          </w:p>
        </w:tc>
        <w:tc>
          <w:tcPr>
            <w:tcW w:w="799" w:type="pct"/>
            <w:tcBorders>
              <w:tl2br w:val="nil"/>
              <w:tr2bl w:val="nil"/>
            </w:tcBorders>
            <w:shd w:val="clear" w:color="auto" w:fill="auto"/>
            <w:vAlign w:val="center"/>
          </w:tcPr>
          <w:p w14:paraId="2BECCB8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混合后浓度</w:t>
            </w:r>
          </w:p>
          <w:p w14:paraId="25E499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（mg/L）</w:t>
            </w:r>
          </w:p>
        </w:tc>
        <w:tc>
          <w:tcPr>
            <w:tcW w:w="831" w:type="pct"/>
            <w:tcBorders>
              <w:tl2br w:val="nil"/>
              <w:tr2bl w:val="nil"/>
            </w:tcBorders>
            <w:shd w:val="clear" w:color="auto" w:fill="auto"/>
            <w:noWrap/>
            <w:vAlign w:val="center"/>
          </w:tcPr>
          <w:p w14:paraId="1E26448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直接排放水量</w:t>
            </w:r>
          </w:p>
          <w:p w14:paraId="6174FE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/d）</w:t>
            </w:r>
          </w:p>
        </w:tc>
        <w:tc>
          <w:tcPr>
            <w:tcW w:w="768" w:type="pct"/>
            <w:tcBorders>
              <w:tl2br w:val="nil"/>
              <w:tr2bl w:val="nil"/>
            </w:tcBorders>
            <w:shd w:val="clear" w:color="auto" w:fill="auto"/>
            <w:noWrap/>
            <w:vAlign w:val="center"/>
          </w:tcPr>
          <w:p w14:paraId="30AB9783">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天数</w:t>
            </w:r>
          </w:p>
          <w:p w14:paraId="749BDF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（d）</w:t>
            </w:r>
          </w:p>
        </w:tc>
      </w:tr>
      <w:tr w14:paraId="54C113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4" w:type="pct"/>
            <w:vMerge w:val="restart"/>
            <w:tcBorders>
              <w:tl2br w:val="nil"/>
              <w:tr2bl w:val="nil"/>
            </w:tcBorders>
            <w:shd w:val="clear" w:color="auto" w:fill="auto"/>
            <w:noWrap/>
            <w:vAlign w:val="center"/>
          </w:tcPr>
          <w:p w14:paraId="2150D4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枯水期</w:t>
            </w:r>
          </w:p>
        </w:tc>
        <w:tc>
          <w:tcPr>
            <w:tcW w:w="831" w:type="pct"/>
            <w:tcBorders>
              <w:tl2br w:val="nil"/>
              <w:tr2bl w:val="nil"/>
            </w:tcBorders>
            <w:shd w:val="clear" w:color="auto" w:fill="auto"/>
            <w:noWrap/>
            <w:vAlign w:val="center"/>
          </w:tcPr>
          <w:p w14:paraId="091BF9B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生活污水</w:t>
            </w:r>
          </w:p>
        </w:tc>
        <w:tc>
          <w:tcPr>
            <w:tcW w:w="548" w:type="pct"/>
            <w:tcBorders>
              <w:tl2br w:val="nil"/>
              <w:tr2bl w:val="nil"/>
            </w:tcBorders>
            <w:shd w:val="clear" w:color="auto" w:fill="auto"/>
            <w:noWrap/>
            <w:vAlign w:val="center"/>
          </w:tcPr>
          <w:p w14:paraId="43CF7E3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43.2</w:t>
            </w:r>
          </w:p>
        </w:tc>
        <w:tc>
          <w:tcPr>
            <w:tcW w:w="635" w:type="pct"/>
            <w:tcBorders>
              <w:tl2br w:val="nil"/>
              <w:tr2bl w:val="nil"/>
            </w:tcBorders>
            <w:shd w:val="clear" w:color="auto" w:fill="auto"/>
            <w:noWrap/>
            <w:vAlign w:val="center"/>
          </w:tcPr>
          <w:p w14:paraId="6BD41D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w:t>
            </w:r>
          </w:p>
        </w:tc>
        <w:tc>
          <w:tcPr>
            <w:tcW w:w="799" w:type="pct"/>
            <w:vMerge w:val="restart"/>
            <w:tcBorders>
              <w:tl2br w:val="nil"/>
              <w:tr2bl w:val="nil"/>
            </w:tcBorders>
            <w:shd w:val="clear" w:color="auto" w:fill="auto"/>
            <w:vAlign w:val="center"/>
          </w:tcPr>
          <w:p w14:paraId="481258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0.444</w:t>
            </w:r>
          </w:p>
        </w:tc>
        <w:tc>
          <w:tcPr>
            <w:tcW w:w="831" w:type="pct"/>
            <w:vMerge w:val="restart"/>
            <w:tcBorders>
              <w:tl2br w:val="nil"/>
              <w:tr2bl w:val="nil"/>
            </w:tcBorders>
            <w:shd w:val="clear" w:color="auto" w:fill="auto"/>
            <w:noWrap/>
            <w:vAlign w:val="center"/>
          </w:tcPr>
          <w:p w14:paraId="3CACAD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4653.4</w:t>
            </w:r>
          </w:p>
        </w:tc>
        <w:tc>
          <w:tcPr>
            <w:tcW w:w="768" w:type="pct"/>
            <w:vMerge w:val="restart"/>
            <w:tcBorders>
              <w:tl2br w:val="nil"/>
              <w:tr2bl w:val="nil"/>
            </w:tcBorders>
            <w:shd w:val="clear" w:color="auto" w:fill="auto"/>
            <w:noWrap/>
            <w:vAlign w:val="center"/>
          </w:tcPr>
          <w:p w14:paraId="2A4B697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181</w:t>
            </w:r>
          </w:p>
        </w:tc>
      </w:tr>
      <w:tr w14:paraId="5FCACC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4" w:type="pct"/>
            <w:vMerge w:val="continue"/>
            <w:tcBorders>
              <w:tl2br w:val="nil"/>
              <w:tr2bl w:val="nil"/>
            </w:tcBorders>
            <w:shd w:val="clear" w:color="auto" w:fill="auto"/>
            <w:noWrap/>
            <w:vAlign w:val="center"/>
          </w:tcPr>
          <w:p w14:paraId="039F6351">
            <w:pPr>
              <w:pStyle w:val="26"/>
              <w:keepNext w:val="0"/>
              <w:keepLines w:val="0"/>
              <w:suppressLineNumbers w:val="0"/>
              <w:spacing w:before="0" w:beforeAutospacing="0" w:after="0" w:afterAutospacing="0"/>
              <w:ind w:left="0" w:right="0"/>
              <w:rPr>
                <w:rFonts w:hint="eastAsia"/>
                <w:color w:val="auto"/>
                <w:highlight w:val="none"/>
                <w:lang w:val="en-US" w:eastAsia="zh-CN"/>
              </w:rPr>
            </w:pPr>
          </w:p>
        </w:tc>
        <w:tc>
          <w:tcPr>
            <w:tcW w:w="831" w:type="pct"/>
            <w:tcBorders>
              <w:tl2br w:val="nil"/>
              <w:tr2bl w:val="nil"/>
            </w:tcBorders>
            <w:shd w:val="clear" w:color="auto" w:fill="auto"/>
            <w:noWrap/>
            <w:vAlign w:val="center"/>
          </w:tcPr>
          <w:p w14:paraId="5739A2E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隧洞山体渗水</w:t>
            </w:r>
          </w:p>
        </w:tc>
        <w:tc>
          <w:tcPr>
            <w:tcW w:w="548" w:type="pct"/>
            <w:tcBorders>
              <w:tl2br w:val="nil"/>
              <w:tr2bl w:val="nil"/>
            </w:tcBorders>
            <w:shd w:val="clear" w:color="auto" w:fill="auto"/>
            <w:noWrap/>
            <w:vAlign w:val="center"/>
          </w:tcPr>
          <w:p w14:paraId="7252FC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1550.2</w:t>
            </w:r>
          </w:p>
        </w:tc>
        <w:tc>
          <w:tcPr>
            <w:tcW w:w="635" w:type="pct"/>
            <w:tcBorders>
              <w:tl2br w:val="nil"/>
              <w:tr2bl w:val="nil"/>
            </w:tcBorders>
            <w:shd w:val="clear" w:color="auto" w:fill="auto"/>
            <w:noWrap/>
            <w:vAlign w:val="center"/>
          </w:tcPr>
          <w:p w14:paraId="4DCF882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51</w:t>
            </w:r>
          </w:p>
        </w:tc>
        <w:tc>
          <w:tcPr>
            <w:tcW w:w="799" w:type="pct"/>
            <w:vMerge w:val="continue"/>
            <w:tcBorders>
              <w:tl2br w:val="nil"/>
              <w:tr2bl w:val="nil"/>
            </w:tcBorders>
            <w:shd w:val="clear" w:color="auto" w:fill="auto"/>
            <w:vAlign w:val="center"/>
          </w:tcPr>
          <w:p w14:paraId="6D01116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831" w:type="pct"/>
            <w:vMerge w:val="continue"/>
            <w:tcBorders>
              <w:tl2br w:val="nil"/>
              <w:tr2bl w:val="nil"/>
            </w:tcBorders>
            <w:shd w:val="clear" w:color="auto" w:fill="auto"/>
            <w:noWrap/>
            <w:vAlign w:val="center"/>
          </w:tcPr>
          <w:p w14:paraId="71F9532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768" w:type="pct"/>
            <w:vMerge w:val="continue"/>
            <w:tcBorders>
              <w:tl2br w:val="nil"/>
              <w:tr2bl w:val="nil"/>
            </w:tcBorders>
            <w:shd w:val="clear" w:color="auto" w:fill="auto"/>
            <w:noWrap/>
            <w:vAlign w:val="center"/>
          </w:tcPr>
          <w:p w14:paraId="3EA20AE7">
            <w:pPr>
              <w:pStyle w:val="26"/>
              <w:keepNext w:val="0"/>
              <w:keepLines w:val="0"/>
              <w:suppressLineNumbers w:val="0"/>
              <w:spacing w:before="0" w:beforeAutospacing="0" w:after="0" w:afterAutospacing="0"/>
              <w:ind w:left="0" w:right="0"/>
              <w:rPr>
                <w:rFonts w:hint="default"/>
                <w:color w:val="auto"/>
                <w:highlight w:val="none"/>
                <w:lang w:val="en-US" w:eastAsia="zh-CN"/>
              </w:rPr>
            </w:pPr>
          </w:p>
        </w:tc>
      </w:tr>
      <w:tr w14:paraId="7ED5F5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4" w:type="pct"/>
            <w:vMerge w:val="continue"/>
            <w:tcBorders>
              <w:tl2br w:val="nil"/>
              <w:tr2bl w:val="nil"/>
            </w:tcBorders>
            <w:shd w:val="clear" w:color="auto" w:fill="auto"/>
            <w:noWrap/>
            <w:vAlign w:val="center"/>
          </w:tcPr>
          <w:p w14:paraId="4CDBEDC4">
            <w:pPr>
              <w:pStyle w:val="26"/>
              <w:keepNext w:val="0"/>
              <w:keepLines w:val="0"/>
              <w:suppressLineNumbers w:val="0"/>
              <w:spacing w:before="0" w:beforeAutospacing="0" w:after="0" w:afterAutospacing="0"/>
              <w:ind w:left="0" w:right="0"/>
              <w:rPr>
                <w:rFonts w:hint="eastAsia"/>
                <w:color w:val="auto"/>
                <w:highlight w:val="none"/>
                <w:lang w:val="en-US" w:eastAsia="zh-CN"/>
              </w:rPr>
            </w:pPr>
          </w:p>
        </w:tc>
        <w:tc>
          <w:tcPr>
            <w:tcW w:w="831" w:type="pct"/>
            <w:tcBorders>
              <w:tl2br w:val="nil"/>
              <w:tr2bl w:val="nil"/>
            </w:tcBorders>
            <w:shd w:val="clear" w:color="auto" w:fill="auto"/>
            <w:noWrap/>
            <w:vAlign w:val="center"/>
          </w:tcPr>
          <w:p w14:paraId="1227267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渣滓溪溪水</w:t>
            </w:r>
          </w:p>
        </w:tc>
        <w:tc>
          <w:tcPr>
            <w:tcW w:w="548" w:type="pct"/>
            <w:tcBorders>
              <w:tl2br w:val="nil"/>
              <w:tr2bl w:val="nil"/>
            </w:tcBorders>
            <w:shd w:val="clear" w:color="auto" w:fill="auto"/>
            <w:noWrap/>
            <w:vAlign w:val="center"/>
          </w:tcPr>
          <w:p w14:paraId="3D44D1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4210</w:t>
            </w:r>
          </w:p>
        </w:tc>
        <w:tc>
          <w:tcPr>
            <w:tcW w:w="635" w:type="pct"/>
            <w:tcBorders>
              <w:tl2br w:val="nil"/>
              <w:tr2bl w:val="nil"/>
            </w:tcBorders>
            <w:shd w:val="clear" w:color="auto" w:fill="auto"/>
            <w:noWrap/>
            <w:vAlign w:val="center"/>
          </w:tcPr>
          <w:p w14:paraId="19D037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r>
              <w:rPr>
                <w:rFonts w:hint="eastAsia"/>
                <w:color w:val="auto"/>
                <w:highlight w:val="none"/>
                <w:lang w:val="en-US" w:eastAsia="zh-CN"/>
              </w:rPr>
              <w:t>66</w:t>
            </w:r>
          </w:p>
        </w:tc>
        <w:tc>
          <w:tcPr>
            <w:tcW w:w="799" w:type="pct"/>
            <w:vMerge w:val="continue"/>
            <w:tcBorders>
              <w:tl2br w:val="nil"/>
              <w:tr2bl w:val="nil"/>
            </w:tcBorders>
            <w:shd w:val="clear" w:color="auto" w:fill="auto"/>
            <w:vAlign w:val="center"/>
          </w:tcPr>
          <w:p w14:paraId="243C400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831" w:type="pct"/>
            <w:vMerge w:val="continue"/>
            <w:tcBorders>
              <w:tl2br w:val="nil"/>
              <w:tr2bl w:val="nil"/>
            </w:tcBorders>
            <w:shd w:val="clear" w:color="auto" w:fill="auto"/>
            <w:noWrap/>
            <w:vAlign w:val="center"/>
          </w:tcPr>
          <w:p w14:paraId="1509E89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768" w:type="pct"/>
            <w:vMerge w:val="continue"/>
            <w:tcBorders>
              <w:tl2br w:val="nil"/>
              <w:tr2bl w:val="nil"/>
            </w:tcBorders>
            <w:shd w:val="clear" w:color="auto" w:fill="auto"/>
            <w:noWrap/>
            <w:vAlign w:val="center"/>
          </w:tcPr>
          <w:p w14:paraId="287EAC85">
            <w:pPr>
              <w:pStyle w:val="26"/>
              <w:keepNext w:val="0"/>
              <w:keepLines w:val="0"/>
              <w:suppressLineNumbers w:val="0"/>
              <w:spacing w:before="0" w:beforeAutospacing="0" w:after="0" w:afterAutospacing="0"/>
              <w:ind w:left="0" w:right="0"/>
              <w:rPr>
                <w:rFonts w:hint="default"/>
                <w:color w:val="auto"/>
                <w:highlight w:val="none"/>
                <w:lang w:val="en-US" w:eastAsia="zh-CN"/>
              </w:rPr>
            </w:pPr>
          </w:p>
        </w:tc>
      </w:tr>
      <w:tr w14:paraId="6DBF16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4" w:type="pct"/>
            <w:vMerge w:val="restart"/>
            <w:tcBorders>
              <w:tl2br w:val="nil"/>
              <w:tr2bl w:val="nil"/>
            </w:tcBorders>
            <w:shd w:val="clear" w:color="auto" w:fill="auto"/>
            <w:noWrap/>
            <w:vAlign w:val="center"/>
          </w:tcPr>
          <w:p w14:paraId="73C5F22E">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平水期</w:t>
            </w:r>
          </w:p>
        </w:tc>
        <w:tc>
          <w:tcPr>
            <w:tcW w:w="831" w:type="pct"/>
            <w:tcBorders>
              <w:tl2br w:val="nil"/>
              <w:tr2bl w:val="nil"/>
            </w:tcBorders>
            <w:shd w:val="clear" w:color="auto" w:fill="auto"/>
            <w:noWrap/>
            <w:vAlign w:val="center"/>
          </w:tcPr>
          <w:p w14:paraId="3DBECEC9">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生活污水</w:t>
            </w:r>
          </w:p>
        </w:tc>
        <w:tc>
          <w:tcPr>
            <w:tcW w:w="548" w:type="pct"/>
            <w:tcBorders>
              <w:tl2br w:val="nil"/>
              <w:tr2bl w:val="nil"/>
            </w:tcBorders>
            <w:shd w:val="clear" w:color="auto" w:fill="auto"/>
            <w:noWrap/>
            <w:vAlign w:val="center"/>
          </w:tcPr>
          <w:p w14:paraId="25A5C6D6">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43.2</w:t>
            </w:r>
          </w:p>
        </w:tc>
        <w:tc>
          <w:tcPr>
            <w:tcW w:w="635" w:type="pct"/>
            <w:tcBorders>
              <w:tl2br w:val="nil"/>
              <w:tr2bl w:val="nil"/>
            </w:tcBorders>
            <w:shd w:val="clear" w:color="auto" w:fill="auto"/>
            <w:noWrap/>
            <w:vAlign w:val="center"/>
          </w:tcPr>
          <w:p w14:paraId="466CEF3E">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w:t>
            </w:r>
          </w:p>
        </w:tc>
        <w:tc>
          <w:tcPr>
            <w:tcW w:w="799" w:type="pct"/>
            <w:vMerge w:val="restart"/>
            <w:tcBorders>
              <w:tl2br w:val="nil"/>
              <w:tr2bl w:val="nil"/>
            </w:tcBorders>
            <w:shd w:val="clear" w:color="auto" w:fill="auto"/>
            <w:vAlign w:val="center"/>
          </w:tcPr>
          <w:p w14:paraId="6CAC7A75">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0.504</w:t>
            </w:r>
          </w:p>
        </w:tc>
        <w:tc>
          <w:tcPr>
            <w:tcW w:w="831" w:type="pct"/>
            <w:vMerge w:val="restart"/>
            <w:tcBorders>
              <w:tl2br w:val="nil"/>
              <w:tr2bl w:val="nil"/>
            </w:tcBorders>
            <w:shd w:val="clear" w:color="auto" w:fill="auto"/>
            <w:noWrap/>
            <w:vAlign w:val="center"/>
          </w:tcPr>
          <w:p w14:paraId="014B6343">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13324.2</w:t>
            </w:r>
          </w:p>
        </w:tc>
        <w:tc>
          <w:tcPr>
            <w:tcW w:w="768" w:type="pct"/>
            <w:vMerge w:val="restart"/>
            <w:tcBorders>
              <w:tl2br w:val="nil"/>
              <w:tr2bl w:val="nil"/>
            </w:tcBorders>
            <w:shd w:val="clear" w:color="auto" w:fill="auto"/>
            <w:noWrap/>
            <w:vAlign w:val="center"/>
          </w:tcPr>
          <w:p w14:paraId="7D511ED9">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92</w:t>
            </w:r>
          </w:p>
        </w:tc>
      </w:tr>
      <w:tr w14:paraId="6F10BA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4" w:type="pct"/>
            <w:vMerge w:val="continue"/>
            <w:tcBorders>
              <w:tl2br w:val="nil"/>
              <w:tr2bl w:val="nil"/>
            </w:tcBorders>
            <w:shd w:val="clear" w:color="auto" w:fill="auto"/>
            <w:noWrap/>
            <w:vAlign w:val="center"/>
          </w:tcPr>
          <w:p w14:paraId="7220B4DE">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p>
        </w:tc>
        <w:tc>
          <w:tcPr>
            <w:tcW w:w="831" w:type="pct"/>
            <w:tcBorders>
              <w:tl2br w:val="nil"/>
              <w:tr2bl w:val="nil"/>
            </w:tcBorders>
            <w:shd w:val="clear" w:color="auto" w:fill="auto"/>
            <w:noWrap/>
            <w:vAlign w:val="center"/>
          </w:tcPr>
          <w:p w14:paraId="051CD2CE">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隧洞山体渗水</w:t>
            </w:r>
          </w:p>
        </w:tc>
        <w:tc>
          <w:tcPr>
            <w:tcW w:w="548" w:type="pct"/>
            <w:tcBorders>
              <w:tl2br w:val="nil"/>
              <w:tr2bl w:val="nil"/>
            </w:tcBorders>
            <w:shd w:val="clear" w:color="auto" w:fill="auto"/>
            <w:noWrap/>
            <w:vAlign w:val="center"/>
          </w:tcPr>
          <w:p w14:paraId="1D5C46EE">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3755.4</w:t>
            </w:r>
          </w:p>
        </w:tc>
        <w:tc>
          <w:tcPr>
            <w:tcW w:w="635" w:type="pct"/>
            <w:tcBorders>
              <w:tl2br w:val="nil"/>
              <w:tr2bl w:val="nil"/>
            </w:tcBorders>
            <w:shd w:val="clear" w:color="auto" w:fill="auto"/>
            <w:noWrap/>
            <w:vAlign w:val="center"/>
          </w:tcPr>
          <w:p w14:paraId="286610C2">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1.84</w:t>
            </w:r>
          </w:p>
        </w:tc>
        <w:tc>
          <w:tcPr>
            <w:tcW w:w="799" w:type="pct"/>
            <w:vMerge w:val="continue"/>
            <w:tcBorders>
              <w:tl2br w:val="nil"/>
              <w:tr2bl w:val="nil"/>
            </w:tcBorders>
            <w:shd w:val="clear" w:color="auto" w:fill="auto"/>
            <w:vAlign w:val="center"/>
          </w:tcPr>
          <w:p w14:paraId="73485966">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p>
        </w:tc>
        <w:tc>
          <w:tcPr>
            <w:tcW w:w="831" w:type="pct"/>
            <w:vMerge w:val="continue"/>
            <w:tcBorders>
              <w:tl2br w:val="nil"/>
              <w:tr2bl w:val="nil"/>
            </w:tcBorders>
            <w:shd w:val="clear" w:color="auto" w:fill="auto"/>
            <w:noWrap/>
            <w:vAlign w:val="center"/>
          </w:tcPr>
          <w:p w14:paraId="6B192611">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p>
        </w:tc>
        <w:tc>
          <w:tcPr>
            <w:tcW w:w="768" w:type="pct"/>
            <w:vMerge w:val="continue"/>
            <w:tcBorders>
              <w:tl2br w:val="nil"/>
              <w:tr2bl w:val="nil"/>
            </w:tcBorders>
            <w:shd w:val="clear" w:color="auto" w:fill="auto"/>
            <w:noWrap/>
            <w:vAlign w:val="center"/>
          </w:tcPr>
          <w:p w14:paraId="55A484B6">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p>
        </w:tc>
      </w:tr>
      <w:tr w14:paraId="3926A7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4" w:type="pct"/>
            <w:vMerge w:val="continue"/>
            <w:tcBorders>
              <w:tl2br w:val="nil"/>
              <w:tr2bl w:val="nil"/>
            </w:tcBorders>
            <w:shd w:val="clear" w:color="auto" w:fill="auto"/>
            <w:noWrap/>
            <w:vAlign w:val="center"/>
          </w:tcPr>
          <w:p w14:paraId="708BF13E">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p>
        </w:tc>
        <w:tc>
          <w:tcPr>
            <w:tcW w:w="831" w:type="pct"/>
            <w:tcBorders>
              <w:tl2br w:val="nil"/>
              <w:tr2bl w:val="nil"/>
            </w:tcBorders>
            <w:shd w:val="clear" w:color="auto" w:fill="auto"/>
            <w:noWrap/>
            <w:vAlign w:val="center"/>
          </w:tcPr>
          <w:p w14:paraId="2A8F7B15">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渣滓溪溪水</w:t>
            </w:r>
          </w:p>
        </w:tc>
        <w:tc>
          <w:tcPr>
            <w:tcW w:w="548" w:type="pct"/>
            <w:tcBorders>
              <w:tl2br w:val="nil"/>
              <w:tr2bl w:val="nil"/>
            </w:tcBorders>
            <w:shd w:val="clear" w:color="auto" w:fill="auto"/>
            <w:noWrap/>
            <w:vAlign w:val="center"/>
          </w:tcPr>
          <w:p w14:paraId="204E6BC2">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10675</w:t>
            </w:r>
            <w:r>
              <w:rPr>
                <w:rFonts w:hint="default"/>
                <w:color w:val="auto"/>
                <w:highlight w:val="none"/>
                <w:lang w:val="en-US" w:eastAsia="zh-CN"/>
              </w:rPr>
              <w:t>.</w:t>
            </w:r>
            <w:r>
              <w:rPr>
                <w:rFonts w:hint="eastAsia"/>
                <w:color w:val="auto"/>
                <w:highlight w:val="none"/>
                <w:lang w:val="en-US" w:eastAsia="zh-CN"/>
              </w:rPr>
              <w:t>6</w:t>
            </w:r>
          </w:p>
        </w:tc>
        <w:tc>
          <w:tcPr>
            <w:tcW w:w="635" w:type="pct"/>
            <w:tcBorders>
              <w:tl2br w:val="nil"/>
              <w:tr2bl w:val="nil"/>
            </w:tcBorders>
            <w:shd w:val="clear" w:color="auto" w:fill="auto"/>
            <w:noWrap/>
            <w:vAlign w:val="center"/>
          </w:tcPr>
          <w:p w14:paraId="2020CF5E">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36</w:t>
            </w:r>
          </w:p>
        </w:tc>
        <w:tc>
          <w:tcPr>
            <w:tcW w:w="799" w:type="pct"/>
            <w:vMerge w:val="continue"/>
            <w:tcBorders>
              <w:tl2br w:val="nil"/>
              <w:tr2bl w:val="nil"/>
            </w:tcBorders>
            <w:shd w:val="clear" w:color="auto" w:fill="auto"/>
            <w:vAlign w:val="center"/>
          </w:tcPr>
          <w:p w14:paraId="37848572">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p>
        </w:tc>
        <w:tc>
          <w:tcPr>
            <w:tcW w:w="831" w:type="pct"/>
            <w:vMerge w:val="continue"/>
            <w:tcBorders>
              <w:tl2br w:val="nil"/>
              <w:tr2bl w:val="nil"/>
            </w:tcBorders>
            <w:shd w:val="clear" w:color="auto" w:fill="auto"/>
            <w:noWrap/>
            <w:vAlign w:val="center"/>
          </w:tcPr>
          <w:p w14:paraId="2B65850F">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p>
        </w:tc>
        <w:tc>
          <w:tcPr>
            <w:tcW w:w="768" w:type="pct"/>
            <w:vMerge w:val="continue"/>
            <w:tcBorders>
              <w:tl2br w:val="nil"/>
              <w:tr2bl w:val="nil"/>
            </w:tcBorders>
            <w:shd w:val="clear" w:color="auto" w:fill="auto"/>
            <w:noWrap/>
            <w:vAlign w:val="center"/>
          </w:tcPr>
          <w:p w14:paraId="056E00D3">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p>
        </w:tc>
      </w:tr>
      <w:tr w14:paraId="6C8152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2" w:hRule="atLeast"/>
        </w:trPr>
        <w:tc>
          <w:tcPr>
            <w:tcW w:w="584" w:type="pct"/>
            <w:vMerge w:val="restart"/>
            <w:tcBorders>
              <w:tl2br w:val="nil"/>
              <w:tr2bl w:val="nil"/>
            </w:tcBorders>
            <w:shd w:val="clear" w:color="auto" w:fill="auto"/>
            <w:noWrap/>
            <w:vAlign w:val="center"/>
          </w:tcPr>
          <w:p w14:paraId="05B138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丰水期</w:t>
            </w:r>
          </w:p>
        </w:tc>
        <w:tc>
          <w:tcPr>
            <w:tcW w:w="831" w:type="pct"/>
            <w:tcBorders>
              <w:tl2br w:val="nil"/>
              <w:tr2bl w:val="nil"/>
            </w:tcBorders>
            <w:shd w:val="clear" w:color="auto" w:fill="auto"/>
            <w:noWrap/>
            <w:vAlign w:val="center"/>
          </w:tcPr>
          <w:p w14:paraId="3511E2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生活污水</w:t>
            </w:r>
          </w:p>
        </w:tc>
        <w:tc>
          <w:tcPr>
            <w:tcW w:w="548" w:type="pct"/>
            <w:tcBorders>
              <w:tl2br w:val="nil"/>
              <w:tr2bl w:val="nil"/>
            </w:tcBorders>
            <w:shd w:val="clear" w:color="auto" w:fill="auto"/>
            <w:noWrap/>
            <w:vAlign w:val="center"/>
          </w:tcPr>
          <w:p w14:paraId="1F75C9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43.2</w:t>
            </w:r>
          </w:p>
        </w:tc>
        <w:tc>
          <w:tcPr>
            <w:tcW w:w="635" w:type="pct"/>
            <w:tcBorders>
              <w:tl2br w:val="nil"/>
              <w:tr2bl w:val="nil"/>
            </w:tcBorders>
            <w:shd w:val="clear" w:color="auto" w:fill="auto"/>
            <w:noWrap/>
            <w:vAlign w:val="center"/>
          </w:tcPr>
          <w:p w14:paraId="3A15DF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w:t>
            </w:r>
          </w:p>
        </w:tc>
        <w:tc>
          <w:tcPr>
            <w:tcW w:w="799" w:type="pct"/>
            <w:vMerge w:val="restart"/>
            <w:tcBorders>
              <w:tl2br w:val="nil"/>
              <w:tr2bl w:val="nil"/>
            </w:tcBorders>
            <w:shd w:val="clear" w:color="auto" w:fill="auto"/>
            <w:vAlign w:val="center"/>
          </w:tcPr>
          <w:p w14:paraId="760545C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0.203</w:t>
            </w:r>
          </w:p>
        </w:tc>
        <w:tc>
          <w:tcPr>
            <w:tcW w:w="831" w:type="pct"/>
            <w:vMerge w:val="restart"/>
            <w:tcBorders>
              <w:tl2br w:val="nil"/>
              <w:tr2bl w:val="nil"/>
            </w:tcBorders>
            <w:shd w:val="clear" w:color="auto" w:fill="auto"/>
            <w:noWrap/>
            <w:vAlign w:val="center"/>
          </w:tcPr>
          <w:p w14:paraId="76F69E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24764.9</w:t>
            </w:r>
          </w:p>
        </w:tc>
        <w:tc>
          <w:tcPr>
            <w:tcW w:w="768" w:type="pct"/>
            <w:vMerge w:val="restart"/>
            <w:tcBorders>
              <w:tl2br w:val="nil"/>
              <w:tr2bl w:val="nil"/>
            </w:tcBorders>
            <w:shd w:val="clear" w:color="auto" w:fill="auto"/>
            <w:noWrap/>
            <w:vAlign w:val="center"/>
          </w:tcPr>
          <w:p w14:paraId="28CF797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92</w:t>
            </w:r>
          </w:p>
        </w:tc>
      </w:tr>
      <w:tr w14:paraId="46D69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4" w:type="pct"/>
            <w:vMerge w:val="continue"/>
            <w:tcBorders>
              <w:tl2br w:val="nil"/>
              <w:tr2bl w:val="nil"/>
            </w:tcBorders>
            <w:shd w:val="clear" w:color="auto" w:fill="auto"/>
            <w:noWrap/>
            <w:vAlign w:val="center"/>
          </w:tcPr>
          <w:p w14:paraId="261E8E2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831" w:type="pct"/>
            <w:tcBorders>
              <w:tl2br w:val="nil"/>
              <w:tr2bl w:val="nil"/>
            </w:tcBorders>
            <w:shd w:val="clear" w:color="auto" w:fill="auto"/>
            <w:noWrap/>
            <w:vAlign w:val="center"/>
          </w:tcPr>
          <w:p w14:paraId="236B865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隧洞山体渗水</w:t>
            </w:r>
          </w:p>
        </w:tc>
        <w:tc>
          <w:tcPr>
            <w:tcW w:w="548" w:type="pct"/>
            <w:tcBorders>
              <w:tl2br w:val="nil"/>
              <w:tr2bl w:val="nil"/>
            </w:tcBorders>
            <w:shd w:val="clear" w:color="auto" w:fill="auto"/>
            <w:noWrap/>
            <w:vAlign w:val="center"/>
          </w:tcPr>
          <w:p w14:paraId="29C7CB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6671.3</w:t>
            </w:r>
          </w:p>
        </w:tc>
        <w:tc>
          <w:tcPr>
            <w:tcW w:w="635" w:type="pct"/>
            <w:tcBorders>
              <w:tl2br w:val="nil"/>
              <w:tr2bl w:val="nil"/>
            </w:tcBorders>
            <w:shd w:val="clear" w:color="auto" w:fill="auto"/>
            <w:noWrap/>
            <w:vAlign w:val="center"/>
          </w:tcPr>
          <w:p w14:paraId="78FE9B7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0.623</w:t>
            </w:r>
          </w:p>
        </w:tc>
        <w:tc>
          <w:tcPr>
            <w:tcW w:w="799" w:type="pct"/>
            <w:vMerge w:val="continue"/>
            <w:tcBorders>
              <w:tl2br w:val="nil"/>
              <w:tr2bl w:val="nil"/>
            </w:tcBorders>
            <w:shd w:val="clear" w:color="auto" w:fill="auto"/>
            <w:vAlign w:val="center"/>
          </w:tcPr>
          <w:p w14:paraId="43F9489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831" w:type="pct"/>
            <w:vMerge w:val="continue"/>
            <w:tcBorders>
              <w:tl2br w:val="nil"/>
              <w:tr2bl w:val="nil"/>
            </w:tcBorders>
            <w:shd w:val="clear" w:color="auto" w:fill="auto"/>
            <w:noWrap/>
            <w:vAlign w:val="center"/>
          </w:tcPr>
          <w:p w14:paraId="46D61D3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768" w:type="pct"/>
            <w:vMerge w:val="continue"/>
            <w:tcBorders>
              <w:tl2br w:val="nil"/>
              <w:tr2bl w:val="nil"/>
            </w:tcBorders>
            <w:shd w:val="clear" w:color="auto" w:fill="auto"/>
            <w:noWrap/>
            <w:vAlign w:val="center"/>
          </w:tcPr>
          <w:p w14:paraId="0D560810">
            <w:pPr>
              <w:pStyle w:val="26"/>
              <w:keepNext w:val="0"/>
              <w:keepLines w:val="0"/>
              <w:suppressLineNumbers w:val="0"/>
              <w:spacing w:before="0" w:beforeAutospacing="0" w:after="0" w:afterAutospacing="0"/>
              <w:ind w:left="0" w:right="0"/>
              <w:rPr>
                <w:rFonts w:hint="default"/>
                <w:color w:val="auto"/>
                <w:highlight w:val="none"/>
                <w:lang w:val="en-US" w:eastAsia="zh-CN"/>
              </w:rPr>
            </w:pPr>
          </w:p>
        </w:tc>
      </w:tr>
      <w:tr w14:paraId="3B5606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4" w:type="pct"/>
            <w:vMerge w:val="continue"/>
            <w:tcBorders>
              <w:tl2br w:val="nil"/>
              <w:tr2bl w:val="nil"/>
            </w:tcBorders>
            <w:shd w:val="clear" w:color="auto" w:fill="auto"/>
            <w:noWrap/>
            <w:vAlign w:val="center"/>
          </w:tcPr>
          <w:p w14:paraId="1CB25FA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831" w:type="pct"/>
            <w:tcBorders>
              <w:tl2br w:val="nil"/>
              <w:tr2bl w:val="nil"/>
            </w:tcBorders>
            <w:shd w:val="clear" w:color="auto" w:fill="auto"/>
            <w:noWrap/>
            <w:vAlign w:val="center"/>
          </w:tcPr>
          <w:p w14:paraId="326EE2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渣滓溪溪水</w:t>
            </w:r>
          </w:p>
        </w:tc>
        <w:tc>
          <w:tcPr>
            <w:tcW w:w="548" w:type="pct"/>
            <w:tcBorders>
              <w:tl2br w:val="nil"/>
              <w:tr2bl w:val="nil"/>
            </w:tcBorders>
            <w:shd w:val="clear" w:color="auto" w:fill="auto"/>
            <w:noWrap/>
            <w:vAlign w:val="center"/>
          </w:tcPr>
          <w:p w14:paraId="5F590A3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19</w:t>
            </w:r>
            <w:r>
              <w:rPr>
                <w:rFonts w:hint="eastAsia"/>
                <w:color w:val="auto"/>
                <w:highlight w:val="none"/>
                <w:lang w:val="en-US" w:eastAsia="zh-CN"/>
              </w:rPr>
              <w:t>200</w:t>
            </w:r>
            <w:r>
              <w:rPr>
                <w:rFonts w:hint="default"/>
                <w:color w:val="auto"/>
                <w:highlight w:val="none"/>
                <w:lang w:val="en-US" w:eastAsia="zh-CN"/>
              </w:rPr>
              <w:t>.4</w:t>
            </w:r>
          </w:p>
        </w:tc>
        <w:tc>
          <w:tcPr>
            <w:tcW w:w="635" w:type="pct"/>
            <w:tcBorders>
              <w:tl2br w:val="nil"/>
              <w:tr2bl w:val="nil"/>
            </w:tcBorders>
            <w:shd w:val="clear" w:color="auto" w:fill="auto"/>
            <w:noWrap/>
            <w:vAlign w:val="center"/>
          </w:tcPr>
          <w:p w14:paraId="0DAEA37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r>
              <w:rPr>
                <w:rFonts w:hint="eastAsia"/>
                <w:color w:val="auto"/>
                <w:highlight w:val="none"/>
                <w:lang w:val="en-US" w:eastAsia="zh-CN"/>
              </w:rPr>
              <w:t>74</w:t>
            </w:r>
          </w:p>
        </w:tc>
        <w:tc>
          <w:tcPr>
            <w:tcW w:w="799" w:type="pct"/>
            <w:vMerge w:val="continue"/>
            <w:tcBorders>
              <w:tl2br w:val="nil"/>
              <w:tr2bl w:val="nil"/>
            </w:tcBorders>
            <w:shd w:val="clear" w:color="auto" w:fill="auto"/>
            <w:vAlign w:val="center"/>
          </w:tcPr>
          <w:p w14:paraId="7E29496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831" w:type="pct"/>
            <w:vMerge w:val="continue"/>
            <w:tcBorders>
              <w:tl2br w:val="nil"/>
              <w:tr2bl w:val="nil"/>
            </w:tcBorders>
            <w:shd w:val="clear" w:color="auto" w:fill="auto"/>
            <w:noWrap/>
            <w:vAlign w:val="center"/>
          </w:tcPr>
          <w:p w14:paraId="6F57468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768" w:type="pct"/>
            <w:vMerge w:val="continue"/>
            <w:tcBorders>
              <w:tl2br w:val="nil"/>
              <w:tr2bl w:val="nil"/>
            </w:tcBorders>
            <w:shd w:val="clear" w:color="auto" w:fill="auto"/>
            <w:noWrap/>
            <w:vAlign w:val="center"/>
          </w:tcPr>
          <w:p w14:paraId="6A64CA2A">
            <w:pPr>
              <w:pStyle w:val="26"/>
              <w:keepNext w:val="0"/>
              <w:keepLines w:val="0"/>
              <w:suppressLineNumbers w:val="0"/>
              <w:spacing w:before="0" w:beforeAutospacing="0" w:after="0" w:afterAutospacing="0"/>
              <w:ind w:left="0" w:right="0"/>
              <w:rPr>
                <w:rFonts w:hint="default"/>
                <w:color w:val="auto"/>
                <w:highlight w:val="none"/>
                <w:lang w:val="en-US" w:eastAsia="zh-CN"/>
              </w:rPr>
            </w:pPr>
          </w:p>
        </w:tc>
      </w:tr>
    </w:tbl>
    <w:p w14:paraId="7AEB617D">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全年隧洞水直接排放的锑=[0.</w:t>
      </w:r>
      <w:r>
        <w:rPr>
          <w:rFonts w:hint="eastAsia" w:cs="Times New Roman"/>
          <w:color w:val="auto"/>
          <w:kern w:val="2"/>
          <w:sz w:val="24"/>
          <w:highlight w:val="none"/>
          <w:lang w:val="en-US" w:eastAsia="zh-CN" w:bidi="ar-SA"/>
        </w:rPr>
        <w:t>533</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4653</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4</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181</w:t>
      </w:r>
      <w:r>
        <w:rPr>
          <w:rFonts w:hint="eastAsia" w:ascii="Times New Roman" w:hAnsi="Times New Roman" w:eastAsia="宋体" w:cs="Times New Roman"/>
          <w:color w:val="auto"/>
          <w:kern w:val="2"/>
          <w:sz w:val="24"/>
          <w:highlight w:val="none"/>
          <w:lang w:val="en-US" w:eastAsia="zh-CN" w:bidi="ar-SA"/>
        </w:rPr>
        <w:t>(天)+0.</w:t>
      </w:r>
      <w:r>
        <w:rPr>
          <w:rFonts w:hint="eastAsia" w:cs="Times New Roman"/>
          <w:color w:val="auto"/>
          <w:kern w:val="2"/>
          <w:sz w:val="24"/>
          <w:highlight w:val="none"/>
          <w:lang w:val="en-US" w:eastAsia="zh-CN" w:bidi="ar-SA"/>
        </w:rPr>
        <w:t>504</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13324.2</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9</w:t>
      </w:r>
      <w:r>
        <w:rPr>
          <w:rFonts w:hint="eastAsia" w:ascii="Times New Roman" w:hAnsi="Times New Roman" w:eastAsia="宋体" w:cs="Times New Roman"/>
          <w:color w:val="auto"/>
          <w:kern w:val="2"/>
          <w:sz w:val="24"/>
          <w:highlight w:val="none"/>
          <w:lang w:val="en-US" w:eastAsia="zh-CN" w:bidi="ar-SA"/>
        </w:rPr>
        <w:t>2(天)+0.</w:t>
      </w:r>
      <w:r>
        <w:rPr>
          <w:rFonts w:hint="eastAsia" w:cs="Times New Roman"/>
          <w:color w:val="auto"/>
          <w:kern w:val="2"/>
          <w:sz w:val="24"/>
          <w:highlight w:val="none"/>
          <w:lang w:val="en-US" w:eastAsia="zh-CN" w:bidi="ar-SA"/>
        </w:rPr>
        <w:t>516</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24764.9</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9</w:t>
      </w:r>
      <w:r>
        <w:rPr>
          <w:rFonts w:hint="eastAsia" w:ascii="Times New Roman" w:hAnsi="Times New Roman" w:eastAsia="宋体" w:cs="Times New Roman"/>
          <w:color w:val="auto"/>
          <w:kern w:val="2"/>
          <w:sz w:val="24"/>
          <w:highlight w:val="none"/>
          <w:lang w:val="en-US" w:eastAsia="zh-CN" w:bidi="ar-SA"/>
        </w:rPr>
        <w:t>2(天)]÷1000000=</w:t>
      </w:r>
      <w:r>
        <w:rPr>
          <w:rFonts w:hint="eastAsia" w:cs="Times New Roman"/>
          <w:color w:val="auto"/>
          <w:kern w:val="2"/>
          <w:sz w:val="24"/>
          <w:highlight w:val="none"/>
          <w:lang w:val="en-US" w:eastAsia="zh-CN" w:bidi="ar-SA"/>
        </w:rPr>
        <w:t>1</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454</w:t>
      </w:r>
      <w:r>
        <w:rPr>
          <w:rFonts w:hint="eastAsia" w:ascii="Times New Roman" w:hAnsi="Times New Roman" w:eastAsia="宋体" w:cs="Times New Roman"/>
          <w:color w:val="auto"/>
          <w:kern w:val="2"/>
          <w:sz w:val="24"/>
          <w:highlight w:val="none"/>
          <w:lang w:val="en-US" w:eastAsia="zh-CN" w:bidi="ar-SA"/>
        </w:rPr>
        <w:t>t。</w:t>
      </w:r>
    </w:p>
    <w:p w14:paraId="4D2E1BD5">
      <w:pPr>
        <w:pStyle w:val="28"/>
        <w:bidi w:val="0"/>
        <w:rPr>
          <w:rFonts w:hint="default"/>
          <w:color w:val="auto"/>
          <w:highlight w:val="none"/>
          <w:u w:val="single"/>
          <w:lang w:val="en-US" w:eastAsia="zh-CN"/>
        </w:rPr>
      </w:pPr>
      <w:r>
        <w:rPr>
          <w:rFonts w:hint="default"/>
          <w:color w:val="auto"/>
          <w:highlight w:val="none"/>
          <w:u w:val="single"/>
        </w:rPr>
        <w:t>表</w:t>
      </w:r>
      <w:r>
        <w:rPr>
          <w:rFonts w:hint="default"/>
          <w:color w:val="auto"/>
          <w:highlight w:val="none"/>
          <w:u w:val="single"/>
        </w:rPr>
        <w:fldChar w:fldCharType="begin"/>
      </w:r>
      <w:r>
        <w:rPr>
          <w:rFonts w:hint="default"/>
          <w:color w:val="auto"/>
          <w:highlight w:val="none"/>
          <w:u w:val="single"/>
        </w:rPr>
        <w:instrText xml:space="preserve"> STYLEREF guo-二级标题 \n </w:instrText>
      </w:r>
      <w:r>
        <w:rPr>
          <w:rFonts w:hint="default"/>
          <w:color w:val="auto"/>
          <w:highlight w:val="none"/>
          <w:u w:val="single"/>
        </w:rPr>
        <w:fldChar w:fldCharType="separate"/>
      </w:r>
      <w:r>
        <w:rPr>
          <w:rFonts w:hint="default"/>
          <w:color w:val="auto"/>
          <w:highlight w:val="none"/>
          <w:u w:val="single"/>
        </w:rPr>
        <w:t>2.1</w:t>
      </w:r>
      <w:r>
        <w:rPr>
          <w:rFonts w:hint="default"/>
          <w:color w:val="auto"/>
          <w:highlight w:val="none"/>
          <w:u w:val="single"/>
        </w:rPr>
        <w:fldChar w:fldCharType="end"/>
      </w:r>
      <w:r>
        <w:rPr>
          <w:rFonts w:hint="default"/>
          <w:color w:val="auto"/>
          <w:highlight w:val="none"/>
          <w:u w:val="single"/>
        </w:rPr>
        <w:t>–</w:t>
      </w:r>
      <w:r>
        <w:rPr>
          <w:rFonts w:hint="default"/>
          <w:color w:val="auto"/>
          <w:highlight w:val="none"/>
          <w:u w:val="single"/>
        </w:rPr>
        <w:fldChar w:fldCharType="begin"/>
      </w:r>
      <w:r>
        <w:rPr>
          <w:rFonts w:hint="default"/>
          <w:color w:val="auto"/>
          <w:highlight w:val="none"/>
          <w:u w:val="single"/>
        </w:rPr>
        <w:instrText xml:space="preserve"> SEQ 表 \* ARABIC \s 2 </w:instrText>
      </w:r>
      <w:r>
        <w:rPr>
          <w:rFonts w:hint="default"/>
          <w:color w:val="auto"/>
          <w:highlight w:val="none"/>
          <w:u w:val="single"/>
        </w:rPr>
        <w:fldChar w:fldCharType="separate"/>
      </w:r>
      <w:r>
        <w:rPr>
          <w:rFonts w:hint="default"/>
          <w:color w:val="auto"/>
          <w:highlight w:val="none"/>
          <w:u w:val="single"/>
        </w:rPr>
        <w:t>41</w:t>
      </w:r>
      <w:r>
        <w:rPr>
          <w:rFonts w:hint="default"/>
          <w:color w:val="auto"/>
          <w:highlight w:val="none"/>
          <w:u w:val="single"/>
        </w:rPr>
        <w:fldChar w:fldCharType="end"/>
      </w:r>
      <w:r>
        <w:rPr>
          <w:rFonts w:hint="default"/>
          <w:color w:val="auto"/>
          <w:highlight w:val="none"/>
          <w:u w:val="single"/>
        </w:rPr>
        <w:t xml:space="preserve">  </w:t>
      </w:r>
      <w:r>
        <w:rPr>
          <w:rFonts w:hint="eastAsia"/>
          <w:color w:val="auto"/>
          <w:highlight w:val="none"/>
          <w:u w:val="single"/>
          <w:lang w:val="en-US" w:eastAsia="zh-CN"/>
        </w:rPr>
        <w:t>调整前废水各月排放情况</w:t>
      </w:r>
    </w:p>
    <w:tbl>
      <w:tblPr>
        <w:tblStyle w:val="2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02"/>
        <w:gridCol w:w="1303"/>
        <w:gridCol w:w="1292"/>
        <w:gridCol w:w="1673"/>
        <w:gridCol w:w="1303"/>
        <w:gridCol w:w="1292"/>
        <w:gridCol w:w="1675"/>
      </w:tblGrid>
      <w:tr w14:paraId="13FF30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trPr>
        <w:tc>
          <w:tcPr>
            <w:tcW w:w="380" w:type="pct"/>
            <w:vMerge w:val="restart"/>
            <w:tcBorders>
              <w:tl2br w:val="nil"/>
              <w:tr2bl w:val="nil"/>
            </w:tcBorders>
            <w:shd w:val="clear" w:color="auto" w:fill="auto"/>
            <w:noWrap/>
            <w:vAlign w:val="center"/>
          </w:tcPr>
          <w:p w14:paraId="6A94AAAB">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月份</w:t>
            </w:r>
          </w:p>
        </w:tc>
        <w:tc>
          <w:tcPr>
            <w:tcW w:w="2309" w:type="pct"/>
            <w:gridSpan w:val="3"/>
            <w:tcBorders>
              <w:tl2br w:val="nil"/>
              <w:tr2bl w:val="nil"/>
            </w:tcBorders>
            <w:shd w:val="clear" w:color="auto" w:fill="auto"/>
            <w:noWrap/>
            <w:vAlign w:val="center"/>
          </w:tcPr>
          <w:p w14:paraId="34373DF5">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隧洞出水</w:t>
            </w:r>
          </w:p>
        </w:tc>
        <w:tc>
          <w:tcPr>
            <w:tcW w:w="2309" w:type="pct"/>
            <w:gridSpan w:val="3"/>
            <w:tcBorders>
              <w:tl2br w:val="nil"/>
              <w:tr2bl w:val="nil"/>
            </w:tcBorders>
            <w:shd w:val="clear" w:color="auto" w:fill="auto"/>
            <w:noWrap/>
            <w:vAlign w:val="center"/>
          </w:tcPr>
          <w:p w14:paraId="05D498A0">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废水处理站出水</w:t>
            </w:r>
          </w:p>
        </w:tc>
      </w:tr>
      <w:tr w14:paraId="3E19C4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vMerge w:val="continue"/>
            <w:tcBorders>
              <w:tl2br w:val="nil"/>
              <w:tr2bl w:val="nil"/>
            </w:tcBorders>
            <w:shd w:val="clear" w:color="auto" w:fill="auto"/>
            <w:noWrap/>
            <w:vAlign w:val="center"/>
          </w:tcPr>
          <w:p w14:paraId="225701DE">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705" w:type="pct"/>
            <w:tcBorders>
              <w:tl2br w:val="nil"/>
              <w:tr2bl w:val="nil"/>
            </w:tcBorders>
            <w:shd w:val="clear" w:color="auto" w:fill="auto"/>
            <w:noWrap/>
            <w:vAlign w:val="center"/>
          </w:tcPr>
          <w:p w14:paraId="027150AD">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水量(m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tc>
        <w:tc>
          <w:tcPr>
            <w:tcW w:w="699" w:type="pct"/>
            <w:tcBorders>
              <w:tl2br w:val="nil"/>
              <w:tr2bl w:val="nil"/>
            </w:tcBorders>
            <w:shd w:val="clear" w:color="auto" w:fill="auto"/>
            <w:noWrap/>
            <w:vAlign w:val="center"/>
          </w:tcPr>
          <w:p w14:paraId="6DA8AB36">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水质(mg/l)</w:t>
            </w:r>
          </w:p>
        </w:tc>
        <w:tc>
          <w:tcPr>
            <w:tcW w:w="905" w:type="pct"/>
            <w:tcBorders>
              <w:tl2br w:val="nil"/>
              <w:tr2bl w:val="nil"/>
            </w:tcBorders>
            <w:shd w:val="clear" w:color="auto" w:fill="auto"/>
            <w:noWrap/>
            <w:vAlign w:val="center"/>
          </w:tcPr>
          <w:p w14:paraId="48017749">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排放量（kg/d)</w:t>
            </w:r>
          </w:p>
        </w:tc>
        <w:tc>
          <w:tcPr>
            <w:tcW w:w="705" w:type="pct"/>
            <w:tcBorders>
              <w:tl2br w:val="nil"/>
              <w:tr2bl w:val="nil"/>
            </w:tcBorders>
            <w:shd w:val="clear" w:color="auto" w:fill="auto"/>
            <w:noWrap/>
            <w:vAlign w:val="center"/>
          </w:tcPr>
          <w:p w14:paraId="464DAC6B">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水量(m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tc>
        <w:tc>
          <w:tcPr>
            <w:tcW w:w="699" w:type="pct"/>
            <w:tcBorders>
              <w:tl2br w:val="nil"/>
              <w:tr2bl w:val="nil"/>
            </w:tcBorders>
            <w:shd w:val="clear" w:color="auto" w:fill="auto"/>
            <w:noWrap/>
            <w:vAlign w:val="center"/>
          </w:tcPr>
          <w:p w14:paraId="3BE282A1">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水质(mg/l)</w:t>
            </w:r>
          </w:p>
        </w:tc>
        <w:tc>
          <w:tcPr>
            <w:tcW w:w="905" w:type="pct"/>
            <w:tcBorders>
              <w:tl2br w:val="nil"/>
              <w:tr2bl w:val="nil"/>
            </w:tcBorders>
            <w:shd w:val="clear" w:color="auto" w:fill="auto"/>
            <w:noWrap/>
            <w:vAlign w:val="center"/>
          </w:tcPr>
          <w:p w14:paraId="716ADD52">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排放量（kg/d)</w:t>
            </w:r>
          </w:p>
        </w:tc>
      </w:tr>
      <w:tr w14:paraId="521F51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1415C146">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w:t>
            </w:r>
          </w:p>
        </w:tc>
        <w:tc>
          <w:tcPr>
            <w:tcW w:w="1303" w:type="dxa"/>
            <w:tcBorders>
              <w:tl2br w:val="nil"/>
              <w:tr2bl w:val="nil"/>
            </w:tcBorders>
            <w:shd w:val="clear" w:color="auto" w:fill="auto"/>
            <w:noWrap/>
            <w:vAlign w:val="center"/>
          </w:tcPr>
          <w:p w14:paraId="58DFC7AA">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3550.4</w:t>
            </w:r>
          </w:p>
        </w:tc>
        <w:tc>
          <w:tcPr>
            <w:tcW w:w="1292" w:type="dxa"/>
            <w:tcBorders>
              <w:tl2br w:val="nil"/>
              <w:tr2bl w:val="nil"/>
            </w:tcBorders>
            <w:shd w:val="clear" w:color="auto" w:fill="auto"/>
            <w:noWrap/>
            <w:vAlign w:val="center"/>
          </w:tcPr>
          <w:p w14:paraId="02C6598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0.448</w:t>
            </w:r>
          </w:p>
        </w:tc>
        <w:tc>
          <w:tcPr>
            <w:tcW w:w="1673" w:type="dxa"/>
            <w:tcBorders>
              <w:tl2br w:val="nil"/>
              <w:tr2bl w:val="nil"/>
            </w:tcBorders>
            <w:shd w:val="clear" w:color="auto" w:fill="auto"/>
            <w:noWrap/>
            <w:vAlign w:val="center"/>
          </w:tcPr>
          <w:p w14:paraId="204B7C0C">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1.591</w:t>
            </w:r>
          </w:p>
        </w:tc>
        <w:tc>
          <w:tcPr>
            <w:tcW w:w="1303" w:type="dxa"/>
            <w:tcBorders>
              <w:tl2br w:val="nil"/>
              <w:tr2bl w:val="nil"/>
            </w:tcBorders>
            <w:shd w:val="clear" w:color="auto" w:fill="auto"/>
            <w:noWrap/>
            <w:vAlign w:val="center"/>
          </w:tcPr>
          <w:p w14:paraId="2AAFE765">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1581.6</w:t>
            </w:r>
          </w:p>
        </w:tc>
        <w:tc>
          <w:tcPr>
            <w:tcW w:w="1292" w:type="dxa"/>
            <w:tcBorders>
              <w:tl2br w:val="nil"/>
              <w:tr2bl w:val="nil"/>
            </w:tcBorders>
            <w:shd w:val="clear" w:color="auto" w:fill="auto"/>
            <w:noWrap/>
            <w:vAlign w:val="center"/>
          </w:tcPr>
          <w:p w14:paraId="4853F00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16641CA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0.158</w:t>
            </w:r>
          </w:p>
        </w:tc>
      </w:tr>
      <w:tr w14:paraId="0CF5C3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63629620">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2</w:t>
            </w:r>
          </w:p>
        </w:tc>
        <w:tc>
          <w:tcPr>
            <w:tcW w:w="1303" w:type="dxa"/>
            <w:tcBorders>
              <w:tl2br w:val="nil"/>
              <w:tr2bl w:val="nil"/>
            </w:tcBorders>
            <w:shd w:val="clear" w:color="auto" w:fill="auto"/>
            <w:noWrap/>
            <w:vAlign w:val="center"/>
          </w:tcPr>
          <w:p w14:paraId="3AF73777">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5399.2</w:t>
            </w:r>
          </w:p>
        </w:tc>
        <w:tc>
          <w:tcPr>
            <w:tcW w:w="1292" w:type="dxa"/>
            <w:tcBorders>
              <w:tl2br w:val="nil"/>
              <w:tr2bl w:val="nil"/>
            </w:tcBorders>
            <w:shd w:val="clear" w:color="auto" w:fill="auto"/>
            <w:noWrap/>
            <w:vAlign w:val="center"/>
          </w:tcPr>
          <w:p w14:paraId="0817065A">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0.441</w:t>
            </w:r>
          </w:p>
        </w:tc>
        <w:tc>
          <w:tcPr>
            <w:tcW w:w="1673" w:type="dxa"/>
            <w:tcBorders>
              <w:tl2br w:val="nil"/>
              <w:tr2bl w:val="nil"/>
            </w:tcBorders>
            <w:shd w:val="clear" w:color="auto" w:fill="auto"/>
            <w:noWrap/>
            <w:vAlign w:val="center"/>
          </w:tcPr>
          <w:p w14:paraId="5326D15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2.382</w:t>
            </w:r>
          </w:p>
        </w:tc>
        <w:tc>
          <w:tcPr>
            <w:tcW w:w="1303" w:type="dxa"/>
            <w:tcBorders>
              <w:tl2br w:val="nil"/>
              <w:tr2bl w:val="nil"/>
            </w:tcBorders>
            <w:shd w:val="clear" w:color="auto" w:fill="auto"/>
            <w:noWrap/>
            <w:vAlign w:val="center"/>
          </w:tcPr>
          <w:p w14:paraId="449C787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1741.4</w:t>
            </w:r>
          </w:p>
        </w:tc>
        <w:tc>
          <w:tcPr>
            <w:tcW w:w="1292" w:type="dxa"/>
            <w:tcBorders>
              <w:tl2br w:val="nil"/>
              <w:tr2bl w:val="nil"/>
            </w:tcBorders>
            <w:shd w:val="clear" w:color="auto" w:fill="auto"/>
            <w:noWrap/>
            <w:vAlign w:val="center"/>
          </w:tcPr>
          <w:p w14:paraId="2DC3655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0936811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0.174</w:t>
            </w:r>
          </w:p>
        </w:tc>
      </w:tr>
      <w:tr w14:paraId="201BF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4308B9B2">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3</w:t>
            </w:r>
          </w:p>
        </w:tc>
        <w:tc>
          <w:tcPr>
            <w:tcW w:w="1303" w:type="dxa"/>
            <w:tcBorders>
              <w:tl2br w:val="nil"/>
              <w:tr2bl w:val="nil"/>
            </w:tcBorders>
            <w:shd w:val="clear" w:color="auto" w:fill="auto"/>
            <w:noWrap/>
            <w:vAlign w:val="center"/>
          </w:tcPr>
          <w:p w14:paraId="2F21EB92">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12350.4</w:t>
            </w:r>
          </w:p>
        </w:tc>
        <w:tc>
          <w:tcPr>
            <w:tcW w:w="1292" w:type="dxa"/>
            <w:tcBorders>
              <w:tl2br w:val="nil"/>
              <w:tr2bl w:val="nil"/>
            </w:tcBorders>
            <w:shd w:val="clear" w:color="auto" w:fill="auto"/>
            <w:noWrap/>
            <w:vAlign w:val="center"/>
          </w:tcPr>
          <w:p w14:paraId="4C9D457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0.504</w:t>
            </w:r>
          </w:p>
        </w:tc>
        <w:tc>
          <w:tcPr>
            <w:tcW w:w="1673" w:type="dxa"/>
            <w:tcBorders>
              <w:tl2br w:val="nil"/>
              <w:tr2bl w:val="nil"/>
            </w:tcBorders>
            <w:shd w:val="clear" w:color="auto" w:fill="auto"/>
            <w:noWrap/>
            <w:vAlign w:val="center"/>
          </w:tcPr>
          <w:p w14:paraId="4F4E7D9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6.222</w:t>
            </w:r>
          </w:p>
        </w:tc>
        <w:tc>
          <w:tcPr>
            <w:tcW w:w="1303" w:type="dxa"/>
            <w:tcBorders>
              <w:tl2br w:val="nil"/>
              <w:tr2bl w:val="nil"/>
            </w:tcBorders>
            <w:shd w:val="clear" w:color="auto" w:fill="auto"/>
            <w:noWrap/>
            <w:vAlign w:val="center"/>
          </w:tcPr>
          <w:p w14:paraId="23F6D36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2313.3</w:t>
            </w:r>
          </w:p>
        </w:tc>
        <w:tc>
          <w:tcPr>
            <w:tcW w:w="1292" w:type="dxa"/>
            <w:tcBorders>
              <w:tl2br w:val="nil"/>
              <w:tr2bl w:val="nil"/>
            </w:tcBorders>
            <w:shd w:val="clear" w:color="auto" w:fill="auto"/>
            <w:noWrap/>
            <w:vAlign w:val="center"/>
          </w:tcPr>
          <w:p w14:paraId="5C0A68D5">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34086A6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0.231</w:t>
            </w:r>
          </w:p>
        </w:tc>
      </w:tr>
      <w:tr w14:paraId="0B93D0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6A44821D">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4</w:t>
            </w:r>
          </w:p>
        </w:tc>
        <w:tc>
          <w:tcPr>
            <w:tcW w:w="1303" w:type="dxa"/>
            <w:tcBorders>
              <w:tl2br w:val="nil"/>
              <w:tr2bl w:val="nil"/>
            </w:tcBorders>
            <w:shd w:val="clear" w:color="auto" w:fill="auto"/>
            <w:noWrap/>
            <w:vAlign w:val="center"/>
          </w:tcPr>
          <w:p w14:paraId="64655B1B">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17342.5</w:t>
            </w:r>
          </w:p>
        </w:tc>
        <w:tc>
          <w:tcPr>
            <w:tcW w:w="1292" w:type="dxa"/>
            <w:tcBorders>
              <w:tl2br w:val="nil"/>
              <w:tr2bl w:val="nil"/>
            </w:tcBorders>
            <w:shd w:val="clear" w:color="auto" w:fill="auto"/>
            <w:noWrap/>
            <w:vAlign w:val="center"/>
          </w:tcPr>
          <w:p w14:paraId="1EA776C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0.502</w:t>
            </w:r>
          </w:p>
        </w:tc>
        <w:tc>
          <w:tcPr>
            <w:tcW w:w="1673" w:type="dxa"/>
            <w:tcBorders>
              <w:tl2br w:val="nil"/>
              <w:tr2bl w:val="nil"/>
            </w:tcBorders>
            <w:shd w:val="clear" w:color="auto" w:fill="auto"/>
            <w:noWrap/>
            <w:vAlign w:val="center"/>
          </w:tcPr>
          <w:p w14:paraId="546E87D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8.707</w:t>
            </w:r>
          </w:p>
        </w:tc>
        <w:tc>
          <w:tcPr>
            <w:tcW w:w="1303" w:type="dxa"/>
            <w:tcBorders>
              <w:tl2br w:val="nil"/>
              <w:tr2bl w:val="nil"/>
            </w:tcBorders>
            <w:shd w:val="clear" w:color="auto" w:fill="auto"/>
            <w:noWrap/>
            <w:vAlign w:val="center"/>
          </w:tcPr>
          <w:p w14:paraId="104E9824">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2738.7</w:t>
            </w:r>
          </w:p>
        </w:tc>
        <w:tc>
          <w:tcPr>
            <w:tcW w:w="1292" w:type="dxa"/>
            <w:tcBorders>
              <w:tl2br w:val="nil"/>
              <w:tr2bl w:val="nil"/>
            </w:tcBorders>
            <w:shd w:val="clear" w:color="auto" w:fill="auto"/>
            <w:noWrap/>
            <w:vAlign w:val="center"/>
          </w:tcPr>
          <w:p w14:paraId="22562A8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77E92D1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0.274</w:t>
            </w:r>
          </w:p>
        </w:tc>
      </w:tr>
      <w:tr w14:paraId="55737A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46967E89">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5</w:t>
            </w:r>
          </w:p>
        </w:tc>
        <w:tc>
          <w:tcPr>
            <w:tcW w:w="1303" w:type="dxa"/>
            <w:tcBorders>
              <w:tl2br w:val="nil"/>
              <w:tr2bl w:val="nil"/>
            </w:tcBorders>
            <w:shd w:val="clear" w:color="auto" w:fill="auto"/>
            <w:noWrap/>
            <w:vAlign w:val="center"/>
          </w:tcPr>
          <w:p w14:paraId="482F4AA0">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22925.4</w:t>
            </w:r>
          </w:p>
        </w:tc>
        <w:tc>
          <w:tcPr>
            <w:tcW w:w="1292" w:type="dxa"/>
            <w:tcBorders>
              <w:tl2br w:val="nil"/>
              <w:tr2bl w:val="nil"/>
            </w:tcBorders>
            <w:shd w:val="clear" w:color="auto" w:fill="auto"/>
            <w:noWrap/>
            <w:vAlign w:val="center"/>
          </w:tcPr>
          <w:p w14:paraId="7426BAF5">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0.203</w:t>
            </w:r>
          </w:p>
        </w:tc>
        <w:tc>
          <w:tcPr>
            <w:tcW w:w="1673" w:type="dxa"/>
            <w:tcBorders>
              <w:tl2br w:val="nil"/>
              <w:tr2bl w:val="nil"/>
            </w:tcBorders>
            <w:shd w:val="clear" w:color="auto" w:fill="auto"/>
            <w:noWrap/>
            <w:vAlign w:val="center"/>
          </w:tcPr>
          <w:p w14:paraId="30826DE2">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4.66</w:t>
            </w:r>
          </w:p>
        </w:tc>
        <w:tc>
          <w:tcPr>
            <w:tcW w:w="1303" w:type="dxa"/>
            <w:tcBorders>
              <w:tl2br w:val="nil"/>
              <w:tr2bl w:val="nil"/>
            </w:tcBorders>
            <w:shd w:val="clear" w:color="auto" w:fill="auto"/>
            <w:noWrap/>
            <w:vAlign w:val="center"/>
          </w:tcPr>
          <w:p w14:paraId="698E0E0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3206.8</w:t>
            </w:r>
          </w:p>
        </w:tc>
        <w:tc>
          <w:tcPr>
            <w:tcW w:w="1292" w:type="dxa"/>
            <w:tcBorders>
              <w:tl2br w:val="nil"/>
              <w:tr2bl w:val="nil"/>
            </w:tcBorders>
            <w:shd w:val="clear" w:color="auto" w:fill="auto"/>
            <w:noWrap/>
            <w:vAlign w:val="center"/>
          </w:tcPr>
          <w:p w14:paraId="3D660AD0">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218B1B3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0.321</w:t>
            </w:r>
          </w:p>
        </w:tc>
      </w:tr>
      <w:tr w14:paraId="2E608B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1E7387E3">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6</w:t>
            </w:r>
          </w:p>
        </w:tc>
        <w:tc>
          <w:tcPr>
            <w:tcW w:w="1303" w:type="dxa"/>
            <w:tcBorders>
              <w:tl2br w:val="nil"/>
              <w:tr2bl w:val="nil"/>
            </w:tcBorders>
            <w:shd w:val="clear" w:color="auto" w:fill="auto"/>
            <w:noWrap/>
            <w:vAlign w:val="center"/>
          </w:tcPr>
          <w:p w14:paraId="06D262BC">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25109</w:t>
            </w:r>
          </w:p>
        </w:tc>
        <w:tc>
          <w:tcPr>
            <w:tcW w:w="1292" w:type="dxa"/>
            <w:tcBorders>
              <w:tl2br w:val="nil"/>
              <w:tr2bl w:val="nil"/>
            </w:tcBorders>
            <w:shd w:val="clear" w:color="auto" w:fill="auto"/>
            <w:noWrap/>
            <w:vAlign w:val="center"/>
          </w:tcPr>
          <w:p w14:paraId="03A92E2A">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0.203</w:t>
            </w:r>
          </w:p>
        </w:tc>
        <w:tc>
          <w:tcPr>
            <w:tcW w:w="1673" w:type="dxa"/>
            <w:tcBorders>
              <w:tl2br w:val="nil"/>
              <w:tr2bl w:val="nil"/>
            </w:tcBorders>
            <w:shd w:val="clear" w:color="auto" w:fill="auto"/>
            <w:noWrap/>
            <w:vAlign w:val="center"/>
          </w:tcPr>
          <w:p w14:paraId="436A21E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5.093</w:t>
            </w:r>
          </w:p>
        </w:tc>
        <w:tc>
          <w:tcPr>
            <w:tcW w:w="1303" w:type="dxa"/>
            <w:tcBorders>
              <w:tl2br w:val="nil"/>
              <w:tr2bl w:val="nil"/>
            </w:tcBorders>
            <w:shd w:val="clear" w:color="auto" w:fill="auto"/>
            <w:noWrap/>
            <w:vAlign w:val="center"/>
          </w:tcPr>
          <w:p w14:paraId="389C0688">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3391.7</w:t>
            </w:r>
          </w:p>
        </w:tc>
        <w:tc>
          <w:tcPr>
            <w:tcW w:w="1292" w:type="dxa"/>
            <w:tcBorders>
              <w:tl2br w:val="nil"/>
              <w:tr2bl w:val="nil"/>
            </w:tcBorders>
            <w:shd w:val="clear" w:color="auto" w:fill="auto"/>
            <w:noWrap/>
            <w:vAlign w:val="center"/>
          </w:tcPr>
          <w:p w14:paraId="21A931A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3557E050">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0.339</w:t>
            </w:r>
          </w:p>
        </w:tc>
      </w:tr>
      <w:tr w14:paraId="73C559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3AC9B0BC">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7</w:t>
            </w:r>
          </w:p>
        </w:tc>
        <w:tc>
          <w:tcPr>
            <w:tcW w:w="1303" w:type="dxa"/>
            <w:tcBorders>
              <w:tl2br w:val="nil"/>
              <w:tr2bl w:val="nil"/>
            </w:tcBorders>
            <w:shd w:val="clear" w:color="auto" w:fill="auto"/>
            <w:noWrap/>
            <w:vAlign w:val="center"/>
          </w:tcPr>
          <w:p w14:paraId="352E276A">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26260.4</w:t>
            </w:r>
          </w:p>
        </w:tc>
        <w:tc>
          <w:tcPr>
            <w:tcW w:w="1292" w:type="dxa"/>
            <w:tcBorders>
              <w:tl2br w:val="nil"/>
              <w:tr2bl w:val="nil"/>
            </w:tcBorders>
            <w:shd w:val="clear" w:color="auto" w:fill="auto"/>
            <w:noWrap/>
            <w:vAlign w:val="center"/>
          </w:tcPr>
          <w:p w14:paraId="6699B80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0.203</w:t>
            </w:r>
          </w:p>
        </w:tc>
        <w:tc>
          <w:tcPr>
            <w:tcW w:w="1673" w:type="dxa"/>
            <w:tcBorders>
              <w:tl2br w:val="nil"/>
              <w:tr2bl w:val="nil"/>
            </w:tcBorders>
            <w:shd w:val="clear" w:color="auto" w:fill="auto"/>
            <w:noWrap/>
            <w:vAlign w:val="center"/>
          </w:tcPr>
          <w:p w14:paraId="6CFE8AD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5.322</w:t>
            </w:r>
          </w:p>
        </w:tc>
        <w:tc>
          <w:tcPr>
            <w:tcW w:w="1303" w:type="dxa"/>
            <w:tcBorders>
              <w:tl2br w:val="nil"/>
              <w:tr2bl w:val="nil"/>
            </w:tcBorders>
            <w:shd w:val="clear" w:color="auto" w:fill="auto"/>
            <w:noWrap/>
            <w:vAlign w:val="center"/>
          </w:tcPr>
          <w:p w14:paraId="55ACBD8C">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3474.5</w:t>
            </w:r>
          </w:p>
        </w:tc>
        <w:tc>
          <w:tcPr>
            <w:tcW w:w="1292" w:type="dxa"/>
            <w:tcBorders>
              <w:tl2br w:val="nil"/>
              <w:tr2bl w:val="nil"/>
            </w:tcBorders>
            <w:shd w:val="clear" w:color="auto" w:fill="auto"/>
            <w:noWrap/>
            <w:vAlign w:val="center"/>
          </w:tcPr>
          <w:p w14:paraId="48D60DF3">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479D24D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0.347</w:t>
            </w:r>
          </w:p>
        </w:tc>
      </w:tr>
      <w:tr w14:paraId="47FC29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464EF3BD">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8</w:t>
            </w:r>
          </w:p>
        </w:tc>
        <w:tc>
          <w:tcPr>
            <w:tcW w:w="1303" w:type="dxa"/>
            <w:tcBorders>
              <w:tl2br w:val="nil"/>
              <w:tr2bl w:val="nil"/>
            </w:tcBorders>
            <w:shd w:val="clear" w:color="auto" w:fill="auto"/>
            <w:noWrap/>
            <w:vAlign w:val="center"/>
          </w:tcPr>
          <w:p w14:paraId="24969CE8">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10279.7</w:t>
            </w:r>
          </w:p>
        </w:tc>
        <w:tc>
          <w:tcPr>
            <w:tcW w:w="1292" w:type="dxa"/>
            <w:tcBorders>
              <w:tl2br w:val="nil"/>
              <w:tr2bl w:val="nil"/>
            </w:tcBorders>
            <w:shd w:val="clear" w:color="auto" w:fill="auto"/>
            <w:noWrap/>
            <w:vAlign w:val="center"/>
          </w:tcPr>
          <w:p w14:paraId="20AF147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0.507</w:t>
            </w:r>
          </w:p>
        </w:tc>
        <w:tc>
          <w:tcPr>
            <w:tcW w:w="1673" w:type="dxa"/>
            <w:tcBorders>
              <w:tl2br w:val="nil"/>
              <w:tr2bl w:val="nil"/>
            </w:tcBorders>
            <w:shd w:val="clear" w:color="auto" w:fill="auto"/>
            <w:noWrap/>
            <w:vAlign w:val="center"/>
          </w:tcPr>
          <w:p w14:paraId="5089B0F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5.214</w:t>
            </w:r>
          </w:p>
        </w:tc>
        <w:tc>
          <w:tcPr>
            <w:tcW w:w="1303" w:type="dxa"/>
            <w:tcBorders>
              <w:tl2br w:val="nil"/>
              <w:tr2bl w:val="nil"/>
            </w:tcBorders>
            <w:shd w:val="clear" w:color="auto" w:fill="auto"/>
            <w:noWrap/>
            <w:vAlign w:val="center"/>
          </w:tcPr>
          <w:p w14:paraId="4583F97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2139.8</w:t>
            </w:r>
          </w:p>
        </w:tc>
        <w:tc>
          <w:tcPr>
            <w:tcW w:w="1292" w:type="dxa"/>
            <w:tcBorders>
              <w:tl2br w:val="nil"/>
              <w:tr2bl w:val="nil"/>
            </w:tcBorders>
            <w:shd w:val="clear" w:color="auto" w:fill="auto"/>
            <w:noWrap/>
            <w:vAlign w:val="center"/>
          </w:tcPr>
          <w:p w14:paraId="7D905DD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5C6B867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0.214</w:t>
            </w:r>
          </w:p>
        </w:tc>
      </w:tr>
      <w:tr w14:paraId="5AD586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0A341913">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9</w:t>
            </w:r>
          </w:p>
        </w:tc>
        <w:tc>
          <w:tcPr>
            <w:tcW w:w="1303" w:type="dxa"/>
            <w:tcBorders>
              <w:tl2br w:val="nil"/>
              <w:tr2bl w:val="nil"/>
            </w:tcBorders>
            <w:shd w:val="clear" w:color="auto" w:fill="auto"/>
            <w:noWrap/>
            <w:vAlign w:val="center"/>
          </w:tcPr>
          <w:p w14:paraId="2C356808">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6909.4</w:t>
            </w:r>
          </w:p>
        </w:tc>
        <w:tc>
          <w:tcPr>
            <w:tcW w:w="1292" w:type="dxa"/>
            <w:tcBorders>
              <w:tl2br w:val="nil"/>
              <w:tr2bl w:val="nil"/>
            </w:tcBorders>
            <w:shd w:val="clear" w:color="auto" w:fill="auto"/>
            <w:noWrap/>
            <w:vAlign w:val="center"/>
          </w:tcPr>
          <w:p w14:paraId="413916F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0.439</w:t>
            </w:r>
          </w:p>
        </w:tc>
        <w:tc>
          <w:tcPr>
            <w:tcW w:w="1673" w:type="dxa"/>
            <w:tcBorders>
              <w:tl2br w:val="nil"/>
              <w:tr2bl w:val="nil"/>
            </w:tcBorders>
            <w:shd w:val="clear" w:color="auto" w:fill="auto"/>
            <w:noWrap/>
            <w:vAlign w:val="center"/>
          </w:tcPr>
          <w:p w14:paraId="7541844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3.032</w:t>
            </w:r>
          </w:p>
        </w:tc>
        <w:tc>
          <w:tcPr>
            <w:tcW w:w="1303" w:type="dxa"/>
            <w:tcBorders>
              <w:tl2br w:val="nil"/>
              <w:tr2bl w:val="nil"/>
            </w:tcBorders>
            <w:shd w:val="clear" w:color="auto" w:fill="auto"/>
            <w:noWrap/>
            <w:vAlign w:val="center"/>
          </w:tcPr>
          <w:p w14:paraId="76E0DD5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1863.7</w:t>
            </w:r>
          </w:p>
        </w:tc>
        <w:tc>
          <w:tcPr>
            <w:tcW w:w="1292" w:type="dxa"/>
            <w:tcBorders>
              <w:tl2br w:val="nil"/>
              <w:tr2bl w:val="nil"/>
            </w:tcBorders>
            <w:shd w:val="clear" w:color="auto" w:fill="auto"/>
            <w:noWrap/>
            <w:vAlign w:val="center"/>
          </w:tcPr>
          <w:p w14:paraId="64A4FAF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5DC0E31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0.186</w:t>
            </w:r>
          </w:p>
        </w:tc>
      </w:tr>
      <w:tr w14:paraId="3740F4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12055EF3">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10</w:t>
            </w:r>
          </w:p>
        </w:tc>
        <w:tc>
          <w:tcPr>
            <w:tcW w:w="1303" w:type="dxa"/>
            <w:tcBorders>
              <w:tl2br w:val="nil"/>
              <w:tr2bl w:val="nil"/>
            </w:tcBorders>
            <w:shd w:val="clear" w:color="auto" w:fill="auto"/>
            <w:noWrap/>
            <w:vAlign w:val="center"/>
          </w:tcPr>
          <w:p w14:paraId="4BD9890F">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4249.1</w:t>
            </w:r>
          </w:p>
        </w:tc>
        <w:tc>
          <w:tcPr>
            <w:tcW w:w="1292" w:type="dxa"/>
            <w:tcBorders>
              <w:tl2br w:val="nil"/>
              <w:tr2bl w:val="nil"/>
            </w:tcBorders>
            <w:shd w:val="clear" w:color="auto" w:fill="auto"/>
            <w:noWrap/>
            <w:vAlign w:val="center"/>
          </w:tcPr>
          <w:p w14:paraId="12FFAD1A">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0.446</w:t>
            </w:r>
          </w:p>
        </w:tc>
        <w:tc>
          <w:tcPr>
            <w:tcW w:w="1673" w:type="dxa"/>
            <w:tcBorders>
              <w:tl2br w:val="nil"/>
              <w:tr2bl w:val="nil"/>
            </w:tcBorders>
            <w:shd w:val="clear" w:color="auto" w:fill="auto"/>
            <w:noWrap/>
            <w:vAlign w:val="center"/>
          </w:tcPr>
          <w:p w14:paraId="72016733">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1.895</w:t>
            </w:r>
          </w:p>
        </w:tc>
        <w:tc>
          <w:tcPr>
            <w:tcW w:w="1303" w:type="dxa"/>
            <w:tcBorders>
              <w:tl2br w:val="nil"/>
              <w:tr2bl w:val="nil"/>
            </w:tcBorders>
            <w:shd w:val="clear" w:color="auto" w:fill="auto"/>
            <w:noWrap/>
            <w:vAlign w:val="center"/>
          </w:tcPr>
          <w:p w14:paraId="0937C945">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1639.8</w:t>
            </w:r>
          </w:p>
        </w:tc>
        <w:tc>
          <w:tcPr>
            <w:tcW w:w="1292" w:type="dxa"/>
            <w:tcBorders>
              <w:tl2br w:val="nil"/>
              <w:tr2bl w:val="nil"/>
            </w:tcBorders>
            <w:shd w:val="clear" w:color="auto" w:fill="auto"/>
            <w:noWrap/>
            <w:vAlign w:val="center"/>
          </w:tcPr>
          <w:p w14:paraId="1D402A0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72D057E0">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0.164</w:t>
            </w:r>
          </w:p>
        </w:tc>
      </w:tr>
      <w:tr w14:paraId="711358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75D4E24D">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11</w:t>
            </w:r>
          </w:p>
        </w:tc>
        <w:tc>
          <w:tcPr>
            <w:tcW w:w="1303" w:type="dxa"/>
            <w:tcBorders>
              <w:tl2br w:val="nil"/>
              <w:tr2bl w:val="nil"/>
            </w:tcBorders>
            <w:shd w:val="clear" w:color="auto" w:fill="auto"/>
            <w:noWrap/>
            <w:vAlign w:val="center"/>
          </w:tcPr>
          <w:p w14:paraId="77E25ED1">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4725.8</w:t>
            </w:r>
          </w:p>
        </w:tc>
        <w:tc>
          <w:tcPr>
            <w:tcW w:w="1292" w:type="dxa"/>
            <w:tcBorders>
              <w:tl2br w:val="nil"/>
              <w:tr2bl w:val="nil"/>
            </w:tcBorders>
            <w:shd w:val="clear" w:color="auto" w:fill="auto"/>
            <w:noWrap/>
            <w:vAlign w:val="center"/>
          </w:tcPr>
          <w:p w14:paraId="3BFF4D3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0.447</w:t>
            </w:r>
          </w:p>
        </w:tc>
        <w:tc>
          <w:tcPr>
            <w:tcW w:w="1673" w:type="dxa"/>
            <w:tcBorders>
              <w:tl2br w:val="nil"/>
              <w:tr2bl w:val="nil"/>
            </w:tcBorders>
            <w:shd w:val="clear" w:color="auto" w:fill="auto"/>
            <w:noWrap/>
            <w:vAlign w:val="center"/>
          </w:tcPr>
          <w:p w14:paraId="2F8D6D94">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2.112</w:t>
            </w:r>
          </w:p>
        </w:tc>
        <w:tc>
          <w:tcPr>
            <w:tcW w:w="1303" w:type="dxa"/>
            <w:tcBorders>
              <w:tl2br w:val="nil"/>
              <w:tr2bl w:val="nil"/>
            </w:tcBorders>
            <w:shd w:val="clear" w:color="auto" w:fill="auto"/>
            <w:noWrap/>
            <w:vAlign w:val="center"/>
          </w:tcPr>
          <w:p w14:paraId="6322393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1688.2</w:t>
            </w:r>
          </w:p>
        </w:tc>
        <w:tc>
          <w:tcPr>
            <w:tcW w:w="1292" w:type="dxa"/>
            <w:tcBorders>
              <w:tl2br w:val="nil"/>
              <w:tr2bl w:val="nil"/>
            </w:tcBorders>
            <w:shd w:val="clear" w:color="auto" w:fill="auto"/>
            <w:noWrap/>
            <w:vAlign w:val="center"/>
          </w:tcPr>
          <w:p w14:paraId="26F7DCF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6340BCB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0.169</w:t>
            </w:r>
          </w:p>
        </w:tc>
      </w:tr>
      <w:tr w14:paraId="483C23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80" w:type="pct"/>
            <w:tcBorders>
              <w:tl2br w:val="nil"/>
              <w:tr2bl w:val="nil"/>
            </w:tcBorders>
            <w:shd w:val="clear" w:color="auto" w:fill="auto"/>
            <w:noWrap/>
            <w:vAlign w:val="center"/>
          </w:tcPr>
          <w:p w14:paraId="42E008B7">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12</w:t>
            </w:r>
          </w:p>
        </w:tc>
        <w:tc>
          <w:tcPr>
            <w:tcW w:w="1303" w:type="dxa"/>
            <w:tcBorders>
              <w:tl2br w:val="nil"/>
              <w:tr2bl w:val="nil"/>
            </w:tcBorders>
            <w:shd w:val="clear" w:color="auto" w:fill="auto"/>
            <w:noWrap/>
            <w:vAlign w:val="center"/>
          </w:tcPr>
          <w:p w14:paraId="366FF039">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3086.4</w:t>
            </w:r>
          </w:p>
        </w:tc>
        <w:tc>
          <w:tcPr>
            <w:tcW w:w="1292" w:type="dxa"/>
            <w:tcBorders>
              <w:tl2br w:val="nil"/>
              <w:tr2bl w:val="nil"/>
            </w:tcBorders>
            <w:shd w:val="clear" w:color="auto" w:fill="auto"/>
            <w:noWrap/>
            <w:vAlign w:val="center"/>
          </w:tcPr>
          <w:p w14:paraId="6AC6BCA4">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0.45</w:t>
            </w:r>
          </w:p>
        </w:tc>
        <w:tc>
          <w:tcPr>
            <w:tcW w:w="1673" w:type="dxa"/>
            <w:tcBorders>
              <w:tl2br w:val="nil"/>
              <w:tr2bl w:val="nil"/>
            </w:tcBorders>
            <w:shd w:val="clear" w:color="auto" w:fill="auto"/>
            <w:noWrap/>
            <w:vAlign w:val="center"/>
          </w:tcPr>
          <w:p w14:paraId="040C5178">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1.39</w:t>
            </w:r>
          </w:p>
        </w:tc>
        <w:tc>
          <w:tcPr>
            <w:tcW w:w="1303" w:type="dxa"/>
            <w:tcBorders>
              <w:tl2br w:val="nil"/>
              <w:tr2bl w:val="nil"/>
            </w:tcBorders>
            <w:shd w:val="clear" w:color="auto" w:fill="auto"/>
            <w:noWrap/>
            <w:vAlign w:val="center"/>
          </w:tcPr>
          <w:p w14:paraId="487E0FC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1546.2</w:t>
            </w:r>
          </w:p>
        </w:tc>
        <w:tc>
          <w:tcPr>
            <w:tcW w:w="1292" w:type="dxa"/>
            <w:tcBorders>
              <w:tl2br w:val="nil"/>
              <w:tr2bl w:val="nil"/>
            </w:tcBorders>
            <w:shd w:val="clear" w:color="auto" w:fill="auto"/>
            <w:noWrap/>
            <w:vAlign w:val="center"/>
          </w:tcPr>
          <w:p w14:paraId="64A6D3C4">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74" w:type="dxa"/>
            <w:tcBorders>
              <w:tl2br w:val="nil"/>
              <w:tr2bl w:val="nil"/>
            </w:tcBorders>
            <w:shd w:val="clear" w:color="auto" w:fill="auto"/>
            <w:noWrap/>
            <w:vAlign w:val="center"/>
          </w:tcPr>
          <w:p w14:paraId="79B7BBE5">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0.155</w:t>
            </w:r>
          </w:p>
        </w:tc>
      </w:tr>
    </w:tbl>
    <w:p w14:paraId="3F514902">
      <w:pPr>
        <w:pStyle w:val="28"/>
        <w:bidi w:val="0"/>
        <w:rPr>
          <w:rFonts w:hint="default"/>
          <w:color w:val="auto"/>
          <w:highlight w:val="none"/>
          <w:u w:val="single"/>
          <w:lang w:val="en-US" w:eastAsia="zh-CN"/>
        </w:rPr>
      </w:pPr>
      <w:r>
        <w:rPr>
          <w:rFonts w:hint="default"/>
          <w:color w:val="auto"/>
          <w:highlight w:val="none"/>
          <w:u w:val="single"/>
        </w:rPr>
        <w:t>表</w:t>
      </w:r>
      <w:r>
        <w:rPr>
          <w:rFonts w:hint="default"/>
          <w:color w:val="auto"/>
          <w:highlight w:val="none"/>
          <w:u w:val="single"/>
        </w:rPr>
        <w:fldChar w:fldCharType="begin"/>
      </w:r>
      <w:r>
        <w:rPr>
          <w:rFonts w:hint="default"/>
          <w:color w:val="auto"/>
          <w:highlight w:val="none"/>
          <w:u w:val="single"/>
        </w:rPr>
        <w:instrText xml:space="preserve"> STYLEREF guo-二级标题 \n </w:instrText>
      </w:r>
      <w:r>
        <w:rPr>
          <w:rFonts w:hint="default"/>
          <w:color w:val="auto"/>
          <w:highlight w:val="none"/>
          <w:u w:val="single"/>
        </w:rPr>
        <w:fldChar w:fldCharType="separate"/>
      </w:r>
      <w:r>
        <w:rPr>
          <w:rFonts w:hint="default"/>
          <w:color w:val="auto"/>
          <w:highlight w:val="none"/>
          <w:u w:val="single"/>
        </w:rPr>
        <w:t>2.1</w:t>
      </w:r>
      <w:r>
        <w:rPr>
          <w:rFonts w:hint="default"/>
          <w:color w:val="auto"/>
          <w:highlight w:val="none"/>
          <w:u w:val="single"/>
        </w:rPr>
        <w:fldChar w:fldCharType="end"/>
      </w:r>
      <w:r>
        <w:rPr>
          <w:rFonts w:hint="default"/>
          <w:color w:val="auto"/>
          <w:highlight w:val="none"/>
          <w:u w:val="single"/>
        </w:rPr>
        <w:t>–</w:t>
      </w:r>
      <w:r>
        <w:rPr>
          <w:rFonts w:hint="default"/>
          <w:color w:val="auto"/>
          <w:highlight w:val="none"/>
          <w:u w:val="single"/>
        </w:rPr>
        <w:fldChar w:fldCharType="begin"/>
      </w:r>
      <w:r>
        <w:rPr>
          <w:rFonts w:hint="default"/>
          <w:color w:val="auto"/>
          <w:highlight w:val="none"/>
          <w:u w:val="single"/>
        </w:rPr>
        <w:instrText xml:space="preserve"> SEQ 表 \* ARABIC \s 2 </w:instrText>
      </w:r>
      <w:r>
        <w:rPr>
          <w:rFonts w:hint="default"/>
          <w:color w:val="auto"/>
          <w:highlight w:val="none"/>
          <w:u w:val="single"/>
        </w:rPr>
        <w:fldChar w:fldCharType="separate"/>
      </w:r>
      <w:r>
        <w:rPr>
          <w:rFonts w:hint="default"/>
          <w:color w:val="auto"/>
          <w:highlight w:val="none"/>
          <w:u w:val="single"/>
        </w:rPr>
        <w:t>42</w:t>
      </w:r>
      <w:r>
        <w:rPr>
          <w:rFonts w:hint="default"/>
          <w:color w:val="auto"/>
          <w:highlight w:val="none"/>
          <w:u w:val="single"/>
        </w:rPr>
        <w:fldChar w:fldCharType="end"/>
      </w:r>
      <w:r>
        <w:rPr>
          <w:rFonts w:hint="default"/>
          <w:color w:val="auto"/>
          <w:highlight w:val="none"/>
          <w:u w:val="single"/>
        </w:rPr>
        <w:t xml:space="preserve">  </w:t>
      </w:r>
      <w:r>
        <w:rPr>
          <w:rFonts w:hint="eastAsia"/>
          <w:color w:val="auto"/>
          <w:highlight w:val="none"/>
          <w:u w:val="single"/>
          <w:lang w:val="en-US" w:eastAsia="zh-CN"/>
        </w:rPr>
        <w:t>调整前废水各水期排放情况</w:t>
      </w:r>
    </w:p>
    <w:tbl>
      <w:tblPr>
        <w:tblStyle w:val="2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14"/>
        <w:gridCol w:w="1270"/>
        <w:gridCol w:w="1259"/>
        <w:gridCol w:w="1634"/>
        <w:gridCol w:w="1270"/>
        <w:gridCol w:w="1259"/>
        <w:gridCol w:w="1634"/>
      </w:tblGrid>
      <w:tr w14:paraId="26CE1E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95" w:type="pct"/>
            <w:vMerge w:val="restart"/>
            <w:tcBorders>
              <w:tl2br w:val="nil"/>
              <w:tr2bl w:val="nil"/>
            </w:tcBorders>
            <w:shd w:val="clear" w:color="auto" w:fill="auto"/>
            <w:noWrap/>
            <w:vAlign w:val="center"/>
          </w:tcPr>
          <w:p w14:paraId="3AA2E308">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月份</w:t>
            </w:r>
          </w:p>
        </w:tc>
        <w:tc>
          <w:tcPr>
            <w:tcW w:w="2252" w:type="pct"/>
            <w:gridSpan w:val="3"/>
            <w:tcBorders>
              <w:tl2br w:val="nil"/>
              <w:tr2bl w:val="nil"/>
            </w:tcBorders>
            <w:shd w:val="clear" w:color="auto" w:fill="auto"/>
            <w:noWrap/>
            <w:vAlign w:val="center"/>
          </w:tcPr>
          <w:p w14:paraId="15D9B144">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隧洞出水</w:t>
            </w:r>
          </w:p>
        </w:tc>
        <w:tc>
          <w:tcPr>
            <w:tcW w:w="2252" w:type="pct"/>
            <w:gridSpan w:val="3"/>
            <w:tcBorders>
              <w:tl2br w:val="nil"/>
              <w:tr2bl w:val="nil"/>
            </w:tcBorders>
            <w:shd w:val="clear" w:color="auto" w:fill="auto"/>
            <w:noWrap/>
            <w:vAlign w:val="center"/>
          </w:tcPr>
          <w:p w14:paraId="294E448D">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废水处理站出水</w:t>
            </w:r>
          </w:p>
        </w:tc>
      </w:tr>
      <w:tr w14:paraId="5597DD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95" w:type="pct"/>
            <w:vMerge w:val="continue"/>
            <w:tcBorders>
              <w:tl2br w:val="nil"/>
              <w:tr2bl w:val="nil"/>
            </w:tcBorders>
            <w:shd w:val="clear" w:color="auto" w:fill="auto"/>
            <w:noWrap/>
            <w:vAlign w:val="center"/>
          </w:tcPr>
          <w:p w14:paraId="63A6800A">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687" w:type="pct"/>
            <w:tcBorders>
              <w:tl2br w:val="nil"/>
              <w:tr2bl w:val="nil"/>
            </w:tcBorders>
            <w:shd w:val="clear" w:color="auto" w:fill="auto"/>
            <w:noWrap/>
            <w:vAlign w:val="center"/>
          </w:tcPr>
          <w:p w14:paraId="08864FEC">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水量(m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tc>
        <w:tc>
          <w:tcPr>
            <w:tcW w:w="681" w:type="pct"/>
            <w:tcBorders>
              <w:tl2br w:val="nil"/>
              <w:tr2bl w:val="nil"/>
            </w:tcBorders>
            <w:shd w:val="clear" w:color="auto" w:fill="auto"/>
            <w:noWrap/>
            <w:vAlign w:val="center"/>
          </w:tcPr>
          <w:p w14:paraId="4BF25518">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水质(mg/l)</w:t>
            </w:r>
          </w:p>
        </w:tc>
        <w:tc>
          <w:tcPr>
            <w:tcW w:w="883" w:type="pct"/>
            <w:tcBorders>
              <w:tl2br w:val="nil"/>
              <w:tr2bl w:val="nil"/>
            </w:tcBorders>
            <w:shd w:val="clear" w:color="auto" w:fill="auto"/>
            <w:noWrap/>
            <w:vAlign w:val="center"/>
          </w:tcPr>
          <w:p w14:paraId="17ED1B8C">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排放量（kg/d)</w:t>
            </w:r>
          </w:p>
        </w:tc>
        <w:tc>
          <w:tcPr>
            <w:tcW w:w="687" w:type="pct"/>
            <w:tcBorders>
              <w:tl2br w:val="nil"/>
              <w:tr2bl w:val="nil"/>
            </w:tcBorders>
            <w:shd w:val="clear" w:color="auto" w:fill="auto"/>
            <w:noWrap/>
            <w:vAlign w:val="center"/>
          </w:tcPr>
          <w:p w14:paraId="78A1BB70">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水量(m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tc>
        <w:tc>
          <w:tcPr>
            <w:tcW w:w="681" w:type="pct"/>
            <w:tcBorders>
              <w:tl2br w:val="nil"/>
              <w:tr2bl w:val="nil"/>
            </w:tcBorders>
            <w:shd w:val="clear" w:color="auto" w:fill="auto"/>
            <w:noWrap/>
            <w:vAlign w:val="center"/>
          </w:tcPr>
          <w:p w14:paraId="3E92D15D">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水质(mg/l)</w:t>
            </w:r>
          </w:p>
        </w:tc>
        <w:tc>
          <w:tcPr>
            <w:tcW w:w="883" w:type="pct"/>
            <w:tcBorders>
              <w:tl2br w:val="nil"/>
              <w:tr2bl w:val="nil"/>
            </w:tcBorders>
            <w:shd w:val="clear" w:color="auto" w:fill="auto"/>
            <w:noWrap/>
            <w:vAlign w:val="center"/>
          </w:tcPr>
          <w:p w14:paraId="47533402">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排放量（kg/d)</w:t>
            </w:r>
          </w:p>
        </w:tc>
      </w:tr>
      <w:tr w14:paraId="161C09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95" w:type="pct"/>
            <w:tcBorders>
              <w:tl2br w:val="nil"/>
              <w:tr2bl w:val="nil"/>
            </w:tcBorders>
            <w:shd w:val="clear" w:color="auto" w:fill="auto"/>
            <w:noWrap/>
            <w:vAlign w:val="center"/>
          </w:tcPr>
          <w:p w14:paraId="3628C4AA">
            <w:pPr>
              <w:pStyle w:val="26"/>
              <w:keepNext w:val="0"/>
              <w:keepLines w:val="0"/>
              <w:suppressLineNumbers w:val="0"/>
              <w:bidi w:val="0"/>
              <w:spacing w:before="0" w:beforeAutospacing="0" w:after="0" w:afterAutospacing="0"/>
              <w:ind w:left="0" w:leftChars="0" w:right="0" w:rightChars="0"/>
              <w:rPr>
                <w:rFonts w:hint="default"/>
                <w:color w:val="auto"/>
                <w:highlight w:val="none"/>
                <w:u w:val="single"/>
                <w:lang w:val="en-US" w:eastAsia="zh-CN"/>
              </w:rPr>
            </w:pPr>
            <w:r>
              <w:rPr>
                <w:rFonts w:hint="eastAsia"/>
                <w:color w:val="auto"/>
                <w:highlight w:val="none"/>
                <w:u w:val="single"/>
                <w:lang w:val="en-US" w:eastAsia="zh-CN"/>
              </w:rPr>
              <w:t>枯水期</w:t>
            </w:r>
          </w:p>
        </w:tc>
        <w:tc>
          <w:tcPr>
            <w:tcW w:w="1270" w:type="dxa"/>
            <w:tcBorders>
              <w:tl2br w:val="nil"/>
              <w:tr2bl w:val="nil"/>
            </w:tcBorders>
            <w:shd w:val="clear" w:color="auto" w:fill="auto"/>
            <w:noWrap/>
            <w:vAlign w:val="center"/>
          </w:tcPr>
          <w:p w14:paraId="501A16CB">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4653.4</w:t>
            </w:r>
          </w:p>
        </w:tc>
        <w:tc>
          <w:tcPr>
            <w:tcW w:w="1259" w:type="dxa"/>
            <w:tcBorders>
              <w:tl2br w:val="nil"/>
              <w:tr2bl w:val="nil"/>
            </w:tcBorders>
            <w:shd w:val="clear" w:color="auto" w:fill="auto"/>
            <w:noWrap/>
            <w:vAlign w:val="center"/>
          </w:tcPr>
          <w:p w14:paraId="23D352A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0.444</w:t>
            </w:r>
          </w:p>
        </w:tc>
        <w:tc>
          <w:tcPr>
            <w:tcW w:w="1634" w:type="dxa"/>
            <w:tcBorders>
              <w:tl2br w:val="nil"/>
              <w:tr2bl w:val="nil"/>
            </w:tcBorders>
            <w:shd w:val="clear" w:color="auto" w:fill="auto"/>
            <w:noWrap/>
            <w:vAlign w:val="center"/>
          </w:tcPr>
          <w:p w14:paraId="3CF8FF54">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2.068</w:t>
            </w:r>
          </w:p>
        </w:tc>
        <w:tc>
          <w:tcPr>
            <w:tcW w:w="1270" w:type="dxa"/>
            <w:tcBorders>
              <w:tl2br w:val="nil"/>
              <w:tr2bl w:val="nil"/>
            </w:tcBorders>
            <w:shd w:val="clear" w:color="auto" w:fill="auto"/>
            <w:noWrap/>
            <w:vAlign w:val="center"/>
          </w:tcPr>
          <w:p w14:paraId="0A7A1330">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1676.9</w:t>
            </w:r>
          </w:p>
        </w:tc>
        <w:tc>
          <w:tcPr>
            <w:tcW w:w="1259" w:type="dxa"/>
            <w:tcBorders>
              <w:tl2br w:val="nil"/>
              <w:tr2bl w:val="nil"/>
            </w:tcBorders>
            <w:shd w:val="clear" w:color="auto" w:fill="auto"/>
            <w:noWrap/>
            <w:vAlign w:val="center"/>
          </w:tcPr>
          <w:p w14:paraId="0D04ECB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34" w:type="dxa"/>
            <w:tcBorders>
              <w:tl2br w:val="nil"/>
              <w:tr2bl w:val="nil"/>
            </w:tcBorders>
            <w:shd w:val="clear" w:color="auto" w:fill="auto"/>
            <w:noWrap/>
            <w:vAlign w:val="center"/>
          </w:tcPr>
          <w:p w14:paraId="3D63DCB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0.168</w:t>
            </w:r>
          </w:p>
        </w:tc>
      </w:tr>
      <w:tr w14:paraId="6BAD11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95" w:type="pct"/>
            <w:tcBorders>
              <w:tl2br w:val="nil"/>
              <w:tr2bl w:val="nil"/>
            </w:tcBorders>
            <w:shd w:val="clear" w:color="auto" w:fill="auto"/>
            <w:noWrap/>
            <w:vAlign w:val="center"/>
          </w:tcPr>
          <w:p w14:paraId="032150F1">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平水期</w:t>
            </w:r>
          </w:p>
        </w:tc>
        <w:tc>
          <w:tcPr>
            <w:tcW w:w="1270" w:type="dxa"/>
            <w:tcBorders>
              <w:tl2br w:val="nil"/>
              <w:tr2bl w:val="nil"/>
            </w:tcBorders>
            <w:shd w:val="clear" w:color="auto" w:fill="auto"/>
            <w:noWrap/>
            <w:vAlign w:val="center"/>
          </w:tcPr>
          <w:p w14:paraId="5702C254">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13324.2</w:t>
            </w:r>
          </w:p>
        </w:tc>
        <w:tc>
          <w:tcPr>
            <w:tcW w:w="1259" w:type="dxa"/>
            <w:tcBorders>
              <w:tl2br w:val="nil"/>
              <w:tr2bl w:val="nil"/>
            </w:tcBorders>
            <w:shd w:val="clear" w:color="auto" w:fill="auto"/>
            <w:noWrap/>
            <w:vAlign w:val="center"/>
          </w:tcPr>
          <w:p w14:paraId="038B502C">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0.504</w:t>
            </w:r>
          </w:p>
        </w:tc>
        <w:tc>
          <w:tcPr>
            <w:tcW w:w="1634" w:type="dxa"/>
            <w:tcBorders>
              <w:tl2br w:val="nil"/>
              <w:tr2bl w:val="nil"/>
            </w:tcBorders>
            <w:shd w:val="clear" w:color="auto" w:fill="auto"/>
            <w:noWrap/>
            <w:vAlign w:val="center"/>
          </w:tcPr>
          <w:p w14:paraId="7BC2717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6.715</w:t>
            </w:r>
          </w:p>
        </w:tc>
        <w:tc>
          <w:tcPr>
            <w:tcW w:w="1270" w:type="dxa"/>
            <w:tcBorders>
              <w:tl2br w:val="nil"/>
              <w:tr2bl w:val="nil"/>
            </w:tcBorders>
            <w:shd w:val="clear" w:color="auto" w:fill="auto"/>
            <w:noWrap/>
            <w:vAlign w:val="center"/>
          </w:tcPr>
          <w:p w14:paraId="4820A34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2397.3</w:t>
            </w:r>
          </w:p>
        </w:tc>
        <w:tc>
          <w:tcPr>
            <w:tcW w:w="1259" w:type="dxa"/>
            <w:tcBorders>
              <w:tl2br w:val="nil"/>
              <w:tr2bl w:val="nil"/>
            </w:tcBorders>
            <w:shd w:val="clear" w:color="auto" w:fill="auto"/>
            <w:noWrap/>
            <w:vAlign w:val="center"/>
          </w:tcPr>
          <w:p w14:paraId="5B0DF2F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34" w:type="dxa"/>
            <w:tcBorders>
              <w:tl2br w:val="nil"/>
              <w:tr2bl w:val="nil"/>
            </w:tcBorders>
            <w:shd w:val="clear" w:color="auto" w:fill="auto"/>
            <w:noWrap/>
            <w:vAlign w:val="center"/>
          </w:tcPr>
          <w:p w14:paraId="31DE8E3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0.24</w:t>
            </w:r>
          </w:p>
        </w:tc>
      </w:tr>
      <w:tr w14:paraId="2B28C1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95" w:type="pct"/>
            <w:tcBorders>
              <w:tl2br w:val="nil"/>
              <w:tr2bl w:val="nil"/>
            </w:tcBorders>
            <w:shd w:val="clear" w:color="auto" w:fill="auto"/>
            <w:noWrap/>
            <w:vAlign w:val="center"/>
          </w:tcPr>
          <w:p w14:paraId="04D83FEF">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丰水期</w:t>
            </w:r>
          </w:p>
        </w:tc>
        <w:tc>
          <w:tcPr>
            <w:tcW w:w="1270" w:type="dxa"/>
            <w:tcBorders>
              <w:tl2br w:val="nil"/>
              <w:tr2bl w:val="nil"/>
            </w:tcBorders>
            <w:shd w:val="clear" w:color="auto" w:fill="auto"/>
            <w:noWrap/>
            <w:vAlign w:val="center"/>
          </w:tcPr>
          <w:p w14:paraId="3DB06ECA">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24764.9</w:t>
            </w:r>
          </w:p>
        </w:tc>
        <w:tc>
          <w:tcPr>
            <w:tcW w:w="1259" w:type="dxa"/>
            <w:tcBorders>
              <w:tl2br w:val="nil"/>
              <w:tr2bl w:val="nil"/>
            </w:tcBorders>
            <w:shd w:val="clear" w:color="auto" w:fill="auto"/>
            <w:noWrap/>
            <w:vAlign w:val="center"/>
          </w:tcPr>
          <w:p w14:paraId="50175833">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0.203</w:t>
            </w:r>
          </w:p>
        </w:tc>
        <w:tc>
          <w:tcPr>
            <w:tcW w:w="1634" w:type="dxa"/>
            <w:tcBorders>
              <w:tl2br w:val="nil"/>
              <w:tr2bl w:val="nil"/>
            </w:tcBorders>
            <w:shd w:val="clear" w:color="auto" w:fill="auto"/>
            <w:noWrap/>
            <w:vAlign w:val="center"/>
          </w:tcPr>
          <w:p w14:paraId="399DC7D3">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5.025</w:t>
            </w:r>
          </w:p>
        </w:tc>
        <w:tc>
          <w:tcPr>
            <w:tcW w:w="1270" w:type="dxa"/>
            <w:tcBorders>
              <w:tl2br w:val="nil"/>
              <w:tr2bl w:val="nil"/>
            </w:tcBorders>
            <w:shd w:val="clear" w:color="auto" w:fill="auto"/>
            <w:noWrap/>
            <w:vAlign w:val="center"/>
          </w:tcPr>
          <w:p w14:paraId="12AB46C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3357.9</w:t>
            </w:r>
          </w:p>
        </w:tc>
        <w:tc>
          <w:tcPr>
            <w:tcW w:w="1259" w:type="dxa"/>
            <w:tcBorders>
              <w:tl2br w:val="nil"/>
              <w:tr2bl w:val="nil"/>
            </w:tcBorders>
            <w:shd w:val="clear" w:color="auto" w:fill="auto"/>
            <w:noWrap/>
            <w:vAlign w:val="center"/>
          </w:tcPr>
          <w:p w14:paraId="584BBC8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w:t>
            </w:r>
          </w:p>
        </w:tc>
        <w:tc>
          <w:tcPr>
            <w:tcW w:w="1634" w:type="dxa"/>
            <w:tcBorders>
              <w:tl2br w:val="nil"/>
              <w:tr2bl w:val="nil"/>
            </w:tcBorders>
            <w:shd w:val="clear" w:color="auto" w:fill="auto"/>
            <w:noWrap/>
            <w:vAlign w:val="center"/>
          </w:tcPr>
          <w:p w14:paraId="292DE72A">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0.336</w:t>
            </w:r>
          </w:p>
        </w:tc>
      </w:tr>
    </w:tbl>
    <w:p w14:paraId="4984E14C">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p>
    <w:p w14:paraId="17E74E55">
      <w:pPr>
        <w:widowControl w:val="0"/>
        <w:spacing w:line="360" w:lineRule="auto"/>
        <w:ind w:firstLine="480" w:firstLineChars="200"/>
        <w:jc w:val="both"/>
        <w:rPr>
          <w:rFonts w:hint="eastAsia"/>
          <w:color w:val="auto"/>
          <w:highlight w:val="none"/>
          <w:lang w:val="en-US" w:eastAsia="zh-CN"/>
        </w:rPr>
      </w:pPr>
      <w:r>
        <w:rPr>
          <w:rFonts w:hint="eastAsia" w:ascii="Times New Roman" w:hAnsi="Times New Roman" w:eastAsia="宋体" w:cs="Times New Roman"/>
          <w:color w:val="auto"/>
          <w:kern w:val="2"/>
          <w:sz w:val="24"/>
          <w:highlight w:val="none"/>
          <w:lang w:val="en-US" w:eastAsia="zh-CN" w:bidi="ar-SA"/>
        </w:rPr>
        <w:t>综上，通过矿山废水处理站排放的锑为0.</w:t>
      </w:r>
      <w:r>
        <w:rPr>
          <w:rFonts w:hint="eastAsia" w:cs="Times New Roman"/>
          <w:color w:val="auto"/>
          <w:kern w:val="2"/>
          <w:sz w:val="24"/>
          <w:highlight w:val="none"/>
          <w:lang w:val="en-US" w:eastAsia="zh-CN" w:bidi="ar-SA"/>
        </w:rPr>
        <w:t>083</w:t>
      </w:r>
      <w:r>
        <w:rPr>
          <w:rFonts w:hint="eastAsia" w:ascii="Times New Roman" w:hAnsi="Times New Roman" w:eastAsia="宋体" w:cs="Times New Roman"/>
          <w:color w:val="auto"/>
          <w:kern w:val="2"/>
          <w:sz w:val="24"/>
          <w:highlight w:val="none"/>
          <w:lang w:val="en-US" w:eastAsia="zh-CN" w:bidi="ar-SA"/>
        </w:rPr>
        <w:t>t/a，通过隧洞直接排放的锑为</w:t>
      </w:r>
      <w:r>
        <w:rPr>
          <w:rFonts w:hint="eastAsia" w:cs="Times New Roman"/>
          <w:color w:val="auto"/>
          <w:kern w:val="2"/>
          <w:sz w:val="24"/>
          <w:highlight w:val="none"/>
          <w:lang w:val="en-US" w:eastAsia="zh-CN" w:bidi="ar-SA"/>
        </w:rPr>
        <w:t>1</w:t>
      </w:r>
      <w:r>
        <w:rPr>
          <w:rFonts w:hint="eastAsia" w:ascii="Times New Roman" w:hAnsi="Times New Roman" w:eastAsia="宋体" w:cs="Times New Roman"/>
          <w:color w:val="auto"/>
          <w:kern w:val="2"/>
          <w:sz w:val="24"/>
          <w:highlight w:val="none"/>
          <w:lang w:val="en-US" w:eastAsia="zh-CN" w:bidi="ar-SA"/>
        </w:rPr>
        <w:t>.</w:t>
      </w:r>
      <w:r>
        <w:rPr>
          <w:rFonts w:hint="eastAsia" w:cs="Times New Roman"/>
          <w:color w:val="auto"/>
          <w:kern w:val="2"/>
          <w:sz w:val="24"/>
          <w:highlight w:val="none"/>
          <w:lang w:val="en-US" w:eastAsia="zh-CN" w:bidi="ar-SA"/>
        </w:rPr>
        <w:t>454</w:t>
      </w:r>
      <w:r>
        <w:rPr>
          <w:rFonts w:hint="eastAsia" w:ascii="Times New Roman" w:hAnsi="Times New Roman" w:eastAsia="宋体" w:cs="Times New Roman"/>
          <w:color w:val="auto"/>
          <w:kern w:val="2"/>
          <w:sz w:val="24"/>
          <w:highlight w:val="none"/>
          <w:lang w:val="en-US" w:eastAsia="zh-CN" w:bidi="ar-SA"/>
        </w:rPr>
        <w:t>t/a，两种渠道向下游排放的锑为</w:t>
      </w:r>
      <w:r>
        <w:rPr>
          <w:rFonts w:hint="eastAsia" w:cs="Times New Roman"/>
          <w:color w:val="auto"/>
          <w:kern w:val="2"/>
          <w:sz w:val="24"/>
          <w:highlight w:val="none"/>
          <w:lang w:val="en-US" w:eastAsia="zh-CN" w:bidi="ar-SA"/>
        </w:rPr>
        <w:t>1.537</w:t>
      </w:r>
      <w:r>
        <w:rPr>
          <w:rFonts w:hint="eastAsia" w:ascii="Times New Roman" w:hAnsi="Times New Roman" w:eastAsia="宋体" w:cs="Times New Roman"/>
          <w:color w:val="auto"/>
          <w:kern w:val="2"/>
          <w:sz w:val="24"/>
          <w:highlight w:val="none"/>
          <w:lang w:val="en-US" w:eastAsia="zh-CN" w:bidi="ar-SA"/>
        </w:rPr>
        <w:t>t/a。</w:t>
      </w:r>
    </w:p>
    <w:p w14:paraId="55AA2F50">
      <w:pPr>
        <w:pStyle w:val="34"/>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调整</w:t>
      </w:r>
      <w:r>
        <w:rPr>
          <w:rFonts w:hint="eastAsia" w:ascii="Times New Roman" w:hAnsi="Times New Roman" w:eastAsia="宋体" w:cs="Times New Roman"/>
          <w:color w:val="auto"/>
          <w:highlight w:val="none"/>
          <w:lang w:val="en-US" w:eastAsia="zh-CN"/>
        </w:rPr>
        <w:t>后废水产排放情况</w:t>
      </w:r>
    </w:p>
    <w:p w14:paraId="5B813EFE">
      <w:pPr>
        <w:widowControl w:val="0"/>
        <w:tabs>
          <w:tab w:val="left" w:pos="1021"/>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一、生产废水</w:t>
      </w:r>
    </w:p>
    <w:p w14:paraId="3BFF8CAC">
      <w:pPr>
        <w:widowControl w:val="0"/>
        <w:tabs>
          <w:tab w:val="left" w:pos="1021"/>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（1）</w:t>
      </w:r>
      <w:r>
        <w:rPr>
          <w:rFonts w:hint="eastAsia" w:cs="Times New Roman"/>
          <w:b/>
          <w:bCs/>
          <w:color w:val="auto"/>
          <w:kern w:val="2"/>
          <w:sz w:val="24"/>
          <w:szCs w:val="20"/>
          <w:highlight w:val="none"/>
          <w:lang w:val="en-US" w:eastAsia="zh-CN" w:bidi="ar-SA"/>
        </w:rPr>
        <w:t>废水处理站</w:t>
      </w:r>
      <w:r>
        <w:rPr>
          <w:rFonts w:hint="eastAsia" w:ascii="Times New Roman" w:hAnsi="Times New Roman" w:eastAsia="宋体" w:cs="Times New Roman"/>
          <w:b/>
          <w:bCs/>
          <w:color w:val="auto"/>
          <w:kern w:val="2"/>
          <w:sz w:val="24"/>
          <w:szCs w:val="20"/>
          <w:highlight w:val="none"/>
          <w:lang w:val="en-US" w:eastAsia="zh-CN" w:bidi="ar-SA"/>
        </w:rPr>
        <w:t>处理水量</w:t>
      </w:r>
    </w:p>
    <w:p w14:paraId="582889DE">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进入下游渣滓溪的水，主要包括两部分：一、</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出水；二、隧洞出水（</w:t>
      </w:r>
      <w:r>
        <w:rPr>
          <w:rFonts w:hint="eastAsia" w:cs="Times New Roman"/>
          <w:color w:val="auto"/>
          <w:kern w:val="2"/>
          <w:sz w:val="24"/>
          <w:szCs w:val="20"/>
          <w:highlight w:val="none"/>
          <w:lang w:val="en-US" w:eastAsia="zh-CN" w:bidi="ar-SA"/>
        </w:rPr>
        <w:t>不包括</w:t>
      </w:r>
      <w:r>
        <w:rPr>
          <w:rFonts w:hint="eastAsia" w:ascii="Times New Roman" w:hAnsi="Times New Roman" w:eastAsia="宋体" w:cs="Times New Roman"/>
          <w:color w:val="auto"/>
          <w:kern w:val="2"/>
          <w:sz w:val="24"/>
          <w:szCs w:val="20"/>
          <w:highlight w:val="none"/>
          <w:lang w:val="en-US" w:eastAsia="zh-CN" w:bidi="ar-SA"/>
        </w:rPr>
        <w:t>进入</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部分）。根据前文水平衡，</w:t>
      </w:r>
      <w:r>
        <w:rPr>
          <w:rFonts w:hint="eastAsia" w:cs="Times New Roman"/>
          <w:color w:val="auto"/>
          <w:kern w:val="2"/>
          <w:sz w:val="24"/>
          <w:szCs w:val="20"/>
          <w:highlight w:val="none"/>
          <w:lang w:val="en-US" w:eastAsia="zh-CN" w:bidi="ar-SA"/>
        </w:rPr>
        <w:t>调整</w:t>
      </w:r>
      <w:r>
        <w:rPr>
          <w:rFonts w:hint="eastAsia" w:ascii="Times New Roman" w:hAnsi="Times New Roman" w:eastAsia="宋体" w:cs="Times New Roman"/>
          <w:color w:val="auto"/>
          <w:kern w:val="2"/>
          <w:sz w:val="24"/>
          <w:szCs w:val="20"/>
          <w:highlight w:val="none"/>
          <w:lang w:val="en-US" w:eastAsia="zh-CN" w:bidi="ar-SA"/>
        </w:rPr>
        <w:t>完成后，</w:t>
      </w:r>
      <w:r>
        <w:rPr>
          <w:rFonts w:hint="eastAsia" w:cs="Times New Roman"/>
          <w:color w:val="auto"/>
          <w:kern w:val="2"/>
          <w:sz w:val="24"/>
          <w:szCs w:val="20"/>
          <w:highlight w:val="none"/>
          <w:lang w:val="en-US" w:eastAsia="zh-CN" w:bidi="ar-SA"/>
        </w:rPr>
        <w:t>枯水期，进入废水处理站的生产废水为434.95m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/d、生活污水为43.2m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/d、隧洞水为1550.2m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/d，共计2028.35m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/d，处理后的废水中有326m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/d回用于选矿厂，有1702.75m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/d达标外排；平水期，进入废水处理站的生产废水为1155.35m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/d、生活污水为43.2m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/d、隧洞水为2161.45m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/d，共计3360m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/d，处理后的废水中有326m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/d回用于选矿厂，有3024m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/d达标外排；丰水期，进入废水处理站的生产废水为2115.95m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/d、生活污水为43.2m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/d、隧洞水为1200.85m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/d，共计3360m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/d，处理后的废水中有326m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/d回用于选矿厂，有3024m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/d达标外排。全年废水处理站排水水量为86.64万t/a。</w:t>
      </w:r>
    </w:p>
    <w:p w14:paraId="0C0A21FE">
      <w:pPr>
        <w:widowControl w:val="0"/>
        <w:tabs>
          <w:tab w:val="left" w:pos="1021"/>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（2）</w:t>
      </w:r>
      <w:r>
        <w:rPr>
          <w:rFonts w:hint="eastAsia" w:cs="Times New Roman"/>
          <w:b/>
          <w:bCs/>
          <w:color w:val="auto"/>
          <w:kern w:val="2"/>
          <w:sz w:val="24"/>
          <w:szCs w:val="20"/>
          <w:highlight w:val="none"/>
          <w:lang w:val="en-US" w:eastAsia="zh-CN" w:bidi="ar-SA"/>
        </w:rPr>
        <w:t>废水处理站</w:t>
      </w:r>
      <w:r>
        <w:rPr>
          <w:rFonts w:hint="eastAsia" w:ascii="Times New Roman" w:hAnsi="Times New Roman" w:eastAsia="宋体" w:cs="Times New Roman"/>
          <w:b/>
          <w:bCs/>
          <w:color w:val="auto"/>
          <w:kern w:val="2"/>
          <w:sz w:val="24"/>
          <w:szCs w:val="20"/>
          <w:highlight w:val="none"/>
          <w:lang w:val="en-US" w:eastAsia="zh-CN" w:bidi="ar-SA"/>
        </w:rPr>
        <w:t>工艺</w:t>
      </w:r>
    </w:p>
    <w:p w14:paraId="64556E53">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鉴于目前</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出水水质情况，本次</w:t>
      </w:r>
      <w:r>
        <w:rPr>
          <w:rFonts w:hint="eastAsia" w:cs="Times New Roman"/>
          <w:color w:val="auto"/>
          <w:kern w:val="2"/>
          <w:sz w:val="24"/>
          <w:szCs w:val="20"/>
          <w:highlight w:val="none"/>
          <w:lang w:val="en-US" w:eastAsia="zh-CN" w:bidi="ar-SA"/>
        </w:rPr>
        <w:t>调整</w:t>
      </w:r>
      <w:r>
        <w:rPr>
          <w:rFonts w:hint="eastAsia" w:ascii="Times New Roman" w:hAnsi="Times New Roman" w:eastAsia="宋体" w:cs="Times New Roman"/>
          <w:color w:val="auto"/>
          <w:kern w:val="2"/>
          <w:sz w:val="24"/>
          <w:szCs w:val="20"/>
          <w:highlight w:val="none"/>
          <w:lang w:val="en-US" w:eastAsia="zh-CN" w:bidi="ar-SA"/>
        </w:rPr>
        <w:t>工程，不对</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工艺进行调整，仅要求企业严格控制</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加药量，并尽可能实现自动加药，确保废水中锑排放浓度低于0.15mg/L。</w:t>
      </w:r>
    </w:p>
    <w:p w14:paraId="4EC4395B">
      <w:pPr>
        <w:widowControl w:val="0"/>
        <w:tabs>
          <w:tab w:val="left" w:pos="1021"/>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（3）</w:t>
      </w:r>
      <w:r>
        <w:rPr>
          <w:rFonts w:hint="eastAsia" w:cs="Times New Roman"/>
          <w:b/>
          <w:bCs/>
          <w:color w:val="auto"/>
          <w:kern w:val="2"/>
          <w:sz w:val="24"/>
          <w:szCs w:val="20"/>
          <w:highlight w:val="none"/>
          <w:lang w:val="en-US" w:eastAsia="zh-CN" w:bidi="ar-SA"/>
        </w:rPr>
        <w:t>废水处理站</w:t>
      </w:r>
      <w:r>
        <w:rPr>
          <w:rFonts w:hint="eastAsia" w:ascii="Times New Roman" w:hAnsi="Times New Roman" w:eastAsia="宋体" w:cs="Times New Roman"/>
          <w:b/>
          <w:bCs/>
          <w:color w:val="auto"/>
          <w:kern w:val="2"/>
          <w:sz w:val="24"/>
          <w:szCs w:val="20"/>
          <w:highlight w:val="none"/>
          <w:lang w:val="en-US" w:eastAsia="zh-CN" w:bidi="ar-SA"/>
        </w:rPr>
        <w:t>进出水水质及排放总量</w:t>
      </w:r>
    </w:p>
    <w:p w14:paraId="2F96DFDF">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根据上文可知，由于将生活污水引入奎溪镇污水处理厂，不再进入企业</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，因此，废水中进出水的COD、氨氮、总磷含量将进一步降低，但由于生活污水水量仅为</w:t>
      </w:r>
      <w:r>
        <w:rPr>
          <w:rFonts w:hint="eastAsia" w:cs="Times New Roman"/>
          <w:color w:val="auto"/>
          <w:kern w:val="2"/>
          <w:sz w:val="24"/>
          <w:szCs w:val="20"/>
          <w:highlight w:val="none"/>
          <w:lang w:val="en-US" w:eastAsia="zh-CN" w:bidi="ar-SA"/>
        </w:rPr>
        <w:t>43.2m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，相对区域排水总水量很低，对其水质影响很小，因此，</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COD、氨氮、总磷仍采用现状监测浓度。</w:t>
      </w:r>
    </w:p>
    <w:p w14:paraId="13628410">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本次论证采用</w:t>
      </w:r>
      <w:r>
        <w:rPr>
          <w:rFonts w:hint="default" w:ascii="Times New Roman" w:hAnsi="Times New Roman" w:eastAsia="宋体" w:cs="Times New Roman"/>
          <w:color w:val="auto"/>
          <w:kern w:val="2"/>
          <w:sz w:val="24"/>
          <w:szCs w:val="20"/>
          <w:highlight w:val="none"/>
          <w:lang w:val="en-US" w:eastAsia="zh-CN" w:bidi="ar-SA"/>
        </w:rPr>
        <w:t>2023年企业总排口在线监测数据，</w:t>
      </w:r>
      <w:r>
        <w:rPr>
          <w:rFonts w:hint="eastAsia" w:ascii="Times New Roman" w:hAnsi="Times New Roman" w:eastAsia="宋体" w:cs="Times New Roman"/>
          <w:color w:val="auto"/>
          <w:kern w:val="2"/>
          <w:sz w:val="24"/>
          <w:szCs w:val="20"/>
          <w:highlight w:val="none"/>
          <w:lang w:val="en-US" w:eastAsia="zh-CN" w:bidi="ar-SA"/>
        </w:rPr>
        <w:t>选用排放浓度的</w:t>
      </w:r>
      <w:r>
        <w:rPr>
          <w:rFonts w:hint="eastAsia" w:cs="Times New Roman"/>
          <w:color w:val="auto"/>
          <w:kern w:val="2"/>
          <w:sz w:val="24"/>
          <w:szCs w:val="20"/>
          <w:highlight w:val="none"/>
          <w:lang w:val="en-US" w:eastAsia="zh-CN" w:bidi="ar-SA"/>
        </w:rPr>
        <w:t>平均值</w:t>
      </w:r>
      <w:r>
        <w:rPr>
          <w:rFonts w:hint="eastAsia" w:ascii="Times New Roman" w:hAnsi="Times New Roman" w:eastAsia="宋体" w:cs="Times New Roman"/>
          <w:color w:val="auto"/>
          <w:kern w:val="2"/>
          <w:sz w:val="24"/>
          <w:szCs w:val="20"/>
          <w:highlight w:val="none"/>
          <w:lang w:val="en-US" w:eastAsia="zh-CN" w:bidi="ar-SA"/>
        </w:rPr>
        <w:t>计算</w:t>
      </w:r>
      <w:r>
        <w:rPr>
          <w:rFonts w:hint="eastAsia" w:cs="Times New Roman"/>
          <w:color w:val="auto"/>
          <w:kern w:val="2"/>
          <w:sz w:val="24"/>
          <w:szCs w:val="20"/>
          <w:highlight w:val="none"/>
          <w:lang w:val="en-US" w:eastAsia="zh-CN" w:bidi="ar-SA"/>
        </w:rPr>
        <w:t>企业排放总量</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铅、汞、镉、铬无在线数据，本次论证采用企业2023年月度自行监测数据的平均值。</w:t>
      </w:r>
    </w:p>
    <w:p w14:paraId="46BAFC72">
      <w:pPr>
        <w:pStyle w:val="28"/>
        <w:keepNext/>
        <w:keepLines w:val="0"/>
        <w:pageBreakBefore w:val="0"/>
        <w:widowControl w:val="0"/>
        <w:tabs>
          <w:tab w:val="left" w:pos="2520"/>
        </w:tabs>
        <w:kinsoku/>
        <w:wordWrap/>
        <w:overflowPunct/>
        <w:topLinePunct w:val="0"/>
        <w:autoSpaceDE/>
        <w:autoSpaceDN/>
        <w:bidi w:val="0"/>
        <w:adjustRightInd/>
        <w:snapToGrid/>
        <w:textAlignment w:val="auto"/>
        <w:rPr>
          <w:rFonts w:hint="default"/>
          <w:lang w:val="en-US" w:eastAsia="zh-CN"/>
        </w:rPr>
      </w:pPr>
      <w:r>
        <w:rPr>
          <w:rFonts w:hint="default"/>
          <w:lang w:val="en-US" w:eastAsia="zh-CN"/>
        </w:rPr>
        <w:t>表</w:t>
      </w:r>
      <w:r>
        <w:rPr>
          <w:rFonts w:hint="default"/>
          <w:lang w:val="en-US" w:eastAsia="zh-CN"/>
        </w:rPr>
        <w:fldChar w:fldCharType="begin"/>
      </w:r>
      <w:r>
        <w:rPr>
          <w:rFonts w:hint="default"/>
          <w:lang w:val="en-US" w:eastAsia="zh-CN"/>
        </w:rPr>
        <w:instrText xml:space="preserve"> STYLEREF guo-二级标题 \n </w:instrText>
      </w:r>
      <w:r>
        <w:rPr>
          <w:rFonts w:hint="default"/>
          <w:lang w:val="en-US" w:eastAsia="zh-CN"/>
        </w:rPr>
        <w:fldChar w:fldCharType="separate"/>
      </w:r>
      <w:r>
        <w:rPr>
          <w:rFonts w:hint="default"/>
          <w:lang w:val="en-US" w:eastAsia="zh-CN"/>
        </w:rPr>
        <w:t>2.1</w:t>
      </w:r>
      <w:r>
        <w:rPr>
          <w:rFonts w:hint="default"/>
          <w:lang w:val="en-US" w:eastAsia="zh-CN"/>
        </w:rPr>
        <w:fldChar w:fldCharType="end"/>
      </w:r>
      <w:r>
        <w:rPr>
          <w:rFonts w:hint="default"/>
          <w:lang w:val="en-US" w:eastAsia="zh-CN"/>
        </w:rPr>
        <w:t>–</w:t>
      </w:r>
      <w:r>
        <w:rPr>
          <w:rFonts w:hint="default"/>
          <w:lang w:val="en-US" w:eastAsia="zh-CN"/>
        </w:rPr>
        <w:fldChar w:fldCharType="begin"/>
      </w:r>
      <w:r>
        <w:rPr>
          <w:rFonts w:hint="default"/>
          <w:lang w:val="en-US" w:eastAsia="zh-CN"/>
        </w:rPr>
        <w:instrText xml:space="preserve"> SEQ 表 \* ARABIC \s 2 </w:instrText>
      </w:r>
      <w:r>
        <w:rPr>
          <w:rFonts w:hint="default"/>
          <w:lang w:val="en-US" w:eastAsia="zh-CN"/>
        </w:rPr>
        <w:fldChar w:fldCharType="separate"/>
      </w:r>
      <w:r>
        <w:rPr>
          <w:rFonts w:hint="default"/>
          <w:lang w:val="en-US" w:eastAsia="zh-CN"/>
        </w:rPr>
        <w:t>43</w:t>
      </w:r>
      <w:r>
        <w:rPr>
          <w:rFonts w:hint="default"/>
          <w:lang w:val="en-US" w:eastAsia="zh-CN"/>
        </w:rPr>
        <w:fldChar w:fldCharType="end"/>
      </w:r>
      <w:r>
        <w:rPr>
          <w:rFonts w:hint="default"/>
          <w:lang w:val="en-US" w:eastAsia="zh-CN"/>
        </w:rPr>
        <w:t xml:space="preserve">  </w:t>
      </w:r>
      <w:r>
        <w:rPr>
          <w:rFonts w:hint="eastAsia"/>
          <w:lang w:val="en-US" w:eastAsia="zh-CN"/>
        </w:rPr>
        <w:t>调整后</w:t>
      </w:r>
      <w:r>
        <w:rPr>
          <w:rFonts w:hint="default"/>
          <w:lang w:val="en-US" w:eastAsia="zh-CN"/>
        </w:rPr>
        <w:t>矿山废水污染物排放一览表</w:t>
      </w:r>
    </w:p>
    <w:tbl>
      <w:tblPr>
        <w:tblStyle w:val="21"/>
        <w:tblW w:w="508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 w:type="dxa"/>
          <w:bottom w:w="0" w:type="dxa"/>
          <w:right w:w="11" w:type="dxa"/>
        </w:tblCellMar>
      </w:tblPr>
      <w:tblGrid>
        <w:gridCol w:w="517"/>
        <w:gridCol w:w="1202"/>
        <w:gridCol w:w="596"/>
        <w:gridCol w:w="713"/>
        <w:gridCol w:w="1058"/>
        <w:gridCol w:w="1193"/>
        <w:gridCol w:w="1018"/>
        <w:gridCol w:w="1091"/>
        <w:gridCol w:w="1818"/>
      </w:tblGrid>
      <w:tr w14:paraId="364D7C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946" w:hRule="atLeast"/>
          <w:jc w:val="center"/>
        </w:trPr>
        <w:tc>
          <w:tcPr>
            <w:tcW w:w="280" w:type="pct"/>
            <w:tcBorders>
              <w:tl2br w:val="nil"/>
              <w:tr2bl w:val="nil"/>
            </w:tcBorders>
            <w:shd w:val="clear" w:color="auto" w:fill="auto"/>
            <w:noWrap/>
            <w:vAlign w:val="center"/>
          </w:tcPr>
          <w:p w14:paraId="407F89A9">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652" w:type="pct"/>
            <w:tcBorders>
              <w:tl2br w:val="nil"/>
              <w:tr2bl w:val="nil"/>
            </w:tcBorders>
            <w:shd w:val="clear" w:color="auto" w:fill="auto"/>
            <w:noWrap/>
            <w:vAlign w:val="center"/>
          </w:tcPr>
          <w:p w14:paraId="45DBADC5">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平均</w:t>
            </w:r>
            <w:r>
              <w:rPr>
                <w:rFonts w:hint="default"/>
                <w:color w:val="auto"/>
                <w:highlight w:val="none"/>
                <w:lang w:val="en-US" w:eastAsia="zh-CN"/>
              </w:rPr>
              <w:t>排放浓度（mg/L）</w:t>
            </w:r>
          </w:p>
        </w:tc>
        <w:tc>
          <w:tcPr>
            <w:tcW w:w="323" w:type="pct"/>
            <w:tcBorders>
              <w:tl2br w:val="nil"/>
              <w:tr2bl w:val="nil"/>
            </w:tcBorders>
            <w:shd w:val="clear" w:color="auto" w:fill="auto"/>
            <w:noWrap/>
            <w:vAlign w:val="center"/>
          </w:tcPr>
          <w:p w14:paraId="0F11FBFB">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排放</w:t>
            </w:r>
          </w:p>
          <w:p w14:paraId="4BE68047">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w:t>
            </w:r>
          </w:p>
          <w:p w14:paraId="63E3B366">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（mg/L）</w:t>
            </w:r>
          </w:p>
        </w:tc>
        <w:tc>
          <w:tcPr>
            <w:tcW w:w="387" w:type="pct"/>
            <w:tcBorders>
              <w:tl2br w:val="nil"/>
              <w:tr2bl w:val="nil"/>
            </w:tcBorders>
            <w:shd w:val="clear" w:color="auto" w:fill="auto"/>
            <w:noWrap/>
            <w:vAlign w:val="center"/>
          </w:tcPr>
          <w:p w14:paraId="52F2AEC0">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废水排放量</w:t>
            </w:r>
          </w:p>
          <w:p w14:paraId="6BEB51BE">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（万t/a）</w:t>
            </w:r>
          </w:p>
        </w:tc>
        <w:tc>
          <w:tcPr>
            <w:tcW w:w="574" w:type="pct"/>
            <w:tcBorders>
              <w:tl2br w:val="nil"/>
              <w:tr2bl w:val="nil"/>
            </w:tcBorders>
            <w:shd w:val="clear" w:color="auto" w:fill="auto"/>
            <w:noWrap/>
            <w:vAlign w:val="center"/>
          </w:tcPr>
          <w:p w14:paraId="37FC5B05">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预测排放总量</w:t>
            </w:r>
          </w:p>
          <w:p w14:paraId="2920EA34">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（t/a）</w:t>
            </w:r>
          </w:p>
        </w:tc>
        <w:tc>
          <w:tcPr>
            <w:tcW w:w="647" w:type="pct"/>
            <w:tcBorders>
              <w:tl2br w:val="nil"/>
              <w:tr2bl w:val="nil"/>
            </w:tcBorders>
            <w:shd w:val="clear" w:color="auto" w:fill="auto"/>
            <w:noWrap/>
            <w:vAlign w:val="center"/>
          </w:tcPr>
          <w:p w14:paraId="7F3260E3">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现状排放总量</w:t>
            </w:r>
          </w:p>
          <w:p w14:paraId="090E7788">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（t/a）</w:t>
            </w:r>
          </w:p>
        </w:tc>
        <w:tc>
          <w:tcPr>
            <w:tcW w:w="552" w:type="pct"/>
            <w:tcBorders>
              <w:tl2br w:val="nil"/>
              <w:tr2bl w:val="nil"/>
            </w:tcBorders>
            <w:shd w:val="clear" w:color="auto" w:fill="auto"/>
            <w:noWrap/>
            <w:vAlign w:val="center"/>
          </w:tcPr>
          <w:p w14:paraId="16D53FC1">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变化</w:t>
            </w:r>
          </w:p>
          <w:p w14:paraId="45958EB3">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情况</w:t>
            </w:r>
          </w:p>
          <w:p w14:paraId="5B7FCD9A">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（t/a）</w:t>
            </w:r>
          </w:p>
        </w:tc>
        <w:tc>
          <w:tcPr>
            <w:tcW w:w="592" w:type="pct"/>
            <w:tcBorders>
              <w:tl2br w:val="nil"/>
              <w:tr2bl w:val="nil"/>
            </w:tcBorders>
            <w:shd w:val="clear" w:color="auto" w:fill="auto"/>
            <w:noWrap/>
            <w:vAlign w:val="center"/>
          </w:tcPr>
          <w:p w14:paraId="0D4C86FB">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排污权量</w:t>
            </w:r>
          </w:p>
          <w:p w14:paraId="30A598E7">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（t/a）</w:t>
            </w:r>
          </w:p>
        </w:tc>
        <w:tc>
          <w:tcPr>
            <w:tcW w:w="987" w:type="pct"/>
            <w:tcBorders>
              <w:tl2br w:val="nil"/>
              <w:tr2bl w:val="nil"/>
            </w:tcBorders>
            <w:shd w:val="clear" w:color="auto" w:fill="auto"/>
            <w:noWrap/>
            <w:vAlign w:val="center"/>
          </w:tcPr>
          <w:p w14:paraId="78B08447">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备注</w:t>
            </w:r>
          </w:p>
        </w:tc>
      </w:tr>
      <w:tr w14:paraId="447684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020CC2D8">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COD</w:t>
            </w:r>
          </w:p>
        </w:tc>
        <w:tc>
          <w:tcPr>
            <w:tcW w:w="652" w:type="pct"/>
            <w:tcBorders>
              <w:tl2br w:val="nil"/>
              <w:tr2bl w:val="nil"/>
            </w:tcBorders>
            <w:shd w:val="clear" w:color="auto" w:fill="auto"/>
            <w:noWrap/>
            <w:vAlign w:val="center"/>
          </w:tcPr>
          <w:p w14:paraId="30EF063D">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6.15</w:t>
            </w:r>
          </w:p>
        </w:tc>
        <w:tc>
          <w:tcPr>
            <w:tcW w:w="323" w:type="pct"/>
            <w:tcBorders>
              <w:tl2br w:val="nil"/>
              <w:tr2bl w:val="nil"/>
            </w:tcBorders>
            <w:shd w:val="clear" w:color="auto" w:fill="auto"/>
            <w:noWrap/>
            <w:vAlign w:val="center"/>
          </w:tcPr>
          <w:p w14:paraId="777D8E48">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60</w:t>
            </w:r>
          </w:p>
        </w:tc>
        <w:tc>
          <w:tcPr>
            <w:tcW w:w="387" w:type="pct"/>
            <w:vMerge w:val="restart"/>
            <w:tcBorders>
              <w:tl2br w:val="nil"/>
              <w:tr2bl w:val="nil"/>
            </w:tcBorders>
            <w:shd w:val="clear" w:color="auto" w:fill="auto"/>
            <w:noWrap/>
            <w:vAlign w:val="center"/>
          </w:tcPr>
          <w:p w14:paraId="40A7E220">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86.64</w:t>
            </w:r>
          </w:p>
        </w:tc>
        <w:tc>
          <w:tcPr>
            <w:tcW w:w="574" w:type="pct"/>
            <w:tcBorders>
              <w:tl2br w:val="nil"/>
              <w:tr2bl w:val="nil"/>
            </w:tcBorders>
            <w:shd w:val="clear" w:color="auto" w:fill="auto"/>
            <w:noWrap/>
            <w:vAlign w:val="center"/>
          </w:tcPr>
          <w:p w14:paraId="7F158680">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5.328</w:t>
            </w:r>
          </w:p>
        </w:tc>
        <w:tc>
          <w:tcPr>
            <w:tcW w:w="647" w:type="pct"/>
            <w:tcBorders>
              <w:tl2br w:val="nil"/>
              <w:tr2bl w:val="nil"/>
            </w:tcBorders>
            <w:shd w:val="clear" w:color="auto" w:fill="auto"/>
            <w:noWrap/>
            <w:vAlign w:val="center"/>
          </w:tcPr>
          <w:p w14:paraId="6B052BFB">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5.123</w:t>
            </w:r>
          </w:p>
        </w:tc>
        <w:tc>
          <w:tcPr>
            <w:tcW w:w="552" w:type="pct"/>
            <w:tcBorders>
              <w:tl2br w:val="nil"/>
              <w:tr2bl w:val="nil"/>
            </w:tcBorders>
            <w:shd w:val="clear" w:color="auto" w:fill="auto"/>
            <w:noWrap/>
            <w:vAlign w:val="center"/>
          </w:tcPr>
          <w:p w14:paraId="597FFF9C">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0.205</w:t>
            </w:r>
          </w:p>
        </w:tc>
        <w:tc>
          <w:tcPr>
            <w:tcW w:w="592" w:type="pct"/>
            <w:tcBorders>
              <w:tl2br w:val="nil"/>
              <w:tr2bl w:val="nil"/>
            </w:tcBorders>
            <w:shd w:val="clear" w:color="auto" w:fill="auto"/>
            <w:noWrap/>
            <w:vAlign w:val="center"/>
          </w:tcPr>
          <w:p w14:paraId="01244FF7">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6.83</w:t>
            </w:r>
          </w:p>
        </w:tc>
        <w:tc>
          <w:tcPr>
            <w:tcW w:w="987" w:type="pct"/>
            <w:tcBorders>
              <w:tl2br w:val="nil"/>
              <w:tr2bl w:val="nil"/>
            </w:tcBorders>
            <w:shd w:val="clear" w:color="auto" w:fill="auto"/>
            <w:noWrap/>
            <w:vAlign w:val="center"/>
          </w:tcPr>
          <w:p w14:paraId="018219AC">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w:t>
            </w:r>
          </w:p>
        </w:tc>
      </w:tr>
      <w:tr w14:paraId="769D40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4165C259">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氨氮</w:t>
            </w:r>
          </w:p>
        </w:tc>
        <w:tc>
          <w:tcPr>
            <w:tcW w:w="652" w:type="pct"/>
            <w:tcBorders>
              <w:tl2br w:val="nil"/>
              <w:tr2bl w:val="nil"/>
            </w:tcBorders>
            <w:shd w:val="clear" w:color="auto" w:fill="auto"/>
            <w:noWrap/>
            <w:vAlign w:val="center"/>
          </w:tcPr>
          <w:p w14:paraId="47F974BA">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0.32</w:t>
            </w:r>
          </w:p>
        </w:tc>
        <w:tc>
          <w:tcPr>
            <w:tcW w:w="323" w:type="pct"/>
            <w:tcBorders>
              <w:tl2br w:val="nil"/>
              <w:tr2bl w:val="nil"/>
            </w:tcBorders>
            <w:shd w:val="clear" w:color="auto" w:fill="auto"/>
            <w:noWrap/>
            <w:vAlign w:val="center"/>
          </w:tcPr>
          <w:p w14:paraId="74DC5FC5">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8.0</w:t>
            </w:r>
          </w:p>
        </w:tc>
        <w:tc>
          <w:tcPr>
            <w:tcW w:w="387" w:type="pct"/>
            <w:vMerge w:val="continue"/>
            <w:tcBorders>
              <w:tl2br w:val="nil"/>
              <w:tr2bl w:val="nil"/>
            </w:tcBorders>
            <w:shd w:val="clear" w:color="auto" w:fill="auto"/>
            <w:noWrap/>
            <w:vAlign w:val="center"/>
          </w:tcPr>
          <w:p w14:paraId="6379242E">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5C8CB6F8">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0.277</w:t>
            </w:r>
          </w:p>
        </w:tc>
        <w:tc>
          <w:tcPr>
            <w:tcW w:w="647" w:type="pct"/>
            <w:tcBorders>
              <w:tl2br w:val="nil"/>
              <w:tr2bl w:val="nil"/>
            </w:tcBorders>
            <w:shd w:val="clear" w:color="auto" w:fill="auto"/>
            <w:noWrap/>
            <w:vAlign w:val="center"/>
          </w:tcPr>
          <w:p w14:paraId="41605F59">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0.267</w:t>
            </w:r>
          </w:p>
        </w:tc>
        <w:tc>
          <w:tcPr>
            <w:tcW w:w="552" w:type="pct"/>
            <w:tcBorders>
              <w:tl2br w:val="nil"/>
              <w:tr2bl w:val="nil"/>
            </w:tcBorders>
            <w:shd w:val="clear" w:color="auto" w:fill="auto"/>
            <w:noWrap/>
            <w:vAlign w:val="center"/>
          </w:tcPr>
          <w:p w14:paraId="49B93871">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0.010</w:t>
            </w:r>
          </w:p>
        </w:tc>
        <w:tc>
          <w:tcPr>
            <w:tcW w:w="592" w:type="pct"/>
            <w:tcBorders>
              <w:tl2br w:val="nil"/>
              <w:tr2bl w:val="nil"/>
            </w:tcBorders>
            <w:shd w:val="clear" w:color="auto" w:fill="auto"/>
            <w:noWrap/>
            <w:vAlign w:val="center"/>
          </w:tcPr>
          <w:p w14:paraId="09251320">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0.37</w:t>
            </w:r>
          </w:p>
        </w:tc>
        <w:tc>
          <w:tcPr>
            <w:tcW w:w="987" w:type="pct"/>
            <w:tcBorders>
              <w:tl2br w:val="nil"/>
              <w:tr2bl w:val="nil"/>
            </w:tcBorders>
            <w:shd w:val="clear" w:color="auto" w:fill="auto"/>
            <w:noWrap/>
            <w:vAlign w:val="center"/>
          </w:tcPr>
          <w:p w14:paraId="2150F0A2">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w:t>
            </w:r>
          </w:p>
        </w:tc>
      </w:tr>
      <w:tr w14:paraId="3CBAF8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2E886AFD">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总磷</w:t>
            </w:r>
          </w:p>
        </w:tc>
        <w:tc>
          <w:tcPr>
            <w:tcW w:w="652" w:type="pct"/>
            <w:tcBorders>
              <w:tl2br w:val="nil"/>
              <w:tr2bl w:val="nil"/>
            </w:tcBorders>
            <w:shd w:val="clear" w:color="auto" w:fill="auto"/>
            <w:noWrap/>
            <w:vAlign w:val="center"/>
          </w:tcPr>
          <w:p w14:paraId="224E0788">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0.04</w:t>
            </w:r>
          </w:p>
        </w:tc>
        <w:tc>
          <w:tcPr>
            <w:tcW w:w="323" w:type="pct"/>
            <w:tcBorders>
              <w:tl2br w:val="nil"/>
              <w:tr2bl w:val="nil"/>
            </w:tcBorders>
            <w:shd w:val="clear" w:color="auto" w:fill="auto"/>
            <w:noWrap/>
            <w:vAlign w:val="center"/>
          </w:tcPr>
          <w:p w14:paraId="4823BA70">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1.0</w:t>
            </w:r>
          </w:p>
        </w:tc>
        <w:tc>
          <w:tcPr>
            <w:tcW w:w="387" w:type="pct"/>
            <w:vMerge w:val="continue"/>
            <w:tcBorders>
              <w:tl2br w:val="nil"/>
              <w:tr2bl w:val="nil"/>
            </w:tcBorders>
            <w:shd w:val="clear" w:color="auto" w:fill="auto"/>
            <w:noWrap/>
            <w:vAlign w:val="center"/>
          </w:tcPr>
          <w:p w14:paraId="1C50C52D">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02B6B469">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0.035</w:t>
            </w:r>
          </w:p>
        </w:tc>
        <w:tc>
          <w:tcPr>
            <w:tcW w:w="647" w:type="pct"/>
            <w:tcBorders>
              <w:tl2br w:val="nil"/>
              <w:tr2bl w:val="nil"/>
            </w:tcBorders>
            <w:shd w:val="clear" w:color="auto" w:fill="auto"/>
            <w:noWrap/>
            <w:vAlign w:val="center"/>
          </w:tcPr>
          <w:p w14:paraId="1494A813">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0.033</w:t>
            </w:r>
          </w:p>
        </w:tc>
        <w:tc>
          <w:tcPr>
            <w:tcW w:w="552" w:type="pct"/>
            <w:tcBorders>
              <w:tl2br w:val="nil"/>
              <w:tr2bl w:val="nil"/>
            </w:tcBorders>
            <w:shd w:val="clear" w:color="auto" w:fill="auto"/>
            <w:noWrap/>
            <w:vAlign w:val="center"/>
          </w:tcPr>
          <w:p w14:paraId="78A17F42">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0.002</w:t>
            </w:r>
          </w:p>
        </w:tc>
        <w:tc>
          <w:tcPr>
            <w:tcW w:w="592" w:type="pct"/>
            <w:tcBorders>
              <w:tl2br w:val="nil"/>
              <w:tr2bl w:val="nil"/>
            </w:tcBorders>
            <w:shd w:val="clear" w:color="auto" w:fill="auto"/>
            <w:noWrap/>
            <w:vAlign w:val="center"/>
          </w:tcPr>
          <w:p w14:paraId="312259DC">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w:t>
            </w:r>
          </w:p>
        </w:tc>
        <w:tc>
          <w:tcPr>
            <w:tcW w:w="987" w:type="pct"/>
            <w:tcBorders>
              <w:tl2br w:val="nil"/>
              <w:tr2bl w:val="nil"/>
            </w:tcBorders>
            <w:shd w:val="clear" w:color="auto" w:fill="auto"/>
            <w:noWrap/>
            <w:vAlign w:val="center"/>
          </w:tcPr>
          <w:p w14:paraId="39E7D72D">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w:t>
            </w:r>
          </w:p>
        </w:tc>
      </w:tr>
      <w:tr w14:paraId="346BF3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54319BB5">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砷</w:t>
            </w:r>
          </w:p>
        </w:tc>
        <w:tc>
          <w:tcPr>
            <w:tcW w:w="652" w:type="pct"/>
            <w:tcBorders>
              <w:tl2br w:val="nil"/>
              <w:tr2bl w:val="nil"/>
            </w:tcBorders>
            <w:shd w:val="clear" w:color="auto" w:fill="auto"/>
            <w:noWrap/>
            <w:vAlign w:val="center"/>
          </w:tcPr>
          <w:p w14:paraId="7BEB9CCA">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0.034</w:t>
            </w:r>
          </w:p>
        </w:tc>
        <w:tc>
          <w:tcPr>
            <w:tcW w:w="323" w:type="pct"/>
            <w:tcBorders>
              <w:tl2br w:val="nil"/>
              <w:tr2bl w:val="nil"/>
            </w:tcBorders>
            <w:shd w:val="clear" w:color="auto" w:fill="auto"/>
            <w:noWrap/>
            <w:vAlign w:val="center"/>
          </w:tcPr>
          <w:p w14:paraId="47D8D269">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0.1</w:t>
            </w:r>
          </w:p>
        </w:tc>
        <w:tc>
          <w:tcPr>
            <w:tcW w:w="387" w:type="pct"/>
            <w:vMerge w:val="continue"/>
            <w:tcBorders>
              <w:tl2br w:val="nil"/>
              <w:tr2bl w:val="nil"/>
            </w:tcBorders>
            <w:shd w:val="clear" w:color="auto" w:fill="auto"/>
            <w:noWrap/>
            <w:vAlign w:val="center"/>
          </w:tcPr>
          <w:p w14:paraId="259A39C8">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10C325DF">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29.458kg/a</w:t>
            </w:r>
          </w:p>
        </w:tc>
        <w:tc>
          <w:tcPr>
            <w:tcW w:w="647" w:type="pct"/>
            <w:tcBorders>
              <w:tl2br w:val="nil"/>
              <w:tr2bl w:val="nil"/>
            </w:tcBorders>
            <w:shd w:val="clear" w:color="auto" w:fill="auto"/>
            <w:noWrap/>
            <w:vAlign w:val="center"/>
          </w:tcPr>
          <w:p w14:paraId="3DFA87FD">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28.322kg/a</w:t>
            </w:r>
          </w:p>
        </w:tc>
        <w:tc>
          <w:tcPr>
            <w:tcW w:w="552" w:type="pct"/>
            <w:tcBorders>
              <w:tl2br w:val="nil"/>
              <w:tr2bl w:val="nil"/>
            </w:tcBorders>
            <w:shd w:val="clear" w:color="auto" w:fill="auto"/>
            <w:noWrap/>
            <w:vAlign w:val="center"/>
          </w:tcPr>
          <w:p w14:paraId="31874E61">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1.136kg/a</w:t>
            </w:r>
          </w:p>
        </w:tc>
        <w:tc>
          <w:tcPr>
            <w:tcW w:w="592" w:type="pct"/>
            <w:tcBorders>
              <w:tl2br w:val="nil"/>
              <w:tr2bl w:val="nil"/>
            </w:tcBorders>
            <w:shd w:val="clear" w:color="auto" w:fill="auto"/>
            <w:noWrap/>
            <w:vAlign w:val="center"/>
          </w:tcPr>
          <w:p w14:paraId="6926F988">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169.61kg/a</w:t>
            </w:r>
          </w:p>
        </w:tc>
        <w:tc>
          <w:tcPr>
            <w:tcW w:w="987" w:type="pct"/>
            <w:vMerge w:val="restart"/>
            <w:tcBorders>
              <w:tl2br w:val="nil"/>
              <w:tr2bl w:val="nil"/>
            </w:tcBorders>
            <w:shd w:val="clear" w:color="auto" w:fill="auto"/>
            <w:noWrap/>
            <w:vAlign w:val="center"/>
          </w:tcPr>
          <w:p w14:paraId="6EF3520F">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铅、汞、镉、铬、砷重点重金属总量指标可相互替换使用</w:t>
            </w:r>
          </w:p>
        </w:tc>
      </w:tr>
      <w:tr w14:paraId="2C8D95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471D6F26">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铅</w:t>
            </w:r>
          </w:p>
        </w:tc>
        <w:tc>
          <w:tcPr>
            <w:tcW w:w="652" w:type="pct"/>
            <w:tcBorders>
              <w:tl2br w:val="nil"/>
              <w:tr2bl w:val="nil"/>
            </w:tcBorders>
            <w:shd w:val="clear" w:color="auto" w:fill="auto"/>
            <w:noWrap/>
            <w:vAlign w:val="center"/>
          </w:tcPr>
          <w:p w14:paraId="230A3668">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0.024</w:t>
            </w:r>
          </w:p>
        </w:tc>
        <w:tc>
          <w:tcPr>
            <w:tcW w:w="323" w:type="pct"/>
            <w:tcBorders>
              <w:tl2br w:val="nil"/>
              <w:tr2bl w:val="nil"/>
            </w:tcBorders>
            <w:shd w:val="clear" w:color="auto" w:fill="auto"/>
            <w:noWrap/>
            <w:vAlign w:val="center"/>
          </w:tcPr>
          <w:p w14:paraId="13716A1A">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w:t>
            </w:r>
          </w:p>
        </w:tc>
        <w:tc>
          <w:tcPr>
            <w:tcW w:w="387" w:type="pct"/>
            <w:vMerge w:val="continue"/>
            <w:tcBorders>
              <w:tl2br w:val="nil"/>
              <w:tr2bl w:val="nil"/>
            </w:tcBorders>
            <w:shd w:val="clear" w:color="auto" w:fill="auto"/>
            <w:noWrap/>
            <w:vAlign w:val="center"/>
          </w:tcPr>
          <w:p w14:paraId="21DD10D6">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4CB11223">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20.794kg/a</w:t>
            </w:r>
          </w:p>
        </w:tc>
        <w:tc>
          <w:tcPr>
            <w:tcW w:w="647" w:type="pct"/>
            <w:tcBorders>
              <w:tl2br w:val="nil"/>
              <w:tr2bl w:val="nil"/>
            </w:tcBorders>
            <w:shd w:val="clear" w:color="auto" w:fill="auto"/>
            <w:noWrap/>
            <w:vAlign w:val="center"/>
          </w:tcPr>
          <w:p w14:paraId="2CC3851A">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19.992kg/a</w:t>
            </w:r>
          </w:p>
        </w:tc>
        <w:tc>
          <w:tcPr>
            <w:tcW w:w="552" w:type="pct"/>
            <w:tcBorders>
              <w:tl2br w:val="nil"/>
              <w:tr2bl w:val="nil"/>
            </w:tcBorders>
            <w:shd w:val="clear" w:color="auto" w:fill="auto"/>
            <w:noWrap/>
            <w:vAlign w:val="center"/>
          </w:tcPr>
          <w:p w14:paraId="284C7A54">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0.802kg/a</w:t>
            </w:r>
          </w:p>
        </w:tc>
        <w:tc>
          <w:tcPr>
            <w:tcW w:w="592" w:type="pct"/>
            <w:tcBorders>
              <w:tl2br w:val="nil"/>
              <w:tr2bl w:val="nil"/>
            </w:tcBorders>
            <w:shd w:val="clear" w:color="auto" w:fill="auto"/>
            <w:noWrap/>
            <w:vAlign w:val="center"/>
          </w:tcPr>
          <w:p w14:paraId="322D91FD">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384.31kg/a</w:t>
            </w:r>
          </w:p>
        </w:tc>
        <w:tc>
          <w:tcPr>
            <w:tcW w:w="987" w:type="pct"/>
            <w:vMerge w:val="continue"/>
            <w:tcBorders>
              <w:tl2br w:val="nil"/>
              <w:tr2bl w:val="nil"/>
            </w:tcBorders>
            <w:shd w:val="clear" w:color="auto" w:fill="auto"/>
            <w:noWrap/>
            <w:vAlign w:val="center"/>
          </w:tcPr>
          <w:p w14:paraId="3D507FA3">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p>
        </w:tc>
      </w:tr>
      <w:tr w14:paraId="2C1C15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102D479D">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汞</w:t>
            </w:r>
          </w:p>
        </w:tc>
        <w:tc>
          <w:tcPr>
            <w:tcW w:w="652" w:type="pct"/>
            <w:tcBorders>
              <w:tl2br w:val="nil"/>
              <w:tr2bl w:val="nil"/>
            </w:tcBorders>
            <w:shd w:val="clear" w:color="auto" w:fill="auto"/>
            <w:noWrap/>
            <w:vAlign w:val="center"/>
          </w:tcPr>
          <w:p w14:paraId="7D583636">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0.00007</w:t>
            </w:r>
          </w:p>
        </w:tc>
        <w:tc>
          <w:tcPr>
            <w:tcW w:w="323" w:type="pct"/>
            <w:tcBorders>
              <w:tl2br w:val="nil"/>
              <w:tr2bl w:val="nil"/>
            </w:tcBorders>
            <w:shd w:val="clear" w:color="auto" w:fill="auto"/>
            <w:noWrap/>
            <w:vAlign w:val="center"/>
          </w:tcPr>
          <w:p w14:paraId="6154F2DB">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0.005</w:t>
            </w:r>
          </w:p>
        </w:tc>
        <w:tc>
          <w:tcPr>
            <w:tcW w:w="387" w:type="pct"/>
            <w:vMerge w:val="continue"/>
            <w:tcBorders>
              <w:tl2br w:val="nil"/>
              <w:tr2bl w:val="nil"/>
            </w:tcBorders>
            <w:shd w:val="clear" w:color="auto" w:fill="auto"/>
            <w:noWrap/>
            <w:vAlign w:val="center"/>
          </w:tcPr>
          <w:p w14:paraId="2AC17E1D">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34078882">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0.061kg/a</w:t>
            </w:r>
          </w:p>
        </w:tc>
        <w:tc>
          <w:tcPr>
            <w:tcW w:w="647" w:type="pct"/>
            <w:tcBorders>
              <w:tl2br w:val="nil"/>
              <w:tr2bl w:val="nil"/>
            </w:tcBorders>
            <w:shd w:val="clear" w:color="auto" w:fill="auto"/>
            <w:noWrap/>
            <w:vAlign w:val="center"/>
          </w:tcPr>
          <w:p w14:paraId="0BFC2A3B">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0.058kg/a</w:t>
            </w:r>
          </w:p>
        </w:tc>
        <w:tc>
          <w:tcPr>
            <w:tcW w:w="552" w:type="pct"/>
            <w:tcBorders>
              <w:tl2br w:val="nil"/>
              <w:tr2bl w:val="nil"/>
            </w:tcBorders>
            <w:shd w:val="clear" w:color="auto" w:fill="auto"/>
            <w:noWrap/>
            <w:vAlign w:val="center"/>
          </w:tcPr>
          <w:p w14:paraId="023C2ECD">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0.003kg/a</w:t>
            </w:r>
          </w:p>
        </w:tc>
        <w:tc>
          <w:tcPr>
            <w:tcW w:w="592" w:type="pct"/>
            <w:tcBorders>
              <w:tl2br w:val="nil"/>
              <w:tr2bl w:val="nil"/>
            </w:tcBorders>
            <w:shd w:val="clear" w:color="auto" w:fill="auto"/>
            <w:noWrap/>
            <w:vAlign w:val="center"/>
          </w:tcPr>
          <w:p w14:paraId="59291C03">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0kg/a</w:t>
            </w:r>
          </w:p>
        </w:tc>
        <w:tc>
          <w:tcPr>
            <w:tcW w:w="987" w:type="pct"/>
            <w:vMerge w:val="continue"/>
            <w:tcBorders>
              <w:tl2br w:val="nil"/>
              <w:tr2bl w:val="nil"/>
            </w:tcBorders>
            <w:shd w:val="clear" w:color="auto" w:fill="auto"/>
            <w:noWrap/>
            <w:vAlign w:val="center"/>
          </w:tcPr>
          <w:p w14:paraId="77BE97B5">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p>
        </w:tc>
      </w:tr>
      <w:tr w14:paraId="0CBFE4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11591405">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镉</w:t>
            </w:r>
          </w:p>
        </w:tc>
        <w:tc>
          <w:tcPr>
            <w:tcW w:w="652" w:type="pct"/>
            <w:tcBorders>
              <w:tl2br w:val="nil"/>
              <w:tr2bl w:val="nil"/>
            </w:tcBorders>
            <w:shd w:val="clear" w:color="auto" w:fill="auto"/>
            <w:noWrap/>
            <w:vAlign w:val="center"/>
          </w:tcPr>
          <w:p w14:paraId="0E514988">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0.003</w:t>
            </w:r>
          </w:p>
        </w:tc>
        <w:tc>
          <w:tcPr>
            <w:tcW w:w="323" w:type="pct"/>
            <w:tcBorders>
              <w:tl2br w:val="nil"/>
              <w:tr2bl w:val="nil"/>
            </w:tcBorders>
            <w:shd w:val="clear" w:color="auto" w:fill="auto"/>
            <w:noWrap/>
            <w:vAlign w:val="center"/>
          </w:tcPr>
          <w:p w14:paraId="2ADAFA3F">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0.02</w:t>
            </w:r>
          </w:p>
        </w:tc>
        <w:tc>
          <w:tcPr>
            <w:tcW w:w="387" w:type="pct"/>
            <w:vMerge w:val="continue"/>
            <w:tcBorders>
              <w:tl2br w:val="nil"/>
              <w:tr2bl w:val="nil"/>
            </w:tcBorders>
            <w:shd w:val="clear" w:color="auto" w:fill="auto"/>
            <w:noWrap/>
            <w:vAlign w:val="center"/>
          </w:tcPr>
          <w:p w14:paraId="79D80364">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5ECBC869">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2.599kg/a</w:t>
            </w:r>
          </w:p>
        </w:tc>
        <w:tc>
          <w:tcPr>
            <w:tcW w:w="647" w:type="pct"/>
            <w:tcBorders>
              <w:tl2br w:val="nil"/>
              <w:tr2bl w:val="nil"/>
            </w:tcBorders>
            <w:shd w:val="clear" w:color="auto" w:fill="auto"/>
            <w:noWrap/>
            <w:vAlign w:val="center"/>
          </w:tcPr>
          <w:p w14:paraId="739EDB2C">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2.499kg/a</w:t>
            </w:r>
          </w:p>
        </w:tc>
        <w:tc>
          <w:tcPr>
            <w:tcW w:w="552" w:type="pct"/>
            <w:tcBorders>
              <w:tl2br w:val="nil"/>
              <w:tr2bl w:val="nil"/>
            </w:tcBorders>
            <w:shd w:val="clear" w:color="auto" w:fill="auto"/>
            <w:noWrap/>
            <w:vAlign w:val="center"/>
          </w:tcPr>
          <w:p w14:paraId="6D545BD0">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0.100kg/a</w:t>
            </w:r>
          </w:p>
        </w:tc>
        <w:tc>
          <w:tcPr>
            <w:tcW w:w="592" w:type="pct"/>
            <w:tcBorders>
              <w:tl2br w:val="nil"/>
              <w:tr2bl w:val="nil"/>
            </w:tcBorders>
            <w:shd w:val="clear" w:color="auto" w:fill="auto"/>
            <w:noWrap/>
            <w:vAlign w:val="center"/>
          </w:tcPr>
          <w:p w14:paraId="73F36952">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1.37kg/a</w:t>
            </w:r>
          </w:p>
        </w:tc>
        <w:tc>
          <w:tcPr>
            <w:tcW w:w="987" w:type="pct"/>
            <w:vMerge w:val="continue"/>
            <w:tcBorders>
              <w:tl2br w:val="nil"/>
              <w:tr2bl w:val="nil"/>
            </w:tcBorders>
            <w:shd w:val="clear" w:color="auto" w:fill="auto"/>
            <w:noWrap/>
            <w:vAlign w:val="center"/>
          </w:tcPr>
          <w:p w14:paraId="10E5290A">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p>
        </w:tc>
      </w:tr>
      <w:tr w14:paraId="79EF24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7A7F0179">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锑</w:t>
            </w:r>
          </w:p>
        </w:tc>
        <w:tc>
          <w:tcPr>
            <w:tcW w:w="652" w:type="pct"/>
            <w:tcBorders>
              <w:tl2br w:val="nil"/>
              <w:tr2bl w:val="nil"/>
            </w:tcBorders>
            <w:shd w:val="clear" w:color="auto" w:fill="auto"/>
            <w:noWrap/>
            <w:vAlign w:val="center"/>
          </w:tcPr>
          <w:p w14:paraId="2343E3DF">
            <w:pPr>
              <w:pStyle w:val="26"/>
              <w:keepNext w:val="0"/>
              <w:keepLines w:val="0"/>
              <w:widowControl/>
              <w:suppressLineNumbers w:val="0"/>
              <w:pBdr>
                <w:top w:val="none" w:color="auto" w:sz="0" w:space="0"/>
                <w:left w:val="none" w:color="auto" w:sz="0" w:space="0"/>
                <w:bottom w:val="none" w:color="auto" w:sz="0" w:space="0"/>
                <w:right w:val="none" w:color="auto" w:sz="0" w:space="0"/>
              </w:pBdr>
              <w:tabs>
                <w:tab w:val="left" w:pos="2520"/>
              </w:tabs>
              <w:bidi w:val="0"/>
              <w:spacing w:before="0" w:beforeAutospacing="0" w:after="0" w:afterAutospacing="0" w:line="240" w:lineRule="auto"/>
              <w:ind w:left="0" w:leftChars="0" w:right="0" w:rightChars="0"/>
              <w:jc w:val="center"/>
              <w:outlineLvl w:val="9"/>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323" w:type="pct"/>
            <w:tcBorders>
              <w:tl2br w:val="nil"/>
              <w:tr2bl w:val="nil"/>
            </w:tcBorders>
            <w:shd w:val="clear" w:color="auto" w:fill="auto"/>
            <w:noWrap/>
            <w:vAlign w:val="center"/>
          </w:tcPr>
          <w:p w14:paraId="59612D02">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0.15</w:t>
            </w:r>
          </w:p>
        </w:tc>
        <w:tc>
          <w:tcPr>
            <w:tcW w:w="387" w:type="pct"/>
            <w:vMerge w:val="continue"/>
            <w:tcBorders>
              <w:tl2br w:val="nil"/>
              <w:tr2bl w:val="nil"/>
            </w:tcBorders>
            <w:shd w:val="clear" w:color="auto" w:fill="auto"/>
            <w:noWrap/>
            <w:vAlign w:val="center"/>
          </w:tcPr>
          <w:p w14:paraId="0704838D">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50C56BF9">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0.130</w:t>
            </w:r>
          </w:p>
        </w:tc>
        <w:tc>
          <w:tcPr>
            <w:tcW w:w="647" w:type="pct"/>
            <w:tcBorders>
              <w:tl2br w:val="nil"/>
              <w:tr2bl w:val="nil"/>
            </w:tcBorders>
            <w:shd w:val="clear" w:color="auto" w:fill="auto"/>
            <w:noWrap/>
            <w:vAlign w:val="center"/>
          </w:tcPr>
          <w:p w14:paraId="6F72C246">
            <w:pPr>
              <w:pStyle w:val="26"/>
              <w:keepNext w:val="0"/>
              <w:keepLines w:val="0"/>
              <w:widowControl/>
              <w:suppressLineNumbers w:val="0"/>
              <w:tabs>
                <w:tab w:val="left" w:pos="2520"/>
              </w:tabs>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0.083</w:t>
            </w:r>
          </w:p>
        </w:tc>
        <w:tc>
          <w:tcPr>
            <w:tcW w:w="552" w:type="pct"/>
            <w:tcBorders>
              <w:tl2br w:val="nil"/>
              <w:tr2bl w:val="nil"/>
            </w:tcBorders>
            <w:shd w:val="clear" w:color="auto" w:fill="auto"/>
            <w:noWrap/>
            <w:vAlign w:val="center"/>
          </w:tcPr>
          <w:p w14:paraId="44DDBD0B">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0.047</w:t>
            </w:r>
          </w:p>
        </w:tc>
        <w:tc>
          <w:tcPr>
            <w:tcW w:w="592" w:type="pct"/>
            <w:tcBorders>
              <w:tl2br w:val="nil"/>
              <w:tr2bl w:val="nil"/>
            </w:tcBorders>
            <w:shd w:val="clear" w:color="auto" w:fill="auto"/>
            <w:noWrap/>
            <w:vAlign w:val="center"/>
          </w:tcPr>
          <w:p w14:paraId="3487B027">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w:t>
            </w:r>
          </w:p>
        </w:tc>
        <w:tc>
          <w:tcPr>
            <w:tcW w:w="987" w:type="pct"/>
            <w:tcBorders>
              <w:tl2br w:val="nil"/>
              <w:tr2bl w:val="nil"/>
            </w:tcBorders>
            <w:shd w:val="clear" w:color="auto" w:fill="auto"/>
            <w:noWrap/>
            <w:vAlign w:val="center"/>
          </w:tcPr>
          <w:p w14:paraId="55B0A4E0">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p>
        </w:tc>
      </w:tr>
    </w:tbl>
    <w:p w14:paraId="115A8E47">
      <w:pPr>
        <w:widowControl w:val="0"/>
        <w:tabs>
          <w:tab w:val="left" w:pos="1021"/>
          <w:tab w:val="left" w:pos="2520"/>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二、排洪隧洞水</w:t>
      </w:r>
    </w:p>
    <w:p w14:paraId="6D58EEAA">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b w:val="0"/>
          <w:bCs w:val="0"/>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（1）浓度</w:t>
      </w:r>
    </w:p>
    <w:p w14:paraId="077EA92F">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对于渣滓溪水、山体渗水水质，仍沿用现状浓度。即渣滓溪锑浓度背景值</w:t>
      </w:r>
      <w:r>
        <w:rPr>
          <w:rFonts w:hint="eastAsia" w:cs="Times New Roman"/>
          <w:b w:val="0"/>
          <w:bCs w:val="0"/>
          <w:color w:val="auto"/>
          <w:kern w:val="2"/>
          <w:sz w:val="24"/>
          <w:szCs w:val="20"/>
          <w:highlight w:val="none"/>
          <w:lang w:val="en-US" w:eastAsia="zh-CN" w:bidi="ar-SA"/>
        </w:rPr>
        <w:t>枯水期</w:t>
      </w:r>
      <w:r>
        <w:rPr>
          <w:rFonts w:hint="eastAsia" w:ascii="Times New Roman" w:hAnsi="Times New Roman" w:eastAsia="宋体" w:cs="Times New Roman"/>
          <w:b w:val="0"/>
          <w:bCs w:val="0"/>
          <w:color w:val="auto"/>
          <w:kern w:val="2"/>
          <w:sz w:val="24"/>
          <w:szCs w:val="20"/>
          <w:highlight w:val="none"/>
          <w:lang w:val="en-US" w:eastAsia="zh-CN" w:bidi="ar-SA"/>
        </w:rPr>
        <w:t>取0.0</w:t>
      </w:r>
      <w:r>
        <w:rPr>
          <w:rFonts w:hint="eastAsia" w:cs="Times New Roman"/>
          <w:b w:val="0"/>
          <w:bCs w:val="0"/>
          <w:color w:val="auto"/>
          <w:kern w:val="2"/>
          <w:sz w:val="24"/>
          <w:szCs w:val="20"/>
          <w:highlight w:val="none"/>
          <w:lang w:val="en-US" w:eastAsia="zh-CN" w:bidi="ar-SA"/>
        </w:rPr>
        <w:t>566</w:t>
      </w:r>
      <w:r>
        <w:rPr>
          <w:rFonts w:hint="eastAsia" w:ascii="Times New Roman" w:hAnsi="Times New Roman" w:eastAsia="宋体" w:cs="Times New Roman"/>
          <w:b w:val="0"/>
          <w:bCs w:val="0"/>
          <w:color w:val="auto"/>
          <w:kern w:val="2"/>
          <w:sz w:val="24"/>
          <w:szCs w:val="20"/>
          <w:highlight w:val="none"/>
          <w:lang w:val="en-US" w:eastAsia="zh-CN" w:bidi="ar-SA"/>
        </w:rPr>
        <w:t>mg/L，</w:t>
      </w:r>
      <w:r>
        <w:rPr>
          <w:rFonts w:hint="eastAsia" w:cs="Times New Roman"/>
          <w:b w:val="0"/>
          <w:bCs w:val="0"/>
          <w:color w:val="auto"/>
          <w:kern w:val="2"/>
          <w:sz w:val="24"/>
          <w:szCs w:val="20"/>
          <w:highlight w:val="none"/>
          <w:lang w:val="en-US" w:eastAsia="zh-CN" w:bidi="ar-SA"/>
        </w:rPr>
        <w:t>平水期0.036</w:t>
      </w:r>
      <w:r>
        <w:rPr>
          <w:rFonts w:hint="eastAsia" w:ascii="Times New Roman" w:hAnsi="Times New Roman" w:eastAsia="宋体" w:cs="Times New Roman"/>
          <w:b w:val="0"/>
          <w:bCs w:val="0"/>
          <w:color w:val="auto"/>
          <w:kern w:val="2"/>
          <w:sz w:val="24"/>
          <w:szCs w:val="20"/>
          <w:highlight w:val="none"/>
          <w:lang w:val="en-US" w:eastAsia="zh-CN" w:bidi="ar-SA"/>
        </w:rPr>
        <w:t>mg/L，</w:t>
      </w:r>
      <w:r>
        <w:rPr>
          <w:rFonts w:hint="eastAsia" w:cs="Times New Roman"/>
          <w:b w:val="0"/>
          <w:bCs w:val="0"/>
          <w:color w:val="auto"/>
          <w:kern w:val="2"/>
          <w:sz w:val="24"/>
          <w:szCs w:val="20"/>
          <w:highlight w:val="none"/>
          <w:lang w:val="en-US" w:eastAsia="zh-CN" w:bidi="ar-SA"/>
        </w:rPr>
        <w:t>丰水期取</w:t>
      </w:r>
      <w:r>
        <w:rPr>
          <w:rFonts w:hint="eastAsia" w:ascii="Times New Roman" w:hAnsi="Times New Roman" w:eastAsia="宋体" w:cs="Times New Roman"/>
          <w:b w:val="0"/>
          <w:bCs w:val="0"/>
          <w:color w:val="auto"/>
          <w:kern w:val="2"/>
          <w:sz w:val="24"/>
          <w:szCs w:val="20"/>
          <w:highlight w:val="none"/>
          <w:lang w:val="en-US" w:eastAsia="zh-CN" w:bidi="ar-SA"/>
        </w:rPr>
        <w:t>0.0</w:t>
      </w:r>
      <w:r>
        <w:rPr>
          <w:rFonts w:hint="eastAsia" w:cs="Times New Roman"/>
          <w:b w:val="0"/>
          <w:bCs w:val="0"/>
          <w:color w:val="auto"/>
          <w:kern w:val="2"/>
          <w:sz w:val="24"/>
          <w:szCs w:val="20"/>
          <w:highlight w:val="none"/>
          <w:lang w:val="en-US" w:eastAsia="zh-CN" w:bidi="ar-SA"/>
        </w:rPr>
        <w:t>574</w:t>
      </w:r>
      <w:r>
        <w:rPr>
          <w:rFonts w:hint="eastAsia" w:ascii="Times New Roman" w:hAnsi="Times New Roman" w:eastAsia="宋体" w:cs="Times New Roman"/>
          <w:b w:val="0"/>
          <w:bCs w:val="0"/>
          <w:color w:val="auto"/>
          <w:kern w:val="2"/>
          <w:sz w:val="24"/>
          <w:szCs w:val="20"/>
          <w:highlight w:val="none"/>
          <w:lang w:val="en-US" w:eastAsia="zh-CN" w:bidi="ar-SA"/>
        </w:rPr>
        <w:t>mg/L，山体渗水锑浓度</w:t>
      </w:r>
      <w:r>
        <w:rPr>
          <w:rFonts w:hint="eastAsia" w:cs="Times New Roman"/>
          <w:b w:val="0"/>
          <w:bCs w:val="0"/>
          <w:color w:val="auto"/>
          <w:kern w:val="2"/>
          <w:sz w:val="24"/>
          <w:szCs w:val="20"/>
          <w:highlight w:val="none"/>
          <w:lang w:val="en-US" w:eastAsia="zh-CN" w:bidi="ar-SA"/>
        </w:rPr>
        <w:t>枯水期</w:t>
      </w:r>
      <w:r>
        <w:rPr>
          <w:rFonts w:hint="eastAsia" w:ascii="Times New Roman" w:hAnsi="Times New Roman" w:eastAsia="宋体" w:cs="Times New Roman"/>
          <w:b w:val="0"/>
          <w:bCs w:val="0"/>
          <w:color w:val="auto"/>
          <w:kern w:val="2"/>
          <w:sz w:val="24"/>
          <w:szCs w:val="20"/>
          <w:highlight w:val="none"/>
          <w:lang w:val="en-US" w:eastAsia="zh-CN" w:bidi="ar-SA"/>
        </w:rPr>
        <w:t>取1.51mg/L，</w:t>
      </w:r>
      <w:r>
        <w:rPr>
          <w:rFonts w:hint="eastAsia" w:cs="Times New Roman"/>
          <w:b w:val="0"/>
          <w:bCs w:val="0"/>
          <w:color w:val="auto"/>
          <w:kern w:val="2"/>
          <w:sz w:val="24"/>
          <w:szCs w:val="20"/>
          <w:highlight w:val="none"/>
          <w:lang w:val="en-US" w:eastAsia="zh-CN" w:bidi="ar-SA"/>
        </w:rPr>
        <w:t>平水期1.84</w:t>
      </w:r>
      <w:r>
        <w:rPr>
          <w:rFonts w:hint="eastAsia" w:ascii="Times New Roman" w:hAnsi="Times New Roman" w:eastAsia="宋体" w:cs="Times New Roman"/>
          <w:b w:val="0"/>
          <w:bCs w:val="0"/>
          <w:color w:val="auto"/>
          <w:kern w:val="2"/>
          <w:sz w:val="24"/>
          <w:szCs w:val="20"/>
          <w:highlight w:val="none"/>
          <w:lang w:val="en-US" w:eastAsia="zh-CN" w:bidi="ar-SA"/>
        </w:rPr>
        <w:t>mg/L，</w:t>
      </w:r>
      <w:r>
        <w:rPr>
          <w:rFonts w:hint="eastAsia" w:cs="Times New Roman"/>
          <w:b w:val="0"/>
          <w:bCs w:val="0"/>
          <w:color w:val="auto"/>
          <w:kern w:val="2"/>
          <w:sz w:val="24"/>
          <w:szCs w:val="20"/>
          <w:highlight w:val="none"/>
          <w:lang w:val="en-US" w:eastAsia="zh-CN" w:bidi="ar-SA"/>
        </w:rPr>
        <w:t>丰水期取</w:t>
      </w:r>
      <w:r>
        <w:rPr>
          <w:rFonts w:hint="eastAsia" w:ascii="Times New Roman" w:hAnsi="Times New Roman" w:eastAsia="宋体" w:cs="Times New Roman"/>
          <w:b w:val="0"/>
          <w:bCs w:val="0"/>
          <w:color w:val="auto"/>
          <w:kern w:val="2"/>
          <w:sz w:val="24"/>
          <w:szCs w:val="20"/>
          <w:highlight w:val="none"/>
          <w:lang w:val="en-US" w:eastAsia="zh-CN" w:bidi="ar-SA"/>
        </w:rPr>
        <w:t>0.623mg/L</w:t>
      </w:r>
      <w:r>
        <w:rPr>
          <w:rFonts w:hint="eastAsia" w:ascii="Times New Roman" w:hAnsi="Times New Roman" w:eastAsia="宋体" w:cs="Times New Roman"/>
          <w:color w:val="auto"/>
          <w:kern w:val="2"/>
          <w:sz w:val="24"/>
          <w:szCs w:val="20"/>
          <w:highlight w:val="none"/>
          <w:lang w:val="en-US" w:eastAsia="zh-CN" w:bidi="ar-SA"/>
        </w:rPr>
        <w:t>。</w:t>
      </w:r>
    </w:p>
    <w:p w14:paraId="7BE703ED">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进入隧洞内的雨水主要是后期雨水，锑含量较低，不纳入计算。</w:t>
      </w:r>
    </w:p>
    <w:p w14:paraId="1513C71D">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（2）水量</w:t>
      </w:r>
    </w:p>
    <w:p w14:paraId="2793DAEF">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根据水平衡，</w:t>
      </w:r>
      <w:r>
        <w:rPr>
          <w:rFonts w:hint="eastAsia" w:cs="Times New Roman"/>
          <w:color w:val="auto"/>
          <w:kern w:val="2"/>
          <w:sz w:val="24"/>
          <w:szCs w:val="20"/>
          <w:highlight w:val="none"/>
          <w:lang w:val="en-US" w:eastAsia="zh-CN" w:bidi="ar-SA"/>
        </w:rPr>
        <w:t>调整</w:t>
      </w:r>
      <w:r>
        <w:rPr>
          <w:rFonts w:hint="eastAsia" w:ascii="Times New Roman" w:hAnsi="Times New Roman" w:eastAsia="宋体" w:cs="Times New Roman"/>
          <w:color w:val="auto"/>
          <w:kern w:val="2"/>
          <w:sz w:val="24"/>
          <w:szCs w:val="20"/>
          <w:highlight w:val="none"/>
          <w:lang w:val="en-US" w:eastAsia="zh-CN" w:bidi="ar-SA"/>
        </w:rPr>
        <w:t>完成后，</w:t>
      </w:r>
      <w:r>
        <w:rPr>
          <w:rFonts w:hint="eastAsia" w:cs="Times New Roman"/>
          <w:color w:val="auto"/>
          <w:kern w:val="2"/>
          <w:sz w:val="24"/>
          <w:szCs w:val="20"/>
          <w:highlight w:val="none"/>
          <w:lang w:val="en-US" w:eastAsia="zh-CN" w:bidi="ar-SA"/>
        </w:rPr>
        <w:t>枯水期</w:t>
      </w:r>
      <w:r>
        <w:rPr>
          <w:rFonts w:hint="eastAsia" w:ascii="Times New Roman" w:hAnsi="Times New Roman" w:eastAsia="宋体" w:cs="Times New Roman"/>
          <w:color w:val="auto"/>
          <w:kern w:val="2"/>
          <w:sz w:val="24"/>
          <w:szCs w:val="20"/>
          <w:highlight w:val="none"/>
          <w:lang w:val="en-US" w:eastAsia="zh-CN" w:bidi="ar-SA"/>
        </w:rPr>
        <w:t>，渣滓溪引流后排入下游，排水量为</w:t>
      </w:r>
      <w:r>
        <w:rPr>
          <w:rFonts w:hint="eastAsia" w:cs="Times New Roman"/>
          <w:color w:val="auto"/>
          <w:kern w:val="2"/>
          <w:sz w:val="24"/>
          <w:szCs w:val="20"/>
          <w:highlight w:val="none"/>
          <w:lang w:val="en-US" w:eastAsia="zh-CN" w:bidi="ar-SA"/>
        </w:rPr>
        <w:t>4536m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，渣滓溪隧洞水</w:t>
      </w:r>
      <w:r>
        <w:rPr>
          <w:rFonts w:hint="eastAsia" w:cs="Times New Roman"/>
          <w:color w:val="auto"/>
          <w:kern w:val="2"/>
          <w:sz w:val="24"/>
          <w:szCs w:val="20"/>
          <w:highlight w:val="none"/>
          <w:lang w:val="en-US" w:eastAsia="zh-CN" w:bidi="ar-SA"/>
        </w:rPr>
        <w:t>1550.2m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全部经矿山</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处理；</w:t>
      </w:r>
      <w:r>
        <w:rPr>
          <w:rFonts w:hint="eastAsia" w:cs="Times New Roman"/>
          <w:color w:val="auto"/>
          <w:kern w:val="2"/>
          <w:sz w:val="24"/>
          <w:szCs w:val="20"/>
          <w:highlight w:val="none"/>
          <w:lang w:val="en-US" w:eastAsia="zh-CN" w:bidi="ar-SA"/>
        </w:rPr>
        <w:t>平水期</w:t>
      </w:r>
      <w:r>
        <w:rPr>
          <w:rFonts w:hint="eastAsia" w:ascii="Times New Roman" w:hAnsi="Times New Roman" w:eastAsia="宋体" w:cs="Times New Roman"/>
          <w:color w:val="auto"/>
          <w:kern w:val="2"/>
          <w:sz w:val="24"/>
          <w:szCs w:val="20"/>
          <w:highlight w:val="none"/>
          <w:lang w:val="en-US" w:eastAsia="zh-CN" w:bidi="ar-SA"/>
        </w:rPr>
        <w:t>，渣滓溪引流后排入下游的水量为</w:t>
      </w:r>
      <w:r>
        <w:rPr>
          <w:rFonts w:hint="eastAsia" w:cs="Times New Roman"/>
          <w:color w:val="auto"/>
          <w:kern w:val="2"/>
          <w:sz w:val="24"/>
          <w:szCs w:val="20"/>
          <w:highlight w:val="none"/>
          <w:lang w:val="en-US" w:eastAsia="zh-CN" w:bidi="ar-SA"/>
        </w:rPr>
        <w:t>11001</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6m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，山体渗水水量为</w:t>
      </w:r>
      <w:r>
        <w:rPr>
          <w:rFonts w:hint="eastAsia" w:cs="Times New Roman"/>
          <w:color w:val="auto"/>
          <w:kern w:val="2"/>
          <w:sz w:val="24"/>
          <w:szCs w:val="20"/>
          <w:highlight w:val="none"/>
          <w:lang w:val="en-US" w:eastAsia="zh-CN" w:bidi="ar-SA"/>
        </w:rPr>
        <w:t>3755</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4m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，出水中</w:t>
      </w:r>
      <w:r>
        <w:rPr>
          <w:rFonts w:hint="eastAsia" w:cs="Times New Roman"/>
          <w:color w:val="auto"/>
          <w:kern w:val="2"/>
          <w:sz w:val="24"/>
          <w:szCs w:val="20"/>
          <w:highlight w:val="none"/>
          <w:lang w:val="en-US" w:eastAsia="zh-CN" w:bidi="ar-SA"/>
        </w:rPr>
        <w:t>2161.45m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进入</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，剩余</w:t>
      </w:r>
      <w:r>
        <w:rPr>
          <w:rFonts w:hint="eastAsia" w:cs="Times New Roman"/>
          <w:color w:val="auto"/>
          <w:kern w:val="2"/>
          <w:sz w:val="24"/>
          <w:szCs w:val="20"/>
          <w:highlight w:val="none"/>
          <w:lang w:val="en-US" w:eastAsia="zh-CN" w:bidi="ar-SA"/>
        </w:rPr>
        <w:t>1593.95m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直接排放；</w:t>
      </w:r>
      <w:r>
        <w:rPr>
          <w:rFonts w:hint="eastAsia" w:cs="Times New Roman"/>
          <w:color w:val="auto"/>
          <w:kern w:val="2"/>
          <w:sz w:val="24"/>
          <w:szCs w:val="20"/>
          <w:highlight w:val="none"/>
          <w:lang w:val="en-US" w:eastAsia="zh-CN" w:bidi="ar-SA"/>
        </w:rPr>
        <w:t>丰水期</w:t>
      </w:r>
      <w:r>
        <w:rPr>
          <w:rFonts w:hint="eastAsia" w:ascii="Times New Roman" w:hAnsi="Times New Roman" w:eastAsia="宋体" w:cs="Times New Roman"/>
          <w:color w:val="auto"/>
          <w:kern w:val="2"/>
          <w:sz w:val="24"/>
          <w:szCs w:val="20"/>
          <w:highlight w:val="none"/>
          <w:lang w:val="en-US" w:eastAsia="zh-CN" w:bidi="ar-SA"/>
        </w:rPr>
        <w:t>，渣滓溪引流后排入下游的水量为</w:t>
      </w:r>
      <w:r>
        <w:rPr>
          <w:rFonts w:hint="eastAsia" w:cs="Times New Roman"/>
          <w:color w:val="auto"/>
          <w:kern w:val="2"/>
          <w:sz w:val="24"/>
          <w:szCs w:val="20"/>
          <w:highlight w:val="none"/>
          <w:lang w:val="en-US" w:eastAsia="zh-CN" w:bidi="ar-SA"/>
        </w:rPr>
        <w:t>19526</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4m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，山体渗水水量为</w:t>
      </w:r>
      <w:r>
        <w:rPr>
          <w:rFonts w:hint="eastAsia" w:cs="Times New Roman"/>
          <w:color w:val="auto"/>
          <w:kern w:val="2"/>
          <w:sz w:val="24"/>
          <w:szCs w:val="20"/>
          <w:highlight w:val="none"/>
          <w:lang w:val="en-US" w:eastAsia="zh-CN" w:bidi="ar-SA"/>
        </w:rPr>
        <w:t>6671</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3m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，出水中</w:t>
      </w:r>
      <w:r>
        <w:rPr>
          <w:rFonts w:hint="eastAsia" w:cs="Times New Roman"/>
          <w:color w:val="auto"/>
          <w:kern w:val="2"/>
          <w:sz w:val="24"/>
          <w:szCs w:val="20"/>
          <w:highlight w:val="none"/>
          <w:lang w:val="en-US" w:eastAsia="zh-CN" w:bidi="ar-SA"/>
        </w:rPr>
        <w:t>1200.85m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进入</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，剩余</w:t>
      </w:r>
      <w:r>
        <w:rPr>
          <w:rFonts w:hint="eastAsia" w:cs="Times New Roman"/>
          <w:color w:val="auto"/>
          <w:kern w:val="2"/>
          <w:sz w:val="24"/>
          <w:szCs w:val="20"/>
          <w:highlight w:val="none"/>
          <w:lang w:val="en-US" w:eastAsia="zh-CN" w:bidi="ar-SA"/>
        </w:rPr>
        <w:t>5470.45m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直接排放。</w:t>
      </w:r>
    </w:p>
    <w:p w14:paraId="09100675">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排洪隧洞除进入</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水量外，直接排放的水量及水质见下表。</w:t>
      </w:r>
    </w:p>
    <w:p w14:paraId="235FCEC9">
      <w:pPr>
        <w:widowControl w:val="0"/>
        <w:tabs>
          <w:tab w:val="left" w:pos="1021"/>
        </w:tabs>
        <w:bidi w:val="0"/>
        <w:spacing w:line="300" w:lineRule="auto"/>
        <w:jc w:val="center"/>
        <w:outlineLvl w:val="4"/>
        <w:rPr>
          <w:rFonts w:hint="default" w:ascii="Times New Roman" w:hAnsi="Times New Roman" w:eastAsia="黑体" w:cs="Times New Roman"/>
          <w:color w:val="auto"/>
          <w:kern w:val="2"/>
          <w:sz w:val="24"/>
          <w:szCs w:val="20"/>
          <w:highlight w:val="none"/>
          <w:lang w:val="en-US" w:eastAsia="zh-CN" w:bidi="ar-SA"/>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44</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w:t>
      </w:r>
      <w:r>
        <w:rPr>
          <w:rFonts w:hint="eastAsia" w:ascii="Times New Roman" w:hAnsi="Times New Roman" w:eastAsia="黑体" w:cs="Times New Roman"/>
          <w:color w:val="auto"/>
          <w:kern w:val="2"/>
          <w:sz w:val="24"/>
          <w:szCs w:val="20"/>
          <w:highlight w:val="none"/>
          <w:lang w:val="en-US" w:eastAsia="zh-CN" w:bidi="ar-SA"/>
        </w:rPr>
        <w:t>渣滓溪及隧洞内直接排水锑排放情况一览表</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435"/>
        <w:gridCol w:w="2946"/>
        <w:gridCol w:w="1355"/>
        <w:gridCol w:w="1573"/>
        <w:gridCol w:w="1927"/>
      </w:tblGrid>
      <w:tr w14:paraId="4478A0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777" w:type="pct"/>
            <w:tcBorders>
              <w:tl2br w:val="nil"/>
              <w:tr2bl w:val="nil"/>
            </w:tcBorders>
            <w:shd w:val="clear" w:color="auto" w:fill="auto"/>
            <w:noWrap/>
            <w:vAlign w:val="center"/>
          </w:tcPr>
          <w:p w14:paraId="50DFD3C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1594" w:type="pct"/>
            <w:tcBorders>
              <w:tl2br w:val="nil"/>
              <w:tr2bl w:val="nil"/>
            </w:tcBorders>
            <w:shd w:val="clear" w:color="auto" w:fill="auto"/>
            <w:noWrap/>
            <w:vAlign w:val="center"/>
          </w:tcPr>
          <w:p w14:paraId="6E7018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733" w:type="pct"/>
            <w:tcBorders>
              <w:tl2br w:val="nil"/>
              <w:tr2bl w:val="nil"/>
            </w:tcBorders>
            <w:shd w:val="clear" w:color="auto" w:fill="auto"/>
            <w:noWrap/>
            <w:vAlign w:val="center"/>
          </w:tcPr>
          <w:p w14:paraId="6429539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流量</w:t>
            </w:r>
          </w:p>
          <w:p w14:paraId="287DE48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/d</w:t>
            </w:r>
            <w:r>
              <w:rPr>
                <w:rFonts w:hint="default"/>
                <w:color w:val="auto"/>
                <w:highlight w:val="none"/>
                <w:lang w:val="en-US" w:eastAsia="zh-CN"/>
              </w:rPr>
              <w:t>)</w:t>
            </w:r>
          </w:p>
        </w:tc>
        <w:tc>
          <w:tcPr>
            <w:tcW w:w="851" w:type="pct"/>
            <w:tcBorders>
              <w:tl2br w:val="nil"/>
              <w:tr2bl w:val="nil"/>
            </w:tcBorders>
            <w:shd w:val="clear" w:color="auto" w:fill="auto"/>
            <w:noWrap/>
            <w:vAlign w:val="center"/>
          </w:tcPr>
          <w:p w14:paraId="387138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锑浓度</w:t>
            </w:r>
          </w:p>
          <w:p w14:paraId="7B78AB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（mg/L）</w:t>
            </w:r>
          </w:p>
        </w:tc>
        <w:tc>
          <w:tcPr>
            <w:tcW w:w="1043" w:type="pct"/>
            <w:tcBorders>
              <w:tl2br w:val="nil"/>
              <w:tr2bl w:val="nil"/>
            </w:tcBorders>
            <w:shd w:val="clear" w:color="auto" w:fill="auto"/>
            <w:noWrap/>
            <w:vAlign w:val="center"/>
          </w:tcPr>
          <w:p w14:paraId="75A94CE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天数</w:t>
            </w:r>
          </w:p>
          <w:p w14:paraId="0445A3F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（d）</w:t>
            </w:r>
          </w:p>
        </w:tc>
      </w:tr>
      <w:tr w14:paraId="52313A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77" w:type="pct"/>
            <w:tcBorders>
              <w:tl2br w:val="nil"/>
              <w:tr2bl w:val="nil"/>
            </w:tcBorders>
            <w:shd w:val="clear" w:color="auto" w:fill="auto"/>
            <w:noWrap/>
            <w:vAlign w:val="center"/>
          </w:tcPr>
          <w:p w14:paraId="4B397016">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枯水期</w:t>
            </w:r>
          </w:p>
        </w:tc>
        <w:tc>
          <w:tcPr>
            <w:tcW w:w="1594" w:type="pct"/>
            <w:tcBorders>
              <w:tl2br w:val="nil"/>
              <w:tr2bl w:val="nil"/>
            </w:tcBorders>
            <w:shd w:val="clear" w:color="auto" w:fill="auto"/>
            <w:noWrap/>
            <w:vAlign w:val="center"/>
          </w:tcPr>
          <w:p w14:paraId="1633310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渣滓溪溪水（引流）</w:t>
            </w:r>
          </w:p>
        </w:tc>
        <w:tc>
          <w:tcPr>
            <w:tcW w:w="1355" w:type="dxa"/>
            <w:tcBorders>
              <w:tl2br w:val="nil"/>
              <w:tr2bl w:val="nil"/>
            </w:tcBorders>
            <w:shd w:val="clear" w:color="auto" w:fill="auto"/>
            <w:noWrap/>
            <w:vAlign w:val="center"/>
          </w:tcPr>
          <w:p w14:paraId="3F87AA09">
            <w:pPr>
              <w:keepNext w:val="0"/>
              <w:keepLines w:val="0"/>
              <w:widowControl/>
              <w:suppressLineNumbers w:val="0"/>
              <w:spacing w:before="0" w:beforeAutospacing="0" w:after="0" w:afterAutospacing="0"/>
              <w:ind w:left="0" w:right="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4536</w:t>
            </w:r>
          </w:p>
        </w:tc>
        <w:tc>
          <w:tcPr>
            <w:tcW w:w="1573" w:type="dxa"/>
            <w:tcBorders>
              <w:tl2br w:val="nil"/>
              <w:tr2bl w:val="nil"/>
            </w:tcBorders>
            <w:shd w:val="clear" w:color="auto" w:fill="auto"/>
            <w:noWrap/>
            <w:vAlign w:val="center"/>
          </w:tcPr>
          <w:p w14:paraId="3F7E015D">
            <w:pPr>
              <w:keepNext w:val="0"/>
              <w:keepLines w:val="0"/>
              <w:widowControl/>
              <w:suppressLineNumbers w:val="0"/>
              <w:spacing w:before="0" w:beforeAutospacing="0" w:after="0" w:afterAutospacing="0"/>
              <w:ind w:left="0" w:right="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0.0566</w:t>
            </w:r>
          </w:p>
        </w:tc>
        <w:tc>
          <w:tcPr>
            <w:tcW w:w="1043" w:type="pct"/>
            <w:tcBorders>
              <w:tl2br w:val="nil"/>
              <w:tr2bl w:val="nil"/>
            </w:tcBorders>
            <w:shd w:val="clear" w:color="auto" w:fill="auto"/>
            <w:noWrap/>
            <w:vAlign w:val="center"/>
          </w:tcPr>
          <w:p w14:paraId="79CFC3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181</w:t>
            </w:r>
          </w:p>
        </w:tc>
      </w:tr>
      <w:tr w14:paraId="1608E1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77" w:type="pct"/>
            <w:vMerge w:val="restart"/>
            <w:tcBorders>
              <w:tl2br w:val="nil"/>
              <w:tr2bl w:val="nil"/>
            </w:tcBorders>
            <w:shd w:val="clear" w:color="auto" w:fill="auto"/>
            <w:noWrap/>
            <w:vAlign w:val="center"/>
          </w:tcPr>
          <w:p w14:paraId="0369D711">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平水期</w:t>
            </w:r>
          </w:p>
        </w:tc>
        <w:tc>
          <w:tcPr>
            <w:tcW w:w="2946" w:type="dxa"/>
            <w:tcBorders>
              <w:tl2br w:val="nil"/>
              <w:tr2bl w:val="nil"/>
            </w:tcBorders>
            <w:shd w:val="clear" w:color="auto" w:fill="auto"/>
            <w:noWrap/>
            <w:vAlign w:val="center"/>
          </w:tcPr>
          <w:p w14:paraId="6120ADBC">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隧洞山体渗水</w:t>
            </w:r>
          </w:p>
        </w:tc>
        <w:tc>
          <w:tcPr>
            <w:tcW w:w="1355" w:type="dxa"/>
            <w:tcBorders>
              <w:tl2br w:val="nil"/>
              <w:tr2bl w:val="nil"/>
            </w:tcBorders>
            <w:shd w:val="clear" w:color="auto" w:fill="auto"/>
            <w:noWrap/>
            <w:vAlign w:val="center"/>
          </w:tcPr>
          <w:p w14:paraId="1ED6774D">
            <w:pPr>
              <w:keepNext w:val="0"/>
              <w:keepLines w:val="0"/>
              <w:widowControl/>
              <w:suppressLineNumbers w:val="0"/>
              <w:spacing w:before="0" w:beforeAutospacing="0" w:after="0" w:afterAutospacing="0"/>
              <w:ind w:left="0" w:right="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1593.95</w:t>
            </w:r>
          </w:p>
        </w:tc>
        <w:tc>
          <w:tcPr>
            <w:tcW w:w="1573" w:type="dxa"/>
            <w:tcBorders>
              <w:tl2br w:val="nil"/>
              <w:tr2bl w:val="nil"/>
            </w:tcBorders>
            <w:shd w:val="clear" w:color="auto" w:fill="auto"/>
            <w:noWrap/>
            <w:vAlign w:val="center"/>
          </w:tcPr>
          <w:p w14:paraId="63301B40">
            <w:pPr>
              <w:keepNext w:val="0"/>
              <w:keepLines w:val="0"/>
              <w:widowControl/>
              <w:suppressLineNumbers w:val="0"/>
              <w:spacing w:before="0" w:beforeAutospacing="0" w:after="0" w:afterAutospacing="0"/>
              <w:ind w:left="0" w:right="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1.84</w:t>
            </w:r>
          </w:p>
        </w:tc>
        <w:tc>
          <w:tcPr>
            <w:tcW w:w="1043" w:type="pct"/>
            <w:tcBorders>
              <w:tl2br w:val="nil"/>
              <w:tr2bl w:val="nil"/>
            </w:tcBorders>
            <w:shd w:val="clear" w:color="auto" w:fill="auto"/>
            <w:noWrap/>
            <w:vAlign w:val="center"/>
          </w:tcPr>
          <w:p w14:paraId="1A6CA1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92</w:t>
            </w:r>
          </w:p>
        </w:tc>
      </w:tr>
      <w:tr w14:paraId="6F880D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77" w:type="pct"/>
            <w:vMerge w:val="continue"/>
            <w:tcBorders>
              <w:tl2br w:val="nil"/>
              <w:tr2bl w:val="nil"/>
            </w:tcBorders>
            <w:shd w:val="clear" w:color="auto" w:fill="auto"/>
            <w:noWrap/>
            <w:vAlign w:val="center"/>
          </w:tcPr>
          <w:p w14:paraId="4375ECEC">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p>
        </w:tc>
        <w:tc>
          <w:tcPr>
            <w:tcW w:w="2946" w:type="dxa"/>
            <w:tcBorders>
              <w:tl2br w:val="nil"/>
              <w:tr2bl w:val="nil"/>
            </w:tcBorders>
            <w:shd w:val="clear" w:color="auto" w:fill="auto"/>
            <w:noWrap/>
            <w:vAlign w:val="center"/>
          </w:tcPr>
          <w:p w14:paraId="32B748C6">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渣滓溪溪水（引流）</w:t>
            </w:r>
          </w:p>
        </w:tc>
        <w:tc>
          <w:tcPr>
            <w:tcW w:w="1355" w:type="dxa"/>
            <w:tcBorders>
              <w:tl2br w:val="nil"/>
              <w:tr2bl w:val="nil"/>
            </w:tcBorders>
            <w:shd w:val="clear" w:color="auto" w:fill="auto"/>
            <w:noWrap/>
            <w:vAlign w:val="center"/>
          </w:tcPr>
          <w:p w14:paraId="794090DF">
            <w:pPr>
              <w:keepNext w:val="0"/>
              <w:keepLines w:val="0"/>
              <w:widowControl/>
              <w:suppressLineNumbers w:val="0"/>
              <w:spacing w:before="0" w:beforeAutospacing="0" w:after="0" w:afterAutospacing="0"/>
              <w:ind w:left="0" w:right="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11001.6</w:t>
            </w:r>
          </w:p>
        </w:tc>
        <w:tc>
          <w:tcPr>
            <w:tcW w:w="1573" w:type="dxa"/>
            <w:tcBorders>
              <w:tl2br w:val="nil"/>
              <w:tr2bl w:val="nil"/>
            </w:tcBorders>
            <w:shd w:val="clear" w:color="auto" w:fill="auto"/>
            <w:noWrap/>
            <w:vAlign w:val="center"/>
          </w:tcPr>
          <w:p w14:paraId="6F01A37F">
            <w:pPr>
              <w:keepNext w:val="0"/>
              <w:keepLines w:val="0"/>
              <w:widowControl/>
              <w:suppressLineNumbers w:val="0"/>
              <w:spacing w:before="0" w:beforeAutospacing="0" w:after="0" w:afterAutospacing="0"/>
              <w:ind w:left="0" w:right="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0.036</w:t>
            </w:r>
          </w:p>
        </w:tc>
        <w:tc>
          <w:tcPr>
            <w:tcW w:w="1043" w:type="pct"/>
            <w:tcBorders>
              <w:tl2br w:val="nil"/>
              <w:tr2bl w:val="nil"/>
            </w:tcBorders>
            <w:shd w:val="clear" w:color="auto" w:fill="auto"/>
            <w:noWrap/>
            <w:vAlign w:val="center"/>
          </w:tcPr>
          <w:p w14:paraId="79CADB0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92</w:t>
            </w:r>
          </w:p>
        </w:tc>
      </w:tr>
      <w:tr w14:paraId="3C2A5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77" w:type="pct"/>
            <w:vMerge w:val="restart"/>
            <w:tcBorders>
              <w:tl2br w:val="nil"/>
              <w:tr2bl w:val="nil"/>
            </w:tcBorders>
            <w:shd w:val="clear" w:color="auto" w:fill="auto"/>
            <w:noWrap/>
            <w:vAlign w:val="center"/>
          </w:tcPr>
          <w:p w14:paraId="208C8AB8">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丰水期</w:t>
            </w:r>
          </w:p>
        </w:tc>
        <w:tc>
          <w:tcPr>
            <w:tcW w:w="1594" w:type="pct"/>
            <w:tcBorders>
              <w:tl2br w:val="nil"/>
              <w:tr2bl w:val="nil"/>
            </w:tcBorders>
            <w:shd w:val="clear" w:color="auto" w:fill="auto"/>
            <w:noWrap/>
            <w:vAlign w:val="center"/>
          </w:tcPr>
          <w:p w14:paraId="671525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隧洞山体渗水</w:t>
            </w:r>
          </w:p>
        </w:tc>
        <w:tc>
          <w:tcPr>
            <w:tcW w:w="1355" w:type="dxa"/>
            <w:tcBorders>
              <w:tl2br w:val="nil"/>
              <w:tr2bl w:val="nil"/>
            </w:tcBorders>
            <w:shd w:val="clear" w:color="auto" w:fill="auto"/>
            <w:noWrap/>
            <w:vAlign w:val="center"/>
          </w:tcPr>
          <w:p w14:paraId="5AD330D8">
            <w:pPr>
              <w:keepNext w:val="0"/>
              <w:keepLines w:val="0"/>
              <w:widowControl/>
              <w:suppressLineNumbers w:val="0"/>
              <w:spacing w:before="0" w:beforeAutospacing="0" w:after="0" w:afterAutospacing="0"/>
              <w:ind w:left="0" w:right="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5470.45</w:t>
            </w:r>
          </w:p>
        </w:tc>
        <w:tc>
          <w:tcPr>
            <w:tcW w:w="1573" w:type="dxa"/>
            <w:tcBorders>
              <w:tl2br w:val="nil"/>
              <w:tr2bl w:val="nil"/>
            </w:tcBorders>
            <w:shd w:val="clear" w:color="auto" w:fill="auto"/>
            <w:noWrap/>
            <w:vAlign w:val="center"/>
          </w:tcPr>
          <w:p w14:paraId="3C987907">
            <w:pPr>
              <w:keepNext w:val="0"/>
              <w:keepLines w:val="0"/>
              <w:widowControl/>
              <w:suppressLineNumbers w:val="0"/>
              <w:spacing w:before="0" w:beforeAutospacing="0" w:after="0" w:afterAutospacing="0"/>
              <w:ind w:left="0" w:right="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0.623</w:t>
            </w:r>
          </w:p>
        </w:tc>
        <w:tc>
          <w:tcPr>
            <w:tcW w:w="1043" w:type="pct"/>
            <w:tcBorders>
              <w:tl2br w:val="nil"/>
              <w:tr2bl w:val="nil"/>
            </w:tcBorders>
            <w:shd w:val="clear" w:color="auto" w:fill="auto"/>
            <w:noWrap/>
            <w:vAlign w:val="center"/>
          </w:tcPr>
          <w:p w14:paraId="794E2A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92</w:t>
            </w:r>
          </w:p>
        </w:tc>
      </w:tr>
      <w:tr w14:paraId="54DA5C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77" w:type="pct"/>
            <w:vMerge w:val="continue"/>
            <w:tcBorders>
              <w:tl2br w:val="nil"/>
              <w:tr2bl w:val="nil"/>
            </w:tcBorders>
            <w:shd w:val="clear" w:color="auto" w:fill="auto"/>
            <w:noWrap/>
            <w:vAlign w:val="center"/>
          </w:tcPr>
          <w:p w14:paraId="7E68019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1594" w:type="pct"/>
            <w:tcBorders>
              <w:tl2br w:val="nil"/>
              <w:tr2bl w:val="nil"/>
            </w:tcBorders>
            <w:shd w:val="clear" w:color="auto" w:fill="auto"/>
            <w:noWrap/>
            <w:vAlign w:val="center"/>
          </w:tcPr>
          <w:p w14:paraId="3E07A86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渣滓溪溪水（引流）</w:t>
            </w:r>
          </w:p>
        </w:tc>
        <w:tc>
          <w:tcPr>
            <w:tcW w:w="1355" w:type="dxa"/>
            <w:tcBorders>
              <w:tl2br w:val="nil"/>
              <w:tr2bl w:val="nil"/>
            </w:tcBorders>
            <w:shd w:val="clear" w:color="auto" w:fill="auto"/>
            <w:noWrap/>
            <w:vAlign w:val="center"/>
          </w:tcPr>
          <w:p w14:paraId="6F7465FE">
            <w:pPr>
              <w:keepNext w:val="0"/>
              <w:keepLines w:val="0"/>
              <w:widowControl/>
              <w:suppressLineNumbers w:val="0"/>
              <w:spacing w:before="0" w:beforeAutospacing="0" w:after="0" w:afterAutospacing="0"/>
              <w:ind w:left="0" w:right="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19526.4</w:t>
            </w:r>
          </w:p>
        </w:tc>
        <w:tc>
          <w:tcPr>
            <w:tcW w:w="1573" w:type="dxa"/>
            <w:tcBorders>
              <w:tl2br w:val="nil"/>
              <w:tr2bl w:val="nil"/>
            </w:tcBorders>
            <w:shd w:val="clear" w:color="auto" w:fill="auto"/>
            <w:noWrap/>
            <w:vAlign w:val="center"/>
          </w:tcPr>
          <w:p w14:paraId="06217EC5">
            <w:pPr>
              <w:keepNext w:val="0"/>
              <w:keepLines w:val="0"/>
              <w:widowControl/>
              <w:suppressLineNumbers w:val="0"/>
              <w:spacing w:before="0" w:beforeAutospacing="0" w:after="0" w:afterAutospacing="0"/>
              <w:ind w:left="0" w:right="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0.0574</w:t>
            </w:r>
          </w:p>
        </w:tc>
        <w:tc>
          <w:tcPr>
            <w:tcW w:w="1043" w:type="pct"/>
            <w:tcBorders>
              <w:tl2br w:val="nil"/>
              <w:tr2bl w:val="nil"/>
            </w:tcBorders>
            <w:shd w:val="clear" w:color="auto" w:fill="auto"/>
            <w:noWrap/>
            <w:vAlign w:val="center"/>
          </w:tcPr>
          <w:p w14:paraId="20ABD06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92</w:t>
            </w:r>
          </w:p>
        </w:tc>
      </w:tr>
    </w:tbl>
    <w:p w14:paraId="47DB79B6">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则全年隧洞水直接排放的锑=[0.0</w:t>
      </w:r>
      <w:r>
        <w:rPr>
          <w:rFonts w:hint="eastAsia" w:cs="Times New Roman"/>
          <w:color w:val="auto"/>
          <w:kern w:val="2"/>
          <w:sz w:val="24"/>
          <w:szCs w:val="20"/>
          <w:highlight w:val="none"/>
          <w:lang w:val="en-US" w:eastAsia="zh-CN" w:bidi="ar-SA"/>
        </w:rPr>
        <w:t>566</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4536</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181</w:t>
      </w:r>
      <w:r>
        <w:rPr>
          <w:rFonts w:hint="eastAsia" w:ascii="Times New Roman" w:hAnsi="Times New Roman" w:eastAsia="宋体" w:cs="Times New Roman"/>
          <w:color w:val="auto"/>
          <w:kern w:val="2"/>
          <w:sz w:val="24"/>
          <w:szCs w:val="20"/>
          <w:highlight w:val="none"/>
          <w:lang w:val="en-US" w:eastAsia="zh-CN" w:bidi="ar-SA"/>
        </w:rPr>
        <w:t>(天)+</w:t>
      </w:r>
      <w:r>
        <w:rPr>
          <w:rFonts w:hint="eastAsia" w:cs="Times New Roman"/>
          <w:color w:val="auto"/>
          <w:kern w:val="2"/>
          <w:sz w:val="24"/>
          <w:szCs w:val="20"/>
          <w:highlight w:val="none"/>
          <w:lang w:val="en-US" w:eastAsia="zh-CN" w:bidi="ar-SA"/>
        </w:rPr>
        <w:t>1</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84</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1593.95</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9</w:t>
      </w:r>
      <w:r>
        <w:rPr>
          <w:rFonts w:hint="eastAsia" w:ascii="Times New Roman" w:hAnsi="Times New Roman" w:eastAsia="宋体" w:cs="Times New Roman"/>
          <w:color w:val="auto"/>
          <w:kern w:val="2"/>
          <w:sz w:val="24"/>
          <w:szCs w:val="20"/>
          <w:highlight w:val="none"/>
          <w:lang w:val="en-US" w:eastAsia="zh-CN" w:bidi="ar-SA"/>
        </w:rPr>
        <w:t>2(天)+0.0</w:t>
      </w:r>
      <w:r>
        <w:rPr>
          <w:rFonts w:hint="eastAsia" w:cs="Times New Roman"/>
          <w:color w:val="auto"/>
          <w:kern w:val="2"/>
          <w:sz w:val="24"/>
          <w:szCs w:val="20"/>
          <w:highlight w:val="none"/>
          <w:lang w:val="en-US" w:eastAsia="zh-CN" w:bidi="ar-SA"/>
        </w:rPr>
        <w:t>36</w:t>
      </w:r>
      <w:r>
        <w:rPr>
          <w:rFonts w:hint="eastAsia" w:ascii="Times New Roman" w:hAnsi="Times New Roman" w:eastAsia="宋体" w:cs="Times New Roman"/>
          <w:color w:val="auto"/>
          <w:kern w:val="2"/>
          <w:sz w:val="24"/>
          <w:szCs w:val="20"/>
          <w:highlight w:val="none"/>
          <w:lang w:val="en-US" w:eastAsia="zh-CN" w:bidi="ar-SA"/>
        </w:rPr>
        <w:t>×11001.6×</w:t>
      </w:r>
      <w:r>
        <w:rPr>
          <w:rFonts w:hint="eastAsia" w:cs="Times New Roman"/>
          <w:color w:val="auto"/>
          <w:kern w:val="2"/>
          <w:sz w:val="24"/>
          <w:szCs w:val="20"/>
          <w:highlight w:val="none"/>
          <w:lang w:val="en-US" w:eastAsia="zh-CN" w:bidi="ar-SA"/>
        </w:rPr>
        <w:t>9</w:t>
      </w:r>
      <w:r>
        <w:rPr>
          <w:rFonts w:hint="eastAsia" w:ascii="Times New Roman" w:hAnsi="Times New Roman" w:eastAsia="宋体" w:cs="Times New Roman"/>
          <w:color w:val="auto"/>
          <w:kern w:val="2"/>
          <w:sz w:val="24"/>
          <w:szCs w:val="20"/>
          <w:highlight w:val="none"/>
          <w:lang w:val="en-US" w:eastAsia="zh-CN" w:bidi="ar-SA"/>
        </w:rPr>
        <w:t>2(天)+</w:t>
      </w:r>
      <w:r>
        <w:rPr>
          <w:rFonts w:hint="eastAsia" w:cs="Times New Roman"/>
          <w:color w:val="auto"/>
          <w:kern w:val="2"/>
          <w:sz w:val="24"/>
          <w:szCs w:val="20"/>
          <w:highlight w:val="none"/>
          <w:lang w:val="en-US" w:eastAsia="zh-CN" w:bidi="ar-SA"/>
        </w:rPr>
        <w:t>0.623</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5470.45</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9</w:t>
      </w:r>
      <w:r>
        <w:rPr>
          <w:rFonts w:hint="eastAsia" w:ascii="Times New Roman" w:hAnsi="Times New Roman" w:eastAsia="宋体" w:cs="Times New Roman"/>
          <w:color w:val="auto"/>
          <w:kern w:val="2"/>
          <w:sz w:val="24"/>
          <w:szCs w:val="20"/>
          <w:highlight w:val="none"/>
          <w:lang w:val="en-US" w:eastAsia="zh-CN" w:bidi="ar-SA"/>
        </w:rPr>
        <w:t>2(天)+0.0</w:t>
      </w:r>
      <w:r>
        <w:rPr>
          <w:rFonts w:hint="eastAsia" w:cs="Times New Roman"/>
          <w:color w:val="auto"/>
          <w:kern w:val="2"/>
          <w:sz w:val="24"/>
          <w:szCs w:val="20"/>
          <w:highlight w:val="none"/>
          <w:lang w:val="en-US" w:eastAsia="zh-CN" w:bidi="ar-SA"/>
        </w:rPr>
        <w:t>574</w:t>
      </w:r>
      <w:r>
        <w:rPr>
          <w:rFonts w:hint="eastAsia" w:ascii="Times New Roman" w:hAnsi="Times New Roman" w:eastAsia="宋体" w:cs="Times New Roman"/>
          <w:color w:val="auto"/>
          <w:kern w:val="2"/>
          <w:sz w:val="24"/>
          <w:szCs w:val="20"/>
          <w:highlight w:val="none"/>
          <w:lang w:val="en-US" w:eastAsia="zh-CN" w:bidi="ar-SA"/>
        </w:rPr>
        <w:t>×19526.4×</w:t>
      </w:r>
      <w:r>
        <w:rPr>
          <w:rFonts w:hint="eastAsia" w:cs="Times New Roman"/>
          <w:color w:val="auto"/>
          <w:kern w:val="2"/>
          <w:sz w:val="24"/>
          <w:szCs w:val="20"/>
          <w:highlight w:val="none"/>
          <w:lang w:val="en-US" w:eastAsia="zh-CN" w:bidi="ar-SA"/>
        </w:rPr>
        <w:t>9</w:t>
      </w:r>
      <w:r>
        <w:rPr>
          <w:rFonts w:hint="eastAsia" w:ascii="Times New Roman" w:hAnsi="Times New Roman" w:eastAsia="宋体" w:cs="Times New Roman"/>
          <w:color w:val="auto"/>
          <w:kern w:val="2"/>
          <w:sz w:val="24"/>
          <w:szCs w:val="20"/>
          <w:highlight w:val="none"/>
          <w:lang w:val="en-US" w:eastAsia="zh-CN" w:bidi="ar-SA"/>
        </w:rPr>
        <w:t>2(天)]÷1000000=</w:t>
      </w:r>
      <w:r>
        <w:rPr>
          <w:rFonts w:hint="eastAsia" w:cs="Times New Roman"/>
          <w:color w:val="auto"/>
          <w:kern w:val="2"/>
          <w:sz w:val="24"/>
          <w:szCs w:val="20"/>
          <w:highlight w:val="none"/>
          <w:lang w:val="en-US" w:eastAsia="zh-CN" w:bidi="ar-SA"/>
        </w:rPr>
        <w:t>0</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769</w:t>
      </w:r>
      <w:r>
        <w:rPr>
          <w:rFonts w:hint="eastAsia" w:ascii="Times New Roman" w:hAnsi="Times New Roman" w:eastAsia="宋体" w:cs="Times New Roman"/>
          <w:color w:val="auto"/>
          <w:kern w:val="2"/>
          <w:sz w:val="24"/>
          <w:szCs w:val="20"/>
          <w:highlight w:val="none"/>
          <w:lang w:val="en-US" w:eastAsia="zh-CN" w:bidi="ar-SA"/>
        </w:rPr>
        <w:t>t。</w:t>
      </w:r>
    </w:p>
    <w:p w14:paraId="516E7823">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综上，通过矿山废水处理站排放的锑为0.1</w:t>
      </w:r>
      <w:r>
        <w:rPr>
          <w:rFonts w:hint="eastAsia" w:cs="Times New Roman"/>
          <w:color w:val="auto"/>
          <w:kern w:val="2"/>
          <w:sz w:val="24"/>
          <w:szCs w:val="20"/>
          <w:highlight w:val="none"/>
          <w:lang w:val="en-US" w:eastAsia="zh-CN" w:bidi="ar-SA"/>
        </w:rPr>
        <w:t>30</w:t>
      </w:r>
      <w:r>
        <w:rPr>
          <w:rFonts w:hint="eastAsia" w:ascii="Times New Roman" w:hAnsi="Times New Roman" w:eastAsia="宋体" w:cs="Times New Roman"/>
          <w:color w:val="auto"/>
          <w:kern w:val="2"/>
          <w:sz w:val="24"/>
          <w:szCs w:val="20"/>
          <w:highlight w:val="none"/>
          <w:lang w:val="en-US" w:eastAsia="zh-CN" w:bidi="ar-SA"/>
        </w:rPr>
        <w:t>t/a，通过隧洞直接排放的锑（含未引流的渣滓溪溪水）为</w:t>
      </w:r>
      <w:r>
        <w:rPr>
          <w:rFonts w:hint="eastAsia" w:cs="Times New Roman"/>
          <w:color w:val="auto"/>
          <w:kern w:val="2"/>
          <w:sz w:val="24"/>
          <w:szCs w:val="20"/>
          <w:highlight w:val="none"/>
          <w:lang w:val="en-US" w:eastAsia="zh-CN" w:bidi="ar-SA"/>
        </w:rPr>
        <w:t>0.769t</w:t>
      </w:r>
      <w:r>
        <w:rPr>
          <w:rFonts w:hint="eastAsia" w:ascii="Times New Roman" w:hAnsi="Times New Roman" w:eastAsia="宋体" w:cs="Times New Roman"/>
          <w:color w:val="auto"/>
          <w:kern w:val="2"/>
          <w:sz w:val="24"/>
          <w:szCs w:val="20"/>
          <w:highlight w:val="none"/>
          <w:lang w:val="en-US" w:eastAsia="zh-CN" w:bidi="ar-SA"/>
        </w:rPr>
        <w:t>/a，两种渠道向下游排放的锑为</w:t>
      </w:r>
      <w:r>
        <w:rPr>
          <w:rFonts w:hint="eastAsia" w:cs="Times New Roman"/>
          <w:color w:val="auto"/>
          <w:kern w:val="2"/>
          <w:sz w:val="24"/>
          <w:szCs w:val="20"/>
          <w:highlight w:val="none"/>
          <w:lang w:val="en-US" w:eastAsia="zh-CN" w:bidi="ar-SA"/>
        </w:rPr>
        <w:t>0.899t</w:t>
      </w:r>
      <w:r>
        <w:rPr>
          <w:rFonts w:hint="eastAsia" w:ascii="Times New Roman" w:hAnsi="Times New Roman" w:eastAsia="宋体" w:cs="Times New Roman"/>
          <w:color w:val="auto"/>
          <w:kern w:val="2"/>
          <w:sz w:val="24"/>
          <w:szCs w:val="20"/>
          <w:highlight w:val="none"/>
          <w:lang w:val="en-US" w:eastAsia="zh-CN" w:bidi="ar-SA"/>
        </w:rPr>
        <w:t>/a。</w:t>
      </w:r>
    </w:p>
    <w:p w14:paraId="5B62FE24">
      <w:pPr>
        <w:pStyle w:val="28"/>
        <w:bidi w:val="0"/>
        <w:rPr>
          <w:rFonts w:hint="default"/>
          <w:color w:val="auto"/>
          <w:highlight w:val="none"/>
          <w:u w:val="single"/>
          <w:lang w:val="en-US" w:eastAsia="zh-CN"/>
        </w:rPr>
      </w:pPr>
      <w:r>
        <w:rPr>
          <w:rFonts w:hint="default"/>
          <w:color w:val="auto"/>
          <w:highlight w:val="none"/>
          <w:u w:val="single"/>
        </w:rPr>
        <w:t>表</w:t>
      </w:r>
      <w:r>
        <w:rPr>
          <w:rFonts w:hint="default"/>
          <w:color w:val="auto"/>
          <w:highlight w:val="none"/>
          <w:u w:val="single"/>
        </w:rPr>
        <w:fldChar w:fldCharType="begin"/>
      </w:r>
      <w:r>
        <w:rPr>
          <w:rFonts w:hint="default"/>
          <w:color w:val="auto"/>
          <w:highlight w:val="none"/>
          <w:u w:val="single"/>
        </w:rPr>
        <w:instrText xml:space="preserve"> STYLEREF guo-二级标题 \n </w:instrText>
      </w:r>
      <w:r>
        <w:rPr>
          <w:rFonts w:hint="default"/>
          <w:color w:val="auto"/>
          <w:highlight w:val="none"/>
          <w:u w:val="single"/>
        </w:rPr>
        <w:fldChar w:fldCharType="separate"/>
      </w:r>
      <w:r>
        <w:rPr>
          <w:rFonts w:hint="default"/>
          <w:color w:val="auto"/>
          <w:highlight w:val="none"/>
          <w:u w:val="single"/>
        </w:rPr>
        <w:t>2.1</w:t>
      </w:r>
      <w:r>
        <w:rPr>
          <w:rFonts w:hint="default"/>
          <w:color w:val="auto"/>
          <w:highlight w:val="none"/>
          <w:u w:val="single"/>
        </w:rPr>
        <w:fldChar w:fldCharType="end"/>
      </w:r>
      <w:r>
        <w:rPr>
          <w:rFonts w:hint="default"/>
          <w:color w:val="auto"/>
          <w:highlight w:val="none"/>
          <w:u w:val="single"/>
        </w:rPr>
        <w:t>–</w:t>
      </w:r>
      <w:r>
        <w:rPr>
          <w:rFonts w:hint="default"/>
          <w:color w:val="auto"/>
          <w:highlight w:val="none"/>
          <w:u w:val="single"/>
        </w:rPr>
        <w:fldChar w:fldCharType="begin"/>
      </w:r>
      <w:r>
        <w:rPr>
          <w:rFonts w:hint="default"/>
          <w:color w:val="auto"/>
          <w:highlight w:val="none"/>
          <w:u w:val="single"/>
        </w:rPr>
        <w:instrText xml:space="preserve"> SEQ 表 \* ARABIC \s 2 </w:instrText>
      </w:r>
      <w:r>
        <w:rPr>
          <w:rFonts w:hint="default"/>
          <w:color w:val="auto"/>
          <w:highlight w:val="none"/>
          <w:u w:val="single"/>
        </w:rPr>
        <w:fldChar w:fldCharType="separate"/>
      </w:r>
      <w:r>
        <w:rPr>
          <w:rFonts w:hint="default"/>
          <w:color w:val="auto"/>
          <w:highlight w:val="none"/>
          <w:u w:val="single"/>
        </w:rPr>
        <w:t>45</w:t>
      </w:r>
      <w:r>
        <w:rPr>
          <w:rFonts w:hint="default"/>
          <w:color w:val="auto"/>
          <w:highlight w:val="none"/>
          <w:u w:val="single"/>
        </w:rPr>
        <w:fldChar w:fldCharType="end"/>
      </w:r>
      <w:r>
        <w:rPr>
          <w:rFonts w:hint="default"/>
          <w:color w:val="auto"/>
          <w:highlight w:val="none"/>
          <w:u w:val="single"/>
        </w:rPr>
        <w:t xml:space="preserve">  </w:t>
      </w:r>
      <w:r>
        <w:rPr>
          <w:rFonts w:hint="eastAsia"/>
          <w:color w:val="auto"/>
          <w:highlight w:val="none"/>
          <w:u w:val="single"/>
          <w:lang w:val="en-US" w:eastAsia="zh-CN"/>
        </w:rPr>
        <w:t>调整后废水各月排放情况</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14"/>
        <w:gridCol w:w="953"/>
        <w:gridCol w:w="827"/>
        <w:gridCol w:w="1128"/>
        <w:gridCol w:w="893"/>
        <w:gridCol w:w="886"/>
        <w:gridCol w:w="1130"/>
        <w:gridCol w:w="893"/>
        <w:gridCol w:w="886"/>
        <w:gridCol w:w="1132"/>
      </w:tblGrid>
      <w:tr w14:paraId="15C83C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vMerge w:val="restart"/>
            <w:tcBorders>
              <w:tl2br w:val="nil"/>
              <w:tr2bl w:val="nil"/>
            </w:tcBorders>
            <w:shd w:val="clear" w:color="auto" w:fill="auto"/>
            <w:noWrap/>
            <w:vAlign w:val="center"/>
          </w:tcPr>
          <w:p w14:paraId="6676899A">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月份</w:t>
            </w:r>
          </w:p>
        </w:tc>
        <w:tc>
          <w:tcPr>
            <w:tcW w:w="1573" w:type="pct"/>
            <w:gridSpan w:val="3"/>
            <w:tcBorders>
              <w:tl2br w:val="nil"/>
              <w:tr2bl w:val="nil"/>
            </w:tcBorders>
            <w:shd w:val="clear" w:color="auto" w:fill="auto"/>
            <w:noWrap/>
            <w:vAlign w:val="center"/>
          </w:tcPr>
          <w:p w14:paraId="68ABF281">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渣滓溪上游引水</w:t>
            </w:r>
          </w:p>
        </w:tc>
        <w:tc>
          <w:tcPr>
            <w:tcW w:w="1573" w:type="pct"/>
            <w:gridSpan w:val="3"/>
            <w:tcBorders>
              <w:tl2br w:val="nil"/>
              <w:tr2bl w:val="nil"/>
            </w:tcBorders>
            <w:shd w:val="clear" w:color="auto" w:fill="auto"/>
            <w:noWrap/>
            <w:vAlign w:val="center"/>
          </w:tcPr>
          <w:p w14:paraId="7A15FDBC">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隧洞出水</w:t>
            </w:r>
          </w:p>
        </w:tc>
        <w:tc>
          <w:tcPr>
            <w:tcW w:w="1574" w:type="pct"/>
            <w:gridSpan w:val="3"/>
            <w:tcBorders>
              <w:tl2br w:val="nil"/>
              <w:tr2bl w:val="nil"/>
            </w:tcBorders>
            <w:shd w:val="clear" w:color="auto" w:fill="auto"/>
            <w:noWrap/>
            <w:vAlign w:val="center"/>
          </w:tcPr>
          <w:p w14:paraId="0F751C20">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废水处理站出水</w:t>
            </w:r>
          </w:p>
        </w:tc>
      </w:tr>
      <w:tr w14:paraId="6530B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vMerge w:val="continue"/>
            <w:tcBorders>
              <w:tl2br w:val="nil"/>
              <w:tr2bl w:val="nil"/>
            </w:tcBorders>
            <w:shd w:val="clear" w:color="auto" w:fill="auto"/>
            <w:noWrap/>
            <w:vAlign w:val="center"/>
          </w:tcPr>
          <w:p w14:paraId="58833B1A">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515" w:type="pct"/>
            <w:tcBorders>
              <w:tl2br w:val="nil"/>
              <w:tr2bl w:val="nil"/>
            </w:tcBorders>
            <w:shd w:val="clear" w:color="auto" w:fill="auto"/>
            <w:noWrap/>
            <w:vAlign w:val="center"/>
          </w:tcPr>
          <w:p w14:paraId="225C076A">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水量(m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tc>
        <w:tc>
          <w:tcPr>
            <w:tcW w:w="447" w:type="pct"/>
            <w:tcBorders>
              <w:tl2br w:val="nil"/>
              <w:tr2bl w:val="nil"/>
            </w:tcBorders>
            <w:shd w:val="clear" w:color="auto" w:fill="auto"/>
            <w:noWrap/>
            <w:vAlign w:val="center"/>
          </w:tcPr>
          <w:p w14:paraId="54963D7C">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水质(mg/l)</w:t>
            </w:r>
          </w:p>
        </w:tc>
        <w:tc>
          <w:tcPr>
            <w:tcW w:w="610" w:type="pct"/>
            <w:tcBorders>
              <w:tl2br w:val="nil"/>
              <w:tr2bl w:val="nil"/>
            </w:tcBorders>
            <w:shd w:val="clear" w:color="auto" w:fill="auto"/>
            <w:noWrap/>
            <w:vAlign w:val="center"/>
          </w:tcPr>
          <w:p w14:paraId="75FAC996">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排放量（kg/d)</w:t>
            </w:r>
          </w:p>
        </w:tc>
        <w:tc>
          <w:tcPr>
            <w:tcW w:w="483" w:type="pct"/>
            <w:tcBorders>
              <w:tl2br w:val="nil"/>
              <w:tr2bl w:val="nil"/>
            </w:tcBorders>
            <w:shd w:val="clear" w:color="auto" w:fill="auto"/>
            <w:noWrap/>
            <w:vAlign w:val="center"/>
          </w:tcPr>
          <w:p w14:paraId="28BADBE0">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水量(m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tc>
        <w:tc>
          <w:tcPr>
            <w:tcW w:w="479" w:type="pct"/>
            <w:tcBorders>
              <w:tl2br w:val="nil"/>
              <w:tr2bl w:val="nil"/>
            </w:tcBorders>
            <w:shd w:val="clear" w:color="auto" w:fill="auto"/>
            <w:noWrap/>
            <w:vAlign w:val="center"/>
          </w:tcPr>
          <w:p w14:paraId="317B42BF">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水质(mg/l)</w:t>
            </w:r>
          </w:p>
        </w:tc>
        <w:tc>
          <w:tcPr>
            <w:tcW w:w="611" w:type="pct"/>
            <w:tcBorders>
              <w:tl2br w:val="nil"/>
              <w:tr2bl w:val="nil"/>
            </w:tcBorders>
            <w:shd w:val="clear" w:color="auto" w:fill="auto"/>
            <w:noWrap/>
            <w:vAlign w:val="center"/>
          </w:tcPr>
          <w:p w14:paraId="677336B4">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排放量（kg/d)</w:t>
            </w:r>
          </w:p>
        </w:tc>
        <w:tc>
          <w:tcPr>
            <w:tcW w:w="483" w:type="pct"/>
            <w:tcBorders>
              <w:tl2br w:val="nil"/>
              <w:tr2bl w:val="nil"/>
            </w:tcBorders>
            <w:shd w:val="clear" w:color="auto" w:fill="auto"/>
            <w:noWrap/>
            <w:vAlign w:val="center"/>
          </w:tcPr>
          <w:p w14:paraId="767F9A22">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水量(m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tc>
        <w:tc>
          <w:tcPr>
            <w:tcW w:w="479" w:type="pct"/>
            <w:tcBorders>
              <w:tl2br w:val="nil"/>
              <w:tr2bl w:val="nil"/>
            </w:tcBorders>
            <w:shd w:val="clear" w:color="auto" w:fill="auto"/>
            <w:noWrap/>
            <w:vAlign w:val="center"/>
          </w:tcPr>
          <w:p w14:paraId="08226D6D">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水质(mg/l)</w:t>
            </w:r>
          </w:p>
        </w:tc>
        <w:tc>
          <w:tcPr>
            <w:tcW w:w="612" w:type="pct"/>
            <w:tcBorders>
              <w:tl2br w:val="nil"/>
              <w:tr2bl w:val="nil"/>
            </w:tcBorders>
            <w:shd w:val="clear" w:color="auto" w:fill="auto"/>
            <w:noWrap/>
            <w:vAlign w:val="center"/>
          </w:tcPr>
          <w:p w14:paraId="0B4D7D85">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排放量（kg/d)</w:t>
            </w:r>
          </w:p>
        </w:tc>
      </w:tr>
      <w:tr w14:paraId="4A4A3A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5BC23DDC">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1</w:t>
            </w:r>
          </w:p>
        </w:tc>
        <w:tc>
          <w:tcPr>
            <w:tcW w:w="515" w:type="pct"/>
            <w:tcBorders>
              <w:tl2br w:val="nil"/>
              <w:tr2bl w:val="nil"/>
            </w:tcBorders>
            <w:shd w:val="clear" w:color="auto" w:fill="auto"/>
            <w:noWrap/>
            <w:vAlign w:val="center"/>
          </w:tcPr>
          <w:p w14:paraId="0B51DC26">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3715.2</w:t>
            </w:r>
          </w:p>
        </w:tc>
        <w:tc>
          <w:tcPr>
            <w:tcW w:w="447" w:type="pct"/>
            <w:tcBorders>
              <w:tl2br w:val="nil"/>
              <w:tr2bl w:val="nil"/>
            </w:tcBorders>
            <w:shd w:val="clear" w:color="auto" w:fill="auto"/>
            <w:noWrap/>
            <w:vAlign w:val="center"/>
          </w:tcPr>
          <w:p w14:paraId="3C3C45BB">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0.057</w:t>
            </w:r>
          </w:p>
        </w:tc>
        <w:tc>
          <w:tcPr>
            <w:tcW w:w="610" w:type="pct"/>
            <w:tcBorders>
              <w:tl2br w:val="nil"/>
              <w:tr2bl w:val="nil"/>
            </w:tcBorders>
            <w:shd w:val="clear" w:color="auto" w:fill="auto"/>
            <w:noWrap/>
            <w:vAlign w:val="center"/>
          </w:tcPr>
          <w:p w14:paraId="571994F7">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0.21</w:t>
            </w:r>
          </w:p>
        </w:tc>
        <w:tc>
          <w:tcPr>
            <w:tcW w:w="893" w:type="dxa"/>
            <w:tcBorders>
              <w:tl2br w:val="nil"/>
              <w:tr2bl w:val="nil"/>
            </w:tcBorders>
            <w:shd w:val="clear" w:color="auto" w:fill="auto"/>
            <w:noWrap/>
            <w:vAlign w:val="center"/>
          </w:tcPr>
          <w:p w14:paraId="0FCDA16D">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0</w:t>
            </w:r>
          </w:p>
        </w:tc>
        <w:tc>
          <w:tcPr>
            <w:tcW w:w="886" w:type="dxa"/>
            <w:tcBorders>
              <w:tl2br w:val="nil"/>
              <w:tr2bl w:val="nil"/>
            </w:tcBorders>
            <w:shd w:val="clear" w:color="auto" w:fill="auto"/>
            <w:noWrap/>
            <w:vAlign w:val="center"/>
          </w:tcPr>
          <w:p w14:paraId="401B744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1.51</w:t>
            </w:r>
          </w:p>
        </w:tc>
        <w:tc>
          <w:tcPr>
            <w:tcW w:w="1130" w:type="dxa"/>
            <w:tcBorders>
              <w:tl2br w:val="nil"/>
              <w:tr2bl w:val="nil"/>
            </w:tcBorders>
            <w:shd w:val="clear" w:color="auto" w:fill="auto"/>
            <w:noWrap/>
            <w:vAlign w:val="center"/>
          </w:tcPr>
          <w:p w14:paraId="5ECC4F9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w:t>
            </w:r>
          </w:p>
        </w:tc>
        <w:tc>
          <w:tcPr>
            <w:tcW w:w="893" w:type="dxa"/>
            <w:tcBorders>
              <w:tl2br w:val="nil"/>
              <w:tr2bl w:val="nil"/>
            </w:tcBorders>
            <w:shd w:val="clear" w:color="auto" w:fill="auto"/>
            <w:noWrap/>
            <w:vAlign w:val="center"/>
          </w:tcPr>
          <w:p w14:paraId="1A299BB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1324.9</w:t>
            </w:r>
          </w:p>
        </w:tc>
        <w:tc>
          <w:tcPr>
            <w:tcW w:w="886" w:type="dxa"/>
            <w:tcBorders>
              <w:tl2br w:val="nil"/>
              <w:tr2bl w:val="nil"/>
            </w:tcBorders>
            <w:shd w:val="clear" w:color="auto" w:fill="auto"/>
            <w:noWrap/>
            <w:vAlign w:val="center"/>
          </w:tcPr>
          <w:p w14:paraId="5BABD38A">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4D74327C">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0.199</w:t>
            </w:r>
          </w:p>
        </w:tc>
      </w:tr>
      <w:tr w14:paraId="78E2F3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744C365C">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2</w:t>
            </w:r>
          </w:p>
        </w:tc>
        <w:tc>
          <w:tcPr>
            <w:tcW w:w="515" w:type="pct"/>
            <w:tcBorders>
              <w:tl2br w:val="nil"/>
              <w:tr2bl w:val="nil"/>
            </w:tcBorders>
            <w:shd w:val="clear" w:color="auto" w:fill="auto"/>
            <w:noWrap/>
            <w:vAlign w:val="center"/>
          </w:tcPr>
          <w:p w14:paraId="266A6A31">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5097.6</w:t>
            </w:r>
          </w:p>
        </w:tc>
        <w:tc>
          <w:tcPr>
            <w:tcW w:w="447" w:type="pct"/>
            <w:tcBorders>
              <w:tl2br w:val="nil"/>
              <w:tr2bl w:val="nil"/>
            </w:tcBorders>
            <w:shd w:val="clear" w:color="auto" w:fill="auto"/>
            <w:noWrap/>
            <w:vAlign w:val="center"/>
          </w:tcPr>
          <w:p w14:paraId="4E65AFE3">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0.057</w:t>
            </w:r>
          </w:p>
        </w:tc>
        <w:tc>
          <w:tcPr>
            <w:tcW w:w="610" w:type="pct"/>
            <w:tcBorders>
              <w:tl2br w:val="nil"/>
              <w:tr2bl w:val="nil"/>
            </w:tcBorders>
            <w:shd w:val="clear" w:color="auto" w:fill="auto"/>
            <w:noWrap/>
            <w:vAlign w:val="center"/>
          </w:tcPr>
          <w:p w14:paraId="521B9A4C">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0.289</w:t>
            </w:r>
          </w:p>
        </w:tc>
        <w:tc>
          <w:tcPr>
            <w:tcW w:w="893" w:type="dxa"/>
            <w:tcBorders>
              <w:tl2br w:val="nil"/>
              <w:tr2bl w:val="nil"/>
            </w:tcBorders>
            <w:shd w:val="clear" w:color="auto" w:fill="auto"/>
            <w:noWrap/>
            <w:vAlign w:val="center"/>
          </w:tcPr>
          <w:p w14:paraId="1A0EF651">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0</w:t>
            </w:r>
          </w:p>
        </w:tc>
        <w:tc>
          <w:tcPr>
            <w:tcW w:w="886" w:type="dxa"/>
            <w:tcBorders>
              <w:tl2br w:val="nil"/>
              <w:tr2bl w:val="nil"/>
            </w:tcBorders>
            <w:shd w:val="clear" w:color="auto" w:fill="auto"/>
            <w:noWrap/>
            <w:vAlign w:val="center"/>
          </w:tcPr>
          <w:p w14:paraId="18FEDDF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1.51</w:t>
            </w:r>
          </w:p>
        </w:tc>
        <w:tc>
          <w:tcPr>
            <w:tcW w:w="1130" w:type="dxa"/>
            <w:tcBorders>
              <w:tl2br w:val="nil"/>
              <w:tr2bl w:val="nil"/>
            </w:tcBorders>
            <w:shd w:val="clear" w:color="auto" w:fill="auto"/>
            <w:noWrap/>
            <w:vAlign w:val="center"/>
          </w:tcPr>
          <w:p w14:paraId="6564DE0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w:t>
            </w:r>
          </w:p>
        </w:tc>
        <w:tc>
          <w:tcPr>
            <w:tcW w:w="893" w:type="dxa"/>
            <w:tcBorders>
              <w:tl2br w:val="nil"/>
              <w:tr2bl w:val="nil"/>
            </w:tcBorders>
            <w:shd w:val="clear" w:color="auto" w:fill="auto"/>
            <w:noWrap/>
            <w:vAlign w:val="center"/>
          </w:tcPr>
          <w:p w14:paraId="28F8677A">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1951.1</w:t>
            </w:r>
          </w:p>
        </w:tc>
        <w:tc>
          <w:tcPr>
            <w:tcW w:w="886" w:type="dxa"/>
            <w:tcBorders>
              <w:tl2br w:val="nil"/>
              <w:tr2bl w:val="nil"/>
            </w:tcBorders>
            <w:shd w:val="clear" w:color="auto" w:fill="auto"/>
            <w:noWrap/>
            <w:vAlign w:val="center"/>
          </w:tcPr>
          <w:p w14:paraId="3A94E21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1818F910">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0.293</w:t>
            </w:r>
          </w:p>
        </w:tc>
      </w:tr>
      <w:tr w14:paraId="7658D6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65B8504B">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3</w:t>
            </w:r>
          </w:p>
        </w:tc>
        <w:tc>
          <w:tcPr>
            <w:tcW w:w="515" w:type="pct"/>
            <w:tcBorders>
              <w:tl2br w:val="nil"/>
              <w:tr2bl w:val="nil"/>
            </w:tcBorders>
            <w:shd w:val="clear" w:color="auto" w:fill="auto"/>
            <w:noWrap/>
            <w:vAlign w:val="center"/>
          </w:tcPr>
          <w:p w14:paraId="09B5D575">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10281.6</w:t>
            </w:r>
          </w:p>
        </w:tc>
        <w:tc>
          <w:tcPr>
            <w:tcW w:w="447" w:type="pct"/>
            <w:tcBorders>
              <w:tl2br w:val="nil"/>
              <w:tr2bl w:val="nil"/>
            </w:tcBorders>
            <w:shd w:val="clear" w:color="auto" w:fill="auto"/>
            <w:noWrap/>
            <w:vAlign w:val="center"/>
          </w:tcPr>
          <w:p w14:paraId="094B2C22">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0.036</w:t>
            </w:r>
          </w:p>
        </w:tc>
        <w:tc>
          <w:tcPr>
            <w:tcW w:w="610" w:type="pct"/>
            <w:tcBorders>
              <w:tl2br w:val="nil"/>
              <w:tr2bl w:val="nil"/>
            </w:tcBorders>
            <w:shd w:val="clear" w:color="auto" w:fill="auto"/>
            <w:noWrap/>
            <w:vAlign w:val="center"/>
          </w:tcPr>
          <w:p w14:paraId="4CB6E21F">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0.37</w:t>
            </w:r>
          </w:p>
        </w:tc>
        <w:tc>
          <w:tcPr>
            <w:tcW w:w="893" w:type="dxa"/>
            <w:tcBorders>
              <w:tl2br w:val="nil"/>
              <w:tr2bl w:val="nil"/>
            </w:tcBorders>
            <w:shd w:val="clear" w:color="auto" w:fill="auto"/>
            <w:noWrap/>
            <w:vAlign w:val="center"/>
          </w:tcPr>
          <w:p w14:paraId="0EAC1036">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1256.2</w:t>
            </w:r>
          </w:p>
        </w:tc>
        <w:tc>
          <w:tcPr>
            <w:tcW w:w="886" w:type="dxa"/>
            <w:tcBorders>
              <w:tl2br w:val="nil"/>
              <w:tr2bl w:val="nil"/>
            </w:tcBorders>
            <w:shd w:val="clear" w:color="auto" w:fill="auto"/>
            <w:noWrap/>
            <w:vAlign w:val="center"/>
          </w:tcPr>
          <w:p w14:paraId="0ABF4445">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1.84</w:t>
            </w:r>
          </w:p>
        </w:tc>
        <w:tc>
          <w:tcPr>
            <w:tcW w:w="1130" w:type="dxa"/>
            <w:tcBorders>
              <w:tl2br w:val="nil"/>
              <w:tr2bl w:val="nil"/>
            </w:tcBorders>
            <w:shd w:val="clear" w:color="auto" w:fill="auto"/>
            <w:noWrap/>
            <w:vAlign w:val="center"/>
          </w:tcPr>
          <w:p w14:paraId="53CB3D8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2.311</w:t>
            </w:r>
          </w:p>
        </w:tc>
        <w:tc>
          <w:tcPr>
            <w:tcW w:w="893" w:type="dxa"/>
            <w:tcBorders>
              <w:tl2br w:val="nil"/>
              <w:tr2bl w:val="nil"/>
            </w:tcBorders>
            <w:shd w:val="clear" w:color="auto" w:fill="auto"/>
            <w:noWrap/>
            <w:vAlign w:val="center"/>
          </w:tcPr>
          <w:p w14:paraId="0444F898">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3034</w:t>
            </w:r>
          </w:p>
        </w:tc>
        <w:tc>
          <w:tcPr>
            <w:tcW w:w="886" w:type="dxa"/>
            <w:tcBorders>
              <w:tl2br w:val="nil"/>
              <w:tr2bl w:val="nil"/>
            </w:tcBorders>
            <w:shd w:val="clear" w:color="auto" w:fill="auto"/>
            <w:noWrap/>
            <w:vAlign w:val="center"/>
          </w:tcPr>
          <w:p w14:paraId="0D827515">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37C52F62">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0.455</w:t>
            </w:r>
          </w:p>
        </w:tc>
      </w:tr>
      <w:tr w14:paraId="0C8292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70F99A92">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4</w:t>
            </w:r>
          </w:p>
        </w:tc>
        <w:tc>
          <w:tcPr>
            <w:tcW w:w="515" w:type="pct"/>
            <w:tcBorders>
              <w:tl2br w:val="nil"/>
              <w:tr2bl w:val="nil"/>
            </w:tcBorders>
            <w:shd w:val="clear" w:color="auto" w:fill="auto"/>
            <w:noWrap/>
            <w:vAlign w:val="center"/>
          </w:tcPr>
          <w:p w14:paraId="229FAF0E">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13996.8</w:t>
            </w:r>
          </w:p>
        </w:tc>
        <w:tc>
          <w:tcPr>
            <w:tcW w:w="447" w:type="pct"/>
            <w:tcBorders>
              <w:tl2br w:val="nil"/>
              <w:tr2bl w:val="nil"/>
            </w:tcBorders>
            <w:shd w:val="clear" w:color="auto" w:fill="auto"/>
            <w:noWrap/>
            <w:vAlign w:val="center"/>
          </w:tcPr>
          <w:p w14:paraId="0241D68F">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0.036</w:t>
            </w:r>
          </w:p>
        </w:tc>
        <w:tc>
          <w:tcPr>
            <w:tcW w:w="610" w:type="pct"/>
            <w:tcBorders>
              <w:tl2br w:val="nil"/>
              <w:tr2bl w:val="nil"/>
            </w:tcBorders>
            <w:shd w:val="clear" w:color="auto" w:fill="auto"/>
            <w:noWrap/>
            <w:vAlign w:val="center"/>
          </w:tcPr>
          <w:p w14:paraId="3A9CB361">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0.504</w:t>
            </w:r>
          </w:p>
        </w:tc>
        <w:tc>
          <w:tcPr>
            <w:tcW w:w="893" w:type="dxa"/>
            <w:tcBorders>
              <w:tl2br w:val="nil"/>
              <w:tr2bl w:val="nil"/>
            </w:tcBorders>
            <w:shd w:val="clear" w:color="auto" w:fill="auto"/>
            <w:noWrap/>
            <w:vAlign w:val="center"/>
          </w:tcPr>
          <w:p w14:paraId="0BFD6250">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2958.5</w:t>
            </w:r>
          </w:p>
        </w:tc>
        <w:tc>
          <w:tcPr>
            <w:tcW w:w="886" w:type="dxa"/>
            <w:tcBorders>
              <w:tl2br w:val="nil"/>
              <w:tr2bl w:val="nil"/>
            </w:tcBorders>
            <w:shd w:val="clear" w:color="auto" w:fill="auto"/>
            <w:noWrap/>
            <w:vAlign w:val="center"/>
          </w:tcPr>
          <w:p w14:paraId="720C1B7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1.84</w:t>
            </w:r>
          </w:p>
        </w:tc>
        <w:tc>
          <w:tcPr>
            <w:tcW w:w="1130" w:type="dxa"/>
            <w:tcBorders>
              <w:tl2br w:val="nil"/>
              <w:tr2bl w:val="nil"/>
            </w:tcBorders>
            <w:shd w:val="clear" w:color="auto" w:fill="auto"/>
            <w:noWrap/>
            <w:vAlign w:val="center"/>
          </w:tcPr>
          <w:p w14:paraId="50B30F1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5.444</w:t>
            </w:r>
          </w:p>
        </w:tc>
        <w:tc>
          <w:tcPr>
            <w:tcW w:w="893" w:type="dxa"/>
            <w:tcBorders>
              <w:tl2br w:val="nil"/>
              <w:tr2bl w:val="nil"/>
            </w:tcBorders>
            <w:shd w:val="clear" w:color="auto" w:fill="auto"/>
            <w:noWrap/>
            <w:vAlign w:val="center"/>
          </w:tcPr>
          <w:p w14:paraId="4114BEF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3034</w:t>
            </w:r>
          </w:p>
        </w:tc>
        <w:tc>
          <w:tcPr>
            <w:tcW w:w="886" w:type="dxa"/>
            <w:tcBorders>
              <w:tl2br w:val="nil"/>
              <w:tr2bl w:val="nil"/>
            </w:tcBorders>
            <w:shd w:val="clear" w:color="auto" w:fill="auto"/>
            <w:noWrap/>
            <w:vAlign w:val="center"/>
          </w:tcPr>
          <w:p w14:paraId="02512FFA">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6CC3CD92">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0.455</w:t>
            </w:r>
          </w:p>
        </w:tc>
      </w:tr>
      <w:tr w14:paraId="2E5677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7FE48687">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5</w:t>
            </w:r>
          </w:p>
        </w:tc>
        <w:tc>
          <w:tcPr>
            <w:tcW w:w="515" w:type="pct"/>
            <w:tcBorders>
              <w:tl2br w:val="nil"/>
              <w:tr2bl w:val="nil"/>
            </w:tcBorders>
            <w:shd w:val="clear" w:color="auto" w:fill="auto"/>
            <w:noWrap/>
            <w:vAlign w:val="center"/>
          </w:tcPr>
          <w:p w14:paraId="7E54FE55">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18144</w:t>
            </w:r>
          </w:p>
        </w:tc>
        <w:tc>
          <w:tcPr>
            <w:tcW w:w="447" w:type="pct"/>
            <w:tcBorders>
              <w:tl2br w:val="nil"/>
              <w:tr2bl w:val="nil"/>
            </w:tcBorders>
            <w:shd w:val="clear" w:color="auto" w:fill="auto"/>
            <w:noWrap/>
            <w:vAlign w:val="center"/>
          </w:tcPr>
          <w:p w14:paraId="1DDE76C2">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0.057</w:t>
            </w:r>
          </w:p>
        </w:tc>
        <w:tc>
          <w:tcPr>
            <w:tcW w:w="610" w:type="pct"/>
            <w:tcBorders>
              <w:tl2br w:val="nil"/>
              <w:tr2bl w:val="nil"/>
            </w:tcBorders>
            <w:shd w:val="clear" w:color="auto" w:fill="auto"/>
            <w:noWrap/>
            <w:vAlign w:val="center"/>
          </w:tcPr>
          <w:p w14:paraId="153B4FD1">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1.041</w:t>
            </w:r>
          </w:p>
        </w:tc>
        <w:tc>
          <w:tcPr>
            <w:tcW w:w="893" w:type="dxa"/>
            <w:tcBorders>
              <w:tl2br w:val="nil"/>
              <w:tr2bl w:val="nil"/>
            </w:tcBorders>
            <w:shd w:val="clear" w:color="auto" w:fill="auto"/>
            <w:noWrap/>
            <w:vAlign w:val="center"/>
          </w:tcPr>
          <w:p w14:paraId="2B04700C">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4862.3</w:t>
            </w:r>
          </w:p>
        </w:tc>
        <w:tc>
          <w:tcPr>
            <w:tcW w:w="886" w:type="dxa"/>
            <w:tcBorders>
              <w:tl2br w:val="nil"/>
              <w:tr2bl w:val="nil"/>
            </w:tcBorders>
            <w:shd w:val="clear" w:color="auto" w:fill="auto"/>
            <w:noWrap/>
            <w:vAlign w:val="center"/>
          </w:tcPr>
          <w:p w14:paraId="00CE47F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0.623</w:t>
            </w:r>
          </w:p>
        </w:tc>
        <w:tc>
          <w:tcPr>
            <w:tcW w:w="1130" w:type="dxa"/>
            <w:tcBorders>
              <w:tl2br w:val="nil"/>
              <w:tr2bl w:val="nil"/>
            </w:tcBorders>
            <w:shd w:val="clear" w:color="auto" w:fill="auto"/>
            <w:noWrap/>
            <w:vAlign w:val="center"/>
          </w:tcPr>
          <w:p w14:paraId="6A68426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3.029</w:t>
            </w:r>
          </w:p>
        </w:tc>
        <w:tc>
          <w:tcPr>
            <w:tcW w:w="893" w:type="dxa"/>
            <w:tcBorders>
              <w:tl2br w:val="nil"/>
              <w:tr2bl w:val="nil"/>
            </w:tcBorders>
            <w:shd w:val="clear" w:color="auto" w:fill="auto"/>
            <w:noWrap/>
            <w:vAlign w:val="center"/>
          </w:tcPr>
          <w:p w14:paraId="7FF6839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3034</w:t>
            </w:r>
          </w:p>
        </w:tc>
        <w:tc>
          <w:tcPr>
            <w:tcW w:w="886" w:type="dxa"/>
            <w:tcBorders>
              <w:tl2br w:val="nil"/>
              <w:tr2bl w:val="nil"/>
            </w:tcBorders>
            <w:shd w:val="clear" w:color="auto" w:fill="auto"/>
            <w:noWrap/>
            <w:vAlign w:val="center"/>
          </w:tcPr>
          <w:p w14:paraId="439F717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3AF2114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0.455</w:t>
            </w:r>
          </w:p>
        </w:tc>
      </w:tr>
      <w:tr w14:paraId="768B9B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6433445D">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6</w:t>
            </w:r>
          </w:p>
        </w:tc>
        <w:tc>
          <w:tcPr>
            <w:tcW w:w="515" w:type="pct"/>
            <w:tcBorders>
              <w:tl2br w:val="nil"/>
              <w:tr2bl w:val="nil"/>
            </w:tcBorders>
            <w:shd w:val="clear" w:color="auto" w:fill="auto"/>
            <w:noWrap/>
            <w:vAlign w:val="center"/>
          </w:tcPr>
          <w:p w14:paraId="102ED7B4">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19785.6</w:t>
            </w:r>
          </w:p>
        </w:tc>
        <w:tc>
          <w:tcPr>
            <w:tcW w:w="447" w:type="pct"/>
            <w:tcBorders>
              <w:tl2br w:val="nil"/>
              <w:tr2bl w:val="nil"/>
            </w:tcBorders>
            <w:shd w:val="clear" w:color="auto" w:fill="auto"/>
            <w:noWrap/>
            <w:vAlign w:val="center"/>
          </w:tcPr>
          <w:p w14:paraId="4E687EAF">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0.057</w:t>
            </w:r>
          </w:p>
        </w:tc>
        <w:tc>
          <w:tcPr>
            <w:tcW w:w="610" w:type="pct"/>
            <w:tcBorders>
              <w:tl2br w:val="nil"/>
              <w:tr2bl w:val="nil"/>
            </w:tcBorders>
            <w:shd w:val="clear" w:color="auto" w:fill="auto"/>
            <w:noWrap/>
            <w:vAlign w:val="center"/>
          </w:tcPr>
          <w:p w14:paraId="31BD8EF4">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1.136</w:t>
            </w:r>
          </w:p>
        </w:tc>
        <w:tc>
          <w:tcPr>
            <w:tcW w:w="893" w:type="dxa"/>
            <w:tcBorders>
              <w:tl2br w:val="nil"/>
              <w:tr2bl w:val="nil"/>
            </w:tcBorders>
            <w:shd w:val="clear" w:color="auto" w:fill="auto"/>
            <w:noWrap/>
            <w:vAlign w:val="center"/>
          </w:tcPr>
          <w:p w14:paraId="1D79929F">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5589.2</w:t>
            </w:r>
          </w:p>
        </w:tc>
        <w:tc>
          <w:tcPr>
            <w:tcW w:w="886" w:type="dxa"/>
            <w:tcBorders>
              <w:tl2br w:val="nil"/>
              <w:tr2bl w:val="nil"/>
            </w:tcBorders>
            <w:shd w:val="clear" w:color="auto" w:fill="auto"/>
            <w:noWrap/>
            <w:vAlign w:val="center"/>
          </w:tcPr>
          <w:p w14:paraId="2F3FD76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0.623</w:t>
            </w:r>
          </w:p>
        </w:tc>
        <w:tc>
          <w:tcPr>
            <w:tcW w:w="1130" w:type="dxa"/>
            <w:tcBorders>
              <w:tl2br w:val="nil"/>
              <w:tr2bl w:val="nil"/>
            </w:tcBorders>
            <w:shd w:val="clear" w:color="auto" w:fill="auto"/>
            <w:noWrap/>
            <w:vAlign w:val="center"/>
          </w:tcPr>
          <w:p w14:paraId="45A68F2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3.482</w:t>
            </w:r>
          </w:p>
        </w:tc>
        <w:tc>
          <w:tcPr>
            <w:tcW w:w="893" w:type="dxa"/>
            <w:tcBorders>
              <w:tl2br w:val="nil"/>
              <w:tr2bl w:val="nil"/>
            </w:tcBorders>
            <w:shd w:val="clear" w:color="auto" w:fill="auto"/>
            <w:noWrap/>
            <w:vAlign w:val="center"/>
          </w:tcPr>
          <w:p w14:paraId="48AC323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3034</w:t>
            </w:r>
          </w:p>
        </w:tc>
        <w:tc>
          <w:tcPr>
            <w:tcW w:w="886" w:type="dxa"/>
            <w:tcBorders>
              <w:tl2br w:val="nil"/>
              <w:tr2bl w:val="nil"/>
            </w:tcBorders>
            <w:shd w:val="clear" w:color="auto" w:fill="auto"/>
            <w:noWrap/>
            <w:vAlign w:val="center"/>
          </w:tcPr>
          <w:p w14:paraId="0A204A8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617B003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0.455</w:t>
            </w:r>
          </w:p>
        </w:tc>
      </w:tr>
      <w:tr w14:paraId="549FE4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517C0311">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7</w:t>
            </w:r>
          </w:p>
        </w:tc>
        <w:tc>
          <w:tcPr>
            <w:tcW w:w="515" w:type="pct"/>
            <w:tcBorders>
              <w:tl2br w:val="nil"/>
              <w:tr2bl w:val="nil"/>
            </w:tcBorders>
            <w:shd w:val="clear" w:color="auto" w:fill="auto"/>
            <w:noWrap/>
            <w:vAlign w:val="center"/>
          </w:tcPr>
          <w:p w14:paraId="7E729D88">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20649.6</w:t>
            </w:r>
          </w:p>
        </w:tc>
        <w:tc>
          <w:tcPr>
            <w:tcW w:w="447" w:type="pct"/>
            <w:tcBorders>
              <w:tl2br w:val="nil"/>
              <w:tr2bl w:val="nil"/>
            </w:tcBorders>
            <w:shd w:val="clear" w:color="auto" w:fill="auto"/>
            <w:noWrap/>
            <w:vAlign w:val="center"/>
          </w:tcPr>
          <w:p w14:paraId="28898785">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0.057</w:t>
            </w:r>
          </w:p>
        </w:tc>
        <w:tc>
          <w:tcPr>
            <w:tcW w:w="610" w:type="pct"/>
            <w:tcBorders>
              <w:tl2br w:val="nil"/>
              <w:tr2bl w:val="nil"/>
            </w:tcBorders>
            <w:shd w:val="clear" w:color="auto" w:fill="auto"/>
            <w:noWrap/>
            <w:vAlign w:val="center"/>
          </w:tcPr>
          <w:p w14:paraId="6CF76953">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1.185</w:t>
            </w:r>
          </w:p>
        </w:tc>
        <w:tc>
          <w:tcPr>
            <w:tcW w:w="893" w:type="dxa"/>
            <w:tcBorders>
              <w:tl2br w:val="nil"/>
              <w:tr2bl w:val="nil"/>
            </w:tcBorders>
            <w:shd w:val="clear" w:color="auto" w:fill="auto"/>
            <w:noWrap/>
            <w:vAlign w:val="center"/>
          </w:tcPr>
          <w:p w14:paraId="2AEA002F">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5959.4</w:t>
            </w:r>
          </w:p>
        </w:tc>
        <w:tc>
          <w:tcPr>
            <w:tcW w:w="886" w:type="dxa"/>
            <w:tcBorders>
              <w:tl2br w:val="nil"/>
              <w:tr2bl w:val="nil"/>
            </w:tcBorders>
            <w:shd w:val="clear" w:color="auto" w:fill="auto"/>
            <w:noWrap/>
            <w:vAlign w:val="center"/>
          </w:tcPr>
          <w:p w14:paraId="2D06A2D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0.623</w:t>
            </w:r>
          </w:p>
        </w:tc>
        <w:tc>
          <w:tcPr>
            <w:tcW w:w="1130" w:type="dxa"/>
            <w:tcBorders>
              <w:tl2br w:val="nil"/>
              <w:tr2bl w:val="nil"/>
            </w:tcBorders>
            <w:shd w:val="clear" w:color="auto" w:fill="auto"/>
            <w:noWrap/>
            <w:vAlign w:val="center"/>
          </w:tcPr>
          <w:p w14:paraId="7718945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3.713</w:t>
            </w:r>
          </w:p>
        </w:tc>
        <w:tc>
          <w:tcPr>
            <w:tcW w:w="893" w:type="dxa"/>
            <w:tcBorders>
              <w:tl2br w:val="nil"/>
              <w:tr2bl w:val="nil"/>
            </w:tcBorders>
            <w:shd w:val="clear" w:color="auto" w:fill="auto"/>
            <w:noWrap/>
            <w:vAlign w:val="center"/>
          </w:tcPr>
          <w:p w14:paraId="000620D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3034</w:t>
            </w:r>
          </w:p>
        </w:tc>
        <w:tc>
          <w:tcPr>
            <w:tcW w:w="886" w:type="dxa"/>
            <w:tcBorders>
              <w:tl2br w:val="nil"/>
              <w:tr2bl w:val="nil"/>
            </w:tcBorders>
            <w:shd w:val="clear" w:color="auto" w:fill="auto"/>
            <w:noWrap/>
            <w:vAlign w:val="center"/>
          </w:tcPr>
          <w:p w14:paraId="14C8CCB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152B03B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0.455</w:t>
            </w:r>
          </w:p>
        </w:tc>
      </w:tr>
      <w:tr w14:paraId="3548EA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267CECA0">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8</w:t>
            </w:r>
          </w:p>
        </w:tc>
        <w:tc>
          <w:tcPr>
            <w:tcW w:w="515" w:type="pct"/>
            <w:tcBorders>
              <w:tl2br w:val="nil"/>
              <w:tr2bl w:val="nil"/>
            </w:tcBorders>
            <w:shd w:val="clear" w:color="auto" w:fill="auto"/>
            <w:noWrap/>
            <w:vAlign w:val="center"/>
          </w:tcPr>
          <w:p w14:paraId="40DE387A">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8726.4</w:t>
            </w:r>
          </w:p>
        </w:tc>
        <w:tc>
          <w:tcPr>
            <w:tcW w:w="447" w:type="pct"/>
            <w:tcBorders>
              <w:tl2br w:val="nil"/>
              <w:tr2bl w:val="nil"/>
            </w:tcBorders>
            <w:shd w:val="clear" w:color="auto" w:fill="auto"/>
            <w:noWrap/>
            <w:vAlign w:val="center"/>
          </w:tcPr>
          <w:p w14:paraId="68AE18B4">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0.036</w:t>
            </w:r>
          </w:p>
        </w:tc>
        <w:tc>
          <w:tcPr>
            <w:tcW w:w="610" w:type="pct"/>
            <w:tcBorders>
              <w:tl2br w:val="nil"/>
              <w:tr2bl w:val="nil"/>
            </w:tcBorders>
            <w:shd w:val="clear" w:color="auto" w:fill="auto"/>
            <w:noWrap/>
            <w:vAlign w:val="center"/>
          </w:tcPr>
          <w:p w14:paraId="3A839AFB">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0.314</w:t>
            </w:r>
          </w:p>
        </w:tc>
        <w:tc>
          <w:tcPr>
            <w:tcW w:w="893" w:type="dxa"/>
            <w:tcBorders>
              <w:tl2br w:val="nil"/>
              <w:tr2bl w:val="nil"/>
            </w:tcBorders>
            <w:shd w:val="clear" w:color="auto" w:fill="auto"/>
            <w:noWrap/>
            <w:vAlign w:val="center"/>
          </w:tcPr>
          <w:p w14:paraId="24CE89E2">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567.2</w:t>
            </w:r>
          </w:p>
        </w:tc>
        <w:tc>
          <w:tcPr>
            <w:tcW w:w="886" w:type="dxa"/>
            <w:tcBorders>
              <w:tl2br w:val="nil"/>
              <w:tr2bl w:val="nil"/>
            </w:tcBorders>
            <w:shd w:val="clear" w:color="auto" w:fill="auto"/>
            <w:noWrap/>
            <w:vAlign w:val="center"/>
          </w:tcPr>
          <w:p w14:paraId="731035AE">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1.84</w:t>
            </w:r>
          </w:p>
        </w:tc>
        <w:tc>
          <w:tcPr>
            <w:tcW w:w="1130" w:type="dxa"/>
            <w:tcBorders>
              <w:tl2br w:val="nil"/>
              <w:tr2bl w:val="nil"/>
            </w:tcBorders>
            <w:shd w:val="clear" w:color="auto" w:fill="auto"/>
            <w:noWrap/>
            <w:vAlign w:val="center"/>
          </w:tcPr>
          <w:p w14:paraId="7979E28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1.044</w:t>
            </w:r>
          </w:p>
        </w:tc>
        <w:tc>
          <w:tcPr>
            <w:tcW w:w="893" w:type="dxa"/>
            <w:tcBorders>
              <w:tl2br w:val="nil"/>
              <w:tr2bl w:val="nil"/>
            </w:tcBorders>
            <w:shd w:val="clear" w:color="auto" w:fill="auto"/>
            <w:noWrap/>
            <w:vAlign w:val="center"/>
          </w:tcPr>
          <w:p w14:paraId="63FF89E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3034</w:t>
            </w:r>
          </w:p>
        </w:tc>
        <w:tc>
          <w:tcPr>
            <w:tcW w:w="886" w:type="dxa"/>
            <w:tcBorders>
              <w:tl2br w:val="nil"/>
              <w:tr2bl w:val="nil"/>
            </w:tcBorders>
            <w:shd w:val="clear" w:color="auto" w:fill="auto"/>
            <w:noWrap/>
            <w:vAlign w:val="center"/>
          </w:tcPr>
          <w:p w14:paraId="52A40FA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569D0E8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0.455</w:t>
            </w:r>
          </w:p>
        </w:tc>
      </w:tr>
      <w:tr w14:paraId="582DDB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0AF8B626">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9</w:t>
            </w:r>
          </w:p>
        </w:tc>
        <w:tc>
          <w:tcPr>
            <w:tcW w:w="515" w:type="pct"/>
            <w:tcBorders>
              <w:tl2br w:val="nil"/>
              <w:tr2bl w:val="nil"/>
            </w:tcBorders>
            <w:shd w:val="clear" w:color="auto" w:fill="auto"/>
            <w:noWrap/>
            <w:vAlign w:val="center"/>
          </w:tcPr>
          <w:p w14:paraId="6464B3A5">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6220.8</w:t>
            </w:r>
          </w:p>
        </w:tc>
        <w:tc>
          <w:tcPr>
            <w:tcW w:w="447" w:type="pct"/>
            <w:tcBorders>
              <w:tl2br w:val="nil"/>
              <w:tr2bl w:val="nil"/>
            </w:tcBorders>
            <w:shd w:val="clear" w:color="auto" w:fill="auto"/>
            <w:noWrap/>
            <w:vAlign w:val="center"/>
          </w:tcPr>
          <w:p w14:paraId="5907DF30">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0.057</w:t>
            </w:r>
          </w:p>
        </w:tc>
        <w:tc>
          <w:tcPr>
            <w:tcW w:w="610" w:type="pct"/>
            <w:tcBorders>
              <w:tl2br w:val="nil"/>
              <w:tr2bl w:val="nil"/>
            </w:tcBorders>
            <w:shd w:val="clear" w:color="auto" w:fill="auto"/>
            <w:noWrap/>
            <w:vAlign w:val="center"/>
          </w:tcPr>
          <w:p w14:paraId="6E1E7468">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0.352</w:t>
            </w:r>
          </w:p>
        </w:tc>
        <w:tc>
          <w:tcPr>
            <w:tcW w:w="893" w:type="dxa"/>
            <w:tcBorders>
              <w:tl2br w:val="nil"/>
              <w:tr2bl w:val="nil"/>
            </w:tcBorders>
            <w:shd w:val="clear" w:color="auto" w:fill="auto"/>
            <w:noWrap/>
            <w:vAlign w:val="center"/>
          </w:tcPr>
          <w:p w14:paraId="711C75F2">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0</w:t>
            </w:r>
          </w:p>
        </w:tc>
        <w:tc>
          <w:tcPr>
            <w:tcW w:w="886" w:type="dxa"/>
            <w:tcBorders>
              <w:tl2br w:val="nil"/>
              <w:tr2bl w:val="nil"/>
            </w:tcBorders>
            <w:shd w:val="clear" w:color="auto" w:fill="auto"/>
            <w:noWrap/>
            <w:vAlign w:val="center"/>
          </w:tcPr>
          <w:p w14:paraId="1B3E7018">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1.51</w:t>
            </w:r>
          </w:p>
        </w:tc>
        <w:tc>
          <w:tcPr>
            <w:tcW w:w="1130" w:type="dxa"/>
            <w:tcBorders>
              <w:tl2br w:val="nil"/>
              <w:tr2bl w:val="nil"/>
            </w:tcBorders>
            <w:shd w:val="clear" w:color="auto" w:fill="auto"/>
            <w:noWrap/>
            <w:vAlign w:val="center"/>
          </w:tcPr>
          <w:p w14:paraId="4F96A4E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w:t>
            </w:r>
          </w:p>
        </w:tc>
        <w:tc>
          <w:tcPr>
            <w:tcW w:w="893" w:type="dxa"/>
            <w:tcBorders>
              <w:tl2br w:val="nil"/>
              <w:tr2bl w:val="nil"/>
            </w:tcBorders>
            <w:shd w:val="clear" w:color="auto" w:fill="auto"/>
            <w:noWrap/>
            <w:vAlign w:val="center"/>
          </w:tcPr>
          <w:p w14:paraId="1AF0AE95">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2460.4</w:t>
            </w:r>
          </w:p>
        </w:tc>
        <w:tc>
          <w:tcPr>
            <w:tcW w:w="886" w:type="dxa"/>
            <w:tcBorders>
              <w:tl2br w:val="nil"/>
              <w:tr2bl w:val="nil"/>
            </w:tcBorders>
            <w:shd w:val="clear" w:color="auto" w:fill="auto"/>
            <w:noWrap/>
            <w:vAlign w:val="center"/>
          </w:tcPr>
          <w:p w14:paraId="4AF56E43">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5B2FCAB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0.369</w:t>
            </w:r>
          </w:p>
        </w:tc>
      </w:tr>
      <w:tr w14:paraId="728B8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16F4803C">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10</w:t>
            </w:r>
          </w:p>
        </w:tc>
        <w:tc>
          <w:tcPr>
            <w:tcW w:w="515" w:type="pct"/>
            <w:tcBorders>
              <w:tl2br w:val="nil"/>
              <w:tr2bl w:val="nil"/>
            </w:tcBorders>
            <w:shd w:val="clear" w:color="auto" w:fill="auto"/>
            <w:noWrap/>
            <w:vAlign w:val="center"/>
          </w:tcPr>
          <w:p w14:paraId="6547B22D">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4233.6</w:t>
            </w:r>
          </w:p>
        </w:tc>
        <w:tc>
          <w:tcPr>
            <w:tcW w:w="447" w:type="pct"/>
            <w:tcBorders>
              <w:tl2br w:val="nil"/>
              <w:tr2bl w:val="nil"/>
            </w:tcBorders>
            <w:shd w:val="clear" w:color="auto" w:fill="auto"/>
            <w:noWrap/>
            <w:vAlign w:val="center"/>
          </w:tcPr>
          <w:p w14:paraId="7C798307">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0.057</w:t>
            </w:r>
          </w:p>
        </w:tc>
        <w:tc>
          <w:tcPr>
            <w:tcW w:w="610" w:type="pct"/>
            <w:tcBorders>
              <w:tl2br w:val="nil"/>
              <w:tr2bl w:val="nil"/>
            </w:tcBorders>
            <w:shd w:val="clear" w:color="auto" w:fill="auto"/>
            <w:noWrap/>
            <w:vAlign w:val="center"/>
          </w:tcPr>
          <w:p w14:paraId="3C755D81">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0.24</w:t>
            </w:r>
          </w:p>
        </w:tc>
        <w:tc>
          <w:tcPr>
            <w:tcW w:w="893" w:type="dxa"/>
            <w:tcBorders>
              <w:tl2br w:val="nil"/>
              <w:tr2bl w:val="nil"/>
            </w:tcBorders>
            <w:shd w:val="clear" w:color="auto" w:fill="auto"/>
            <w:noWrap/>
            <w:vAlign w:val="center"/>
          </w:tcPr>
          <w:p w14:paraId="5B0750C1">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0</w:t>
            </w:r>
          </w:p>
        </w:tc>
        <w:tc>
          <w:tcPr>
            <w:tcW w:w="886" w:type="dxa"/>
            <w:tcBorders>
              <w:tl2br w:val="nil"/>
              <w:tr2bl w:val="nil"/>
            </w:tcBorders>
            <w:shd w:val="clear" w:color="auto" w:fill="auto"/>
            <w:noWrap/>
            <w:vAlign w:val="center"/>
          </w:tcPr>
          <w:p w14:paraId="59EC94F2">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1.51</w:t>
            </w:r>
          </w:p>
        </w:tc>
        <w:tc>
          <w:tcPr>
            <w:tcW w:w="1130" w:type="dxa"/>
            <w:tcBorders>
              <w:tl2br w:val="nil"/>
              <w:tr2bl w:val="nil"/>
            </w:tcBorders>
            <w:shd w:val="clear" w:color="auto" w:fill="auto"/>
            <w:noWrap/>
            <w:vAlign w:val="center"/>
          </w:tcPr>
          <w:p w14:paraId="339492A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w:t>
            </w:r>
          </w:p>
        </w:tc>
        <w:tc>
          <w:tcPr>
            <w:tcW w:w="893" w:type="dxa"/>
            <w:tcBorders>
              <w:tl2br w:val="nil"/>
              <w:tr2bl w:val="nil"/>
            </w:tcBorders>
            <w:shd w:val="clear" w:color="auto" w:fill="auto"/>
            <w:noWrap/>
            <w:vAlign w:val="center"/>
          </w:tcPr>
          <w:p w14:paraId="5544817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1563.4</w:t>
            </w:r>
          </w:p>
        </w:tc>
        <w:tc>
          <w:tcPr>
            <w:tcW w:w="886" w:type="dxa"/>
            <w:tcBorders>
              <w:tl2br w:val="nil"/>
              <w:tr2bl w:val="nil"/>
            </w:tcBorders>
            <w:shd w:val="clear" w:color="auto" w:fill="auto"/>
            <w:noWrap/>
            <w:vAlign w:val="center"/>
          </w:tcPr>
          <w:p w14:paraId="24F79480">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5169909C">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0.235</w:t>
            </w:r>
          </w:p>
        </w:tc>
      </w:tr>
      <w:tr w14:paraId="611EDF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00370460">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11</w:t>
            </w:r>
          </w:p>
        </w:tc>
        <w:tc>
          <w:tcPr>
            <w:tcW w:w="515" w:type="pct"/>
            <w:tcBorders>
              <w:tl2br w:val="nil"/>
              <w:tr2bl w:val="nil"/>
            </w:tcBorders>
            <w:shd w:val="clear" w:color="auto" w:fill="auto"/>
            <w:noWrap/>
            <w:vAlign w:val="center"/>
          </w:tcPr>
          <w:p w14:paraId="05B06B13">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4579.2</w:t>
            </w:r>
          </w:p>
        </w:tc>
        <w:tc>
          <w:tcPr>
            <w:tcW w:w="447" w:type="pct"/>
            <w:tcBorders>
              <w:tl2br w:val="nil"/>
              <w:tr2bl w:val="nil"/>
            </w:tcBorders>
            <w:shd w:val="clear" w:color="auto" w:fill="auto"/>
            <w:noWrap/>
            <w:vAlign w:val="center"/>
          </w:tcPr>
          <w:p w14:paraId="314FF477">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0.057</w:t>
            </w:r>
          </w:p>
        </w:tc>
        <w:tc>
          <w:tcPr>
            <w:tcW w:w="610" w:type="pct"/>
            <w:tcBorders>
              <w:tl2br w:val="nil"/>
              <w:tr2bl w:val="nil"/>
            </w:tcBorders>
            <w:shd w:val="clear" w:color="auto" w:fill="auto"/>
            <w:noWrap/>
            <w:vAlign w:val="center"/>
          </w:tcPr>
          <w:p w14:paraId="0FA2FE00">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0.259</w:t>
            </w:r>
          </w:p>
        </w:tc>
        <w:tc>
          <w:tcPr>
            <w:tcW w:w="893" w:type="dxa"/>
            <w:tcBorders>
              <w:tl2br w:val="nil"/>
              <w:tr2bl w:val="nil"/>
            </w:tcBorders>
            <w:shd w:val="clear" w:color="auto" w:fill="auto"/>
            <w:noWrap/>
            <w:vAlign w:val="center"/>
          </w:tcPr>
          <w:p w14:paraId="3F152F83">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0</w:t>
            </w:r>
          </w:p>
        </w:tc>
        <w:tc>
          <w:tcPr>
            <w:tcW w:w="886" w:type="dxa"/>
            <w:tcBorders>
              <w:tl2br w:val="nil"/>
              <w:tr2bl w:val="nil"/>
            </w:tcBorders>
            <w:shd w:val="clear" w:color="auto" w:fill="auto"/>
            <w:noWrap/>
            <w:vAlign w:val="center"/>
          </w:tcPr>
          <w:p w14:paraId="4164E718">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1.51</w:t>
            </w:r>
          </w:p>
        </w:tc>
        <w:tc>
          <w:tcPr>
            <w:tcW w:w="1130" w:type="dxa"/>
            <w:tcBorders>
              <w:tl2br w:val="nil"/>
              <w:tr2bl w:val="nil"/>
            </w:tcBorders>
            <w:shd w:val="clear" w:color="auto" w:fill="auto"/>
            <w:noWrap/>
            <w:vAlign w:val="center"/>
          </w:tcPr>
          <w:p w14:paraId="157C5A7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w:t>
            </w:r>
          </w:p>
        </w:tc>
        <w:tc>
          <w:tcPr>
            <w:tcW w:w="893" w:type="dxa"/>
            <w:tcBorders>
              <w:tl2br w:val="nil"/>
              <w:tr2bl w:val="nil"/>
            </w:tcBorders>
            <w:shd w:val="clear" w:color="auto" w:fill="auto"/>
            <w:noWrap/>
            <w:vAlign w:val="center"/>
          </w:tcPr>
          <w:p w14:paraId="69F476F8">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1742.9</w:t>
            </w:r>
          </w:p>
        </w:tc>
        <w:tc>
          <w:tcPr>
            <w:tcW w:w="886" w:type="dxa"/>
            <w:tcBorders>
              <w:tl2br w:val="nil"/>
              <w:tr2bl w:val="nil"/>
            </w:tcBorders>
            <w:shd w:val="clear" w:color="auto" w:fill="auto"/>
            <w:noWrap/>
            <w:vAlign w:val="center"/>
          </w:tcPr>
          <w:p w14:paraId="28DF1AE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1FA7B57A">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0.261</w:t>
            </w:r>
          </w:p>
        </w:tc>
      </w:tr>
      <w:tr w14:paraId="47A956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8" w:type="pct"/>
            <w:tcBorders>
              <w:tl2br w:val="nil"/>
              <w:tr2bl w:val="nil"/>
            </w:tcBorders>
            <w:shd w:val="clear" w:color="auto" w:fill="auto"/>
            <w:noWrap/>
            <w:vAlign w:val="center"/>
          </w:tcPr>
          <w:p w14:paraId="177C46C8">
            <w:pPr>
              <w:pStyle w:val="26"/>
              <w:keepNext w:val="0"/>
              <w:keepLines w:val="0"/>
              <w:suppressLineNumbers w:val="0"/>
              <w:bidi w:val="0"/>
              <w:spacing w:before="0" w:beforeAutospacing="0" w:after="0" w:afterAutospacing="0"/>
              <w:ind w:left="0" w:leftChars="0" w:right="0" w:rightChars="0"/>
              <w:rPr>
                <w:rFonts w:hint="eastAsia"/>
                <w:color w:val="auto"/>
                <w:highlight w:val="none"/>
                <w:u w:val="single"/>
                <w:lang w:val="en-US" w:eastAsia="zh-CN"/>
              </w:rPr>
            </w:pPr>
            <w:r>
              <w:rPr>
                <w:rFonts w:hint="eastAsia"/>
                <w:color w:val="auto"/>
                <w:highlight w:val="none"/>
                <w:u w:val="single"/>
                <w:lang w:val="en-US" w:eastAsia="zh-CN"/>
              </w:rPr>
              <w:t>12</w:t>
            </w:r>
          </w:p>
        </w:tc>
        <w:tc>
          <w:tcPr>
            <w:tcW w:w="515" w:type="pct"/>
            <w:tcBorders>
              <w:tl2br w:val="nil"/>
              <w:tr2bl w:val="nil"/>
            </w:tcBorders>
            <w:shd w:val="clear" w:color="auto" w:fill="auto"/>
            <w:noWrap/>
            <w:vAlign w:val="center"/>
          </w:tcPr>
          <w:p w14:paraId="353F1AEB">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3369.6</w:t>
            </w:r>
          </w:p>
        </w:tc>
        <w:tc>
          <w:tcPr>
            <w:tcW w:w="447" w:type="pct"/>
            <w:tcBorders>
              <w:tl2br w:val="nil"/>
              <w:tr2bl w:val="nil"/>
            </w:tcBorders>
            <w:shd w:val="clear" w:color="auto" w:fill="auto"/>
            <w:noWrap/>
            <w:vAlign w:val="center"/>
          </w:tcPr>
          <w:p w14:paraId="0CD82C9C">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0.057</w:t>
            </w:r>
          </w:p>
        </w:tc>
        <w:tc>
          <w:tcPr>
            <w:tcW w:w="610" w:type="pct"/>
            <w:tcBorders>
              <w:tl2br w:val="nil"/>
              <w:tr2bl w:val="nil"/>
            </w:tcBorders>
            <w:shd w:val="clear" w:color="auto" w:fill="auto"/>
            <w:noWrap/>
            <w:vAlign w:val="center"/>
          </w:tcPr>
          <w:p w14:paraId="3D9FD60A">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0.191</w:t>
            </w:r>
          </w:p>
        </w:tc>
        <w:tc>
          <w:tcPr>
            <w:tcW w:w="893" w:type="dxa"/>
            <w:tcBorders>
              <w:tl2br w:val="nil"/>
              <w:tr2bl w:val="nil"/>
            </w:tcBorders>
            <w:shd w:val="clear" w:color="auto" w:fill="auto"/>
            <w:noWrap/>
            <w:vAlign w:val="center"/>
          </w:tcPr>
          <w:p w14:paraId="6D669001">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0</w:t>
            </w:r>
          </w:p>
        </w:tc>
        <w:tc>
          <w:tcPr>
            <w:tcW w:w="886" w:type="dxa"/>
            <w:tcBorders>
              <w:tl2br w:val="nil"/>
              <w:tr2bl w:val="nil"/>
            </w:tcBorders>
            <w:shd w:val="clear" w:color="auto" w:fill="auto"/>
            <w:noWrap/>
            <w:vAlign w:val="center"/>
          </w:tcPr>
          <w:p w14:paraId="10E5A91C">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1.51</w:t>
            </w:r>
          </w:p>
        </w:tc>
        <w:tc>
          <w:tcPr>
            <w:tcW w:w="1130" w:type="dxa"/>
            <w:tcBorders>
              <w:tl2br w:val="nil"/>
              <w:tr2bl w:val="nil"/>
            </w:tcBorders>
            <w:shd w:val="clear" w:color="auto" w:fill="auto"/>
            <w:noWrap/>
            <w:vAlign w:val="center"/>
          </w:tcPr>
          <w:p w14:paraId="4BAEE543">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w:t>
            </w:r>
          </w:p>
        </w:tc>
        <w:tc>
          <w:tcPr>
            <w:tcW w:w="893" w:type="dxa"/>
            <w:tcBorders>
              <w:tl2br w:val="nil"/>
              <w:tr2bl w:val="nil"/>
            </w:tcBorders>
            <w:shd w:val="clear" w:color="auto" w:fill="auto"/>
            <w:noWrap/>
            <w:vAlign w:val="center"/>
          </w:tcPr>
          <w:p w14:paraId="5EA23ED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1171.1</w:t>
            </w:r>
          </w:p>
        </w:tc>
        <w:tc>
          <w:tcPr>
            <w:tcW w:w="886" w:type="dxa"/>
            <w:tcBorders>
              <w:tl2br w:val="nil"/>
              <w:tr2bl w:val="nil"/>
            </w:tcBorders>
            <w:shd w:val="clear" w:color="auto" w:fill="auto"/>
            <w:noWrap/>
            <w:vAlign w:val="center"/>
          </w:tcPr>
          <w:p w14:paraId="44299FCA">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1132" w:type="dxa"/>
            <w:tcBorders>
              <w:tl2br w:val="nil"/>
              <w:tr2bl w:val="nil"/>
            </w:tcBorders>
            <w:shd w:val="clear" w:color="auto" w:fill="auto"/>
            <w:noWrap/>
            <w:vAlign w:val="center"/>
          </w:tcPr>
          <w:p w14:paraId="28225DE5">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0.176</w:t>
            </w:r>
          </w:p>
        </w:tc>
      </w:tr>
    </w:tbl>
    <w:p w14:paraId="47A82B9E">
      <w:pPr>
        <w:pStyle w:val="28"/>
        <w:bidi w:val="0"/>
        <w:rPr>
          <w:rFonts w:hint="default"/>
          <w:color w:val="auto"/>
          <w:highlight w:val="none"/>
          <w:u w:val="single"/>
          <w:lang w:val="en-US" w:eastAsia="zh-CN"/>
        </w:rPr>
      </w:pPr>
      <w:r>
        <w:rPr>
          <w:rFonts w:hint="default"/>
          <w:color w:val="auto"/>
          <w:highlight w:val="none"/>
          <w:u w:val="single"/>
        </w:rPr>
        <w:t>表</w:t>
      </w:r>
      <w:r>
        <w:rPr>
          <w:rFonts w:hint="default"/>
          <w:color w:val="auto"/>
          <w:highlight w:val="none"/>
          <w:u w:val="single"/>
        </w:rPr>
        <w:fldChar w:fldCharType="begin"/>
      </w:r>
      <w:r>
        <w:rPr>
          <w:rFonts w:hint="default"/>
          <w:color w:val="auto"/>
          <w:highlight w:val="none"/>
          <w:u w:val="single"/>
        </w:rPr>
        <w:instrText xml:space="preserve"> STYLEREF guo-二级标题 \n </w:instrText>
      </w:r>
      <w:r>
        <w:rPr>
          <w:rFonts w:hint="default"/>
          <w:color w:val="auto"/>
          <w:highlight w:val="none"/>
          <w:u w:val="single"/>
        </w:rPr>
        <w:fldChar w:fldCharType="separate"/>
      </w:r>
      <w:r>
        <w:rPr>
          <w:rFonts w:hint="default"/>
          <w:color w:val="auto"/>
          <w:highlight w:val="none"/>
          <w:u w:val="single"/>
        </w:rPr>
        <w:t>2.1</w:t>
      </w:r>
      <w:r>
        <w:rPr>
          <w:rFonts w:hint="default"/>
          <w:color w:val="auto"/>
          <w:highlight w:val="none"/>
          <w:u w:val="single"/>
        </w:rPr>
        <w:fldChar w:fldCharType="end"/>
      </w:r>
      <w:r>
        <w:rPr>
          <w:rFonts w:hint="default"/>
          <w:color w:val="auto"/>
          <w:highlight w:val="none"/>
          <w:u w:val="single"/>
        </w:rPr>
        <w:t>–</w:t>
      </w:r>
      <w:r>
        <w:rPr>
          <w:rFonts w:hint="default"/>
          <w:color w:val="auto"/>
          <w:highlight w:val="none"/>
          <w:u w:val="single"/>
        </w:rPr>
        <w:fldChar w:fldCharType="begin"/>
      </w:r>
      <w:r>
        <w:rPr>
          <w:rFonts w:hint="default"/>
          <w:color w:val="auto"/>
          <w:highlight w:val="none"/>
          <w:u w:val="single"/>
        </w:rPr>
        <w:instrText xml:space="preserve"> SEQ 表 \* ARABIC \s 2 </w:instrText>
      </w:r>
      <w:r>
        <w:rPr>
          <w:rFonts w:hint="default"/>
          <w:color w:val="auto"/>
          <w:highlight w:val="none"/>
          <w:u w:val="single"/>
        </w:rPr>
        <w:fldChar w:fldCharType="separate"/>
      </w:r>
      <w:r>
        <w:rPr>
          <w:rFonts w:hint="default"/>
          <w:color w:val="auto"/>
          <w:highlight w:val="none"/>
          <w:u w:val="single"/>
        </w:rPr>
        <w:t>46</w:t>
      </w:r>
      <w:r>
        <w:rPr>
          <w:rFonts w:hint="default"/>
          <w:color w:val="auto"/>
          <w:highlight w:val="none"/>
          <w:u w:val="single"/>
        </w:rPr>
        <w:fldChar w:fldCharType="end"/>
      </w:r>
      <w:r>
        <w:rPr>
          <w:rFonts w:hint="default"/>
          <w:color w:val="auto"/>
          <w:highlight w:val="none"/>
          <w:u w:val="single"/>
        </w:rPr>
        <w:t xml:space="preserve">  </w:t>
      </w:r>
      <w:r>
        <w:rPr>
          <w:rFonts w:hint="eastAsia"/>
          <w:color w:val="auto"/>
          <w:highlight w:val="none"/>
          <w:u w:val="single"/>
          <w:lang w:val="en-US" w:eastAsia="zh-CN"/>
        </w:rPr>
        <w:t>调整后废水各水期排放情况</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17"/>
        <w:gridCol w:w="1015"/>
        <w:gridCol w:w="873"/>
        <w:gridCol w:w="991"/>
        <w:gridCol w:w="999"/>
        <w:gridCol w:w="873"/>
        <w:gridCol w:w="1058"/>
        <w:gridCol w:w="932"/>
        <w:gridCol w:w="873"/>
        <w:gridCol w:w="1111"/>
      </w:tblGrid>
      <w:tr w14:paraId="41C0C592">
        <w:tblPrEx>
          <w:tblCellMar>
            <w:top w:w="0" w:type="dxa"/>
            <w:left w:w="108" w:type="dxa"/>
            <w:bottom w:w="0" w:type="dxa"/>
            <w:right w:w="108" w:type="dxa"/>
          </w:tblCellMar>
        </w:tblPrEx>
        <w:trPr>
          <w:trHeight w:val="23" w:hRule="atLeast"/>
        </w:trPr>
        <w:tc>
          <w:tcPr>
            <w:tcW w:w="279" w:type="pct"/>
            <w:vMerge w:val="restart"/>
            <w:tcBorders>
              <w:tl2br w:val="nil"/>
              <w:tr2bl w:val="nil"/>
            </w:tcBorders>
            <w:shd w:val="clear" w:color="auto" w:fill="auto"/>
            <w:noWrap/>
            <w:vAlign w:val="center"/>
          </w:tcPr>
          <w:p w14:paraId="66DE267B">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月份</w:t>
            </w:r>
          </w:p>
        </w:tc>
        <w:tc>
          <w:tcPr>
            <w:tcW w:w="1557" w:type="pct"/>
            <w:gridSpan w:val="3"/>
            <w:tcBorders>
              <w:tl2br w:val="nil"/>
              <w:tr2bl w:val="nil"/>
            </w:tcBorders>
            <w:shd w:val="clear" w:color="auto" w:fill="auto"/>
            <w:noWrap/>
            <w:vAlign w:val="center"/>
          </w:tcPr>
          <w:p w14:paraId="1D87AA0C">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渣滓溪上游引水</w:t>
            </w:r>
          </w:p>
        </w:tc>
        <w:tc>
          <w:tcPr>
            <w:tcW w:w="1585" w:type="pct"/>
            <w:gridSpan w:val="3"/>
            <w:tcBorders>
              <w:tl2br w:val="nil"/>
              <w:tr2bl w:val="nil"/>
            </w:tcBorders>
            <w:shd w:val="clear" w:color="auto" w:fill="auto"/>
            <w:noWrap/>
            <w:vAlign w:val="center"/>
          </w:tcPr>
          <w:p w14:paraId="76C420D8">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隧洞出水</w:t>
            </w:r>
          </w:p>
        </w:tc>
        <w:tc>
          <w:tcPr>
            <w:tcW w:w="1577" w:type="pct"/>
            <w:gridSpan w:val="3"/>
            <w:tcBorders>
              <w:tl2br w:val="nil"/>
              <w:tr2bl w:val="nil"/>
            </w:tcBorders>
            <w:shd w:val="clear" w:color="auto" w:fill="auto"/>
            <w:noWrap/>
            <w:vAlign w:val="center"/>
          </w:tcPr>
          <w:p w14:paraId="679EBEF2">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废水处理站出水</w:t>
            </w:r>
          </w:p>
        </w:tc>
      </w:tr>
      <w:tr w14:paraId="48831E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9" w:type="pct"/>
            <w:vMerge w:val="continue"/>
            <w:tcBorders>
              <w:tl2br w:val="nil"/>
              <w:tr2bl w:val="nil"/>
            </w:tcBorders>
            <w:shd w:val="clear" w:color="auto" w:fill="auto"/>
            <w:noWrap/>
            <w:vAlign w:val="center"/>
          </w:tcPr>
          <w:p w14:paraId="5F537A11">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p>
        </w:tc>
        <w:tc>
          <w:tcPr>
            <w:tcW w:w="549" w:type="pct"/>
            <w:tcBorders>
              <w:tl2br w:val="nil"/>
              <w:tr2bl w:val="nil"/>
            </w:tcBorders>
            <w:shd w:val="clear" w:color="auto" w:fill="auto"/>
            <w:noWrap/>
            <w:vAlign w:val="center"/>
          </w:tcPr>
          <w:p w14:paraId="44C5CF93">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水量(m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tc>
        <w:tc>
          <w:tcPr>
            <w:tcW w:w="472" w:type="pct"/>
            <w:tcBorders>
              <w:tl2br w:val="nil"/>
              <w:tr2bl w:val="nil"/>
            </w:tcBorders>
            <w:shd w:val="clear" w:color="auto" w:fill="auto"/>
            <w:noWrap/>
            <w:vAlign w:val="center"/>
          </w:tcPr>
          <w:p w14:paraId="49B6543F">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水质(mg/l)</w:t>
            </w:r>
          </w:p>
        </w:tc>
        <w:tc>
          <w:tcPr>
            <w:tcW w:w="536" w:type="pct"/>
            <w:tcBorders>
              <w:tl2br w:val="nil"/>
              <w:tr2bl w:val="nil"/>
            </w:tcBorders>
            <w:shd w:val="clear" w:color="auto" w:fill="auto"/>
            <w:noWrap/>
            <w:vAlign w:val="center"/>
          </w:tcPr>
          <w:p w14:paraId="2AB6CFA7">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排放量（kg/d)</w:t>
            </w:r>
          </w:p>
        </w:tc>
        <w:tc>
          <w:tcPr>
            <w:tcW w:w="540" w:type="pct"/>
            <w:tcBorders>
              <w:tl2br w:val="nil"/>
              <w:tr2bl w:val="nil"/>
            </w:tcBorders>
            <w:shd w:val="clear" w:color="auto" w:fill="auto"/>
            <w:noWrap/>
            <w:vAlign w:val="center"/>
          </w:tcPr>
          <w:p w14:paraId="225C33AA">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水量(m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tc>
        <w:tc>
          <w:tcPr>
            <w:tcW w:w="472" w:type="pct"/>
            <w:tcBorders>
              <w:tl2br w:val="nil"/>
              <w:tr2bl w:val="nil"/>
            </w:tcBorders>
            <w:shd w:val="clear" w:color="auto" w:fill="auto"/>
            <w:noWrap/>
            <w:vAlign w:val="center"/>
          </w:tcPr>
          <w:p w14:paraId="2E51FDDF">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水质(mg/l)</w:t>
            </w:r>
          </w:p>
        </w:tc>
        <w:tc>
          <w:tcPr>
            <w:tcW w:w="572" w:type="pct"/>
            <w:tcBorders>
              <w:tl2br w:val="nil"/>
              <w:tr2bl w:val="nil"/>
            </w:tcBorders>
            <w:shd w:val="clear" w:color="auto" w:fill="auto"/>
            <w:noWrap/>
            <w:vAlign w:val="center"/>
          </w:tcPr>
          <w:p w14:paraId="3D2B3379">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排放量（kg/d)</w:t>
            </w:r>
          </w:p>
        </w:tc>
        <w:tc>
          <w:tcPr>
            <w:tcW w:w="504" w:type="pct"/>
            <w:tcBorders>
              <w:tl2br w:val="nil"/>
              <w:tr2bl w:val="nil"/>
            </w:tcBorders>
            <w:shd w:val="clear" w:color="auto" w:fill="auto"/>
            <w:noWrap/>
            <w:vAlign w:val="center"/>
          </w:tcPr>
          <w:p w14:paraId="632B4F71">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水量(m</w:t>
            </w:r>
            <w:r>
              <w:rPr>
                <w:rFonts w:hint="eastAsia"/>
                <w:color w:val="auto"/>
                <w:highlight w:val="none"/>
                <w:u w:val="single"/>
                <w:vertAlign w:val="superscript"/>
                <w:lang w:val="en-US" w:eastAsia="zh-CN"/>
              </w:rPr>
              <w:t>3</w:t>
            </w:r>
            <w:r>
              <w:rPr>
                <w:rFonts w:hint="eastAsia"/>
                <w:color w:val="auto"/>
                <w:highlight w:val="none"/>
                <w:u w:val="single"/>
                <w:lang w:val="en-US" w:eastAsia="zh-CN"/>
              </w:rPr>
              <w:t>/d)</w:t>
            </w:r>
          </w:p>
        </w:tc>
        <w:tc>
          <w:tcPr>
            <w:tcW w:w="472" w:type="pct"/>
            <w:tcBorders>
              <w:tl2br w:val="nil"/>
              <w:tr2bl w:val="nil"/>
            </w:tcBorders>
            <w:shd w:val="clear" w:color="auto" w:fill="auto"/>
            <w:noWrap/>
            <w:vAlign w:val="center"/>
          </w:tcPr>
          <w:p w14:paraId="0AF7028D">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水质(mg/l)</w:t>
            </w:r>
          </w:p>
        </w:tc>
        <w:tc>
          <w:tcPr>
            <w:tcW w:w="601" w:type="pct"/>
            <w:tcBorders>
              <w:tl2br w:val="nil"/>
              <w:tr2bl w:val="nil"/>
            </w:tcBorders>
            <w:shd w:val="clear" w:color="auto" w:fill="auto"/>
            <w:noWrap/>
            <w:vAlign w:val="center"/>
          </w:tcPr>
          <w:p w14:paraId="67E11C50">
            <w:pPr>
              <w:pStyle w:val="26"/>
              <w:keepNext w:val="0"/>
              <w:keepLines w:val="0"/>
              <w:suppressLineNumbers w:val="0"/>
              <w:bidi w:val="0"/>
              <w:spacing w:before="0" w:beforeAutospacing="0" w:after="0" w:afterAutospacing="0"/>
              <w:ind w:left="0" w:right="0"/>
              <w:rPr>
                <w:rFonts w:hint="default"/>
                <w:color w:val="auto"/>
                <w:highlight w:val="none"/>
                <w:u w:val="single"/>
              </w:rPr>
            </w:pPr>
            <w:r>
              <w:rPr>
                <w:rFonts w:hint="eastAsia"/>
                <w:color w:val="auto"/>
                <w:highlight w:val="none"/>
                <w:u w:val="single"/>
                <w:lang w:val="en-US" w:eastAsia="zh-CN"/>
              </w:rPr>
              <w:t>排放量（kg/d)</w:t>
            </w:r>
          </w:p>
        </w:tc>
      </w:tr>
      <w:tr w14:paraId="54A575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79" w:type="pct"/>
            <w:tcBorders>
              <w:tl2br w:val="nil"/>
              <w:tr2bl w:val="nil"/>
            </w:tcBorders>
            <w:shd w:val="clear" w:color="auto" w:fill="auto"/>
            <w:noWrap/>
            <w:vAlign w:val="center"/>
          </w:tcPr>
          <w:p w14:paraId="4D7CC581">
            <w:pPr>
              <w:pStyle w:val="26"/>
              <w:keepNext w:val="0"/>
              <w:keepLines w:val="0"/>
              <w:suppressLineNumbers w:val="0"/>
              <w:bidi w:val="0"/>
              <w:spacing w:before="0" w:beforeAutospacing="0" w:after="0" w:afterAutospacing="0"/>
              <w:ind w:left="0" w:right="0"/>
              <w:rPr>
                <w:rFonts w:hint="default"/>
                <w:u w:val="single"/>
                <w:lang w:val="en-US" w:eastAsia="zh-CN"/>
              </w:rPr>
            </w:pPr>
            <w:r>
              <w:rPr>
                <w:rFonts w:hint="eastAsia"/>
                <w:u w:val="single"/>
                <w:lang w:val="en-US" w:eastAsia="zh-CN"/>
              </w:rPr>
              <w:t>枯水期</w:t>
            </w:r>
          </w:p>
        </w:tc>
        <w:tc>
          <w:tcPr>
            <w:tcW w:w="549" w:type="pct"/>
            <w:tcBorders>
              <w:tl2br w:val="nil"/>
              <w:tr2bl w:val="nil"/>
            </w:tcBorders>
            <w:shd w:val="clear" w:color="auto" w:fill="auto"/>
            <w:noWrap/>
            <w:vAlign w:val="center"/>
          </w:tcPr>
          <w:p w14:paraId="7E90C8AB">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4536</w:t>
            </w:r>
          </w:p>
        </w:tc>
        <w:tc>
          <w:tcPr>
            <w:tcW w:w="472" w:type="pct"/>
            <w:tcBorders>
              <w:tl2br w:val="nil"/>
              <w:tr2bl w:val="nil"/>
            </w:tcBorders>
            <w:shd w:val="clear" w:color="auto" w:fill="auto"/>
            <w:noWrap/>
            <w:vAlign w:val="center"/>
          </w:tcPr>
          <w:p w14:paraId="33C64DE3">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0.057</w:t>
            </w:r>
          </w:p>
        </w:tc>
        <w:tc>
          <w:tcPr>
            <w:tcW w:w="536" w:type="pct"/>
            <w:tcBorders>
              <w:tl2br w:val="nil"/>
              <w:tr2bl w:val="nil"/>
            </w:tcBorders>
            <w:shd w:val="clear" w:color="auto" w:fill="auto"/>
            <w:noWrap/>
            <w:vAlign w:val="center"/>
          </w:tcPr>
          <w:p w14:paraId="54E23942">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0.257</w:t>
            </w:r>
          </w:p>
        </w:tc>
        <w:tc>
          <w:tcPr>
            <w:tcW w:w="540" w:type="pct"/>
            <w:tcBorders>
              <w:tl2br w:val="nil"/>
              <w:tr2bl w:val="nil"/>
            </w:tcBorders>
            <w:shd w:val="clear" w:color="auto" w:fill="auto"/>
            <w:noWrap/>
            <w:vAlign w:val="center"/>
          </w:tcPr>
          <w:p w14:paraId="7F0F8E80">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0</w:t>
            </w:r>
          </w:p>
        </w:tc>
        <w:tc>
          <w:tcPr>
            <w:tcW w:w="472" w:type="pct"/>
            <w:tcBorders>
              <w:tl2br w:val="nil"/>
              <w:tr2bl w:val="nil"/>
            </w:tcBorders>
            <w:shd w:val="clear" w:color="auto" w:fill="auto"/>
            <w:noWrap/>
            <w:vAlign w:val="center"/>
          </w:tcPr>
          <w:p w14:paraId="29556CF7">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1.51</w:t>
            </w:r>
          </w:p>
        </w:tc>
        <w:tc>
          <w:tcPr>
            <w:tcW w:w="572" w:type="pct"/>
            <w:tcBorders>
              <w:tl2br w:val="nil"/>
              <w:tr2bl w:val="nil"/>
            </w:tcBorders>
            <w:shd w:val="clear" w:color="auto" w:fill="auto"/>
            <w:noWrap/>
            <w:vAlign w:val="center"/>
          </w:tcPr>
          <w:p w14:paraId="33563BD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w:t>
            </w:r>
          </w:p>
        </w:tc>
        <w:tc>
          <w:tcPr>
            <w:tcW w:w="504" w:type="pct"/>
            <w:tcBorders>
              <w:tl2br w:val="nil"/>
              <w:tr2bl w:val="nil"/>
            </w:tcBorders>
            <w:shd w:val="clear" w:color="auto" w:fill="auto"/>
            <w:noWrap/>
            <w:vAlign w:val="center"/>
          </w:tcPr>
          <w:p w14:paraId="08028A42">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1702.35</w:t>
            </w:r>
          </w:p>
        </w:tc>
        <w:tc>
          <w:tcPr>
            <w:tcW w:w="472" w:type="pct"/>
            <w:tcBorders>
              <w:tl2br w:val="nil"/>
              <w:tr2bl w:val="nil"/>
            </w:tcBorders>
            <w:shd w:val="clear" w:color="auto" w:fill="auto"/>
            <w:noWrap/>
            <w:vAlign w:val="center"/>
          </w:tcPr>
          <w:p w14:paraId="3021C30F">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601" w:type="pct"/>
            <w:tcBorders>
              <w:tl2br w:val="nil"/>
              <w:tr2bl w:val="nil"/>
            </w:tcBorders>
            <w:shd w:val="clear" w:color="auto" w:fill="auto"/>
            <w:noWrap/>
            <w:vAlign w:val="center"/>
          </w:tcPr>
          <w:p w14:paraId="73FC4C44">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0.255</w:t>
            </w:r>
          </w:p>
        </w:tc>
      </w:tr>
      <w:tr w14:paraId="7FFAA0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79" w:type="pct"/>
            <w:tcBorders>
              <w:tl2br w:val="nil"/>
              <w:tr2bl w:val="nil"/>
            </w:tcBorders>
            <w:shd w:val="clear" w:color="auto" w:fill="auto"/>
            <w:noWrap/>
            <w:vAlign w:val="center"/>
          </w:tcPr>
          <w:p w14:paraId="678210C6">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平水期</w:t>
            </w:r>
          </w:p>
        </w:tc>
        <w:tc>
          <w:tcPr>
            <w:tcW w:w="549" w:type="pct"/>
            <w:tcBorders>
              <w:tl2br w:val="nil"/>
              <w:tr2bl w:val="nil"/>
            </w:tcBorders>
            <w:shd w:val="clear" w:color="auto" w:fill="auto"/>
            <w:noWrap/>
            <w:vAlign w:val="center"/>
          </w:tcPr>
          <w:p w14:paraId="33D619F9">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11001.6</w:t>
            </w:r>
          </w:p>
        </w:tc>
        <w:tc>
          <w:tcPr>
            <w:tcW w:w="472" w:type="pct"/>
            <w:tcBorders>
              <w:tl2br w:val="nil"/>
              <w:tr2bl w:val="nil"/>
            </w:tcBorders>
            <w:shd w:val="clear" w:color="auto" w:fill="auto"/>
            <w:noWrap/>
            <w:vAlign w:val="center"/>
          </w:tcPr>
          <w:p w14:paraId="06E8E9D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0.036</w:t>
            </w:r>
          </w:p>
        </w:tc>
        <w:tc>
          <w:tcPr>
            <w:tcW w:w="536" w:type="pct"/>
            <w:tcBorders>
              <w:tl2br w:val="nil"/>
              <w:tr2bl w:val="nil"/>
            </w:tcBorders>
            <w:shd w:val="clear" w:color="auto" w:fill="auto"/>
            <w:noWrap/>
            <w:vAlign w:val="center"/>
          </w:tcPr>
          <w:p w14:paraId="7ED7B0F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0.396</w:t>
            </w:r>
          </w:p>
        </w:tc>
        <w:tc>
          <w:tcPr>
            <w:tcW w:w="540" w:type="pct"/>
            <w:tcBorders>
              <w:tl2br w:val="nil"/>
              <w:tr2bl w:val="nil"/>
            </w:tcBorders>
            <w:shd w:val="clear" w:color="auto" w:fill="auto"/>
            <w:noWrap/>
            <w:vAlign w:val="center"/>
          </w:tcPr>
          <w:p w14:paraId="0E029B3E">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1593.95</w:t>
            </w:r>
          </w:p>
        </w:tc>
        <w:tc>
          <w:tcPr>
            <w:tcW w:w="472" w:type="pct"/>
            <w:tcBorders>
              <w:tl2br w:val="nil"/>
              <w:tr2bl w:val="nil"/>
            </w:tcBorders>
            <w:shd w:val="clear" w:color="auto" w:fill="auto"/>
            <w:noWrap/>
            <w:vAlign w:val="center"/>
          </w:tcPr>
          <w:p w14:paraId="7D96744B">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1.84</w:t>
            </w:r>
          </w:p>
        </w:tc>
        <w:tc>
          <w:tcPr>
            <w:tcW w:w="572" w:type="pct"/>
            <w:tcBorders>
              <w:tl2br w:val="nil"/>
              <w:tr2bl w:val="nil"/>
            </w:tcBorders>
            <w:shd w:val="clear" w:color="auto" w:fill="auto"/>
            <w:noWrap/>
            <w:vAlign w:val="center"/>
          </w:tcPr>
          <w:p w14:paraId="4273E72A">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2.933</w:t>
            </w:r>
          </w:p>
        </w:tc>
        <w:tc>
          <w:tcPr>
            <w:tcW w:w="504" w:type="pct"/>
            <w:tcBorders>
              <w:tl2br w:val="nil"/>
              <w:tr2bl w:val="nil"/>
            </w:tcBorders>
            <w:shd w:val="clear" w:color="auto" w:fill="auto"/>
            <w:noWrap/>
            <w:vAlign w:val="center"/>
          </w:tcPr>
          <w:p w14:paraId="6117EC62">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3034</w:t>
            </w:r>
          </w:p>
        </w:tc>
        <w:tc>
          <w:tcPr>
            <w:tcW w:w="472" w:type="pct"/>
            <w:tcBorders>
              <w:tl2br w:val="nil"/>
              <w:tr2bl w:val="nil"/>
            </w:tcBorders>
            <w:shd w:val="clear" w:color="auto" w:fill="auto"/>
            <w:noWrap/>
            <w:vAlign w:val="center"/>
          </w:tcPr>
          <w:p w14:paraId="4250F1A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601" w:type="pct"/>
            <w:tcBorders>
              <w:tl2br w:val="nil"/>
              <w:tr2bl w:val="nil"/>
            </w:tcBorders>
            <w:shd w:val="clear" w:color="auto" w:fill="auto"/>
            <w:noWrap/>
            <w:vAlign w:val="center"/>
          </w:tcPr>
          <w:p w14:paraId="5EA46922">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0.455</w:t>
            </w:r>
          </w:p>
        </w:tc>
      </w:tr>
      <w:tr w14:paraId="3EA294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79" w:type="pct"/>
            <w:tcBorders>
              <w:tl2br w:val="nil"/>
              <w:tr2bl w:val="nil"/>
            </w:tcBorders>
            <w:shd w:val="clear" w:color="auto" w:fill="auto"/>
            <w:noWrap/>
            <w:vAlign w:val="center"/>
          </w:tcPr>
          <w:p w14:paraId="1C850E6B">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丰水期</w:t>
            </w:r>
          </w:p>
        </w:tc>
        <w:tc>
          <w:tcPr>
            <w:tcW w:w="549" w:type="pct"/>
            <w:tcBorders>
              <w:tl2br w:val="nil"/>
              <w:tr2bl w:val="nil"/>
            </w:tcBorders>
            <w:shd w:val="clear" w:color="auto" w:fill="auto"/>
            <w:noWrap/>
            <w:vAlign w:val="center"/>
          </w:tcPr>
          <w:p w14:paraId="1A112BEF">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19526.4</w:t>
            </w:r>
          </w:p>
        </w:tc>
        <w:tc>
          <w:tcPr>
            <w:tcW w:w="472" w:type="pct"/>
            <w:tcBorders>
              <w:tl2br w:val="nil"/>
              <w:tr2bl w:val="nil"/>
            </w:tcBorders>
            <w:shd w:val="clear" w:color="auto" w:fill="auto"/>
            <w:noWrap/>
            <w:vAlign w:val="center"/>
          </w:tcPr>
          <w:p w14:paraId="1E3D1244">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0.057</w:t>
            </w:r>
          </w:p>
        </w:tc>
        <w:tc>
          <w:tcPr>
            <w:tcW w:w="536" w:type="pct"/>
            <w:tcBorders>
              <w:tl2br w:val="nil"/>
              <w:tr2bl w:val="nil"/>
            </w:tcBorders>
            <w:shd w:val="clear" w:color="auto" w:fill="auto"/>
            <w:noWrap/>
            <w:vAlign w:val="center"/>
          </w:tcPr>
          <w:p w14:paraId="23B72A39">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1.121</w:t>
            </w:r>
          </w:p>
        </w:tc>
        <w:tc>
          <w:tcPr>
            <w:tcW w:w="540" w:type="pct"/>
            <w:tcBorders>
              <w:tl2br w:val="nil"/>
              <w:tr2bl w:val="nil"/>
            </w:tcBorders>
            <w:shd w:val="clear" w:color="auto" w:fill="auto"/>
            <w:noWrap/>
            <w:vAlign w:val="center"/>
          </w:tcPr>
          <w:p w14:paraId="05204851">
            <w:pPr>
              <w:pStyle w:val="26"/>
              <w:keepNext w:val="0"/>
              <w:keepLines w:val="0"/>
              <w:suppressLineNumbers w:val="0"/>
              <w:bidi w:val="0"/>
              <w:spacing w:before="0" w:beforeAutospacing="0" w:after="0" w:afterAutospacing="0"/>
              <w:ind w:left="0" w:right="0"/>
              <w:rPr>
                <w:rFonts w:hint="eastAsia"/>
                <w:u w:val="single"/>
                <w:lang w:val="en-US" w:eastAsia="zh-CN"/>
              </w:rPr>
            </w:pPr>
            <w:r>
              <w:rPr>
                <w:rFonts w:hint="eastAsia"/>
                <w:u w:val="single"/>
                <w:lang w:val="en-US" w:eastAsia="zh-CN"/>
              </w:rPr>
              <w:t>5470.45</w:t>
            </w:r>
          </w:p>
        </w:tc>
        <w:tc>
          <w:tcPr>
            <w:tcW w:w="472" w:type="pct"/>
            <w:tcBorders>
              <w:tl2br w:val="nil"/>
              <w:tr2bl w:val="nil"/>
            </w:tcBorders>
            <w:shd w:val="clear" w:color="auto" w:fill="auto"/>
            <w:noWrap/>
            <w:vAlign w:val="center"/>
          </w:tcPr>
          <w:p w14:paraId="2E7F760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0.623</w:t>
            </w:r>
          </w:p>
        </w:tc>
        <w:tc>
          <w:tcPr>
            <w:tcW w:w="572" w:type="pct"/>
            <w:tcBorders>
              <w:tl2br w:val="nil"/>
              <w:tr2bl w:val="nil"/>
            </w:tcBorders>
            <w:shd w:val="clear" w:color="auto" w:fill="auto"/>
            <w:noWrap/>
            <w:vAlign w:val="center"/>
          </w:tcPr>
          <w:p w14:paraId="763518FD">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3.408</w:t>
            </w:r>
          </w:p>
        </w:tc>
        <w:tc>
          <w:tcPr>
            <w:tcW w:w="504" w:type="pct"/>
            <w:tcBorders>
              <w:tl2br w:val="nil"/>
              <w:tr2bl w:val="nil"/>
            </w:tcBorders>
            <w:shd w:val="clear" w:color="auto" w:fill="auto"/>
            <w:noWrap/>
            <w:vAlign w:val="center"/>
          </w:tcPr>
          <w:p w14:paraId="26BEC7D4">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3034</w:t>
            </w:r>
          </w:p>
        </w:tc>
        <w:tc>
          <w:tcPr>
            <w:tcW w:w="472" w:type="pct"/>
            <w:tcBorders>
              <w:tl2br w:val="nil"/>
              <w:tr2bl w:val="nil"/>
            </w:tcBorders>
            <w:shd w:val="clear" w:color="auto" w:fill="auto"/>
            <w:noWrap/>
            <w:vAlign w:val="center"/>
          </w:tcPr>
          <w:p w14:paraId="4D546F46">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0.15</w:t>
            </w:r>
          </w:p>
        </w:tc>
        <w:tc>
          <w:tcPr>
            <w:tcW w:w="601" w:type="pct"/>
            <w:tcBorders>
              <w:tl2br w:val="nil"/>
              <w:tr2bl w:val="nil"/>
            </w:tcBorders>
            <w:shd w:val="clear" w:color="auto" w:fill="auto"/>
            <w:noWrap/>
            <w:vAlign w:val="center"/>
          </w:tcPr>
          <w:p w14:paraId="4578D801">
            <w:pPr>
              <w:pStyle w:val="26"/>
              <w:keepNext w:val="0"/>
              <w:keepLines w:val="0"/>
              <w:suppressLineNumbers w:val="0"/>
              <w:bidi w:val="0"/>
              <w:spacing w:before="0" w:beforeAutospacing="0" w:after="0" w:afterAutospacing="0"/>
              <w:ind w:left="0" w:right="0"/>
              <w:rPr>
                <w:rFonts w:hint="default"/>
                <w:u w:val="single"/>
              </w:rPr>
            </w:pPr>
            <w:r>
              <w:rPr>
                <w:rFonts w:hint="eastAsia"/>
                <w:u w:val="single"/>
                <w:lang w:val="en-US" w:eastAsia="zh-CN"/>
              </w:rPr>
              <w:t>0.455</w:t>
            </w:r>
          </w:p>
        </w:tc>
      </w:tr>
    </w:tbl>
    <w:p w14:paraId="744678B6">
      <w:pPr>
        <w:widowControl w:val="0"/>
        <w:bidi w:val="0"/>
        <w:spacing w:line="360" w:lineRule="auto"/>
        <w:ind w:firstLine="480" w:firstLineChars="200"/>
        <w:jc w:val="both"/>
        <w:rPr>
          <w:rFonts w:hint="eastAsia" w:ascii="Times New Roman" w:hAnsi="Times New Roman" w:eastAsia="宋体" w:cs="Times New Roman"/>
          <w:color w:val="auto"/>
          <w:kern w:val="2"/>
          <w:sz w:val="24"/>
          <w:highlight w:val="none"/>
          <w:u w:val="single"/>
          <w:lang w:val="en-US" w:eastAsia="zh-CN" w:bidi="ar-SA"/>
        </w:rPr>
      </w:pPr>
    </w:p>
    <w:p w14:paraId="5EC99E23">
      <w:pPr>
        <w:widowControl w:val="0"/>
        <w:bidi w:val="0"/>
        <w:spacing w:line="360" w:lineRule="auto"/>
        <w:ind w:firstLine="482" w:firstLineChars="200"/>
        <w:jc w:val="both"/>
        <w:rPr>
          <w:rFonts w:hint="eastAsia" w:ascii="Times New Roman" w:hAnsi="Times New Roman" w:eastAsia="宋体" w:cs="Times New Roman"/>
          <w:b/>
          <w:bCs/>
          <w:color w:val="auto"/>
          <w:kern w:val="2"/>
          <w:sz w:val="24"/>
          <w:highlight w:val="none"/>
          <w:lang w:val="en-US" w:eastAsia="zh-CN" w:bidi="ar-SA"/>
        </w:rPr>
      </w:pPr>
      <w:r>
        <w:rPr>
          <w:rFonts w:hint="eastAsia" w:ascii="Times New Roman" w:hAnsi="Times New Roman" w:eastAsia="宋体" w:cs="Times New Roman"/>
          <w:b/>
          <w:bCs/>
          <w:color w:val="auto"/>
          <w:kern w:val="2"/>
          <w:sz w:val="24"/>
          <w:highlight w:val="none"/>
          <w:lang w:val="en-US" w:eastAsia="zh-CN" w:bidi="ar-SA"/>
        </w:rPr>
        <w:t>相较于</w:t>
      </w:r>
      <w:r>
        <w:rPr>
          <w:rFonts w:hint="eastAsia" w:cs="Times New Roman"/>
          <w:b/>
          <w:bCs/>
          <w:color w:val="auto"/>
          <w:kern w:val="2"/>
          <w:sz w:val="24"/>
          <w:highlight w:val="none"/>
          <w:lang w:val="en-US" w:eastAsia="zh-CN" w:bidi="ar-SA"/>
        </w:rPr>
        <w:t>调整</w:t>
      </w:r>
      <w:r>
        <w:rPr>
          <w:rFonts w:hint="eastAsia" w:ascii="Times New Roman" w:hAnsi="Times New Roman" w:eastAsia="宋体" w:cs="Times New Roman"/>
          <w:b/>
          <w:bCs/>
          <w:color w:val="auto"/>
          <w:kern w:val="2"/>
          <w:sz w:val="24"/>
          <w:highlight w:val="none"/>
          <w:lang w:val="en-US" w:eastAsia="zh-CN" w:bidi="ar-SA"/>
        </w:rPr>
        <w:t>前，区域向下游总计减排锑为</w:t>
      </w:r>
      <w:r>
        <w:rPr>
          <w:rFonts w:hint="eastAsia" w:cs="Times New Roman"/>
          <w:b/>
          <w:bCs/>
          <w:color w:val="auto"/>
          <w:kern w:val="2"/>
          <w:sz w:val="24"/>
          <w:highlight w:val="none"/>
          <w:lang w:val="en-US" w:eastAsia="zh-CN" w:bidi="ar-SA"/>
        </w:rPr>
        <w:t>0.638t</w:t>
      </w:r>
      <w:r>
        <w:rPr>
          <w:rFonts w:hint="eastAsia" w:ascii="Times New Roman" w:hAnsi="Times New Roman" w:eastAsia="宋体" w:cs="Times New Roman"/>
          <w:b/>
          <w:bCs/>
          <w:color w:val="auto"/>
          <w:kern w:val="2"/>
          <w:sz w:val="24"/>
          <w:highlight w:val="none"/>
          <w:lang w:val="en-US" w:eastAsia="zh-CN" w:bidi="ar-SA"/>
        </w:rPr>
        <w:t>/a。</w:t>
      </w:r>
    </w:p>
    <w:p w14:paraId="46199B95">
      <w:pPr>
        <w:pStyle w:val="2"/>
        <w:rPr>
          <w:rFonts w:hint="eastAsia"/>
          <w:color w:val="auto"/>
          <w:highlight w:val="none"/>
          <w:lang w:val="en-US" w:eastAsia="zh-CN"/>
        </w:rPr>
      </w:pPr>
    </w:p>
    <w:p w14:paraId="6AFF11D0">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废水处理工艺流程及达标情况</w:t>
      </w:r>
    </w:p>
    <w:p w14:paraId="26252D24">
      <w:pPr>
        <w:pStyle w:val="34"/>
        <w:bidi w:val="0"/>
        <w:rPr>
          <w:rFonts w:hint="default"/>
          <w:color w:val="auto"/>
          <w:highlight w:val="none"/>
          <w:lang w:val="en-US" w:eastAsia="zh-CN"/>
        </w:rPr>
      </w:pPr>
      <w:r>
        <w:rPr>
          <w:rFonts w:hint="eastAsia"/>
          <w:color w:val="auto"/>
          <w:highlight w:val="none"/>
          <w:lang w:val="en-US" w:eastAsia="zh-CN"/>
        </w:rPr>
        <w:t>废水处理工艺</w:t>
      </w:r>
    </w:p>
    <w:p w14:paraId="520DE96D">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主要接纳冶炼厂区初期雨水及不能回用的采选冶废水，设计处理能力140</w:t>
      </w:r>
      <w:r>
        <w:rPr>
          <w:rFonts w:hint="eastAsia" w:cs="Times New Roman"/>
          <w:color w:val="auto"/>
          <w:kern w:val="2"/>
          <w:sz w:val="24"/>
          <w:szCs w:val="20"/>
          <w:highlight w:val="none"/>
          <w:lang w:val="en-US" w:eastAsia="zh-CN" w:bidi="ar-SA"/>
        </w:rPr>
        <w:t>m</w:t>
      </w:r>
      <w:r>
        <w:rPr>
          <w:rFonts w:hint="eastAsia"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/h，采用混凝沉淀、多种重金属共沉的集成水处理技术路线，其具体处理工艺路线见下图。</w:t>
      </w:r>
    </w:p>
    <w:p w14:paraId="590887E9">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object>
          <v:shape id="_x0000_i1036" o:spt="75" type="#_x0000_t75" style="height:213.8pt;width:403.65pt;" o:ole="t" filled="f" o:preferrelative="t" stroked="f" coordsize="21600,21600">
            <v:path/>
            <v:fill on="f" focussize="0,0"/>
            <v:stroke on="f"/>
            <v:imagedata r:id="rId58" o:title=""/>
            <o:lock v:ext="edit" aspectratio="t"/>
            <w10:wrap type="none"/>
            <w10:anchorlock/>
          </v:shape>
          <o:OLEObject Type="Embed" ProgID="Visio.Drawing.11" ShapeID="_x0000_i1036" DrawAspect="Content" ObjectID="_1468075736" r:id="rId57">
            <o:LockedField>false</o:LockedField>
          </o:OLEObject>
        </w:object>
      </w:r>
    </w:p>
    <w:p w14:paraId="5C393B5A">
      <w:pPr>
        <w:pStyle w:val="34"/>
        <w:bidi w:val="0"/>
        <w:rPr>
          <w:rFonts w:hint="eastAsia"/>
          <w:color w:val="auto"/>
          <w:highlight w:val="none"/>
          <w:lang w:val="en-US" w:eastAsia="zh-CN"/>
        </w:rPr>
      </w:pPr>
      <w:r>
        <w:rPr>
          <w:rFonts w:hint="eastAsia"/>
          <w:color w:val="auto"/>
          <w:highlight w:val="none"/>
          <w:lang w:val="en-US" w:eastAsia="zh-CN"/>
        </w:rPr>
        <w:t>废水处理站进出水水质</w:t>
      </w:r>
    </w:p>
    <w:p w14:paraId="0C80614D">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a、常规监测</w:t>
      </w:r>
    </w:p>
    <w:p w14:paraId="1D5AADB5">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本次评价收集了渣滓溪锑矿2023年</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月度监测结果。详见下表。</w:t>
      </w:r>
    </w:p>
    <w:p w14:paraId="099400A2">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该废水处理站出口为全厂排放口。通过下表可知，除铊外，全厂202</w:t>
      </w:r>
      <w:r>
        <w:rPr>
          <w:rFonts w:hint="eastAsia" w:ascii="Times New Roman" w:hAnsi="Times New Roman" w:eastAsia="宋体" w:cs="Times New Roman"/>
          <w:color w:val="auto"/>
          <w:kern w:val="2"/>
          <w:sz w:val="24"/>
          <w:szCs w:val="20"/>
          <w:highlight w:val="none"/>
          <w:lang w:val="en-US" w:eastAsia="zh-CN" w:bidi="ar-SA"/>
        </w:rPr>
        <w:t>3</w:t>
      </w:r>
      <w:r>
        <w:rPr>
          <w:rFonts w:hint="default" w:ascii="Times New Roman" w:hAnsi="Times New Roman" w:eastAsia="宋体" w:cs="Times New Roman"/>
          <w:color w:val="auto"/>
          <w:kern w:val="2"/>
          <w:sz w:val="24"/>
          <w:szCs w:val="20"/>
          <w:highlight w:val="none"/>
          <w:lang w:val="en-US" w:eastAsia="zh-CN" w:bidi="ar-SA"/>
        </w:rPr>
        <w:t>年总排口水质均可满足本项目排放标准。</w:t>
      </w:r>
    </w:p>
    <w:p w14:paraId="14F4626B">
      <w:pPr>
        <w:widowControl w:val="0"/>
        <w:tabs>
          <w:tab w:val="left" w:pos="1021"/>
        </w:tabs>
        <w:bidi w:val="0"/>
        <w:spacing w:line="300" w:lineRule="auto"/>
        <w:jc w:val="center"/>
        <w:outlineLvl w:val="4"/>
        <w:rPr>
          <w:rFonts w:hint="default" w:ascii="Times New Roman" w:hAnsi="Times New Roman" w:eastAsia="黑体" w:cs="Times New Roman"/>
          <w:color w:val="auto"/>
          <w:kern w:val="2"/>
          <w:sz w:val="24"/>
          <w:szCs w:val="20"/>
          <w:highlight w:val="none"/>
          <w:lang w:val="en-US" w:eastAsia="zh-CN" w:bidi="ar-SA"/>
        </w:rPr>
      </w:pPr>
      <w:bookmarkStart w:id="45" w:name="_Ref1437"/>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47</w:t>
      </w:r>
      <w:r>
        <w:rPr>
          <w:rFonts w:hint="default" w:ascii="Times New Roman" w:hAnsi="Times New Roman" w:eastAsia="黑体" w:cs="Times New Roman"/>
          <w:color w:val="auto"/>
          <w:kern w:val="2"/>
          <w:sz w:val="24"/>
          <w:szCs w:val="20"/>
          <w:highlight w:val="none"/>
          <w:lang w:val="en-US" w:eastAsia="zh-CN" w:bidi="ar-SA"/>
        </w:rPr>
        <w:fldChar w:fldCharType="end"/>
      </w:r>
      <w:bookmarkEnd w:id="45"/>
      <w:r>
        <w:rPr>
          <w:rFonts w:hint="default" w:ascii="Times New Roman" w:hAnsi="Times New Roman" w:eastAsia="黑体" w:cs="Times New Roman"/>
          <w:color w:val="auto"/>
          <w:kern w:val="2"/>
          <w:sz w:val="24"/>
          <w:szCs w:val="20"/>
          <w:highlight w:val="none"/>
          <w:lang w:val="en-US" w:eastAsia="zh-CN" w:bidi="ar-SA"/>
        </w:rPr>
        <w:t xml:space="preserve">  202</w:t>
      </w:r>
      <w:r>
        <w:rPr>
          <w:rFonts w:hint="eastAsia" w:ascii="Times New Roman" w:hAnsi="Times New Roman" w:eastAsia="黑体" w:cs="Times New Roman"/>
          <w:color w:val="auto"/>
          <w:kern w:val="2"/>
          <w:sz w:val="24"/>
          <w:szCs w:val="20"/>
          <w:highlight w:val="none"/>
          <w:lang w:val="en-US" w:eastAsia="zh-CN" w:bidi="ar-SA"/>
        </w:rPr>
        <w:t>3</w:t>
      </w:r>
      <w:r>
        <w:rPr>
          <w:rFonts w:hint="default" w:ascii="Times New Roman" w:hAnsi="Times New Roman" w:eastAsia="黑体" w:cs="Times New Roman"/>
          <w:color w:val="auto"/>
          <w:kern w:val="2"/>
          <w:sz w:val="24"/>
          <w:szCs w:val="20"/>
          <w:highlight w:val="none"/>
          <w:lang w:val="en-US" w:eastAsia="zh-CN" w:bidi="ar-SA"/>
        </w:rPr>
        <w:t>年</w:t>
      </w:r>
      <w:r>
        <w:rPr>
          <w:rFonts w:hint="eastAsia" w:ascii="Times New Roman" w:hAnsi="Times New Roman" w:eastAsia="黑体" w:cs="Times New Roman"/>
          <w:color w:val="auto"/>
          <w:kern w:val="2"/>
          <w:sz w:val="24"/>
          <w:szCs w:val="20"/>
          <w:highlight w:val="none"/>
          <w:lang w:val="en-US" w:eastAsia="zh-CN" w:bidi="ar-SA"/>
        </w:rPr>
        <w:t>渣滓溪锑矿</w:t>
      </w:r>
      <w:r>
        <w:rPr>
          <w:rFonts w:hint="default" w:ascii="Times New Roman" w:hAnsi="Times New Roman" w:eastAsia="黑体" w:cs="Times New Roman"/>
          <w:color w:val="auto"/>
          <w:kern w:val="2"/>
          <w:sz w:val="24"/>
          <w:szCs w:val="20"/>
          <w:highlight w:val="none"/>
          <w:lang w:val="en-US" w:eastAsia="zh-CN" w:bidi="ar-SA"/>
        </w:rPr>
        <w:t>废水处理站出水</w:t>
      </w:r>
      <w:r>
        <w:rPr>
          <w:rFonts w:hint="eastAsia" w:ascii="Times New Roman" w:hAnsi="Times New Roman" w:eastAsia="黑体" w:cs="Times New Roman"/>
          <w:color w:val="auto"/>
          <w:kern w:val="2"/>
          <w:sz w:val="24"/>
          <w:szCs w:val="20"/>
          <w:highlight w:val="none"/>
          <w:lang w:val="en-US" w:eastAsia="zh-CN" w:bidi="ar-SA"/>
        </w:rPr>
        <w:t>口</w:t>
      </w:r>
      <w:r>
        <w:rPr>
          <w:rFonts w:hint="default" w:ascii="Times New Roman" w:hAnsi="Times New Roman" w:eastAsia="黑体" w:cs="Times New Roman"/>
          <w:color w:val="auto"/>
          <w:kern w:val="2"/>
          <w:sz w:val="24"/>
          <w:szCs w:val="20"/>
          <w:highlight w:val="none"/>
          <w:lang w:val="en-US" w:eastAsia="zh-CN" w:bidi="ar-SA"/>
        </w:rPr>
        <w:t>浓度（单位：mg/L,pH无量纲）</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552"/>
        <w:gridCol w:w="726"/>
        <w:gridCol w:w="408"/>
        <w:gridCol w:w="365"/>
        <w:gridCol w:w="365"/>
        <w:gridCol w:w="541"/>
        <w:gridCol w:w="385"/>
        <w:gridCol w:w="207"/>
        <w:gridCol w:w="267"/>
        <w:gridCol w:w="497"/>
        <w:gridCol w:w="267"/>
        <w:gridCol w:w="267"/>
        <w:gridCol w:w="541"/>
        <w:gridCol w:w="497"/>
        <w:gridCol w:w="497"/>
        <w:gridCol w:w="497"/>
        <w:gridCol w:w="586"/>
        <w:gridCol w:w="497"/>
        <w:gridCol w:w="541"/>
        <w:gridCol w:w="553"/>
      </w:tblGrid>
      <w:tr w14:paraId="54B0E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226689D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月份</w:t>
            </w:r>
          </w:p>
        </w:tc>
        <w:tc>
          <w:tcPr>
            <w:tcW w:w="400" w:type="pct"/>
            <w:tcBorders>
              <w:tl2br w:val="nil"/>
              <w:tr2bl w:val="nil"/>
            </w:tcBorders>
            <w:shd w:val="clear" w:color="auto" w:fill="auto"/>
            <w:noWrap/>
            <w:vAlign w:val="center"/>
          </w:tcPr>
          <w:p w14:paraId="18E97F9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pH</w:t>
            </w:r>
          </w:p>
        </w:tc>
        <w:tc>
          <w:tcPr>
            <w:tcW w:w="225" w:type="pct"/>
            <w:tcBorders>
              <w:tl2br w:val="nil"/>
              <w:tr2bl w:val="nil"/>
            </w:tcBorders>
            <w:shd w:val="clear" w:color="auto" w:fill="auto"/>
            <w:noWrap/>
            <w:vAlign w:val="center"/>
          </w:tcPr>
          <w:p w14:paraId="7F56186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氨氮</w:t>
            </w:r>
          </w:p>
        </w:tc>
        <w:tc>
          <w:tcPr>
            <w:tcW w:w="201" w:type="pct"/>
            <w:tcBorders>
              <w:tl2br w:val="nil"/>
              <w:tr2bl w:val="nil"/>
            </w:tcBorders>
            <w:shd w:val="clear" w:color="auto" w:fill="auto"/>
            <w:noWrap/>
            <w:vAlign w:val="center"/>
          </w:tcPr>
          <w:p w14:paraId="1379956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总磷</w:t>
            </w:r>
          </w:p>
        </w:tc>
        <w:tc>
          <w:tcPr>
            <w:tcW w:w="201" w:type="pct"/>
            <w:tcBorders>
              <w:tl2br w:val="nil"/>
              <w:tr2bl w:val="nil"/>
            </w:tcBorders>
            <w:shd w:val="clear" w:color="auto" w:fill="auto"/>
            <w:noWrap/>
            <w:vAlign w:val="center"/>
          </w:tcPr>
          <w:p w14:paraId="06F2BF0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总氮</w:t>
            </w:r>
          </w:p>
        </w:tc>
        <w:tc>
          <w:tcPr>
            <w:tcW w:w="298" w:type="pct"/>
            <w:tcBorders>
              <w:tl2br w:val="nil"/>
              <w:tr2bl w:val="nil"/>
            </w:tcBorders>
            <w:shd w:val="clear" w:color="auto" w:fill="auto"/>
            <w:noWrap/>
            <w:vAlign w:val="center"/>
          </w:tcPr>
          <w:p w14:paraId="31BE8F0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石油类</w:t>
            </w:r>
          </w:p>
        </w:tc>
        <w:tc>
          <w:tcPr>
            <w:tcW w:w="212" w:type="pct"/>
            <w:tcBorders>
              <w:tl2br w:val="nil"/>
              <w:tr2bl w:val="nil"/>
            </w:tcBorders>
            <w:shd w:val="clear" w:color="auto" w:fill="auto"/>
            <w:noWrap/>
            <w:vAlign w:val="center"/>
          </w:tcPr>
          <w:p w14:paraId="7461771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COD</w:t>
            </w:r>
          </w:p>
        </w:tc>
        <w:tc>
          <w:tcPr>
            <w:tcW w:w="114" w:type="pct"/>
            <w:tcBorders>
              <w:tl2br w:val="nil"/>
              <w:tr2bl w:val="nil"/>
            </w:tcBorders>
            <w:shd w:val="clear" w:color="auto" w:fill="auto"/>
            <w:noWrap/>
            <w:vAlign w:val="center"/>
          </w:tcPr>
          <w:p w14:paraId="748C2B5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SS</w:t>
            </w:r>
          </w:p>
        </w:tc>
        <w:tc>
          <w:tcPr>
            <w:tcW w:w="147" w:type="pct"/>
            <w:tcBorders>
              <w:tl2br w:val="nil"/>
              <w:tr2bl w:val="nil"/>
            </w:tcBorders>
            <w:shd w:val="clear" w:color="auto" w:fill="auto"/>
            <w:noWrap/>
            <w:vAlign w:val="center"/>
          </w:tcPr>
          <w:p w14:paraId="5181362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铜</w:t>
            </w:r>
          </w:p>
        </w:tc>
        <w:tc>
          <w:tcPr>
            <w:tcW w:w="274" w:type="pct"/>
            <w:tcBorders>
              <w:tl2br w:val="nil"/>
              <w:tr2bl w:val="nil"/>
            </w:tcBorders>
            <w:shd w:val="clear" w:color="auto" w:fill="auto"/>
            <w:noWrap/>
            <w:vAlign w:val="center"/>
          </w:tcPr>
          <w:p w14:paraId="514E8BF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锑</w:t>
            </w:r>
          </w:p>
        </w:tc>
        <w:tc>
          <w:tcPr>
            <w:tcW w:w="147" w:type="pct"/>
            <w:tcBorders>
              <w:tl2br w:val="nil"/>
              <w:tr2bl w:val="nil"/>
            </w:tcBorders>
            <w:shd w:val="clear" w:color="auto" w:fill="auto"/>
            <w:noWrap/>
            <w:vAlign w:val="center"/>
          </w:tcPr>
          <w:p w14:paraId="7179D1F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锡</w:t>
            </w:r>
          </w:p>
        </w:tc>
        <w:tc>
          <w:tcPr>
            <w:tcW w:w="147" w:type="pct"/>
            <w:tcBorders>
              <w:tl2br w:val="nil"/>
              <w:tr2bl w:val="nil"/>
            </w:tcBorders>
            <w:shd w:val="clear" w:color="auto" w:fill="auto"/>
            <w:noWrap/>
            <w:vAlign w:val="center"/>
          </w:tcPr>
          <w:p w14:paraId="55154B4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锌</w:t>
            </w:r>
          </w:p>
        </w:tc>
        <w:tc>
          <w:tcPr>
            <w:tcW w:w="298" w:type="pct"/>
            <w:tcBorders>
              <w:tl2br w:val="nil"/>
              <w:tr2bl w:val="nil"/>
            </w:tcBorders>
            <w:shd w:val="clear" w:color="auto" w:fill="auto"/>
            <w:noWrap/>
            <w:vAlign w:val="center"/>
          </w:tcPr>
          <w:p w14:paraId="37C4C91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六价铬</w:t>
            </w:r>
          </w:p>
        </w:tc>
        <w:tc>
          <w:tcPr>
            <w:tcW w:w="274" w:type="pct"/>
            <w:tcBorders>
              <w:tl2br w:val="nil"/>
              <w:tr2bl w:val="nil"/>
            </w:tcBorders>
            <w:shd w:val="clear" w:color="auto" w:fill="auto"/>
            <w:noWrap/>
            <w:vAlign w:val="center"/>
          </w:tcPr>
          <w:p w14:paraId="2A9FBAB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铊</w:t>
            </w:r>
          </w:p>
        </w:tc>
        <w:tc>
          <w:tcPr>
            <w:tcW w:w="274" w:type="pct"/>
            <w:tcBorders>
              <w:tl2br w:val="nil"/>
              <w:tr2bl w:val="nil"/>
            </w:tcBorders>
            <w:shd w:val="clear" w:color="auto" w:fill="auto"/>
            <w:noWrap/>
            <w:vAlign w:val="center"/>
          </w:tcPr>
          <w:p w14:paraId="37A948C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镉</w:t>
            </w:r>
          </w:p>
        </w:tc>
        <w:tc>
          <w:tcPr>
            <w:tcW w:w="274" w:type="pct"/>
            <w:tcBorders>
              <w:tl2br w:val="nil"/>
              <w:tr2bl w:val="nil"/>
            </w:tcBorders>
            <w:shd w:val="clear" w:color="auto" w:fill="auto"/>
            <w:noWrap/>
            <w:vAlign w:val="center"/>
          </w:tcPr>
          <w:p w14:paraId="2F31ECA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铅</w:t>
            </w:r>
          </w:p>
        </w:tc>
        <w:tc>
          <w:tcPr>
            <w:tcW w:w="323" w:type="pct"/>
            <w:tcBorders>
              <w:tl2br w:val="nil"/>
              <w:tr2bl w:val="nil"/>
            </w:tcBorders>
            <w:shd w:val="clear" w:color="auto" w:fill="auto"/>
            <w:noWrap/>
            <w:vAlign w:val="center"/>
          </w:tcPr>
          <w:p w14:paraId="4886919E">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汞</w:t>
            </w:r>
          </w:p>
        </w:tc>
        <w:tc>
          <w:tcPr>
            <w:tcW w:w="274" w:type="pct"/>
            <w:tcBorders>
              <w:tl2br w:val="nil"/>
              <w:tr2bl w:val="nil"/>
            </w:tcBorders>
            <w:shd w:val="clear" w:color="auto" w:fill="auto"/>
            <w:noWrap/>
            <w:vAlign w:val="center"/>
          </w:tcPr>
          <w:p w14:paraId="3530D75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砷</w:t>
            </w:r>
          </w:p>
        </w:tc>
        <w:tc>
          <w:tcPr>
            <w:tcW w:w="298" w:type="pct"/>
            <w:tcBorders>
              <w:tl2br w:val="nil"/>
              <w:tr2bl w:val="nil"/>
            </w:tcBorders>
            <w:shd w:val="clear" w:color="auto" w:fill="auto"/>
            <w:noWrap/>
            <w:vAlign w:val="center"/>
          </w:tcPr>
          <w:p w14:paraId="4DC9E04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氟化物</w:t>
            </w:r>
          </w:p>
        </w:tc>
        <w:tc>
          <w:tcPr>
            <w:tcW w:w="304" w:type="pct"/>
            <w:tcBorders>
              <w:tl2br w:val="nil"/>
              <w:tr2bl w:val="nil"/>
            </w:tcBorders>
            <w:shd w:val="clear" w:color="auto" w:fill="auto"/>
            <w:noWrap/>
            <w:vAlign w:val="center"/>
          </w:tcPr>
          <w:p w14:paraId="2B54F71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硫化物</w:t>
            </w:r>
          </w:p>
        </w:tc>
      </w:tr>
      <w:tr w14:paraId="2BD9E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4AF7A10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1</w:t>
            </w:r>
          </w:p>
        </w:tc>
        <w:tc>
          <w:tcPr>
            <w:tcW w:w="400" w:type="pct"/>
            <w:tcBorders>
              <w:tl2br w:val="nil"/>
              <w:tr2bl w:val="nil"/>
            </w:tcBorders>
            <w:shd w:val="clear" w:color="auto" w:fill="auto"/>
            <w:noWrap/>
            <w:vAlign w:val="center"/>
          </w:tcPr>
          <w:p w14:paraId="6387F44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6.88~6.92</w:t>
            </w:r>
          </w:p>
        </w:tc>
        <w:tc>
          <w:tcPr>
            <w:tcW w:w="225" w:type="pct"/>
            <w:tcBorders>
              <w:tl2br w:val="nil"/>
              <w:tr2bl w:val="nil"/>
            </w:tcBorders>
            <w:shd w:val="clear" w:color="auto" w:fill="auto"/>
            <w:noWrap/>
            <w:vAlign w:val="center"/>
          </w:tcPr>
          <w:p w14:paraId="6A4D5A1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2.40</w:t>
            </w:r>
          </w:p>
        </w:tc>
        <w:tc>
          <w:tcPr>
            <w:tcW w:w="201" w:type="pct"/>
            <w:tcBorders>
              <w:tl2br w:val="nil"/>
              <w:tr2bl w:val="nil"/>
            </w:tcBorders>
            <w:shd w:val="clear" w:color="auto" w:fill="auto"/>
            <w:noWrap/>
            <w:vAlign w:val="center"/>
          </w:tcPr>
          <w:p w14:paraId="0FA7247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5</w:t>
            </w:r>
          </w:p>
        </w:tc>
        <w:tc>
          <w:tcPr>
            <w:tcW w:w="201" w:type="pct"/>
            <w:tcBorders>
              <w:tl2br w:val="nil"/>
              <w:tr2bl w:val="nil"/>
            </w:tcBorders>
            <w:shd w:val="clear" w:color="auto" w:fill="auto"/>
            <w:noWrap/>
            <w:vAlign w:val="center"/>
          </w:tcPr>
          <w:p w14:paraId="22564DB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7.59</w:t>
            </w:r>
          </w:p>
        </w:tc>
        <w:tc>
          <w:tcPr>
            <w:tcW w:w="298" w:type="pct"/>
            <w:tcBorders>
              <w:tl2br w:val="nil"/>
              <w:tr2bl w:val="nil"/>
            </w:tcBorders>
            <w:shd w:val="clear" w:color="auto" w:fill="auto"/>
            <w:noWrap/>
            <w:vAlign w:val="center"/>
          </w:tcPr>
          <w:p w14:paraId="354C3B0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15</w:t>
            </w:r>
          </w:p>
        </w:tc>
        <w:tc>
          <w:tcPr>
            <w:tcW w:w="212" w:type="pct"/>
            <w:tcBorders>
              <w:tl2br w:val="nil"/>
              <w:tr2bl w:val="nil"/>
            </w:tcBorders>
            <w:shd w:val="clear" w:color="auto" w:fill="auto"/>
            <w:noWrap/>
            <w:vAlign w:val="center"/>
          </w:tcPr>
          <w:p w14:paraId="525F012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2</w:t>
            </w:r>
            <w:r>
              <w:rPr>
                <w:rFonts w:hint="eastAsia"/>
                <w:color w:val="auto"/>
                <w:sz w:val="16"/>
                <w:szCs w:val="16"/>
                <w:highlight w:val="none"/>
                <w:lang w:val="en-US" w:eastAsia="zh-CN"/>
              </w:rPr>
              <w:t>4</w:t>
            </w:r>
          </w:p>
        </w:tc>
        <w:tc>
          <w:tcPr>
            <w:tcW w:w="114" w:type="pct"/>
            <w:tcBorders>
              <w:tl2br w:val="nil"/>
              <w:tr2bl w:val="nil"/>
            </w:tcBorders>
            <w:shd w:val="clear" w:color="auto" w:fill="auto"/>
            <w:noWrap/>
            <w:vAlign w:val="center"/>
          </w:tcPr>
          <w:p w14:paraId="736D38A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6</w:t>
            </w:r>
          </w:p>
        </w:tc>
        <w:tc>
          <w:tcPr>
            <w:tcW w:w="147" w:type="pct"/>
            <w:tcBorders>
              <w:tl2br w:val="nil"/>
              <w:tr2bl w:val="nil"/>
            </w:tcBorders>
            <w:shd w:val="clear" w:color="auto" w:fill="auto"/>
            <w:noWrap/>
            <w:vAlign w:val="center"/>
          </w:tcPr>
          <w:p w14:paraId="2E6F426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7D5DDE2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0.00</w:t>
            </w:r>
            <w:r>
              <w:rPr>
                <w:rFonts w:hint="eastAsia"/>
                <w:color w:val="auto"/>
                <w:sz w:val="16"/>
                <w:szCs w:val="16"/>
                <w:highlight w:val="none"/>
                <w:lang w:val="en-US" w:eastAsia="zh-CN"/>
              </w:rPr>
              <w:t>28</w:t>
            </w:r>
          </w:p>
        </w:tc>
        <w:tc>
          <w:tcPr>
            <w:tcW w:w="147" w:type="pct"/>
            <w:tcBorders>
              <w:tl2br w:val="nil"/>
              <w:tr2bl w:val="nil"/>
            </w:tcBorders>
            <w:shd w:val="clear" w:color="auto" w:fill="auto"/>
            <w:noWrap/>
            <w:vAlign w:val="center"/>
          </w:tcPr>
          <w:p w14:paraId="5C82542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485F9A4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43FD203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5E50E4B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797B2CA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025</w:t>
            </w:r>
          </w:p>
        </w:tc>
        <w:tc>
          <w:tcPr>
            <w:tcW w:w="274" w:type="pct"/>
            <w:tcBorders>
              <w:tl2br w:val="nil"/>
              <w:tr2bl w:val="nil"/>
            </w:tcBorders>
            <w:shd w:val="clear" w:color="auto" w:fill="auto"/>
            <w:noWrap/>
            <w:vAlign w:val="center"/>
          </w:tcPr>
          <w:p w14:paraId="4FF75C5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0.0053</w:t>
            </w:r>
          </w:p>
        </w:tc>
        <w:tc>
          <w:tcPr>
            <w:tcW w:w="323" w:type="pct"/>
            <w:tcBorders>
              <w:tl2br w:val="nil"/>
              <w:tr2bl w:val="nil"/>
            </w:tcBorders>
            <w:shd w:val="clear" w:color="auto" w:fill="auto"/>
            <w:noWrap/>
            <w:vAlign w:val="center"/>
          </w:tcPr>
          <w:p w14:paraId="0B1774F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5D6F502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0.0002</w:t>
            </w:r>
          </w:p>
        </w:tc>
        <w:tc>
          <w:tcPr>
            <w:tcW w:w="298" w:type="pct"/>
            <w:tcBorders>
              <w:tl2br w:val="nil"/>
              <w:tr2bl w:val="nil"/>
            </w:tcBorders>
            <w:shd w:val="clear" w:color="auto" w:fill="auto"/>
            <w:noWrap/>
            <w:vAlign w:val="center"/>
          </w:tcPr>
          <w:p w14:paraId="33D8D6FA">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c>
          <w:tcPr>
            <w:tcW w:w="304" w:type="pct"/>
            <w:tcBorders>
              <w:tl2br w:val="nil"/>
              <w:tr2bl w:val="nil"/>
            </w:tcBorders>
            <w:shd w:val="clear" w:color="auto" w:fill="auto"/>
            <w:noWrap/>
            <w:vAlign w:val="center"/>
          </w:tcPr>
          <w:p w14:paraId="119BD5DD">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r>
      <w:tr w14:paraId="3C793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2310BBF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2</w:t>
            </w:r>
          </w:p>
        </w:tc>
        <w:tc>
          <w:tcPr>
            <w:tcW w:w="400" w:type="pct"/>
            <w:tcBorders>
              <w:tl2br w:val="nil"/>
              <w:tr2bl w:val="nil"/>
            </w:tcBorders>
            <w:shd w:val="clear" w:color="auto" w:fill="auto"/>
            <w:noWrap/>
            <w:vAlign w:val="center"/>
          </w:tcPr>
          <w:p w14:paraId="2914B21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6.72~6.85</w:t>
            </w:r>
          </w:p>
        </w:tc>
        <w:tc>
          <w:tcPr>
            <w:tcW w:w="225" w:type="pct"/>
            <w:tcBorders>
              <w:tl2br w:val="nil"/>
              <w:tr2bl w:val="nil"/>
            </w:tcBorders>
            <w:shd w:val="clear" w:color="auto" w:fill="auto"/>
            <w:noWrap/>
            <w:vAlign w:val="center"/>
          </w:tcPr>
          <w:p w14:paraId="5616AD1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2.45</w:t>
            </w:r>
          </w:p>
        </w:tc>
        <w:tc>
          <w:tcPr>
            <w:tcW w:w="201" w:type="pct"/>
            <w:tcBorders>
              <w:tl2br w:val="nil"/>
              <w:tr2bl w:val="nil"/>
            </w:tcBorders>
            <w:shd w:val="clear" w:color="auto" w:fill="auto"/>
            <w:noWrap/>
            <w:vAlign w:val="center"/>
          </w:tcPr>
          <w:p w14:paraId="74E69C6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6</w:t>
            </w:r>
          </w:p>
        </w:tc>
        <w:tc>
          <w:tcPr>
            <w:tcW w:w="201" w:type="pct"/>
            <w:tcBorders>
              <w:tl2br w:val="nil"/>
              <w:tr2bl w:val="nil"/>
            </w:tcBorders>
            <w:shd w:val="clear" w:color="auto" w:fill="auto"/>
            <w:noWrap/>
            <w:vAlign w:val="center"/>
          </w:tcPr>
          <w:p w14:paraId="7C8C88D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7.88</w:t>
            </w:r>
          </w:p>
        </w:tc>
        <w:tc>
          <w:tcPr>
            <w:tcW w:w="298" w:type="pct"/>
            <w:tcBorders>
              <w:tl2br w:val="nil"/>
              <w:tr2bl w:val="nil"/>
            </w:tcBorders>
            <w:shd w:val="clear" w:color="auto" w:fill="auto"/>
            <w:noWrap/>
            <w:vAlign w:val="center"/>
          </w:tcPr>
          <w:p w14:paraId="1F0B2C2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14</w:t>
            </w:r>
          </w:p>
        </w:tc>
        <w:tc>
          <w:tcPr>
            <w:tcW w:w="212" w:type="pct"/>
            <w:tcBorders>
              <w:tl2br w:val="nil"/>
              <w:tr2bl w:val="nil"/>
            </w:tcBorders>
            <w:shd w:val="clear" w:color="auto" w:fill="auto"/>
            <w:noWrap/>
            <w:vAlign w:val="center"/>
          </w:tcPr>
          <w:p w14:paraId="1E3BE1D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2</w:t>
            </w:r>
            <w:r>
              <w:rPr>
                <w:rFonts w:hint="eastAsia"/>
                <w:color w:val="auto"/>
                <w:sz w:val="16"/>
                <w:szCs w:val="16"/>
                <w:highlight w:val="none"/>
                <w:lang w:val="en-US" w:eastAsia="zh-CN"/>
              </w:rPr>
              <w:t>8</w:t>
            </w:r>
          </w:p>
        </w:tc>
        <w:tc>
          <w:tcPr>
            <w:tcW w:w="114" w:type="pct"/>
            <w:tcBorders>
              <w:tl2br w:val="nil"/>
              <w:tr2bl w:val="nil"/>
            </w:tcBorders>
            <w:shd w:val="clear" w:color="auto" w:fill="auto"/>
            <w:noWrap/>
            <w:vAlign w:val="center"/>
          </w:tcPr>
          <w:p w14:paraId="0962EF5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w:t>
            </w:r>
          </w:p>
        </w:tc>
        <w:tc>
          <w:tcPr>
            <w:tcW w:w="147" w:type="pct"/>
            <w:tcBorders>
              <w:tl2br w:val="nil"/>
              <w:tr2bl w:val="nil"/>
            </w:tcBorders>
            <w:shd w:val="clear" w:color="auto" w:fill="auto"/>
            <w:noWrap/>
            <w:vAlign w:val="center"/>
          </w:tcPr>
          <w:p w14:paraId="1C5BF66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53CFFEE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0.00</w:t>
            </w:r>
            <w:r>
              <w:rPr>
                <w:rFonts w:hint="eastAsia"/>
                <w:color w:val="auto"/>
                <w:sz w:val="16"/>
                <w:szCs w:val="16"/>
                <w:highlight w:val="none"/>
                <w:lang w:val="en-US" w:eastAsia="zh-CN"/>
              </w:rPr>
              <w:t>37</w:t>
            </w:r>
          </w:p>
        </w:tc>
        <w:tc>
          <w:tcPr>
            <w:tcW w:w="147" w:type="pct"/>
            <w:tcBorders>
              <w:tl2br w:val="nil"/>
              <w:tr2bl w:val="nil"/>
            </w:tcBorders>
            <w:shd w:val="clear" w:color="auto" w:fill="auto"/>
            <w:noWrap/>
            <w:vAlign w:val="center"/>
          </w:tcPr>
          <w:p w14:paraId="330B9A8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0.3</w:t>
            </w:r>
          </w:p>
        </w:tc>
        <w:tc>
          <w:tcPr>
            <w:tcW w:w="147" w:type="pct"/>
            <w:tcBorders>
              <w:tl2br w:val="nil"/>
              <w:tr2bl w:val="nil"/>
            </w:tcBorders>
            <w:shd w:val="clear" w:color="auto" w:fill="auto"/>
            <w:noWrap/>
            <w:vAlign w:val="center"/>
          </w:tcPr>
          <w:p w14:paraId="44F7A8C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2513962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30539D9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549C04F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027</w:t>
            </w:r>
          </w:p>
        </w:tc>
        <w:tc>
          <w:tcPr>
            <w:tcW w:w="274" w:type="pct"/>
            <w:tcBorders>
              <w:tl2br w:val="nil"/>
              <w:tr2bl w:val="nil"/>
            </w:tcBorders>
            <w:shd w:val="clear" w:color="auto" w:fill="auto"/>
            <w:noWrap/>
            <w:vAlign w:val="center"/>
          </w:tcPr>
          <w:p w14:paraId="264006C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0.0052</w:t>
            </w:r>
          </w:p>
        </w:tc>
        <w:tc>
          <w:tcPr>
            <w:tcW w:w="323" w:type="pct"/>
            <w:tcBorders>
              <w:tl2br w:val="nil"/>
              <w:tr2bl w:val="nil"/>
            </w:tcBorders>
            <w:shd w:val="clear" w:color="auto" w:fill="auto"/>
            <w:noWrap/>
            <w:vAlign w:val="center"/>
          </w:tcPr>
          <w:p w14:paraId="5E0A3E8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0.00035</w:t>
            </w:r>
          </w:p>
        </w:tc>
        <w:tc>
          <w:tcPr>
            <w:tcW w:w="274" w:type="pct"/>
            <w:tcBorders>
              <w:tl2br w:val="nil"/>
              <w:tr2bl w:val="nil"/>
            </w:tcBorders>
            <w:shd w:val="clear" w:color="auto" w:fill="auto"/>
            <w:noWrap/>
            <w:vAlign w:val="center"/>
          </w:tcPr>
          <w:p w14:paraId="4242C13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0.0004</w:t>
            </w:r>
          </w:p>
        </w:tc>
        <w:tc>
          <w:tcPr>
            <w:tcW w:w="298" w:type="pct"/>
            <w:tcBorders>
              <w:tl2br w:val="nil"/>
              <w:tr2bl w:val="nil"/>
            </w:tcBorders>
            <w:shd w:val="clear" w:color="auto" w:fill="auto"/>
            <w:noWrap/>
            <w:vAlign w:val="center"/>
          </w:tcPr>
          <w:p w14:paraId="666C737E">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c>
          <w:tcPr>
            <w:tcW w:w="304" w:type="pct"/>
            <w:tcBorders>
              <w:tl2br w:val="nil"/>
              <w:tr2bl w:val="nil"/>
            </w:tcBorders>
            <w:shd w:val="clear" w:color="auto" w:fill="auto"/>
            <w:noWrap/>
            <w:vAlign w:val="center"/>
          </w:tcPr>
          <w:p w14:paraId="572F9FB5">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r>
      <w:tr w14:paraId="114D9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775C0EC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3</w:t>
            </w:r>
          </w:p>
        </w:tc>
        <w:tc>
          <w:tcPr>
            <w:tcW w:w="400" w:type="pct"/>
            <w:tcBorders>
              <w:tl2br w:val="nil"/>
              <w:tr2bl w:val="nil"/>
            </w:tcBorders>
            <w:shd w:val="clear" w:color="auto" w:fill="auto"/>
            <w:noWrap/>
            <w:vAlign w:val="center"/>
          </w:tcPr>
          <w:p w14:paraId="595D6B8E">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6.35~6.45</w:t>
            </w:r>
          </w:p>
        </w:tc>
        <w:tc>
          <w:tcPr>
            <w:tcW w:w="225" w:type="pct"/>
            <w:tcBorders>
              <w:tl2br w:val="nil"/>
              <w:tr2bl w:val="nil"/>
            </w:tcBorders>
            <w:shd w:val="clear" w:color="auto" w:fill="auto"/>
            <w:noWrap/>
            <w:vAlign w:val="center"/>
          </w:tcPr>
          <w:p w14:paraId="0F0D7EA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0.88</w:t>
            </w:r>
          </w:p>
        </w:tc>
        <w:tc>
          <w:tcPr>
            <w:tcW w:w="201" w:type="pct"/>
            <w:tcBorders>
              <w:tl2br w:val="nil"/>
              <w:tr2bl w:val="nil"/>
            </w:tcBorders>
            <w:shd w:val="clear" w:color="auto" w:fill="auto"/>
            <w:noWrap/>
            <w:vAlign w:val="center"/>
          </w:tcPr>
          <w:p w14:paraId="4590788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01" w:type="pct"/>
            <w:tcBorders>
              <w:tl2br w:val="nil"/>
              <w:tr2bl w:val="nil"/>
            </w:tcBorders>
            <w:shd w:val="clear" w:color="auto" w:fill="auto"/>
            <w:noWrap/>
            <w:vAlign w:val="center"/>
          </w:tcPr>
          <w:p w14:paraId="484BE40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5.3</w:t>
            </w:r>
          </w:p>
        </w:tc>
        <w:tc>
          <w:tcPr>
            <w:tcW w:w="298" w:type="pct"/>
            <w:tcBorders>
              <w:tl2br w:val="nil"/>
              <w:tr2bl w:val="nil"/>
            </w:tcBorders>
            <w:shd w:val="clear" w:color="auto" w:fill="auto"/>
            <w:noWrap/>
            <w:vAlign w:val="center"/>
          </w:tcPr>
          <w:p w14:paraId="4506E61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13</w:t>
            </w:r>
          </w:p>
        </w:tc>
        <w:tc>
          <w:tcPr>
            <w:tcW w:w="212" w:type="pct"/>
            <w:tcBorders>
              <w:tl2br w:val="nil"/>
              <w:tr2bl w:val="nil"/>
            </w:tcBorders>
            <w:shd w:val="clear" w:color="auto" w:fill="auto"/>
            <w:noWrap/>
            <w:vAlign w:val="center"/>
          </w:tcPr>
          <w:p w14:paraId="4350427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16</w:t>
            </w:r>
          </w:p>
        </w:tc>
        <w:tc>
          <w:tcPr>
            <w:tcW w:w="114" w:type="pct"/>
            <w:tcBorders>
              <w:tl2br w:val="nil"/>
              <w:tr2bl w:val="nil"/>
            </w:tcBorders>
            <w:shd w:val="clear" w:color="auto" w:fill="auto"/>
            <w:noWrap/>
            <w:vAlign w:val="center"/>
          </w:tcPr>
          <w:p w14:paraId="1DB977A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8</w:t>
            </w:r>
          </w:p>
        </w:tc>
        <w:tc>
          <w:tcPr>
            <w:tcW w:w="147" w:type="pct"/>
            <w:tcBorders>
              <w:tl2br w:val="nil"/>
              <w:tr2bl w:val="nil"/>
            </w:tcBorders>
            <w:shd w:val="clear" w:color="auto" w:fill="auto"/>
            <w:noWrap/>
            <w:vAlign w:val="center"/>
          </w:tcPr>
          <w:p w14:paraId="2A7C454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2B29960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0.00</w:t>
            </w:r>
            <w:r>
              <w:rPr>
                <w:rFonts w:hint="eastAsia"/>
                <w:color w:val="auto"/>
                <w:sz w:val="16"/>
                <w:szCs w:val="16"/>
                <w:highlight w:val="none"/>
                <w:lang w:val="en-US" w:eastAsia="zh-CN"/>
              </w:rPr>
              <w:t>66</w:t>
            </w:r>
          </w:p>
        </w:tc>
        <w:tc>
          <w:tcPr>
            <w:tcW w:w="147" w:type="pct"/>
            <w:tcBorders>
              <w:tl2br w:val="nil"/>
              <w:tr2bl w:val="nil"/>
            </w:tcBorders>
            <w:shd w:val="clear" w:color="auto" w:fill="auto"/>
            <w:noWrap/>
            <w:vAlign w:val="center"/>
          </w:tcPr>
          <w:p w14:paraId="6BCCC3B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1C7C19A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1638B53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67FAB6B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5831384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013</w:t>
            </w:r>
          </w:p>
        </w:tc>
        <w:tc>
          <w:tcPr>
            <w:tcW w:w="274" w:type="pct"/>
            <w:tcBorders>
              <w:tl2br w:val="nil"/>
              <w:tr2bl w:val="nil"/>
            </w:tcBorders>
            <w:shd w:val="clear" w:color="auto" w:fill="auto"/>
            <w:noWrap/>
            <w:vAlign w:val="center"/>
          </w:tcPr>
          <w:p w14:paraId="248F535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0.0053</w:t>
            </w:r>
          </w:p>
        </w:tc>
        <w:tc>
          <w:tcPr>
            <w:tcW w:w="323" w:type="pct"/>
            <w:tcBorders>
              <w:tl2br w:val="nil"/>
              <w:tr2bl w:val="nil"/>
            </w:tcBorders>
            <w:shd w:val="clear" w:color="auto" w:fill="auto"/>
            <w:noWrap/>
            <w:vAlign w:val="center"/>
          </w:tcPr>
          <w:p w14:paraId="4373A22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2067B9D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0.0005</w:t>
            </w:r>
          </w:p>
        </w:tc>
        <w:tc>
          <w:tcPr>
            <w:tcW w:w="298" w:type="pct"/>
            <w:tcBorders>
              <w:tl2br w:val="nil"/>
              <w:tr2bl w:val="nil"/>
            </w:tcBorders>
            <w:shd w:val="clear" w:color="auto" w:fill="auto"/>
            <w:noWrap/>
            <w:vAlign w:val="center"/>
          </w:tcPr>
          <w:p w14:paraId="54B849A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0.7</w:t>
            </w:r>
          </w:p>
        </w:tc>
        <w:tc>
          <w:tcPr>
            <w:tcW w:w="304" w:type="pct"/>
            <w:tcBorders>
              <w:tl2br w:val="nil"/>
              <w:tr2bl w:val="nil"/>
            </w:tcBorders>
            <w:shd w:val="clear" w:color="auto" w:fill="auto"/>
            <w:noWrap/>
            <w:vAlign w:val="center"/>
          </w:tcPr>
          <w:p w14:paraId="744EC3A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r>
      <w:tr w14:paraId="372A0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36F1FBE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4</w:t>
            </w:r>
          </w:p>
        </w:tc>
        <w:tc>
          <w:tcPr>
            <w:tcW w:w="400" w:type="pct"/>
            <w:tcBorders>
              <w:tl2br w:val="nil"/>
              <w:tr2bl w:val="nil"/>
            </w:tcBorders>
            <w:shd w:val="clear" w:color="auto" w:fill="auto"/>
            <w:noWrap/>
            <w:vAlign w:val="center"/>
          </w:tcPr>
          <w:p w14:paraId="370F01B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6.80~7.10</w:t>
            </w:r>
          </w:p>
        </w:tc>
        <w:tc>
          <w:tcPr>
            <w:tcW w:w="225" w:type="pct"/>
            <w:tcBorders>
              <w:tl2br w:val="nil"/>
              <w:tr2bl w:val="nil"/>
            </w:tcBorders>
            <w:shd w:val="clear" w:color="auto" w:fill="auto"/>
            <w:noWrap/>
            <w:vAlign w:val="center"/>
          </w:tcPr>
          <w:p w14:paraId="6E0973C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0.205</w:t>
            </w:r>
          </w:p>
        </w:tc>
        <w:tc>
          <w:tcPr>
            <w:tcW w:w="201" w:type="pct"/>
            <w:tcBorders>
              <w:tl2br w:val="nil"/>
              <w:tr2bl w:val="nil"/>
            </w:tcBorders>
            <w:shd w:val="clear" w:color="auto" w:fill="auto"/>
            <w:noWrap/>
            <w:vAlign w:val="center"/>
          </w:tcPr>
          <w:p w14:paraId="7F19A9E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01" w:type="pct"/>
            <w:tcBorders>
              <w:tl2br w:val="nil"/>
              <w:tr2bl w:val="nil"/>
            </w:tcBorders>
            <w:shd w:val="clear" w:color="auto" w:fill="auto"/>
            <w:noWrap/>
            <w:vAlign w:val="center"/>
          </w:tcPr>
          <w:p w14:paraId="28F3273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8.86</w:t>
            </w:r>
          </w:p>
        </w:tc>
        <w:tc>
          <w:tcPr>
            <w:tcW w:w="298" w:type="pct"/>
            <w:tcBorders>
              <w:tl2br w:val="nil"/>
              <w:tr2bl w:val="nil"/>
            </w:tcBorders>
            <w:shd w:val="clear" w:color="auto" w:fill="auto"/>
            <w:noWrap/>
            <w:vAlign w:val="center"/>
          </w:tcPr>
          <w:p w14:paraId="2331412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12</w:t>
            </w:r>
          </w:p>
        </w:tc>
        <w:tc>
          <w:tcPr>
            <w:tcW w:w="212" w:type="pct"/>
            <w:tcBorders>
              <w:tl2br w:val="nil"/>
              <w:tr2bl w:val="nil"/>
            </w:tcBorders>
            <w:shd w:val="clear" w:color="auto" w:fill="auto"/>
            <w:noWrap/>
            <w:vAlign w:val="center"/>
          </w:tcPr>
          <w:p w14:paraId="576179A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12</w:t>
            </w:r>
          </w:p>
        </w:tc>
        <w:tc>
          <w:tcPr>
            <w:tcW w:w="114" w:type="pct"/>
            <w:tcBorders>
              <w:tl2br w:val="nil"/>
              <w:tr2bl w:val="nil"/>
            </w:tcBorders>
            <w:shd w:val="clear" w:color="auto" w:fill="auto"/>
            <w:noWrap/>
            <w:vAlign w:val="center"/>
          </w:tcPr>
          <w:p w14:paraId="7112AC2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9</w:t>
            </w:r>
          </w:p>
        </w:tc>
        <w:tc>
          <w:tcPr>
            <w:tcW w:w="147" w:type="pct"/>
            <w:tcBorders>
              <w:tl2br w:val="nil"/>
              <w:tr2bl w:val="nil"/>
            </w:tcBorders>
            <w:shd w:val="clear" w:color="auto" w:fill="auto"/>
            <w:noWrap/>
            <w:vAlign w:val="center"/>
          </w:tcPr>
          <w:p w14:paraId="267D2F1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52DB55C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904</w:t>
            </w:r>
          </w:p>
        </w:tc>
        <w:tc>
          <w:tcPr>
            <w:tcW w:w="147" w:type="pct"/>
            <w:tcBorders>
              <w:tl2br w:val="nil"/>
              <w:tr2bl w:val="nil"/>
            </w:tcBorders>
            <w:shd w:val="clear" w:color="auto" w:fill="auto"/>
            <w:noWrap/>
            <w:vAlign w:val="center"/>
          </w:tcPr>
          <w:p w14:paraId="7A6BAE6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3EB7312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594C9A8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00B9947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14F4E76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025</w:t>
            </w:r>
          </w:p>
        </w:tc>
        <w:tc>
          <w:tcPr>
            <w:tcW w:w="274" w:type="pct"/>
            <w:tcBorders>
              <w:tl2br w:val="nil"/>
              <w:tr2bl w:val="nil"/>
            </w:tcBorders>
            <w:shd w:val="clear" w:color="auto" w:fill="auto"/>
            <w:noWrap/>
            <w:vAlign w:val="center"/>
          </w:tcPr>
          <w:p w14:paraId="149B884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0.040</w:t>
            </w:r>
          </w:p>
        </w:tc>
        <w:tc>
          <w:tcPr>
            <w:tcW w:w="323" w:type="pct"/>
            <w:tcBorders>
              <w:tl2br w:val="nil"/>
              <w:tr2bl w:val="nil"/>
            </w:tcBorders>
            <w:shd w:val="clear" w:color="auto" w:fill="auto"/>
            <w:noWrap/>
            <w:vAlign w:val="center"/>
          </w:tcPr>
          <w:p w14:paraId="297BDB1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4CD6C44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0.0008</w:t>
            </w:r>
          </w:p>
        </w:tc>
        <w:tc>
          <w:tcPr>
            <w:tcW w:w="298" w:type="pct"/>
            <w:tcBorders>
              <w:tl2br w:val="nil"/>
              <w:tr2bl w:val="nil"/>
            </w:tcBorders>
            <w:shd w:val="clear" w:color="auto" w:fill="auto"/>
            <w:noWrap/>
            <w:vAlign w:val="center"/>
          </w:tcPr>
          <w:p w14:paraId="3AF96A60">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c>
          <w:tcPr>
            <w:tcW w:w="304" w:type="pct"/>
            <w:tcBorders>
              <w:tl2br w:val="nil"/>
              <w:tr2bl w:val="nil"/>
            </w:tcBorders>
            <w:shd w:val="clear" w:color="auto" w:fill="auto"/>
            <w:noWrap/>
            <w:vAlign w:val="center"/>
          </w:tcPr>
          <w:p w14:paraId="68E9CC91">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r>
      <w:tr w14:paraId="1D882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039A9D3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5</w:t>
            </w:r>
          </w:p>
        </w:tc>
        <w:tc>
          <w:tcPr>
            <w:tcW w:w="400" w:type="pct"/>
            <w:tcBorders>
              <w:tl2br w:val="nil"/>
              <w:tr2bl w:val="nil"/>
            </w:tcBorders>
            <w:shd w:val="clear" w:color="auto" w:fill="auto"/>
            <w:noWrap/>
            <w:vAlign w:val="center"/>
          </w:tcPr>
          <w:p w14:paraId="4FBCDAF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7.1~7.2</w:t>
            </w:r>
          </w:p>
        </w:tc>
        <w:tc>
          <w:tcPr>
            <w:tcW w:w="225" w:type="pct"/>
            <w:tcBorders>
              <w:tl2br w:val="nil"/>
              <w:tr2bl w:val="nil"/>
            </w:tcBorders>
            <w:shd w:val="clear" w:color="auto" w:fill="auto"/>
            <w:noWrap/>
            <w:vAlign w:val="center"/>
          </w:tcPr>
          <w:p w14:paraId="00F1012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0.870</w:t>
            </w:r>
          </w:p>
        </w:tc>
        <w:tc>
          <w:tcPr>
            <w:tcW w:w="201" w:type="pct"/>
            <w:tcBorders>
              <w:tl2br w:val="nil"/>
              <w:tr2bl w:val="nil"/>
            </w:tcBorders>
            <w:shd w:val="clear" w:color="auto" w:fill="auto"/>
            <w:noWrap/>
            <w:vAlign w:val="center"/>
          </w:tcPr>
          <w:p w14:paraId="25CF737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01" w:type="pct"/>
            <w:tcBorders>
              <w:tl2br w:val="nil"/>
              <w:tr2bl w:val="nil"/>
            </w:tcBorders>
            <w:shd w:val="clear" w:color="auto" w:fill="auto"/>
            <w:noWrap/>
            <w:vAlign w:val="center"/>
          </w:tcPr>
          <w:p w14:paraId="099C223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5.62</w:t>
            </w:r>
          </w:p>
        </w:tc>
        <w:tc>
          <w:tcPr>
            <w:tcW w:w="298" w:type="pct"/>
            <w:tcBorders>
              <w:tl2br w:val="nil"/>
              <w:tr2bl w:val="nil"/>
            </w:tcBorders>
            <w:shd w:val="clear" w:color="auto" w:fill="auto"/>
            <w:noWrap/>
            <w:vAlign w:val="center"/>
          </w:tcPr>
          <w:p w14:paraId="39A63D9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12</w:t>
            </w:r>
          </w:p>
        </w:tc>
        <w:tc>
          <w:tcPr>
            <w:tcW w:w="212" w:type="pct"/>
            <w:tcBorders>
              <w:tl2br w:val="nil"/>
              <w:tr2bl w:val="nil"/>
            </w:tcBorders>
            <w:shd w:val="clear" w:color="auto" w:fill="auto"/>
            <w:noWrap/>
            <w:vAlign w:val="center"/>
          </w:tcPr>
          <w:p w14:paraId="38F2648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18</w:t>
            </w:r>
          </w:p>
        </w:tc>
        <w:tc>
          <w:tcPr>
            <w:tcW w:w="114" w:type="pct"/>
            <w:tcBorders>
              <w:tl2br w:val="nil"/>
              <w:tr2bl w:val="nil"/>
            </w:tcBorders>
            <w:shd w:val="clear" w:color="auto" w:fill="auto"/>
            <w:noWrap/>
            <w:vAlign w:val="center"/>
          </w:tcPr>
          <w:p w14:paraId="20FE874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10</w:t>
            </w:r>
          </w:p>
        </w:tc>
        <w:tc>
          <w:tcPr>
            <w:tcW w:w="147" w:type="pct"/>
            <w:tcBorders>
              <w:tl2br w:val="nil"/>
              <w:tr2bl w:val="nil"/>
            </w:tcBorders>
            <w:shd w:val="clear" w:color="auto" w:fill="auto"/>
            <w:noWrap/>
            <w:vAlign w:val="center"/>
          </w:tcPr>
          <w:p w14:paraId="6055785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23645F9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b/>
                <w:bCs/>
                <w:color w:val="auto"/>
                <w:sz w:val="16"/>
                <w:szCs w:val="16"/>
                <w:highlight w:val="none"/>
                <w:lang w:val="en-US" w:eastAsia="zh-CN"/>
              </w:rPr>
              <w:t>0.</w:t>
            </w:r>
            <w:r>
              <w:rPr>
                <w:rFonts w:hint="eastAsia"/>
                <w:b/>
                <w:bCs/>
                <w:color w:val="auto"/>
                <w:sz w:val="16"/>
                <w:szCs w:val="16"/>
                <w:highlight w:val="none"/>
                <w:lang w:val="en-US" w:eastAsia="zh-CN"/>
              </w:rPr>
              <w:t>218</w:t>
            </w:r>
          </w:p>
        </w:tc>
        <w:tc>
          <w:tcPr>
            <w:tcW w:w="147" w:type="pct"/>
            <w:tcBorders>
              <w:tl2br w:val="nil"/>
              <w:tr2bl w:val="nil"/>
            </w:tcBorders>
            <w:shd w:val="clear" w:color="auto" w:fill="auto"/>
            <w:noWrap/>
            <w:vAlign w:val="center"/>
          </w:tcPr>
          <w:p w14:paraId="3DCDF5EE">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6393C93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6A628E8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52A689E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24A43DB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022</w:t>
            </w:r>
          </w:p>
        </w:tc>
        <w:tc>
          <w:tcPr>
            <w:tcW w:w="274" w:type="pct"/>
            <w:tcBorders>
              <w:tl2br w:val="nil"/>
              <w:tr2bl w:val="nil"/>
            </w:tcBorders>
            <w:shd w:val="clear" w:color="auto" w:fill="auto"/>
            <w:noWrap/>
            <w:vAlign w:val="center"/>
          </w:tcPr>
          <w:p w14:paraId="39F77E1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0.025</w:t>
            </w:r>
          </w:p>
        </w:tc>
        <w:tc>
          <w:tcPr>
            <w:tcW w:w="323" w:type="pct"/>
            <w:tcBorders>
              <w:tl2br w:val="nil"/>
              <w:tr2bl w:val="nil"/>
            </w:tcBorders>
            <w:shd w:val="clear" w:color="auto" w:fill="auto"/>
            <w:noWrap/>
            <w:vAlign w:val="center"/>
          </w:tcPr>
          <w:p w14:paraId="6681A5B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61A62C3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0.0008</w:t>
            </w:r>
          </w:p>
        </w:tc>
        <w:tc>
          <w:tcPr>
            <w:tcW w:w="298" w:type="pct"/>
            <w:tcBorders>
              <w:tl2br w:val="nil"/>
              <w:tr2bl w:val="nil"/>
            </w:tcBorders>
            <w:shd w:val="clear" w:color="auto" w:fill="auto"/>
            <w:noWrap/>
            <w:vAlign w:val="center"/>
          </w:tcPr>
          <w:p w14:paraId="603383B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0.78</w:t>
            </w:r>
          </w:p>
        </w:tc>
        <w:tc>
          <w:tcPr>
            <w:tcW w:w="304" w:type="pct"/>
            <w:tcBorders>
              <w:tl2br w:val="nil"/>
              <w:tr2bl w:val="nil"/>
            </w:tcBorders>
            <w:shd w:val="clear" w:color="auto" w:fill="auto"/>
            <w:noWrap/>
            <w:vAlign w:val="center"/>
          </w:tcPr>
          <w:p w14:paraId="432FEF91">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r>
              <w:rPr>
                <w:rFonts w:hint="eastAsia"/>
                <w:color w:val="auto"/>
                <w:sz w:val="16"/>
                <w:szCs w:val="16"/>
                <w:highlight w:val="none"/>
                <w:lang w:val="en-US" w:eastAsia="zh-CN"/>
              </w:rPr>
              <w:t>ND</w:t>
            </w:r>
          </w:p>
        </w:tc>
      </w:tr>
      <w:tr w14:paraId="2147C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070EEC3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6</w:t>
            </w:r>
          </w:p>
        </w:tc>
        <w:tc>
          <w:tcPr>
            <w:tcW w:w="400" w:type="pct"/>
            <w:tcBorders>
              <w:tl2br w:val="nil"/>
              <w:tr2bl w:val="nil"/>
            </w:tcBorders>
            <w:shd w:val="clear" w:color="auto" w:fill="auto"/>
            <w:noWrap/>
            <w:vAlign w:val="center"/>
          </w:tcPr>
          <w:p w14:paraId="2C8EC72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7.0~7.2</w:t>
            </w:r>
          </w:p>
        </w:tc>
        <w:tc>
          <w:tcPr>
            <w:tcW w:w="225" w:type="pct"/>
            <w:tcBorders>
              <w:tl2br w:val="nil"/>
              <w:tr2bl w:val="nil"/>
            </w:tcBorders>
            <w:shd w:val="clear" w:color="auto" w:fill="auto"/>
            <w:noWrap/>
            <w:vAlign w:val="center"/>
          </w:tcPr>
          <w:p w14:paraId="0FA69FF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0.781</w:t>
            </w:r>
          </w:p>
        </w:tc>
        <w:tc>
          <w:tcPr>
            <w:tcW w:w="201" w:type="pct"/>
            <w:tcBorders>
              <w:tl2br w:val="nil"/>
              <w:tr2bl w:val="nil"/>
            </w:tcBorders>
            <w:shd w:val="clear" w:color="auto" w:fill="auto"/>
            <w:noWrap/>
            <w:vAlign w:val="center"/>
          </w:tcPr>
          <w:p w14:paraId="5C25F28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3</w:t>
            </w:r>
          </w:p>
        </w:tc>
        <w:tc>
          <w:tcPr>
            <w:tcW w:w="201" w:type="pct"/>
            <w:tcBorders>
              <w:tl2br w:val="nil"/>
              <w:tr2bl w:val="nil"/>
            </w:tcBorders>
            <w:shd w:val="clear" w:color="auto" w:fill="auto"/>
            <w:noWrap/>
            <w:vAlign w:val="center"/>
          </w:tcPr>
          <w:p w14:paraId="7209D6A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4.41</w:t>
            </w:r>
          </w:p>
        </w:tc>
        <w:tc>
          <w:tcPr>
            <w:tcW w:w="298" w:type="pct"/>
            <w:tcBorders>
              <w:tl2br w:val="nil"/>
              <w:tr2bl w:val="nil"/>
            </w:tcBorders>
            <w:shd w:val="clear" w:color="auto" w:fill="auto"/>
            <w:noWrap/>
            <w:vAlign w:val="center"/>
          </w:tcPr>
          <w:p w14:paraId="02945F5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11</w:t>
            </w:r>
          </w:p>
        </w:tc>
        <w:tc>
          <w:tcPr>
            <w:tcW w:w="212" w:type="pct"/>
            <w:tcBorders>
              <w:tl2br w:val="nil"/>
              <w:tr2bl w:val="nil"/>
            </w:tcBorders>
            <w:shd w:val="clear" w:color="auto" w:fill="auto"/>
            <w:noWrap/>
            <w:vAlign w:val="center"/>
          </w:tcPr>
          <w:p w14:paraId="189F276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18</w:t>
            </w:r>
          </w:p>
        </w:tc>
        <w:tc>
          <w:tcPr>
            <w:tcW w:w="114" w:type="pct"/>
            <w:tcBorders>
              <w:tl2br w:val="nil"/>
              <w:tr2bl w:val="nil"/>
            </w:tcBorders>
            <w:shd w:val="clear" w:color="auto" w:fill="auto"/>
            <w:noWrap/>
            <w:vAlign w:val="center"/>
          </w:tcPr>
          <w:p w14:paraId="050EB11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10</w:t>
            </w:r>
          </w:p>
        </w:tc>
        <w:tc>
          <w:tcPr>
            <w:tcW w:w="147" w:type="pct"/>
            <w:tcBorders>
              <w:tl2br w:val="nil"/>
              <w:tr2bl w:val="nil"/>
            </w:tcBorders>
            <w:shd w:val="clear" w:color="auto" w:fill="auto"/>
            <w:noWrap/>
            <w:vAlign w:val="center"/>
          </w:tcPr>
          <w:p w14:paraId="6E02A9D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5E4EB1E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106</w:t>
            </w:r>
          </w:p>
        </w:tc>
        <w:tc>
          <w:tcPr>
            <w:tcW w:w="147" w:type="pct"/>
            <w:tcBorders>
              <w:tl2br w:val="nil"/>
              <w:tr2bl w:val="nil"/>
            </w:tcBorders>
            <w:shd w:val="clear" w:color="auto" w:fill="auto"/>
            <w:noWrap/>
            <w:vAlign w:val="center"/>
          </w:tcPr>
          <w:p w14:paraId="1C9333C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129C5F2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02CC326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3108328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7B29102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036</w:t>
            </w:r>
          </w:p>
        </w:tc>
        <w:tc>
          <w:tcPr>
            <w:tcW w:w="274" w:type="pct"/>
            <w:tcBorders>
              <w:tl2br w:val="nil"/>
              <w:tr2bl w:val="nil"/>
            </w:tcBorders>
            <w:shd w:val="clear" w:color="auto" w:fill="auto"/>
            <w:noWrap/>
            <w:vAlign w:val="center"/>
          </w:tcPr>
          <w:p w14:paraId="096CB17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0.0066</w:t>
            </w:r>
          </w:p>
        </w:tc>
        <w:tc>
          <w:tcPr>
            <w:tcW w:w="323" w:type="pct"/>
            <w:tcBorders>
              <w:tl2br w:val="nil"/>
              <w:tr2bl w:val="nil"/>
            </w:tcBorders>
            <w:shd w:val="clear" w:color="auto" w:fill="auto"/>
            <w:noWrap/>
            <w:vAlign w:val="center"/>
          </w:tcPr>
          <w:p w14:paraId="17800AD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0.00005</w:t>
            </w:r>
          </w:p>
        </w:tc>
        <w:tc>
          <w:tcPr>
            <w:tcW w:w="274" w:type="pct"/>
            <w:tcBorders>
              <w:tl2br w:val="nil"/>
              <w:tr2bl w:val="nil"/>
            </w:tcBorders>
            <w:shd w:val="clear" w:color="auto" w:fill="auto"/>
            <w:noWrap/>
            <w:vAlign w:val="center"/>
          </w:tcPr>
          <w:p w14:paraId="4B8AE37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1B59DA33">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c>
          <w:tcPr>
            <w:tcW w:w="304" w:type="pct"/>
            <w:tcBorders>
              <w:tl2br w:val="nil"/>
              <w:tr2bl w:val="nil"/>
            </w:tcBorders>
            <w:shd w:val="clear" w:color="auto" w:fill="auto"/>
            <w:noWrap/>
            <w:vAlign w:val="center"/>
          </w:tcPr>
          <w:p w14:paraId="76BCEFC5">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r>
      <w:tr w14:paraId="5F557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08E127A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7</w:t>
            </w:r>
          </w:p>
        </w:tc>
        <w:tc>
          <w:tcPr>
            <w:tcW w:w="400" w:type="pct"/>
            <w:tcBorders>
              <w:tl2br w:val="nil"/>
              <w:tr2bl w:val="nil"/>
            </w:tcBorders>
            <w:shd w:val="clear" w:color="auto" w:fill="auto"/>
            <w:noWrap/>
            <w:vAlign w:val="center"/>
          </w:tcPr>
          <w:p w14:paraId="05D0A79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7.1~7.2</w:t>
            </w:r>
          </w:p>
        </w:tc>
        <w:tc>
          <w:tcPr>
            <w:tcW w:w="225" w:type="pct"/>
            <w:tcBorders>
              <w:tl2br w:val="nil"/>
              <w:tr2bl w:val="nil"/>
            </w:tcBorders>
            <w:shd w:val="clear" w:color="auto" w:fill="auto"/>
            <w:noWrap/>
            <w:vAlign w:val="center"/>
          </w:tcPr>
          <w:p w14:paraId="3DDB229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0.820</w:t>
            </w:r>
          </w:p>
        </w:tc>
        <w:tc>
          <w:tcPr>
            <w:tcW w:w="201" w:type="pct"/>
            <w:tcBorders>
              <w:tl2br w:val="nil"/>
              <w:tr2bl w:val="nil"/>
            </w:tcBorders>
            <w:shd w:val="clear" w:color="auto" w:fill="auto"/>
            <w:noWrap/>
            <w:vAlign w:val="center"/>
          </w:tcPr>
          <w:p w14:paraId="701E3E8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5</w:t>
            </w:r>
          </w:p>
        </w:tc>
        <w:tc>
          <w:tcPr>
            <w:tcW w:w="201" w:type="pct"/>
            <w:tcBorders>
              <w:tl2br w:val="nil"/>
              <w:tr2bl w:val="nil"/>
            </w:tcBorders>
            <w:shd w:val="clear" w:color="auto" w:fill="auto"/>
            <w:noWrap/>
            <w:vAlign w:val="center"/>
          </w:tcPr>
          <w:p w14:paraId="6799EF7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3.92</w:t>
            </w:r>
          </w:p>
        </w:tc>
        <w:tc>
          <w:tcPr>
            <w:tcW w:w="298" w:type="pct"/>
            <w:tcBorders>
              <w:tl2br w:val="nil"/>
              <w:tr2bl w:val="nil"/>
            </w:tcBorders>
            <w:shd w:val="clear" w:color="auto" w:fill="auto"/>
            <w:noWrap/>
            <w:vAlign w:val="center"/>
          </w:tcPr>
          <w:p w14:paraId="1EDBDBC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15</w:t>
            </w:r>
          </w:p>
        </w:tc>
        <w:tc>
          <w:tcPr>
            <w:tcW w:w="212" w:type="pct"/>
            <w:tcBorders>
              <w:tl2br w:val="nil"/>
              <w:tr2bl w:val="nil"/>
            </w:tcBorders>
            <w:shd w:val="clear" w:color="auto" w:fill="auto"/>
            <w:noWrap/>
            <w:vAlign w:val="center"/>
          </w:tcPr>
          <w:p w14:paraId="6785F89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2</w:t>
            </w:r>
            <w:r>
              <w:rPr>
                <w:rFonts w:hint="eastAsia"/>
                <w:color w:val="auto"/>
                <w:sz w:val="16"/>
                <w:szCs w:val="16"/>
                <w:highlight w:val="none"/>
                <w:lang w:val="en-US" w:eastAsia="zh-CN"/>
              </w:rPr>
              <w:t>5</w:t>
            </w:r>
          </w:p>
        </w:tc>
        <w:tc>
          <w:tcPr>
            <w:tcW w:w="114" w:type="pct"/>
            <w:tcBorders>
              <w:tl2br w:val="nil"/>
              <w:tr2bl w:val="nil"/>
            </w:tcBorders>
            <w:shd w:val="clear" w:color="auto" w:fill="auto"/>
            <w:noWrap/>
            <w:vAlign w:val="center"/>
          </w:tcPr>
          <w:p w14:paraId="4474A38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w:t>
            </w:r>
          </w:p>
        </w:tc>
        <w:tc>
          <w:tcPr>
            <w:tcW w:w="147" w:type="pct"/>
            <w:tcBorders>
              <w:tl2br w:val="nil"/>
              <w:tr2bl w:val="nil"/>
            </w:tcBorders>
            <w:shd w:val="clear" w:color="auto" w:fill="auto"/>
            <w:noWrap/>
            <w:vAlign w:val="center"/>
          </w:tcPr>
          <w:p w14:paraId="38FEB40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3A23DC6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147</w:t>
            </w:r>
          </w:p>
        </w:tc>
        <w:tc>
          <w:tcPr>
            <w:tcW w:w="147" w:type="pct"/>
            <w:tcBorders>
              <w:tl2br w:val="nil"/>
              <w:tr2bl w:val="nil"/>
            </w:tcBorders>
            <w:shd w:val="clear" w:color="auto" w:fill="auto"/>
            <w:noWrap/>
            <w:vAlign w:val="center"/>
          </w:tcPr>
          <w:p w14:paraId="4A21498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058A4C3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732FAFB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7CAFB8E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042</w:t>
            </w:r>
          </w:p>
        </w:tc>
        <w:tc>
          <w:tcPr>
            <w:tcW w:w="274" w:type="pct"/>
            <w:tcBorders>
              <w:tl2br w:val="nil"/>
              <w:tr2bl w:val="nil"/>
            </w:tcBorders>
            <w:shd w:val="clear" w:color="auto" w:fill="auto"/>
            <w:noWrap/>
            <w:vAlign w:val="center"/>
          </w:tcPr>
          <w:p w14:paraId="36299FE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023</w:t>
            </w:r>
          </w:p>
        </w:tc>
        <w:tc>
          <w:tcPr>
            <w:tcW w:w="274" w:type="pct"/>
            <w:tcBorders>
              <w:tl2br w:val="nil"/>
              <w:tr2bl w:val="nil"/>
            </w:tcBorders>
            <w:shd w:val="clear" w:color="auto" w:fill="auto"/>
            <w:noWrap/>
            <w:vAlign w:val="center"/>
          </w:tcPr>
          <w:p w14:paraId="5257254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0.032</w:t>
            </w:r>
          </w:p>
        </w:tc>
        <w:tc>
          <w:tcPr>
            <w:tcW w:w="323" w:type="pct"/>
            <w:tcBorders>
              <w:tl2br w:val="nil"/>
              <w:tr2bl w:val="nil"/>
            </w:tcBorders>
            <w:shd w:val="clear" w:color="auto" w:fill="auto"/>
            <w:noWrap/>
            <w:vAlign w:val="center"/>
          </w:tcPr>
          <w:p w14:paraId="10623AC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3461E96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0.0009</w:t>
            </w:r>
          </w:p>
        </w:tc>
        <w:tc>
          <w:tcPr>
            <w:tcW w:w="298" w:type="pct"/>
            <w:tcBorders>
              <w:tl2br w:val="nil"/>
              <w:tr2bl w:val="nil"/>
            </w:tcBorders>
            <w:shd w:val="clear" w:color="auto" w:fill="auto"/>
            <w:noWrap/>
            <w:vAlign w:val="center"/>
          </w:tcPr>
          <w:p w14:paraId="5B76DFCE">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c>
          <w:tcPr>
            <w:tcW w:w="304" w:type="pct"/>
            <w:tcBorders>
              <w:tl2br w:val="nil"/>
              <w:tr2bl w:val="nil"/>
            </w:tcBorders>
            <w:shd w:val="clear" w:color="auto" w:fill="auto"/>
            <w:noWrap/>
            <w:vAlign w:val="center"/>
          </w:tcPr>
          <w:p w14:paraId="2F0AD55E">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r>
      <w:tr w14:paraId="1B5F2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1832DA8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8</w:t>
            </w:r>
          </w:p>
        </w:tc>
        <w:tc>
          <w:tcPr>
            <w:tcW w:w="400" w:type="pct"/>
            <w:tcBorders>
              <w:tl2br w:val="nil"/>
              <w:tr2bl w:val="nil"/>
            </w:tcBorders>
            <w:shd w:val="clear" w:color="auto" w:fill="auto"/>
            <w:noWrap/>
            <w:vAlign w:val="center"/>
          </w:tcPr>
          <w:p w14:paraId="1035D7E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7.2~7.3</w:t>
            </w:r>
          </w:p>
        </w:tc>
        <w:tc>
          <w:tcPr>
            <w:tcW w:w="225" w:type="pct"/>
            <w:tcBorders>
              <w:tl2br w:val="nil"/>
              <w:tr2bl w:val="nil"/>
            </w:tcBorders>
            <w:shd w:val="clear" w:color="auto" w:fill="auto"/>
            <w:noWrap/>
            <w:vAlign w:val="center"/>
          </w:tcPr>
          <w:p w14:paraId="7CE5D9D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0.820</w:t>
            </w:r>
          </w:p>
        </w:tc>
        <w:tc>
          <w:tcPr>
            <w:tcW w:w="201" w:type="pct"/>
            <w:tcBorders>
              <w:tl2br w:val="nil"/>
              <w:tr2bl w:val="nil"/>
            </w:tcBorders>
            <w:shd w:val="clear" w:color="auto" w:fill="auto"/>
            <w:noWrap/>
            <w:vAlign w:val="center"/>
          </w:tcPr>
          <w:p w14:paraId="44B8204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6</w:t>
            </w:r>
          </w:p>
        </w:tc>
        <w:tc>
          <w:tcPr>
            <w:tcW w:w="201" w:type="pct"/>
            <w:tcBorders>
              <w:tl2br w:val="nil"/>
              <w:tr2bl w:val="nil"/>
            </w:tcBorders>
            <w:shd w:val="clear" w:color="auto" w:fill="auto"/>
            <w:noWrap/>
            <w:vAlign w:val="center"/>
          </w:tcPr>
          <w:p w14:paraId="1D750C8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2.15</w:t>
            </w:r>
          </w:p>
        </w:tc>
        <w:tc>
          <w:tcPr>
            <w:tcW w:w="298" w:type="pct"/>
            <w:tcBorders>
              <w:tl2br w:val="nil"/>
              <w:tr2bl w:val="nil"/>
            </w:tcBorders>
            <w:shd w:val="clear" w:color="auto" w:fill="auto"/>
            <w:noWrap/>
            <w:vAlign w:val="center"/>
          </w:tcPr>
          <w:p w14:paraId="1F02BF8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11</w:t>
            </w:r>
          </w:p>
        </w:tc>
        <w:tc>
          <w:tcPr>
            <w:tcW w:w="212" w:type="pct"/>
            <w:tcBorders>
              <w:tl2br w:val="nil"/>
              <w:tr2bl w:val="nil"/>
            </w:tcBorders>
            <w:shd w:val="clear" w:color="auto" w:fill="auto"/>
            <w:noWrap/>
            <w:vAlign w:val="center"/>
          </w:tcPr>
          <w:p w14:paraId="1C17DCA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17</w:t>
            </w:r>
          </w:p>
        </w:tc>
        <w:tc>
          <w:tcPr>
            <w:tcW w:w="114" w:type="pct"/>
            <w:tcBorders>
              <w:tl2br w:val="nil"/>
              <w:tr2bl w:val="nil"/>
            </w:tcBorders>
            <w:shd w:val="clear" w:color="auto" w:fill="auto"/>
            <w:noWrap/>
            <w:vAlign w:val="center"/>
          </w:tcPr>
          <w:p w14:paraId="68FCB02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10</w:t>
            </w:r>
          </w:p>
        </w:tc>
        <w:tc>
          <w:tcPr>
            <w:tcW w:w="147" w:type="pct"/>
            <w:tcBorders>
              <w:tl2br w:val="nil"/>
              <w:tr2bl w:val="nil"/>
            </w:tcBorders>
            <w:shd w:val="clear" w:color="auto" w:fill="auto"/>
            <w:noWrap/>
            <w:vAlign w:val="center"/>
          </w:tcPr>
          <w:p w14:paraId="67A4511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30A831E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127</w:t>
            </w:r>
          </w:p>
        </w:tc>
        <w:tc>
          <w:tcPr>
            <w:tcW w:w="147" w:type="pct"/>
            <w:tcBorders>
              <w:tl2br w:val="nil"/>
              <w:tr2bl w:val="nil"/>
            </w:tcBorders>
            <w:shd w:val="clear" w:color="auto" w:fill="auto"/>
            <w:noWrap/>
            <w:vAlign w:val="center"/>
          </w:tcPr>
          <w:p w14:paraId="58EA1FF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183C0F7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1AB27E5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31522B2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044</w:t>
            </w:r>
          </w:p>
        </w:tc>
        <w:tc>
          <w:tcPr>
            <w:tcW w:w="274" w:type="pct"/>
            <w:tcBorders>
              <w:tl2br w:val="nil"/>
              <w:tr2bl w:val="nil"/>
            </w:tcBorders>
            <w:shd w:val="clear" w:color="auto" w:fill="auto"/>
            <w:noWrap/>
            <w:vAlign w:val="center"/>
          </w:tcPr>
          <w:p w14:paraId="6CC9CB5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029</w:t>
            </w:r>
          </w:p>
        </w:tc>
        <w:tc>
          <w:tcPr>
            <w:tcW w:w="274" w:type="pct"/>
            <w:tcBorders>
              <w:tl2br w:val="nil"/>
              <w:tr2bl w:val="nil"/>
            </w:tcBorders>
            <w:shd w:val="clear" w:color="auto" w:fill="auto"/>
            <w:noWrap/>
            <w:vAlign w:val="center"/>
          </w:tcPr>
          <w:p w14:paraId="533C5B2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0.033</w:t>
            </w:r>
          </w:p>
        </w:tc>
        <w:tc>
          <w:tcPr>
            <w:tcW w:w="323" w:type="pct"/>
            <w:tcBorders>
              <w:tl2br w:val="nil"/>
              <w:tr2bl w:val="nil"/>
            </w:tcBorders>
            <w:shd w:val="clear" w:color="auto" w:fill="auto"/>
            <w:noWrap/>
            <w:vAlign w:val="center"/>
          </w:tcPr>
          <w:p w14:paraId="32743B1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5927721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0.0014</w:t>
            </w:r>
          </w:p>
        </w:tc>
        <w:tc>
          <w:tcPr>
            <w:tcW w:w="298" w:type="pct"/>
            <w:tcBorders>
              <w:tl2br w:val="nil"/>
              <w:tr2bl w:val="nil"/>
            </w:tcBorders>
            <w:shd w:val="clear" w:color="auto" w:fill="auto"/>
            <w:noWrap/>
            <w:vAlign w:val="center"/>
          </w:tcPr>
          <w:p w14:paraId="111A26E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0.70</w:t>
            </w:r>
          </w:p>
        </w:tc>
        <w:tc>
          <w:tcPr>
            <w:tcW w:w="304" w:type="pct"/>
            <w:tcBorders>
              <w:tl2br w:val="nil"/>
              <w:tr2bl w:val="nil"/>
            </w:tcBorders>
            <w:shd w:val="clear" w:color="auto" w:fill="auto"/>
            <w:noWrap/>
            <w:vAlign w:val="center"/>
          </w:tcPr>
          <w:p w14:paraId="18943D30">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r>
              <w:rPr>
                <w:rFonts w:hint="eastAsia"/>
                <w:color w:val="auto"/>
                <w:sz w:val="16"/>
                <w:szCs w:val="16"/>
                <w:highlight w:val="none"/>
                <w:lang w:val="en-US" w:eastAsia="zh-CN"/>
              </w:rPr>
              <w:t>ND</w:t>
            </w:r>
          </w:p>
        </w:tc>
      </w:tr>
      <w:tr w14:paraId="14F7E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38FF424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9</w:t>
            </w:r>
          </w:p>
        </w:tc>
        <w:tc>
          <w:tcPr>
            <w:tcW w:w="400" w:type="pct"/>
            <w:tcBorders>
              <w:tl2br w:val="nil"/>
              <w:tr2bl w:val="nil"/>
            </w:tcBorders>
            <w:shd w:val="clear" w:color="auto" w:fill="auto"/>
            <w:noWrap/>
            <w:vAlign w:val="center"/>
          </w:tcPr>
          <w:p w14:paraId="5935AA2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7.1~7.2</w:t>
            </w:r>
          </w:p>
        </w:tc>
        <w:tc>
          <w:tcPr>
            <w:tcW w:w="225" w:type="pct"/>
            <w:tcBorders>
              <w:tl2br w:val="nil"/>
              <w:tr2bl w:val="nil"/>
            </w:tcBorders>
            <w:shd w:val="clear" w:color="auto" w:fill="auto"/>
            <w:noWrap/>
            <w:vAlign w:val="center"/>
          </w:tcPr>
          <w:p w14:paraId="326305F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0.673</w:t>
            </w:r>
          </w:p>
        </w:tc>
        <w:tc>
          <w:tcPr>
            <w:tcW w:w="201" w:type="pct"/>
            <w:tcBorders>
              <w:tl2br w:val="nil"/>
              <w:tr2bl w:val="nil"/>
            </w:tcBorders>
            <w:shd w:val="clear" w:color="auto" w:fill="auto"/>
            <w:noWrap/>
            <w:vAlign w:val="center"/>
          </w:tcPr>
          <w:p w14:paraId="56A79DE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2</w:t>
            </w:r>
          </w:p>
        </w:tc>
        <w:tc>
          <w:tcPr>
            <w:tcW w:w="201" w:type="pct"/>
            <w:tcBorders>
              <w:tl2br w:val="nil"/>
              <w:tr2bl w:val="nil"/>
            </w:tcBorders>
            <w:shd w:val="clear" w:color="auto" w:fill="auto"/>
            <w:noWrap/>
            <w:vAlign w:val="center"/>
          </w:tcPr>
          <w:p w14:paraId="433A2D1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2.81</w:t>
            </w:r>
          </w:p>
        </w:tc>
        <w:tc>
          <w:tcPr>
            <w:tcW w:w="298" w:type="pct"/>
            <w:tcBorders>
              <w:tl2br w:val="nil"/>
              <w:tr2bl w:val="nil"/>
            </w:tcBorders>
            <w:shd w:val="clear" w:color="auto" w:fill="auto"/>
            <w:noWrap/>
            <w:vAlign w:val="center"/>
          </w:tcPr>
          <w:p w14:paraId="758B2F8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14</w:t>
            </w:r>
          </w:p>
        </w:tc>
        <w:tc>
          <w:tcPr>
            <w:tcW w:w="212" w:type="pct"/>
            <w:tcBorders>
              <w:tl2br w:val="nil"/>
              <w:tr2bl w:val="nil"/>
            </w:tcBorders>
            <w:shd w:val="clear" w:color="auto" w:fill="auto"/>
            <w:noWrap/>
            <w:vAlign w:val="center"/>
          </w:tcPr>
          <w:p w14:paraId="4FC6DC8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2</w:t>
            </w:r>
            <w:r>
              <w:rPr>
                <w:rFonts w:hint="eastAsia"/>
                <w:color w:val="auto"/>
                <w:sz w:val="16"/>
                <w:szCs w:val="16"/>
                <w:highlight w:val="none"/>
                <w:lang w:val="en-US" w:eastAsia="zh-CN"/>
              </w:rPr>
              <w:t>8</w:t>
            </w:r>
          </w:p>
        </w:tc>
        <w:tc>
          <w:tcPr>
            <w:tcW w:w="114" w:type="pct"/>
            <w:tcBorders>
              <w:tl2br w:val="nil"/>
              <w:tr2bl w:val="nil"/>
            </w:tcBorders>
            <w:shd w:val="clear" w:color="auto" w:fill="auto"/>
            <w:noWrap/>
            <w:vAlign w:val="center"/>
          </w:tcPr>
          <w:p w14:paraId="71B8525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9</w:t>
            </w:r>
          </w:p>
        </w:tc>
        <w:tc>
          <w:tcPr>
            <w:tcW w:w="147" w:type="pct"/>
            <w:tcBorders>
              <w:tl2br w:val="nil"/>
              <w:tr2bl w:val="nil"/>
            </w:tcBorders>
            <w:shd w:val="clear" w:color="auto" w:fill="auto"/>
            <w:noWrap/>
            <w:vAlign w:val="center"/>
          </w:tcPr>
          <w:p w14:paraId="4F8B54A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619B4A1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952</w:t>
            </w:r>
          </w:p>
        </w:tc>
        <w:tc>
          <w:tcPr>
            <w:tcW w:w="147" w:type="pct"/>
            <w:tcBorders>
              <w:tl2br w:val="nil"/>
              <w:tr2bl w:val="nil"/>
            </w:tcBorders>
            <w:shd w:val="clear" w:color="auto" w:fill="auto"/>
            <w:noWrap/>
            <w:vAlign w:val="center"/>
          </w:tcPr>
          <w:p w14:paraId="2ADBEDF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22F2467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4F999C7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75D63E9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3400721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037</w:t>
            </w:r>
          </w:p>
        </w:tc>
        <w:tc>
          <w:tcPr>
            <w:tcW w:w="274" w:type="pct"/>
            <w:tcBorders>
              <w:tl2br w:val="nil"/>
              <w:tr2bl w:val="nil"/>
            </w:tcBorders>
            <w:shd w:val="clear" w:color="auto" w:fill="auto"/>
            <w:noWrap/>
            <w:vAlign w:val="center"/>
          </w:tcPr>
          <w:p w14:paraId="30D62C0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0.062</w:t>
            </w:r>
          </w:p>
        </w:tc>
        <w:tc>
          <w:tcPr>
            <w:tcW w:w="323" w:type="pct"/>
            <w:tcBorders>
              <w:tl2br w:val="nil"/>
              <w:tr2bl w:val="nil"/>
            </w:tcBorders>
            <w:shd w:val="clear" w:color="auto" w:fill="auto"/>
            <w:noWrap/>
            <w:vAlign w:val="center"/>
          </w:tcPr>
          <w:p w14:paraId="5EF782A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30244FE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0.0004</w:t>
            </w:r>
          </w:p>
        </w:tc>
        <w:tc>
          <w:tcPr>
            <w:tcW w:w="298" w:type="pct"/>
            <w:tcBorders>
              <w:tl2br w:val="nil"/>
              <w:tr2bl w:val="nil"/>
            </w:tcBorders>
            <w:shd w:val="clear" w:color="auto" w:fill="auto"/>
            <w:noWrap/>
            <w:vAlign w:val="center"/>
          </w:tcPr>
          <w:p w14:paraId="1C9F55BC">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c>
          <w:tcPr>
            <w:tcW w:w="304" w:type="pct"/>
            <w:tcBorders>
              <w:tl2br w:val="nil"/>
              <w:tr2bl w:val="nil"/>
            </w:tcBorders>
            <w:shd w:val="clear" w:color="auto" w:fill="auto"/>
            <w:noWrap/>
            <w:vAlign w:val="center"/>
          </w:tcPr>
          <w:p w14:paraId="4D3BECBD">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r>
      <w:tr w14:paraId="6A692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7084D45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10</w:t>
            </w:r>
          </w:p>
        </w:tc>
        <w:tc>
          <w:tcPr>
            <w:tcW w:w="400" w:type="pct"/>
            <w:tcBorders>
              <w:tl2br w:val="nil"/>
              <w:tr2bl w:val="nil"/>
            </w:tcBorders>
            <w:shd w:val="clear" w:color="auto" w:fill="auto"/>
            <w:noWrap/>
            <w:vAlign w:val="center"/>
          </w:tcPr>
          <w:p w14:paraId="7821E1B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7.1~7.2</w:t>
            </w:r>
          </w:p>
        </w:tc>
        <w:tc>
          <w:tcPr>
            <w:tcW w:w="225" w:type="pct"/>
            <w:tcBorders>
              <w:tl2br w:val="nil"/>
              <w:tr2bl w:val="nil"/>
            </w:tcBorders>
            <w:shd w:val="clear" w:color="auto" w:fill="auto"/>
            <w:noWrap/>
            <w:vAlign w:val="center"/>
          </w:tcPr>
          <w:p w14:paraId="262F11BE">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2.40</w:t>
            </w:r>
          </w:p>
        </w:tc>
        <w:tc>
          <w:tcPr>
            <w:tcW w:w="201" w:type="pct"/>
            <w:tcBorders>
              <w:tl2br w:val="nil"/>
              <w:tr2bl w:val="nil"/>
            </w:tcBorders>
            <w:shd w:val="clear" w:color="auto" w:fill="auto"/>
            <w:noWrap/>
            <w:vAlign w:val="center"/>
          </w:tcPr>
          <w:p w14:paraId="537CA3C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5</w:t>
            </w:r>
          </w:p>
        </w:tc>
        <w:tc>
          <w:tcPr>
            <w:tcW w:w="201" w:type="pct"/>
            <w:tcBorders>
              <w:tl2br w:val="nil"/>
              <w:tr2bl w:val="nil"/>
            </w:tcBorders>
            <w:shd w:val="clear" w:color="auto" w:fill="auto"/>
            <w:noWrap/>
            <w:vAlign w:val="center"/>
          </w:tcPr>
          <w:p w14:paraId="72B1B72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7.59</w:t>
            </w:r>
          </w:p>
        </w:tc>
        <w:tc>
          <w:tcPr>
            <w:tcW w:w="298" w:type="pct"/>
            <w:tcBorders>
              <w:tl2br w:val="nil"/>
              <w:tr2bl w:val="nil"/>
            </w:tcBorders>
            <w:shd w:val="clear" w:color="auto" w:fill="auto"/>
            <w:noWrap/>
            <w:vAlign w:val="center"/>
          </w:tcPr>
          <w:p w14:paraId="5BB9684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15</w:t>
            </w:r>
          </w:p>
        </w:tc>
        <w:tc>
          <w:tcPr>
            <w:tcW w:w="212" w:type="pct"/>
            <w:tcBorders>
              <w:tl2br w:val="nil"/>
              <w:tr2bl w:val="nil"/>
            </w:tcBorders>
            <w:shd w:val="clear" w:color="auto" w:fill="auto"/>
            <w:noWrap/>
            <w:vAlign w:val="center"/>
          </w:tcPr>
          <w:p w14:paraId="6DC01A0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2</w:t>
            </w:r>
            <w:r>
              <w:rPr>
                <w:rFonts w:hint="eastAsia"/>
                <w:color w:val="auto"/>
                <w:sz w:val="16"/>
                <w:szCs w:val="16"/>
                <w:highlight w:val="none"/>
                <w:lang w:val="en-US" w:eastAsia="zh-CN"/>
              </w:rPr>
              <w:t>4</w:t>
            </w:r>
          </w:p>
        </w:tc>
        <w:tc>
          <w:tcPr>
            <w:tcW w:w="114" w:type="pct"/>
            <w:tcBorders>
              <w:tl2br w:val="nil"/>
              <w:tr2bl w:val="nil"/>
            </w:tcBorders>
            <w:shd w:val="clear" w:color="auto" w:fill="auto"/>
            <w:noWrap/>
            <w:vAlign w:val="center"/>
          </w:tcPr>
          <w:p w14:paraId="47D1565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6</w:t>
            </w:r>
          </w:p>
        </w:tc>
        <w:tc>
          <w:tcPr>
            <w:tcW w:w="147" w:type="pct"/>
            <w:tcBorders>
              <w:tl2br w:val="nil"/>
              <w:tr2bl w:val="nil"/>
            </w:tcBorders>
            <w:shd w:val="clear" w:color="auto" w:fill="auto"/>
            <w:noWrap/>
            <w:vAlign w:val="center"/>
          </w:tcPr>
          <w:p w14:paraId="092E58E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0E42D94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0.00</w:t>
            </w:r>
            <w:r>
              <w:rPr>
                <w:rFonts w:hint="eastAsia"/>
                <w:color w:val="auto"/>
                <w:sz w:val="16"/>
                <w:szCs w:val="16"/>
                <w:highlight w:val="none"/>
                <w:lang w:val="en-US" w:eastAsia="zh-CN"/>
              </w:rPr>
              <w:t>28</w:t>
            </w:r>
          </w:p>
        </w:tc>
        <w:tc>
          <w:tcPr>
            <w:tcW w:w="147" w:type="pct"/>
            <w:tcBorders>
              <w:tl2br w:val="nil"/>
              <w:tr2bl w:val="nil"/>
            </w:tcBorders>
            <w:shd w:val="clear" w:color="auto" w:fill="auto"/>
            <w:noWrap/>
            <w:vAlign w:val="center"/>
          </w:tcPr>
          <w:p w14:paraId="4F2F067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4CF1B34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6841F40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50F858B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04A64D7E">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025</w:t>
            </w:r>
          </w:p>
        </w:tc>
        <w:tc>
          <w:tcPr>
            <w:tcW w:w="274" w:type="pct"/>
            <w:tcBorders>
              <w:tl2br w:val="nil"/>
              <w:tr2bl w:val="nil"/>
            </w:tcBorders>
            <w:shd w:val="clear" w:color="auto" w:fill="auto"/>
            <w:noWrap/>
            <w:vAlign w:val="center"/>
          </w:tcPr>
          <w:p w14:paraId="550A344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0.0053</w:t>
            </w:r>
          </w:p>
        </w:tc>
        <w:tc>
          <w:tcPr>
            <w:tcW w:w="323" w:type="pct"/>
            <w:tcBorders>
              <w:tl2br w:val="nil"/>
              <w:tr2bl w:val="nil"/>
            </w:tcBorders>
            <w:shd w:val="clear" w:color="auto" w:fill="auto"/>
            <w:noWrap/>
            <w:vAlign w:val="center"/>
          </w:tcPr>
          <w:p w14:paraId="000BCC1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34502D9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0.0002</w:t>
            </w:r>
          </w:p>
        </w:tc>
        <w:tc>
          <w:tcPr>
            <w:tcW w:w="298" w:type="pct"/>
            <w:tcBorders>
              <w:tl2br w:val="nil"/>
              <w:tr2bl w:val="nil"/>
            </w:tcBorders>
            <w:shd w:val="clear" w:color="auto" w:fill="auto"/>
            <w:noWrap/>
            <w:vAlign w:val="center"/>
          </w:tcPr>
          <w:p w14:paraId="086A2FBE">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c>
          <w:tcPr>
            <w:tcW w:w="304" w:type="pct"/>
            <w:tcBorders>
              <w:tl2br w:val="nil"/>
              <w:tr2bl w:val="nil"/>
            </w:tcBorders>
            <w:shd w:val="clear" w:color="auto" w:fill="auto"/>
            <w:noWrap/>
            <w:vAlign w:val="center"/>
          </w:tcPr>
          <w:p w14:paraId="2B85A463">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r>
      <w:tr w14:paraId="6ABED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5E665BA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11</w:t>
            </w:r>
          </w:p>
        </w:tc>
        <w:tc>
          <w:tcPr>
            <w:tcW w:w="400" w:type="pct"/>
            <w:tcBorders>
              <w:tl2br w:val="nil"/>
              <w:tr2bl w:val="nil"/>
            </w:tcBorders>
            <w:shd w:val="clear" w:color="auto" w:fill="auto"/>
            <w:noWrap/>
            <w:vAlign w:val="center"/>
          </w:tcPr>
          <w:p w14:paraId="03DDB35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7.1~7.2</w:t>
            </w:r>
          </w:p>
        </w:tc>
        <w:tc>
          <w:tcPr>
            <w:tcW w:w="225" w:type="pct"/>
            <w:tcBorders>
              <w:tl2br w:val="nil"/>
              <w:tr2bl w:val="nil"/>
            </w:tcBorders>
            <w:shd w:val="clear" w:color="auto" w:fill="auto"/>
            <w:noWrap/>
            <w:vAlign w:val="center"/>
          </w:tcPr>
          <w:p w14:paraId="6222779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0.592</w:t>
            </w:r>
          </w:p>
        </w:tc>
        <w:tc>
          <w:tcPr>
            <w:tcW w:w="201" w:type="pct"/>
            <w:tcBorders>
              <w:tl2br w:val="nil"/>
              <w:tr2bl w:val="nil"/>
            </w:tcBorders>
            <w:shd w:val="clear" w:color="auto" w:fill="auto"/>
            <w:noWrap/>
            <w:vAlign w:val="center"/>
          </w:tcPr>
          <w:p w14:paraId="3762864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3</w:t>
            </w:r>
          </w:p>
        </w:tc>
        <w:tc>
          <w:tcPr>
            <w:tcW w:w="201" w:type="pct"/>
            <w:tcBorders>
              <w:tl2br w:val="nil"/>
              <w:tr2bl w:val="nil"/>
            </w:tcBorders>
            <w:shd w:val="clear" w:color="auto" w:fill="auto"/>
            <w:noWrap/>
            <w:vAlign w:val="center"/>
          </w:tcPr>
          <w:p w14:paraId="2C36766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2.72</w:t>
            </w:r>
          </w:p>
        </w:tc>
        <w:tc>
          <w:tcPr>
            <w:tcW w:w="298" w:type="pct"/>
            <w:tcBorders>
              <w:tl2br w:val="nil"/>
              <w:tr2bl w:val="nil"/>
            </w:tcBorders>
            <w:shd w:val="clear" w:color="auto" w:fill="auto"/>
            <w:noWrap/>
            <w:vAlign w:val="center"/>
          </w:tcPr>
          <w:p w14:paraId="2843108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14</w:t>
            </w:r>
          </w:p>
        </w:tc>
        <w:tc>
          <w:tcPr>
            <w:tcW w:w="212" w:type="pct"/>
            <w:tcBorders>
              <w:tl2br w:val="nil"/>
              <w:tr2bl w:val="nil"/>
            </w:tcBorders>
            <w:shd w:val="clear" w:color="auto" w:fill="auto"/>
            <w:noWrap/>
            <w:vAlign w:val="center"/>
          </w:tcPr>
          <w:p w14:paraId="4CDDEB1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30</w:t>
            </w:r>
          </w:p>
        </w:tc>
        <w:tc>
          <w:tcPr>
            <w:tcW w:w="114" w:type="pct"/>
            <w:tcBorders>
              <w:tl2br w:val="nil"/>
              <w:tr2bl w:val="nil"/>
            </w:tcBorders>
            <w:shd w:val="clear" w:color="auto" w:fill="auto"/>
            <w:noWrap/>
            <w:vAlign w:val="center"/>
          </w:tcPr>
          <w:p w14:paraId="06AD0ED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9</w:t>
            </w:r>
          </w:p>
        </w:tc>
        <w:tc>
          <w:tcPr>
            <w:tcW w:w="147" w:type="pct"/>
            <w:tcBorders>
              <w:tl2br w:val="nil"/>
              <w:tr2bl w:val="nil"/>
            </w:tcBorders>
            <w:shd w:val="clear" w:color="auto" w:fill="auto"/>
            <w:noWrap/>
            <w:vAlign w:val="center"/>
          </w:tcPr>
          <w:p w14:paraId="20B273B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170810C4">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b/>
                <w:bCs/>
                <w:color w:val="auto"/>
                <w:sz w:val="16"/>
                <w:szCs w:val="16"/>
                <w:highlight w:val="none"/>
                <w:lang w:val="en-US" w:eastAsia="zh-CN"/>
              </w:rPr>
              <w:t>0.</w:t>
            </w:r>
            <w:r>
              <w:rPr>
                <w:rFonts w:hint="eastAsia"/>
                <w:b/>
                <w:bCs/>
                <w:color w:val="auto"/>
                <w:sz w:val="16"/>
                <w:szCs w:val="16"/>
                <w:highlight w:val="none"/>
                <w:lang w:val="en-US" w:eastAsia="zh-CN"/>
              </w:rPr>
              <w:t>152</w:t>
            </w:r>
          </w:p>
        </w:tc>
        <w:tc>
          <w:tcPr>
            <w:tcW w:w="147" w:type="pct"/>
            <w:tcBorders>
              <w:tl2br w:val="nil"/>
              <w:tr2bl w:val="nil"/>
            </w:tcBorders>
            <w:shd w:val="clear" w:color="auto" w:fill="auto"/>
            <w:noWrap/>
            <w:vAlign w:val="center"/>
          </w:tcPr>
          <w:p w14:paraId="02D1DB0E">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681F88A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03689EE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7CE84F1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2DB074B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017</w:t>
            </w:r>
          </w:p>
        </w:tc>
        <w:tc>
          <w:tcPr>
            <w:tcW w:w="274" w:type="pct"/>
            <w:tcBorders>
              <w:tl2br w:val="nil"/>
              <w:tr2bl w:val="nil"/>
            </w:tcBorders>
            <w:shd w:val="clear" w:color="auto" w:fill="auto"/>
            <w:noWrap/>
            <w:vAlign w:val="center"/>
          </w:tcPr>
          <w:p w14:paraId="4DB25B4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0.0054</w:t>
            </w:r>
          </w:p>
        </w:tc>
        <w:tc>
          <w:tcPr>
            <w:tcW w:w="323" w:type="pct"/>
            <w:tcBorders>
              <w:tl2br w:val="nil"/>
              <w:tr2bl w:val="nil"/>
            </w:tcBorders>
            <w:shd w:val="clear" w:color="auto" w:fill="auto"/>
            <w:noWrap/>
            <w:vAlign w:val="center"/>
          </w:tcPr>
          <w:p w14:paraId="017D3B5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7EA32C4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0.0021</w:t>
            </w:r>
          </w:p>
        </w:tc>
        <w:tc>
          <w:tcPr>
            <w:tcW w:w="298" w:type="pct"/>
            <w:tcBorders>
              <w:tl2br w:val="nil"/>
              <w:tr2bl w:val="nil"/>
            </w:tcBorders>
            <w:shd w:val="clear" w:color="auto" w:fill="auto"/>
            <w:noWrap/>
            <w:vAlign w:val="center"/>
          </w:tcPr>
          <w:p w14:paraId="65F72C05">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c>
          <w:tcPr>
            <w:tcW w:w="304" w:type="pct"/>
            <w:tcBorders>
              <w:tl2br w:val="nil"/>
              <w:tr2bl w:val="nil"/>
            </w:tcBorders>
            <w:shd w:val="clear" w:color="auto" w:fill="auto"/>
            <w:noWrap/>
            <w:vAlign w:val="center"/>
          </w:tcPr>
          <w:p w14:paraId="60A80A1B">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r>
      <w:tr w14:paraId="1463D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7A40127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12</w:t>
            </w:r>
          </w:p>
        </w:tc>
        <w:tc>
          <w:tcPr>
            <w:tcW w:w="400" w:type="pct"/>
            <w:tcBorders>
              <w:tl2br w:val="nil"/>
              <w:tr2bl w:val="nil"/>
            </w:tcBorders>
            <w:shd w:val="clear" w:color="auto" w:fill="auto"/>
            <w:noWrap/>
            <w:vAlign w:val="center"/>
          </w:tcPr>
          <w:p w14:paraId="0F3ADD93">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6.3~6.4</w:t>
            </w:r>
          </w:p>
        </w:tc>
        <w:tc>
          <w:tcPr>
            <w:tcW w:w="225" w:type="pct"/>
            <w:tcBorders>
              <w:tl2br w:val="nil"/>
              <w:tr2bl w:val="nil"/>
            </w:tcBorders>
            <w:shd w:val="clear" w:color="auto" w:fill="auto"/>
            <w:noWrap/>
            <w:vAlign w:val="center"/>
          </w:tcPr>
          <w:p w14:paraId="7DF6A4D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0.791</w:t>
            </w:r>
          </w:p>
        </w:tc>
        <w:tc>
          <w:tcPr>
            <w:tcW w:w="201" w:type="pct"/>
            <w:tcBorders>
              <w:tl2br w:val="nil"/>
              <w:tr2bl w:val="nil"/>
            </w:tcBorders>
            <w:shd w:val="clear" w:color="auto" w:fill="auto"/>
            <w:noWrap/>
            <w:vAlign w:val="center"/>
          </w:tcPr>
          <w:p w14:paraId="0B9FA42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01" w:type="pct"/>
            <w:tcBorders>
              <w:tl2br w:val="nil"/>
              <w:tr2bl w:val="nil"/>
            </w:tcBorders>
            <w:shd w:val="clear" w:color="auto" w:fill="auto"/>
            <w:noWrap/>
            <w:vAlign w:val="center"/>
          </w:tcPr>
          <w:p w14:paraId="172554D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7.14</w:t>
            </w:r>
          </w:p>
        </w:tc>
        <w:tc>
          <w:tcPr>
            <w:tcW w:w="298" w:type="pct"/>
            <w:tcBorders>
              <w:tl2br w:val="nil"/>
              <w:tr2bl w:val="nil"/>
            </w:tcBorders>
            <w:shd w:val="clear" w:color="auto" w:fill="auto"/>
            <w:noWrap/>
            <w:vAlign w:val="center"/>
          </w:tcPr>
          <w:p w14:paraId="30FF965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12</w:t>
            </w:r>
          </w:p>
        </w:tc>
        <w:tc>
          <w:tcPr>
            <w:tcW w:w="212" w:type="pct"/>
            <w:tcBorders>
              <w:tl2br w:val="nil"/>
              <w:tr2bl w:val="nil"/>
            </w:tcBorders>
            <w:shd w:val="clear" w:color="auto" w:fill="auto"/>
            <w:noWrap/>
            <w:vAlign w:val="center"/>
          </w:tcPr>
          <w:p w14:paraId="1DFF4FA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2</w:t>
            </w:r>
            <w:r>
              <w:rPr>
                <w:rFonts w:hint="eastAsia"/>
                <w:color w:val="auto"/>
                <w:sz w:val="16"/>
                <w:szCs w:val="16"/>
                <w:highlight w:val="none"/>
                <w:lang w:val="en-US" w:eastAsia="zh-CN"/>
              </w:rPr>
              <w:t>7</w:t>
            </w:r>
          </w:p>
        </w:tc>
        <w:tc>
          <w:tcPr>
            <w:tcW w:w="114" w:type="pct"/>
            <w:tcBorders>
              <w:tl2br w:val="nil"/>
              <w:tr2bl w:val="nil"/>
            </w:tcBorders>
            <w:shd w:val="clear" w:color="auto" w:fill="auto"/>
            <w:noWrap/>
            <w:vAlign w:val="center"/>
          </w:tcPr>
          <w:p w14:paraId="08FE53B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w:t>
            </w:r>
          </w:p>
        </w:tc>
        <w:tc>
          <w:tcPr>
            <w:tcW w:w="147" w:type="pct"/>
            <w:tcBorders>
              <w:tl2br w:val="nil"/>
              <w:tr2bl w:val="nil"/>
            </w:tcBorders>
            <w:shd w:val="clear" w:color="auto" w:fill="auto"/>
            <w:noWrap/>
            <w:vAlign w:val="center"/>
          </w:tcPr>
          <w:p w14:paraId="16B2B98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4F85C45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b/>
                <w:bCs/>
                <w:color w:val="auto"/>
                <w:sz w:val="16"/>
                <w:szCs w:val="16"/>
                <w:highlight w:val="none"/>
                <w:lang w:val="en-US" w:eastAsia="zh-CN"/>
              </w:rPr>
              <w:t>0.</w:t>
            </w:r>
            <w:r>
              <w:rPr>
                <w:rFonts w:hint="eastAsia"/>
                <w:b/>
                <w:bCs/>
                <w:color w:val="auto"/>
                <w:sz w:val="16"/>
                <w:szCs w:val="16"/>
                <w:highlight w:val="none"/>
                <w:lang w:val="en-US" w:eastAsia="zh-CN"/>
              </w:rPr>
              <w:t>249</w:t>
            </w:r>
          </w:p>
        </w:tc>
        <w:tc>
          <w:tcPr>
            <w:tcW w:w="147" w:type="pct"/>
            <w:tcBorders>
              <w:tl2br w:val="nil"/>
              <w:tr2bl w:val="nil"/>
            </w:tcBorders>
            <w:shd w:val="clear" w:color="auto" w:fill="auto"/>
            <w:noWrap/>
            <w:vAlign w:val="center"/>
          </w:tcPr>
          <w:p w14:paraId="63AED85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147" w:type="pct"/>
            <w:tcBorders>
              <w:tl2br w:val="nil"/>
              <w:tr2bl w:val="nil"/>
            </w:tcBorders>
            <w:shd w:val="clear" w:color="auto" w:fill="auto"/>
            <w:noWrap/>
            <w:vAlign w:val="center"/>
          </w:tcPr>
          <w:p w14:paraId="0B41436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98" w:type="pct"/>
            <w:tcBorders>
              <w:tl2br w:val="nil"/>
              <w:tr2bl w:val="nil"/>
            </w:tcBorders>
            <w:shd w:val="clear" w:color="auto" w:fill="auto"/>
            <w:noWrap/>
            <w:vAlign w:val="center"/>
          </w:tcPr>
          <w:p w14:paraId="79464EA9">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4FD4F99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60D2928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018</w:t>
            </w:r>
          </w:p>
        </w:tc>
        <w:tc>
          <w:tcPr>
            <w:tcW w:w="274" w:type="pct"/>
            <w:tcBorders>
              <w:tl2br w:val="nil"/>
              <w:tr2bl w:val="nil"/>
            </w:tcBorders>
            <w:shd w:val="clear" w:color="auto" w:fill="auto"/>
            <w:noWrap/>
            <w:vAlign w:val="center"/>
          </w:tcPr>
          <w:p w14:paraId="48B97B0C">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0.030</w:t>
            </w:r>
          </w:p>
        </w:tc>
        <w:tc>
          <w:tcPr>
            <w:tcW w:w="323" w:type="pct"/>
            <w:tcBorders>
              <w:tl2br w:val="nil"/>
              <w:tr2bl w:val="nil"/>
            </w:tcBorders>
            <w:shd w:val="clear" w:color="auto" w:fill="auto"/>
            <w:noWrap/>
            <w:vAlign w:val="center"/>
          </w:tcPr>
          <w:p w14:paraId="0F8CD711">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744B3CF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0.0002</w:t>
            </w:r>
          </w:p>
        </w:tc>
        <w:tc>
          <w:tcPr>
            <w:tcW w:w="298" w:type="pct"/>
            <w:tcBorders>
              <w:tl2br w:val="nil"/>
              <w:tr2bl w:val="nil"/>
            </w:tcBorders>
            <w:shd w:val="clear" w:color="auto" w:fill="auto"/>
            <w:noWrap/>
            <w:vAlign w:val="center"/>
          </w:tcPr>
          <w:p w14:paraId="4A096B18">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c>
          <w:tcPr>
            <w:tcW w:w="304" w:type="pct"/>
            <w:tcBorders>
              <w:tl2br w:val="nil"/>
              <w:tr2bl w:val="nil"/>
            </w:tcBorders>
            <w:shd w:val="clear" w:color="auto" w:fill="auto"/>
            <w:noWrap/>
            <w:vAlign w:val="center"/>
          </w:tcPr>
          <w:p w14:paraId="45E582CF">
            <w:pPr>
              <w:pStyle w:val="26"/>
              <w:keepNext w:val="0"/>
              <w:keepLines w:val="0"/>
              <w:suppressLineNumbers w:val="0"/>
              <w:spacing w:before="0" w:beforeAutospacing="0" w:after="0" w:afterAutospacing="0"/>
              <w:ind w:left="0" w:right="0"/>
              <w:rPr>
                <w:rFonts w:hint="eastAsia"/>
                <w:color w:val="auto"/>
                <w:sz w:val="16"/>
                <w:szCs w:val="16"/>
                <w:highlight w:val="none"/>
                <w:lang w:val="en-US" w:eastAsia="zh-CN"/>
              </w:rPr>
            </w:pPr>
          </w:p>
        </w:tc>
      </w:tr>
      <w:tr w14:paraId="0A7F6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304" w:type="pct"/>
            <w:tcBorders>
              <w:tl2br w:val="nil"/>
              <w:tr2bl w:val="nil"/>
            </w:tcBorders>
            <w:shd w:val="clear" w:color="auto" w:fill="auto"/>
            <w:noWrap/>
            <w:vAlign w:val="center"/>
          </w:tcPr>
          <w:p w14:paraId="2B231FF5">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标准</w:t>
            </w:r>
            <w:r>
              <w:rPr>
                <w:rFonts w:hint="default"/>
                <w:color w:val="auto"/>
                <w:sz w:val="16"/>
                <w:szCs w:val="16"/>
                <w:highlight w:val="none"/>
                <w:lang w:val="en-US" w:eastAsia="zh-CN"/>
              </w:rPr>
              <w:t>值</w:t>
            </w:r>
          </w:p>
        </w:tc>
        <w:tc>
          <w:tcPr>
            <w:tcW w:w="400" w:type="pct"/>
            <w:tcBorders>
              <w:tl2br w:val="nil"/>
              <w:tr2bl w:val="nil"/>
            </w:tcBorders>
            <w:shd w:val="clear" w:color="auto" w:fill="auto"/>
            <w:noWrap/>
            <w:vAlign w:val="center"/>
          </w:tcPr>
          <w:p w14:paraId="7B0A1D7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6~9</w:t>
            </w:r>
          </w:p>
        </w:tc>
        <w:tc>
          <w:tcPr>
            <w:tcW w:w="225" w:type="pct"/>
            <w:tcBorders>
              <w:tl2br w:val="nil"/>
              <w:tr2bl w:val="nil"/>
            </w:tcBorders>
            <w:shd w:val="clear" w:color="auto" w:fill="auto"/>
            <w:noWrap/>
            <w:vAlign w:val="center"/>
          </w:tcPr>
          <w:p w14:paraId="001E35A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8</w:t>
            </w:r>
          </w:p>
        </w:tc>
        <w:tc>
          <w:tcPr>
            <w:tcW w:w="201" w:type="pct"/>
            <w:tcBorders>
              <w:tl2br w:val="nil"/>
              <w:tr2bl w:val="nil"/>
            </w:tcBorders>
            <w:shd w:val="clear" w:color="auto" w:fill="auto"/>
            <w:noWrap/>
            <w:vAlign w:val="center"/>
          </w:tcPr>
          <w:p w14:paraId="34000D7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1.0</w:t>
            </w:r>
          </w:p>
        </w:tc>
        <w:tc>
          <w:tcPr>
            <w:tcW w:w="201" w:type="pct"/>
            <w:tcBorders>
              <w:tl2br w:val="nil"/>
              <w:tr2bl w:val="nil"/>
            </w:tcBorders>
            <w:shd w:val="clear" w:color="auto" w:fill="auto"/>
            <w:noWrap/>
            <w:vAlign w:val="center"/>
          </w:tcPr>
          <w:p w14:paraId="24A42CC6">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15</w:t>
            </w:r>
          </w:p>
        </w:tc>
        <w:tc>
          <w:tcPr>
            <w:tcW w:w="298" w:type="pct"/>
            <w:tcBorders>
              <w:tl2br w:val="nil"/>
              <w:tr2bl w:val="nil"/>
            </w:tcBorders>
            <w:shd w:val="clear" w:color="auto" w:fill="auto"/>
            <w:noWrap/>
            <w:vAlign w:val="center"/>
          </w:tcPr>
          <w:p w14:paraId="4808943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3</w:t>
            </w:r>
          </w:p>
        </w:tc>
        <w:tc>
          <w:tcPr>
            <w:tcW w:w="212" w:type="pct"/>
            <w:tcBorders>
              <w:tl2br w:val="nil"/>
              <w:tr2bl w:val="nil"/>
            </w:tcBorders>
            <w:shd w:val="clear" w:color="auto" w:fill="auto"/>
            <w:noWrap/>
            <w:vAlign w:val="center"/>
          </w:tcPr>
          <w:p w14:paraId="5842236F">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60</w:t>
            </w:r>
          </w:p>
        </w:tc>
        <w:tc>
          <w:tcPr>
            <w:tcW w:w="114" w:type="pct"/>
            <w:tcBorders>
              <w:tl2br w:val="nil"/>
              <w:tr2bl w:val="nil"/>
            </w:tcBorders>
            <w:shd w:val="clear" w:color="auto" w:fill="auto"/>
            <w:noWrap/>
            <w:vAlign w:val="center"/>
          </w:tcPr>
          <w:p w14:paraId="58315BD0">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70</w:t>
            </w:r>
          </w:p>
        </w:tc>
        <w:tc>
          <w:tcPr>
            <w:tcW w:w="147" w:type="pct"/>
            <w:tcBorders>
              <w:tl2br w:val="nil"/>
              <w:tr2bl w:val="nil"/>
            </w:tcBorders>
            <w:shd w:val="clear" w:color="auto" w:fill="auto"/>
            <w:noWrap/>
            <w:vAlign w:val="center"/>
          </w:tcPr>
          <w:p w14:paraId="7F42188B">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2</w:t>
            </w:r>
          </w:p>
        </w:tc>
        <w:tc>
          <w:tcPr>
            <w:tcW w:w="274" w:type="pct"/>
            <w:tcBorders>
              <w:tl2br w:val="nil"/>
              <w:tr2bl w:val="nil"/>
            </w:tcBorders>
            <w:shd w:val="clear" w:color="auto" w:fill="auto"/>
            <w:noWrap/>
            <w:vAlign w:val="center"/>
          </w:tcPr>
          <w:p w14:paraId="1C134ACA">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15</w:t>
            </w:r>
          </w:p>
        </w:tc>
        <w:tc>
          <w:tcPr>
            <w:tcW w:w="147" w:type="pct"/>
            <w:tcBorders>
              <w:tl2br w:val="nil"/>
              <w:tr2bl w:val="nil"/>
            </w:tcBorders>
            <w:shd w:val="clear" w:color="auto" w:fill="auto"/>
            <w:noWrap/>
            <w:vAlign w:val="center"/>
          </w:tcPr>
          <w:p w14:paraId="5B8AB60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2.0</w:t>
            </w:r>
            <w:r>
              <w:rPr>
                <w:rFonts w:hint="default"/>
                <w:color w:val="auto"/>
                <w:sz w:val="16"/>
                <w:szCs w:val="16"/>
                <w:highlight w:val="none"/>
                <w:lang w:val="en-US" w:eastAsia="zh-CN"/>
              </w:rPr>
              <w:t xml:space="preserve"> </w:t>
            </w:r>
          </w:p>
        </w:tc>
        <w:tc>
          <w:tcPr>
            <w:tcW w:w="147" w:type="pct"/>
            <w:tcBorders>
              <w:tl2br w:val="nil"/>
              <w:tr2bl w:val="nil"/>
            </w:tcBorders>
            <w:shd w:val="clear" w:color="auto" w:fill="auto"/>
            <w:noWrap/>
            <w:vAlign w:val="center"/>
          </w:tcPr>
          <w:p w14:paraId="76B9A05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1.0</w:t>
            </w:r>
            <w:r>
              <w:rPr>
                <w:rFonts w:hint="default"/>
                <w:color w:val="auto"/>
                <w:sz w:val="16"/>
                <w:szCs w:val="16"/>
                <w:highlight w:val="none"/>
                <w:lang w:val="en-US" w:eastAsia="zh-CN"/>
              </w:rPr>
              <w:t xml:space="preserve"> </w:t>
            </w:r>
          </w:p>
        </w:tc>
        <w:tc>
          <w:tcPr>
            <w:tcW w:w="298" w:type="pct"/>
            <w:tcBorders>
              <w:tl2br w:val="nil"/>
              <w:tr2bl w:val="nil"/>
            </w:tcBorders>
            <w:shd w:val="clear" w:color="auto" w:fill="auto"/>
            <w:noWrap/>
            <w:vAlign w:val="center"/>
          </w:tcPr>
          <w:p w14:paraId="2859EC5E">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w:t>
            </w:r>
            <w:r>
              <w:rPr>
                <w:rFonts w:hint="eastAsia"/>
                <w:color w:val="auto"/>
                <w:sz w:val="16"/>
                <w:szCs w:val="16"/>
                <w:highlight w:val="none"/>
                <w:lang w:val="en-US" w:eastAsia="zh-CN"/>
              </w:rPr>
              <w:t>2</w:t>
            </w:r>
            <w:r>
              <w:rPr>
                <w:rFonts w:hint="default"/>
                <w:color w:val="auto"/>
                <w:sz w:val="16"/>
                <w:szCs w:val="16"/>
                <w:highlight w:val="none"/>
                <w:lang w:val="en-US" w:eastAsia="zh-CN"/>
              </w:rPr>
              <w:t xml:space="preserve"> </w:t>
            </w:r>
          </w:p>
        </w:tc>
        <w:tc>
          <w:tcPr>
            <w:tcW w:w="274" w:type="pct"/>
            <w:tcBorders>
              <w:tl2br w:val="nil"/>
              <w:tr2bl w:val="nil"/>
            </w:tcBorders>
            <w:shd w:val="clear" w:color="auto" w:fill="auto"/>
            <w:noWrap/>
            <w:vAlign w:val="center"/>
          </w:tcPr>
          <w:p w14:paraId="5276C1BE">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0.00</w:t>
            </w:r>
            <w:r>
              <w:rPr>
                <w:rFonts w:hint="eastAsia"/>
                <w:color w:val="auto"/>
                <w:sz w:val="16"/>
                <w:szCs w:val="16"/>
                <w:highlight w:val="none"/>
                <w:lang w:val="en-US" w:eastAsia="zh-CN"/>
              </w:rPr>
              <w:t>5</w:t>
            </w:r>
            <w:r>
              <w:rPr>
                <w:rFonts w:hint="default"/>
                <w:color w:val="auto"/>
                <w:sz w:val="16"/>
                <w:szCs w:val="16"/>
                <w:highlight w:val="none"/>
                <w:lang w:val="en-US" w:eastAsia="zh-CN"/>
              </w:rPr>
              <w:t xml:space="preserve"> </w:t>
            </w:r>
          </w:p>
        </w:tc>
        <w:tc>
          <w:tcPr>
            <w:tcW w:w="274" w:type="pct"/>
            <w:tcBorders>
              <w:tl2br w:val="nil"/>
              <w:tr2bl w:val="nil"/>
            </w:tcBorders>
            <w:shd w:val="clear" w:color="auto" w:fill="auto"/>
            <w:noWrap/>
            <w:vAlign w:val="center"/>
          </w:tcPr>
          <w:p w14:paraId="495FD44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default"/>
                <w:color w:val="auto"/>
                <w:sz w:val="16"/>
                <w:szCs w:val="16"/>
                <w:highlight w:val="none"/>
                <w:lang w:val="en-US" w:eastAsia="zh-CN"/>
              </w:rPr>
              <w:t>0.0</w:t>
            </w:r>
            <w:r>
              <w:rPr>
                <w:rFonts w:hint="eastAsia"/>
                <w:color w:val="auto"/>
                <w:sz w:val="16"/>
                <w:szCs w:val="16"/>
                <w:highlight w:val="none"/>
                <w:lang w:val="en-US" w:eastAsia="zh-CN"/>
              </w:rPr>
              <w:t>2</w:t>
            </w:r>
          </w:p>
        </w:tc>
        <w:tc>
          <w:tcPr>
            <w:tcW w:w="274" w:type="pct"/>
            <w:tcBorders>
              <w:tl2br w:val="nil"/>
              <w:tr2bl w:val="nil"/>
            </w:tcBorders>
            <w:shd w:val="clear" w:color="auto" w:fill="auto"/>
            <w:noWrap/>
            <w:vAlign w:val="center"/>
          </w:tcPr>
          <w:p w14:paraId="1530D4A7">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0.2</w:t>
            </w:r>
          </w:p>
        </w:tc>
        <w:tc>
          <w:tcPr>
            <w:tcW w:w="323" w:type="pct"/>
            <w:tcBorders>
              <w:tl2br w:val="nil"/>
              <w:tr2bl w:val="nil"/>
            </w:tcBorders>
            <w:shd w:val="clear" w:color="auto" w:fill="auto"/>
            <w:noWrap/>
            <w:vAlign w:val="center"/>
          </w:tcPr>
          <w:p w14:paraId="418446F2">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ND</w:t>
            </w:r>
          </w:p>
        </w:tc>
        <w:tc>
          <w:tcPr>
            <w:tcW w:w="274" w:type="pct"/>
            <w:tcBorders>
              <w:tl2br w:val="nil"/>
              <w:tr2bl w:val="nil"/>
            </w:tcBorders>
            <w:shd w:val="clear" w:color="auto" w:fill="auto"/>
            <w:noWrap/>
            <w:vAlign w:val="center"/>
          </w:tcPr>
          <w:p w14:paraId="0CA4F4E8">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0.1</w:t>
            </w:r>
          </w:p>
        </w:tc>
        <w:tc>
          <w:tcPr>
            <w:tcW w:w="298" w:type="pct"/>
            <w:tcBorders>
              <w:tl2br w:val="nil"/>
              <w:tr2bl w:val="nil"/>
            </w:tcBorders>
            <w:shd w:val="clear" w:color="auto" w:fill="auto"/>
            <w:noWrap/>
            <w:vAlign w:val="center"/>
          </w:tcPr>
          <w:p w14:paraId="7B710A4D">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5</w:t>
            </w:r>
          </w:p>
        </w:tc>
        <w:tc>
          <w:tcPr>
            <w:tcW w:w="304" w:type="pct"/>
            <w:tcBorders>
              <w:tl2br w:val="nil"/>
              <w:tr2bl w:val="nil"/>
            </w:tcBorders>
            <w:shd w:val="clear" w:color="auto" w:fill="auto"/>
            <w:noWrap/>
            <w:vAlign w:val="center"/>
          </w:tcPr>
          <w:p w14:paraId="68E7EB4E">
            <w:pPr>
              <w:pStyle w:val="26"/>
              <w:keepNext w:val="0"/>
              <w:keepLines w:val="0"/>
              <w:suppressLineNumbers w:val="0"/>
              <w:spacing w:before="0" w:beforeAutospacing="0" w:after="0" w:afterAutospacing="0"/>
              <w:ind w:left="0" w:right="0"/>
              <w:rPr>
                <w:rFonts w:hint="default"/>
                <w:color w:val="auto"/>
                <w:sz w:val="16"/>
                <w:szCs w:val="16"/>
                <w:highlight w:val="none"/>
                <w:lang w:val="en-US" w:eastAsia="zh-CN"/>
              </w:rPr>
            </w:pPr>
            <w:r>
              <w:rPr>
                <w:rFonts w:hint="eastAsia"/>
                <w:color w:val="auto"/>
                <w:sz w:val="16"/>
                <w:szCs w:val="16"/>
                <w:highlight w:val="none"/>
                <w:lang w:val="en-US" w:eastAsia="zh-CN"/>
              </w:rPr>
              <w:t>0.5</w:t>
            </w:r>
          </w:p>
        </w:tc>
      </w:tr>
    </w:tbl>
    <w:p w14:paraId="4CFEC592">
      <w:pPr>
        <w:pStyle w:val="2"/>
        <w:rPr>
          <w:rFonts w:hint="default"/>
          <w:color w:val="auto"/>
          <w:highlight w:val="none"/>
          <w:lang w:val="en-US" w:eastAsia="zh-CN"/>
        </w:rPr>
      </w:pPr>
      <w:r>
        <w:rPr>
          <w:rFonts w:hint="default"/>
          <w:color w:val="auto"/>
          <w:highlight w:val="none"/>
          <w:lang w:val="en-US" w:eastAsia="zh-CN"/>
        </w:rPr>
        <w:t>根据2023年例行监测结果，废水处理站排放废水中，除部分月度锑超标外，其他监测因子均满足《</w:t>
      </w:r>
      <w:r>
        <w:rPr>
          <w:rFonts w:hint="default"/>
          <w:color w:val="auto"/>
          <w:highlight w:val="none"/>
          <w:lang w:val="en-US" w:eastAsia="zh-CN"/>
        </w:rPr>
        <w:fldChar w:fldCharType="begin"/>
      </w:r>
      <w:r>
        <w:rPr>
          <w:rFonts w:hint="default"/>
          <w:color w:val="auto"/>
          <w:highlight w:val="none"/>
          <w:lang w:val="en-US" w:eastAsia="zh-CN"/>
        </w:rPr>
        <w:instrText xml:space="preserve"> HYPERLINK "http://kjs.mep.gov.cn/hjbhbz/bzwb/dqhjbh/dqgdwrywrwpfbz/201405/W020140530533213253195.pdf" </w:instrText>
      </w:r>
      <w:r>
        <w:rPr>
          <w:rFonts w:hint="default"/>
          <w:color w:val="auto"/>
          <w:highlight w:val="none"/>
          <w:lang w:val="en-US" w:eastAsia="zh-CN"/>
        </w:rPr>
        <w:fldChar w:fldCharType="separate"/>
      </w:r>
      <w:r>
        <w:rPr>
          <w:rFonts w:hint="default"/>
          <w:color w:val="auto"/>
          <w:highlight w:val="none"/>
          <w:lang w:val="en-US" w:eastAsia="zh-CN"/>
        </w:rPr>
        <w:t>锡、锑、汞工业污染物排放标准</w:t>
      </w:r>
      <w:r>
        <w:rPr>
          <w:rFonts w:hint="default"/>
          <w:color w:val="auto"/>
          <w:highlight w:val="none"/>
          <w:lang w:val="en-US" w:eastAsia="zh-CN"/>
        </w:rPr>
        <w:fldChar w:fldCharType="end"/>
      </w:r>
      <w:r>
        <w:rPr>
          <w:rFonts w:hint="default"/>
          <w:color w:val="auto"/>
          <w:highlight w:val="none"/>
          <w:lang w:val="en-US" w:eastAsia="zh-CN"/>
        </w:rPr>
        <w:t>》（GB 30770-2014）表</w:t>
      </w:r>
      <w:r>
        <w:rPr>
          <w:rFonts w:hint="eastAsia"/>
          <w:color w:val="auto"/>
          <w:highlight w:val="none"/>
          <w:lang w:val="en-US" w:eastAsia="zh-CN"/>
        </w:rPr>
        <w:t>2</w:t>
      </w:r>
      <w:r>
        <w:rPr>
          <w:rFonts w:hint="default"/>
          <w:color w:val="auto"/>
          <w:highlight w:val="none"/>
          <w:lang w:val="en-US" w:eastAsia="zh-CN"/>
        </w:rPr>
        <w:t>限值</w:t>
      </w:r>
      <w:r>
        <w:rPr>
          <w:rFonts w:hint="eastAsia"/>
          <w:color w:val="auto"/>
          <w:highlight w:val="none"/>
          <w:lang w:val="en-US" w:eastAsia="zh-CN"/>
        </w:rPr>
        <w:t>，铊因子满足《工业废水铊污染物排放标准》（DB43/968-2021）</w:t>
      </w:r>
      <w:r>
        <w:rPr>
          <w:rFonts w:hint="default"/>
          <w:color w:val="auto"/>
          <w:highlight w:val="none"/>
          <w:lang w:val="en-US" w:eastAsia="zh-CN"/>
        </w:rPr>
        <w:t>。对于锑，仅5月、11月、12月3个月度超标，超标倍数分别为0.453倍、0.013倍、0.66倍。全年锑排放浓度均值为0.10mg/L，占标率为33%。</w:t>
      </w:r>
    </w:p>
    <w:p w14:paraId="266311E1">
      <w:pPr>
        <w:pStyle w:val="2"/>
        <w:rPr>
          <w:rFonts w:hint="default"/>
          <w:color w:val="auto"/>
          <w:highlight w:val="none"/>
          <w:lang w:val="en-US" w:eastAsia="zh-CN"/>
        </w:rPr>
      </w:pPr>
      <w:r>
        <w:rPr>
          <w:rFonts w:hint="default"/>
          <w:color w:val="auto"/>
          <w:highlight w:val="none"/>
          <w:lang w:val="en-US" w:eastAsia="zh-CN"/>
        </w:rPr>
        <w:t>由监测结果可知，渣滓溪锑矿全年锑排放平均浓度低于本次评价执行的排放标准0.15mg/L，有3个月度监测指标超标，但均低于企业目前排污许可执行标准0.3mg/L。本次</w:t>
      </w:r>
      <w:r>
        <w:rPr>
          <w:rFonts w:hint="eastAsia"/>
          <w:color w:val="auto"/>
          <w:highlight w:val="none"/>
          <w:lang w:val="en-US" w:eastAsia="zh-CN"/>
        </w:rPr>
        <w:t>论证</w:t>
      </w:r>
      <w:r>
        <w:rPr>
          <w:rFonts w:hint="default"/>
          <w:color w:val="auto"/>
          <w:highlight w:val="none"/>
          <w:lang w:val="en-US" w:eastAsia="zh-CN"/>
        </w:rPr>
        <w:t>建议提高渣滓溪锑矿废水排放浓度要求，在特别排放限值0.3mg/L的基础上，再严格50%执行，即</w:t>
      </w:r>
      <w:r>
        <w:rPr>
          <w:rFonts w:hint="eastAsia"/>
          <w:color w:val="auto"/>
          <w:highlight w:val="none"/>
          <w:lang w:val="en-US" w:eastAsia="zh-CN"/>
        </w:rPr>
        <w:t>0.</w:t>
      </w:r>
      <w:r>
        <w:rPr>
          <w:rFonts w:hint="default"/>
          <w:color w:val="auto"/>
          <w:highlight w:val="none"/>
          <w:lang w:val="en-US" w:eastAsia="zh-CN"/>
        </w:rPr>
        <w:t>15mg/L。</w:t>
      </w:r>
    </w:p>
    <w:p w14:paraId="47013686">
      <w:pPr>
        <w:pStyle w:val="2"/>
        <w:bidi w:val="0"/>
        <w:rPr>
          <w:rFonts w:hint="eastAsia"/>
          <w:color w:val="auto"/>
          <w:highlight w:val="none"/>
          <w:lang w:val="en-US" w:eastAsia="zh-CN"/>
        </w:rPr>
      </w:pPr>
      <w:r>
        <w:rPr>
          <w:rFonts w:hint="eastAsia"/>
          <w:color w:val="auto"/>
          <w:highlight w:val="none"/>
          <w:lang w:val="en-US" w:eastAsia="zh-CN"/>
        </w:rPr>
        <w:t>b、在线监测</w:t>
      </w:r>
    </w:p>
    <w:p w14:paraId="6B7F0935">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本次评价，收集了渣滓溪锑矿2023年总排口在线监测数据，检测结果见下表。</w:t>
      </w:r>
    </w:p>
    <w:p w14:paraId="1AE98398">
      <w:pPr>
        <w:widowControl w:val="0"/>
        <w:tabs>
          <w:tab w:val="left" w:pos="1021"/>
        </w:tabs>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2.1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48</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202</w:t>
      </w:r>
      <w:r>
        <w:rPr>
          <w:rFonts w:hint="eastAsia" w:ascii="Times New Roman" w:hAnsi="Times New Roman" w:eastAsia="黑体" w:cs="Times New Roman"/>
          <w:color w:val="auto"/>
          <w:kern w:val="2"/>
          <w:sz w:val="24"/>
          <w:highlight w:val="none"/>
          <w:lang w:val="en-US" w:eastAsia="zh-CN" w:bidi="ar-SA"/>
        </w:rPr>
        <w:t>3</w:t>
      </w:r>
      <w:r>
        <w:rPr>
          <w:rFonts w:hint="default" w:ascii="Times New Roman" w:hAnsi="Times New Roman" w:eastAsia="黑体" w:cs="Times New Roman"/>
          <w:color w:val="auto"/>
          <w:kern w:val="2"/>
          <w:sz w:val="24"/>
          <w:highlight w:val="none"/>
          <w:lang w:val="en-US" w:eastAsia="zh-CN" w:bidi="ar-SA"/>
        </w:rPr>
        <w:t>年</w:t>
      </w:r>
      <w:r>
        <w:rPr>
          <w:rFonts w:hint="eastAsia" w:ascii="Times New Roman" w:hAnsi="Times New Roman" w:eastAsia="黑体" w:cs="Times New Roman"/>
          <w:color w:val="auto"/>
          <w:kern w:val="2"/>
          <w:sz w:val="24"/>
          <w:highlight w:val="none"/>
          <w:lang w:val="en-US" w:eastAsia="zh-CN" w:bidi="ar-SA"/>
        </w:rPr>
        <w:t>渣滓溪锑矿废水总排口在线监测结果</w:t>
      </w:r>
    </w:p>
    <w:tbl>
      <w:tblPr>
        <w:tblStyle w:val="2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727"/>
        <w:gridCol w:w="1389"/>
        <w:gridCol w:w="1167"/>
        <w:gridCol w:w="1167"/>
        <w:gridCol w:w="1167"/>
        <w:gridCol w:w="1167"/>
        <w:gridCol w:w="1734"/>
        <w:gridCol w:w="531"/>
      </w:tblGrid>
      <w:tr w14:paraId="70451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3069651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月份</w:t>
            </w:r>
          </w:p>
        </w:tc>
        <w:tc>
          <w:tcPr>
            <w:tcW w:w="767" w:type="pct"/>
            <w:tcBorders>
              <w:tl2br w:val="nil"/>
              <w:tr2bl w:val="nil"/>
            </w:tcBorders>
            <w:shd w:val="clear" w:color="auto" w:fill="auto"/>
            <w:noWrap/>
            <w:vAlign w:val="center"/>
          </w:tcPr>
          <w:p w14:paraId="6F2BBBA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pH</w:t>
            </w:r>
          </w:p>
        </w:tc>
        <w:tc>
          <w:tcPr>
            <w:tcW w:w="689" w:type="pct"/>
            <w:tcBorders>
              <w:tl2br w:val="nil"/>
              <w:tr2bl w:val="nil"/>
            </w:tcBorders>
            <w:shd w:val="clear" w:color="auto" w:fill="auto"/>
            <w:noWrap/>
            <w:vAlign w:val="center"/>
          </w:tcPr>
          <w:p w14:paraId="2A295F1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氨氮</w:t>
            </w:r>
          </w:p>
        </w:tc>
        <w:tc>
          <w:tcPr>
            <w:tcW w:w="689" w:type="pct"/>
            <w:tcBorders>
              <w:tl2br w:val="nil"/>
              <w:tr2bl w:val="nil"/>
            </w:tcBorders>
            <w:shd w:val="clear" w:color="auto" w:fill="auto"/>
            <w:noWrap/>
            <w:vAlign w:val="center"/>
          </w:tcPr>
          <w:p w14:paraId="4D3E428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总磷</w:t>
            </w:r>
          </w:p>
        </w:tc>
        <w:tc>
          <w:tcPr>
            <w:tcW w:w="689" w:type="pct"/>
            <w:tcBorders>
              <w:tl2br w:val="nil"/>
              <w:tr2bl w:val="nil"/>
            </w:tcBorders>
            <w:shd w:val="clear" w:color="auto" w:fill="auto"/>
            <w:noWrap/>
            <w:vAlign w:val="center"/>
          </w:tcPr>
          <w:p w14:paraId="33A8B07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总氮</w:t>
            </w:r>
          </w:p>
        </w:tc>
        <w:tc>
          <w:tcPr>
            <w:tcW w:w="689" w:type="pct"/>
            <w:tcBorders>
              <w:tl2br w:val="nil"/>
              <w:tr2bl w:val="nil"/>
            </w:tcBorders>
            <w:shd w:val="clear" w:color="auto" w:fill="auto"/>
            <w:noWrap/>
            <w:vAlign w:val="center"/>
          </w:tcPr>
          <w:p w14:paraId="4EC4B0C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化学需氧量</w:t>
            </w:r>
          </w:p>
        </w:tc>
        <w:tc>
          <w:tcPr>
            <w:tcW w:w="689" w:type="pct"/>
            <w:tcBorders>
              <w:tl2br w:val="nil"/>
              <w:tr2bl w:val="nil"/>
            </w:tcBorders>
            <w:shd w:val="clear" w:color="auto" w:fill="auto"/>
            <w:noWrap/>
            <w:vAlign w:val="center"/>
          </w:tcPr>
          <w:p w14:paraId="30E7B16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总锑</w:t>
            </w:r>
          </w:p>
        </w:tc>
        <w:tc>
          <w:tcPr>
            <w:tcW w:w="338" w:type="pct"/>
            <w:tcBorders>
              <w:tl2br w:val="nil"/>
              <w:tr2bl w:val="nil"/>
            </w:tcBorders>
            <w:shd w:val="clear" w:color="auto" w:fill="auto"/>
            <w:noWrap/>
            <w:vAlign w:val="center"/>
          </w:tcPr>
          <w:p w14:paraId="13D0A86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总砷</w:t>
            </w:r>
          </w:p>
        </w:tc>
      </w:tr>
      <w:tr w14:paraId="14A92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0807708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w:t>
            </w:r>
          </w:p>
        </w:tc>
        <w:tc>
          <w:tcPr>
            <w:tcW w:w="1389" w:type="dxa"/>
            <w:tcBorders>
              <w:tl2br w:val="nil"/>
              <w:tr2bl w:val="nil"/>
            </w:tcBorders>
            <w:shd w:val="clear" w:color="auto" w:fill="auto"/>
            <w:noWrap/>
            <w:vAlign w:val="center"/>
          </w:tcPr>
          <w:p w14:paraId="78E28E3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6.699</w:t>
            </w:r>
          </w:p>
        </w:tc>
        <w:tc>
          <w:tcPr>
            <w:tcW w:w="689" w:type="pct"/>
            <w:tcBorders>
              <w:tl2br w:val="nil"/>
              <w:tr2bl w:val="nil"/>
            </w:tcBorders>
            <w:shd w:val="clear" w:color="auto" w:fill="auto"/>
            <w:noWrap/>
            <w:vAlign w:val="center"/>
          </w:tcPr>
          <w:p w14:paraId="64B9AA9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0.244</w:t>
            </w:r>
          </w:p>
        </w:tc>
        <w:tc>
          <w:tcPr>
            <w:tcW w:w="689" w:type="pct"/>
            <w:tcBorders>
              <w:tl2br w:val="nil"/>
              <w:tr2bl w:val="nil"/>
            </w:tcBorders>
            <w:shd w:val="clear" w:color="auto" w:fill="auto"/>
            <w:noWrap/>
            <w:vAlign w:val="center"/>
          </w:tcPr>
          <w:p w14:paraId="4428DEC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0.019</w:t>
            </w:r>
          </w:p>
        </w:tc>
        <w:tc>
          <w:tcPr>
            <w:tcW w:w="689" w:type="pct"/>
            <w:tcBorders>
              <w:tl2br w:val="nil"/>
              <w:tr2bl w:val="nil"/>
            </w:tcBorders>
            <w:shd w:val="clear" w:color="auto" w:fill="auto"/>
            <w:noWrap/>
            <w:vAlign w:val="center"/>
          </w:tcPr>
          <w:p w14:paraId="1047159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4.017</w:t>
            </w:r>
          </w:p>
        </w:tc>
        <w:tc>
          <w:tcPr>
            <w:tcW w:w="689" w:type="pct"/>
            <w:tcBorders>
              <w:tl2br w:val="nil"/>
              <w:tr2bl w:val="nil"/>
            </w:tcBorders>
            <w:shd w:val="clear" w:color="auto" w:fill="auto"/>
            <w:noWrap/>
            <w:vAlign w:val="center"/>
          </w:tcPr>
          <w:p w14:paraId="25DBE89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5.422</w:t>
            </w:r>
          </w:p>
        </w:tc>
        <w:tc>
          <w:tcPr>
            <w:tcW w:w="689" w:type="pct"/>
            <w:tcBorders>
              <w:tl2br w:val="nil"/>
              <w:tr2bl w:val="nil"/>
            </w:tcBorders>
            <w:shd w:val="clear" w:color="auto" w:fill="auto"/>
            <w:noWrap/>
            <w:vAlign w:val="center"/>
          </w:tcPr>
          <w:p w14:paraId="042CACB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0.155</w:t>
            </w:r>
          </w:p>
        </w:tc>
        <w:tc>
          <w:tcPr>
            <w:tcW w:w="338" w:type="pct"/>
            <w:tcBorders>
              <w:tl2br w:val="nil"/>
              <w:tr2bl w:val="nil"/>
            </w:tcBorders>
            <w:shd w:val="clear" w:color="auto" w:fill="auto"/>
            <w:noWrap/>
            <w:vAlign w:val="center"/>
          </w:tcPr>
          <w:p w14:paraId="58610A1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0.013</w:t>
            </w:r>
          </w:p>
        </w:tc>
      </w:tr>
      <w:tr w14:paraId="6433F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714BDAB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w:t>
            </w:r>
          </w:p>
        </w:tc>
        <w:tc>
          <w:tcPr>
            <w:tcW w:w="1389" w:type="dxa"/>
            <w:tcBorders>
              <w:tl2br w:val="nil"/>
              <w:tr2bl w:val="nil"/>
            </w:tcBorders>
            <w:shd w:val="clear" w:color="auto" w:fill="auto"/>
            <w:noWrap/>
            <w:vAlign w:val="center"/>
          </w:tcPr>
          <w:p w14:paraId="25BCA38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6.934</w:t>
            </w:r>
          </w:p>
        </w:tc>
        <w:tc>
          <w:tcPr>
            <w:tcW w:w="689" w:type="pct"/>
            <w:tcBorders>
              <w:tl2br w:val="nil"/>
              <w:tr2bl w:val="nil"/>
            </w:tcBorders>
            <w:shd w:val="clear" w:color="auto" w:fill="auto"/>
            <w:noWrap/>
            <w:vAlign w:val="center"/>
          </w:tcPr>
          <w:p w14:paraId="3B9D004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0.404</w:t>
            </w:r>
          </w:p>
        </w:tc>
        <w:tc>
          <w:tcPr>
            <w:tcW w:w="689" w:type="pct"/>
            <w:tcBorders>
              <w:tl2br w:val="nil"/>
              <w:tr2bl w:val="nil"/>
            </w:tcBorders>
            <w:shd w:val="clear" w:color="auto" w:fill="auto"/>
            <w:noWrap/>
            <w:vAlign w:val="center"/>
          </w:tcPr>
          <w:p w14:paraId="484C8B0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0.077</w:t>
            </w:r>
          </w:p>
        </w:tc>
        <w:tc>
          <w:tcPr>
            <w:tcW w:w="689" w:type="pct"/>
            <w:tcBorders>
              <w:tl2br w:val="nil"/>
              <w:tr2bl w:val="nil"/>
            </w:tcBorders>
            <w:shd w:val="clear" w:color="auto" w:fill="auto"/>
            <w:noWrap/>
            <w:vAlign w:val="center"/>
          </w:tcPr>
          <w:p w14:paraId="68130B2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4.547</w:t>
            </w:r>
          </w:p>
        </w:tc>
        <w:tc>
          <w:tcPr>
            <w:tcW w:w="689" w:type="pct"/>
            <w:tcBorders>
              <w:tl2br w:val="nil"/>
              <w:tr2bl w:val="nil"/>
            </w:tcBorders>
            <w:shd w:val="clear" w:color="auto" w:fill="auto"/>
            <w:noWrap/>
            <w:vAlign w:val="center"/>
          </w:tcPr>
          <w:p w14:paraId="307B46D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5.431</w:t>
            </w:r>
          </w:p>
        </w:tc>
        <w:tc>
          <w:tcPr>
            <w:tcW w:w="689" w:type="pct"/>
            <w:tcBorders>
              <w:tl2br w:val="nil"/>
              <w:tr2bl w:val="nil"/>
            </w:tcBorders>
            <w:shd w:val="clear" w:color="auto" w:fill="auto"/>
            <w:noWrap/>
            <w:vAlign w:val="center"/>
          </w:tcPr>
          <w:p w14:paraId="26AA99F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0.117</w:t>
            </w:r>
          </w:p>
        </w:tc>
        <w:tc>
          <w:tcPr>
            <w:tcW w:w="338" w:type="pct"/>
            <w:tcBorders>
              <w:tl2br w:val="nil"/>
              <w:tr2bl w:val="nil"/>
            </w:tcBorders>
            <w:shd w:val="clear" w:color="auto" w:fill="auto"/>
            <w:noWrap/>
            <w:vAlign w:val="center"/>
          </w:tcPr>
          <w:p w14:paraId="2B5BF22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0.004</w:t>
            </w:r>
          </w:p>
        </w:tc>
      </w:tr>
      <w:tr w14:paraId="5104E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684B51B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w:t>
            </w:r>
          </w:p>
        </w:tc>
        <w:tc>
          <w:tcPr>
            <w:tcW w:w="1389" w:type="dxa"/>
            <w:tcBorders>
              <w:tl2br w:val="nil"/>
              <w:tr2bl w:val="nil"/>
            </w:tcBorders>
            <w:shd w:val="clear" w:color="auto" w:fill="auto"/>
            <w:noWrap/>
            <w:vAlign w:val="center"/>
          </w:tcPr>
          <w:p w14:paraId="6B61253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6.703</w:t>
            </w:r>
          </w:p>
        </w:tc>
        <w:tc>
          <w:tcPr>
            <w:tcW w:w="689" w:type="pct"/>
            <w:tcBorders>
              <w:tl2br w:val="nil"/>
              <w:tr2bl w:val="nil"/>
            </w:tcBorders>
            <w:shd w:val="clear" w:color="auto" w:fill="auto"/>
            <w:noWrap/>
            <w:vAlign w:val="center"/>
          </w:tcPr>
          <w:p w14:paraId="32E1624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0.458</w:t>
            </w:r>
          </w:p>
        </w:tc>
        <w:tc>
          <w:tcPr>
            <w:tcW w:w="689" w:type="pct"/>
            <w:tcBorders>
              <w:tl2br w:val="nil"/>
              <w:tr2bl w:val="nil"/>
            </w:tcBorders>
            <w:shd w:val="clear" w:color="auto" w:fill="auto"/>
            <w:noWrap/>
            <w:vAlign w:val="center"/>
          </w:tcPr>
          <w:p w14:paraId="0B11418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0.025</w:t>
            </w:r>
          </w:p>
        </w:tc>
        <w:tc>
          <w:tcPr>
            <w:tcW w:w="689" w:type="pct"/>
            <w:tcBorders>
              <w:tl2br w:val="nil"/>
              <w:tr2bl w:val="nil"/>
            </w:tcBorders>
            <w:shd w:val="clear" w:color="auto" w:fill="auto"/>
            <w:noWrap/>
            <w:vAlign w:val="center"/>
          </w:tcPr>
          <w:p w14:paraId="7C2D57C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5.098</w:t>
            </w:r>
          </w:p>
        </w:tc>
        <w:tc>
          <w:tcPr>
            <w:tcW w:w="689" w:type="pct"/>
            <w:tcBorders>
              <w:tl2br w:val="nil"/>
              <w:tr2bl w:val="nil"/>
            </w:tcBorders>
            <w:shd w:val="clear" w:color="auto" w:fill="auto"/>
            <w:noWrap/>
            <w:vAlign w:val="center"/>
          </w:tcPr>
          <w:p w14:paraId="61BAF66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5.805</w:t>
            </w:r>
          </w:p>
        </w:tc>
        <w:tc>
          <w:tcPr>
            <w:tcW w:w="689" w:type="pct"/>
            <w:tcBorders>
              <w:tl2br w:val="nil"/>
              <w:tr2bl w:val="nil"/>
            </w:tcBorders>
            <w:shd w:val="clear" w:color="auto" w:fill="auto"/>
            <w:noWrap/>
            <w:vAlign w:val="center"/>
          </w:tcPr>
          <w:p w14:paraId="7D8022B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0.071</w:t>
            </w:r>
          </w:p>
        </w:tc>
        <w:tc>
          <w:tcPr>
            <w:tcW w:w="338" w:type="pct"/>
            <w:tcBorders>
              <w:tl2br w:val="nil"/>
              <w:tr2bl w:val="nil"/>
            </w:tcBorders>
            <w:shd w:val="clear" w:color="auto" w:fill="auto"/>
            <w:noWrap/>
            <w:vAlign w:val="center"/>
          </w:tcPr>
          <w:p w14:paraId="1ECB10F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0.005</w:t>
            </w:r>
          </w:p>
        </w:tc>
      </w:tr>
      <w:tr w14:paraId="31726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1D71990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w:t>
            </w:r>
          </w:p>
        </w:tc>
        <w:tc>
          <w:tcPr>
            <w:tcW w:w="1389" w:type="dxa"/>
            <w:tcBorders>
              <w:tl2br w:val="nil"/>
              <w:tr2bl w:val="nil"/>
            </w:tcBorders>
            <w:shd w:val="clear" w:color="auto" w:fill="auto"/>
            <w:noWrap/>
            <w:vAlign w:val="center"/>
          </w:tcPr>
          <w:p w14:paraId="2488DC5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6.806</w:t>
            </w:r>
          </w:p>
        </w:tc>
        <w:tc>
          <w:tcPr>
            <w:tcW w:w="689" w:type="pct"/>
            <w:tcBorders>
              <w:tl2br w:val="nil"/>
              <w:tr2bl w:val="nil"/>
            </w:tcBorders>
            <w:shd w:val="clear" w:color="auto" w:fill="auto"/>
            <w:noWrap/>
            <w:vAlign w:val="center"/>
          </w:tcPr>
          <w:p w14:paraId="1F2B7FA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1.074</w:t>
            </w:r>
          </w:p>
        </w:tc>
        <w:tc>
          <w:tcPr>
            <w:tcW w:w="689" w:type="pct"/>
            <w:tcBorders>
              <w:tl2br w:val="nil"/>
              <w:tr2bl w:val="nil"/>
            </w:tcBorders>
            <w:shd w:val="clear" w:color="auto" w:fill="auto"/>
            <w:noWrap/>
            <w:vAlign w:val="center"/>
          </w:tcPr>
          <w:p w14:paraId="51B59BA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0.058</w:t>
            </w:r>
          </w:p>
        </w:tc>
        <w:tc>
          <w:tcPr>
            <w:tcW w:w="689" w:type="pct"/>
            <w:tcBorders>
              <w:tl2br w:val="nil"/>
              <w:tr2bl w:val="nil"/>
            </w:tcBorders>
            <w:shd w:val="clear" w:color="auto" w:fill="auto"/>
            <w:noWrap/>
            <w:vAlign w:val="center"/>
          </w:tcPr>
          <w:p w14:paraId="2D7CB33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4.844</w:t>
            </w:r>
          </w:p>
        </w:tc>
        <w:tc>
          <w:tcPr>
            <w:tcW w:w="689" w:type="pct"/>
            <w:tcBorders>
              <w:tl2br w:val="nil"/>
              <w:tr2bl w:val="nil"/>
            </w:tcBorders>
            <w:shd w:val="clear" w:color="auto" w:fill="auto"/>
            <w:noWrap/>
            <w:vAlign w:val="center"/>
          </w:tcPr>
          <w:p w14:paraId="34AC2FE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6.706</w:t>
            </w:r>
          </w:p>
        </w:tc>
        <w:tc>
          <w:tcPr>
            <w:tcW w:w="689" w:type="pct"/>
            <w:tcBorders>
              <w:tl2br w:val="nil"/>
              <w:tr2bl w:val="nil"/>
            </w:tcBorders>
            <w:shd w:val="clear" w:color="auto" w:fill="auto"/>
            <w:noWrap/>
            <w:vAlign w:val="center"/>
          </w:tcPr>
          <w:p w14:paraId="143C91D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0.074</w:t>
            </w:r>
          </w:p>
        </w:tc>
        <w:tc>
          <w:tcPr>
            <w:tcW w:w="338" w:type="pct"/>
            <w:tcBorders>
              <w:tl2br w:val="nil"/>
              <w:tr2bl w:val="nil"/>
            </w:tcBorders>
            <w:shd w:val="clear" w:color="auto" w:fill="auto"/>
            <w:noWrap/>
            <w:vAlign w:val="center"/>
          </w:tcPr>
          <w:p w14:paraId="3079926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0.017</w:t>
            </w:r>
          </w:p>
        </w:tc>
      </w:tr>
      <w:tr w14:paraId="77D27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06B5A84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w:t>
            </w:r>
          </w:p>
        </w:tc>
        <w:tc>
          <w:tcPr>
            <w:tcW w:w="1389" w:type="dxa"/>
            <w:tcBorders>
              <w:tl2br w:val="nil"/>
              <w:tr2bl w:val="nil"/>
            </w:tcBorders>
            <w:shd w:val="clear" w:color="auto" w:fill="auto"/>
            <w:noWrap/>
            <w:vAlign w:val="center"/>
          </w:tcPr>
          <w:p w14:paraId="3E2D42A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7.387</w:t>
            </w:r>
          </w:p>
        </w:tc>
        <w:tc>
          <w:tcPr>
            <w:tcW w:w="689" w:type="pct"/>
            <w:tcBorders>
              <w:tl2br w:val="nil"/>
              <w:tr2bl w:val="nil"/>
            </w:tcBorders>
            <w:shd w:val="clear" w:color="auto" w:fill="auto"/>
            <w:noWrap/>
            <w:vAlign w:val="center"/>
          </w:tcPr>
          <w:p w14:paraId="77449A1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0.313</w:t>
            </w:r>
          </w:p>
        </w:tc>
        <w:tc>
          <w:tcPr>
            <w:tcW w:w="689" w:type="pct"/>
            <w:tcBorders>
              <w:tl2br w:val="nil"/>
              <w:tr2bl w:val="nil"/>
            </w:tcBorders>
            <w:shd w:val="clear" w:color="auto" w:fill="auto"/>
            <w:noWrap/>
            <w:vAlign w:val="center"/>
          </w:tcPr>
          <w:p w14:paraId="61CF1FC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0.038</w:t>
            </w:r>
          </w:p>
        </w:tc>
        <w:tc>
          <w:tcPr>
            <w:tcW w:w="689" w:type="pct"/>
            <w:tcBorders>
              <w:tl2br w:val="nil"/>
              <w:tr2bl w:val="nil"/>
            </w:tcBorders>
            <w:shd w:val="clear" w:color="auto" w:fill="auto"/>
            <w:noWrap/>
            <w:vAlign w:val="center"/>
          </w:tcPr>
          <w:p w14:paraId="6D526F8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4.194</w:t>
            </w:r>
          </w:p>
        </w:tc>
        <w:tc>
          <w:tcPr>
            <w:tcW w:w="689" w:type="pct"/>
            <w:tcBorders>
              <w:tl2br w:val="nil"/>
              <w:tr2bl w:val="nil"/>
            </w:tcBorders>
            <w:shd w:val="clear" w:color="auto" w:fill="auto"/>
            <w:noWrap/>
            <w:vAlign w:val="center"/>
          </w:tcPr>
          <w:p w14:paraId="442F6FC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6.429</w:t>
            </w:r>
          </w:p>
        </w:tc>
        <w:tc>
          <w:tcPr>
            <w:tcW w:w="689" w:type="pct"/>
            <w:tcBorders>
              <w:tl2br w:val="nil"/>
              <w:tr2bl w:val="nil"/>
            </w:tcBorders>
            <w:shd w:val="clear" w:color="auto" w:fill="auto"/>
            <w:noWrap/>
            <w:vAlign w:val="center"/>
          </w:tcPr>
          <w:p w14:paraId="1FB74E2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0.067</w:t>
            </w:r>
          </w:p>
        </w:tc>
        <w:tc>
          <w:tcPr>
            <w:tcW w:w="338" w:type="pct"/>
            <w:tcBorders>
              <w:tl2br w:val="nil"/>
              <w:tr2bl w:val="nil"/>
            </w:tcBorders>
            <w:shd w:val="clear" w:color="auto" w:fill="auto"/>
            <w:noWrap/>
            <w:vAlign w:val="center"/>
          </w:tcPr>
          <w:p w14:paraId="047F77B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0.004</w:t>
            </w:r>
          </w:p>
        </w:tc>
      </w:tr>
      <w:tr w14:paraId="5DD1C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2C32510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w:t>
            </w:r>
          </w:p>
        </w:tc>
        <w:tc>
          <w:tcPr>
            <w:tcW w:w="1389" w:type="dxa"/>
            <w:tcBorders>
              <w:tl2br w:val="nil"/>
              <w:tr2bl w:val="nil"/>
            </w:tcBorders>
            <w:shd w:val="clear" w:color="auto" w:fill="auto"/>
            <w:noWrap/>
            <w:vAlign w:val="center"/>
          </w:tcPr>
          <w:p w14:paraId="0E86D5F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7.164</w:t>
            </w:r>
          </w:p>
        </w:tc>
        <w:tc>
          <w:tcPr>
            <w:tcW w:w="689" w:type="pct"/>
            <w:tcBorders>
              <w:tl2br w:val="nil"/>
              <w:tr2bl w:val="nil"/>
            </w:tcBorders>
            <w:shd w:val="clear" w:color="auto" w:fill="auto"/>
            <w:noWrap/>
            <w:vAlign w:val="center"/>
          </w:tcPr>
          <w:p w14:paraId="0B64A60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0.22</w:t>
            </w:r>
          </w:p>
        </w:tc>
        <w:tc>
          <w:tcPr>
            <w:tcW w:w="689" w:type="pct"/>
            <w:tcBorders>
              <w:tl2br w:val="nil"/>
              <w:tr2bl w:val="nil"/>
            </w:tcBorders>
            <w:shd w:val="clear" w:color="auto" w:fill="auto"/>
            <w:noWrap/>
            <w:vAlign w:val="center"/>
          </w:tcPr>
          <w:p w14:paraId="072740A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0.015</w:t>
            </w:r>
          </w:p>
        </w:tc>
        <w:tc>
          <w:tcPr>
            <w:tcW w:w="689" w:type="pct"/>
            <w:tcBorders>
              <w:tl2br w:val="nil"/>
              <w:tr2bl w:val="nil"/>
            </w:tcBorders>
            <w:shd w:val="clear" w:color="auto" w:fill="auto"/>
            <w:noWrap/>
            <w:vAlign w:val="center"/>
          </w:tcPr>
          <w:p w14:paraId="674452D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6.224</w:t>
            </w:r>
          </w:p>
        </w:tc>
        <w:tc>
          <w:tcPr>
            <w:tcW w:w="689" w:type="pct"/>
            <w:tcBorders>
              <w:tl2br w:val="nil"/>
              <w:tr2bl w:val="nil"/>
            </w:tcBorders>
            <w:shd w:val="clear" w:color="auto" w:fill="auto"/>
            <w:noWrap/>
            <w:vAlign w:val="center"/>
          </w:tcPr>
          <w:p w14:paraId="5078776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6.776</w:t>
            </w:r>
          </w:p>
        </w:tc>
        <w:tc>
          <w:tcPr>
            <w:tcW w:w="689" w:type="pct"/>
            <w:tcBorders>
              <w:tl2br w:val="nil"/>
              <w:tr2bl w:val="nil"/>
            </w:tcBorders>
            <w:shd w:val="clear" w:color="auto" w:fill="auto"/>
            <w:noWrap/>
            <w:vAlign w:val="center"/>
          </w:tcPr>
          <w:p w14:paraId="39A8114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0.022</w:t>
            </w:r>
          </w:p>
        </w:tc>
        <w:tc>
          <w:tcPr>
            <w:tcW w:w="338" w:type="pct"/>
            <w:tcBorders>
              <w:tl2br w:val="nil"/>
              <w:tr2bl w:val="nil"/>
            </w:tcBorders>
            <w:shd w:val="clear" w:color="auto" w:fill="auto"/>
            <w:noWrap/>
            <w:vAlign w:val="center"/>
          </w:tcPr>
          <w:p w14:paraId="6995C8F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0.054</w:t>
            </w:r>
          </w:p>
        </w:tc>
      </w:tr>
      <w:tr w14:paraId="760C1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478A68C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7</w:t>
            </w:r>
          </w:p>
        </w:tc>
        <w:tc>
          <w:tcPr>
            <w:tcW w:w="1389" w:type="dxa"/>
            <w:tcBorders>
              <w:tl2br w:val="nil"/>
              <w:tr2bl w:val="nil"/>
            </w:tcBorders>
            <w:shd w:val="clear" w:color="auto" w:fill="auto"/>
            <w:noWrap/>
            <w:vAlign w:val="center"/>
          </w:tcPr>
          <w:p w14:paraId="575BF0F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7.464</w:t>
            </w:r>
          </w:p>
        </w:tc>
        <w:tc>
          <w:tcPr>
            <w:tcW w:w="689" w:type="pct"/>
            <w:tcBorders>
              <w:tl2br w:val="nil"/>
              <w:tr2bl w:val="nil"/>
            </w:tcBorders>
            <w:shd w:val="clear" w:color="auto" w:fill="auto"/>
            <w:noWrap/>
            <w:vAlign w:val="center"/>
          </w:tcPr>
          <w:p w14:paraId="75F83A9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0.251</w:t>
            </w:r>
          </w:p>
        </w:tc>
        <w:tc>
          <w:tcPr>
            <w:tcW w:w="689" w:type="pct"/>
            <w:tcBorders>
              <w:tl2br w:val="nil"/>
              <w:tr2bl w:val="nil"/>
            </w:tcBorders>
            <w:shd w:val="clear" w:color="auto" w:fill="auto"/>
            <w:noWrap/>
            <w:vAlign w:val="center"/>
          </w:tcPr>
          <w:p w14:paraId="1BBFC8C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0.022</w:t>
            </w:r>
          </w:p>
        </w:tc>
        <w:tc>
          <w:tcPr>
            <w:tcW w:w="689" w:type="pct"/>
            <w:tcBorders>
              <w:tl2br w:val="nil"/>
              <w:tr2bl w:val="nil"/>
            </w:tcBorders>
            <w:shd w:val="clear" w:color="auto" w:fill="auto"/>
            <w:noWrap/>
            <w:vAlign w:val="center"/>
          </w:tcPr>
          <w:p w14:paraId="407F92E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2.937</w:t>
            </w:r>
          </w:p>
        </w:tc>
        <w:tc>
          <w:tcPr>
            <w:tcW w:w="689" w:type="pct"/>
            <w:tcBorders>
              <w:tl2br w:val="nil"/>
              <w:tr2bl w:val="nil"/>
            </w:tcBorders>
            <w:shd w:val="clear" w:color="auto" w:fill="auto"/>
            <w:noWrap/>
            <w:vAlign w:val="center"/>
          </w:tcPr>
          <w:p w14:paraId="5BA96AD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6.295</w:t>
            </w:r>
          </w:p>
        </w:tc>
        <w:tc>
          <w:tcPr>
            <w:tcW w:w="689" w:type="pct"/>
            <w:tcBorders>
              <w:tl2br w:val="nil"/>
              <w:tr2bl w:val="nil"/>
            </w:tcBorders>
            <w:shd w:val="clear" w:color="auto" w:fill="auto"/>
            <w:noWrap/>
            <w:vAlign w:val="center"/>
          </w:tcPr>
          <w:p w14:paraId="454C768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0.134</w:t>
            </w:r>
          </w:p>
        </w:tc>
        <w:tc>
          <w:tcPr>
            <w:tcW w:w="338" w:type="pct"/>
            <w:tcBorders>
              <w:tl2br w:val="nil"/>
              <w:tr2bl w:val="nil"/>
            </w:tcBorders>
            <w:shd w:val="clear" w:color="auto" w:fill="auto"/>
            <w:noWrap/>
            <w:vAlign w:val="center"/>
          </w:tcPr>
          <w:p w14:paraId="7B7006F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0.102</w:t>
            </w:r>
          </w:p>
        </w:tc>
      </w:tr>
      <w:tr w14:paraId="564F2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034FF05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8</w:t>
            </w:r>
          </w:p>
        </w:tc>
        <w:tc>
          <w:tcPr>
            <w:tcW w:w="1389" w:type="dxa"/>
            <w:tcBorders>
              <w:tl2br w:val="nil"/>
              <w:tr2bl w:val="nil"/>
            </w:tcBorders>
            <w:shd w:val="clear" w:color="auto" w:fill="auto"/>
            <w:noWrap/>
            <w:vAlign w:val="center"/>
          </w:tcPr>
          <w:p w14:paraId="29E8E02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7.797</w:t>
            </w:r>
          </w:p>
        </w:tc>
        <w:tc>
          <w:tcPr>
            <w:tcW w:w="689" w:type="pct"/>
            <w:tcBorders>
              <w:tl2br w:val="nil"/>
              <w:tr2bl w:val="nil"/>
            </w:tcBorders>
            <w:shd w:val="clear" w:color="auto" w:fill="auto"/>
            <w:noWrap/>
            <w:vAlign w:val="center"/>
          </w:tcPr>
          <w:p w14:paraId="4E5073A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0.196</w:t>
            </w:r>
          </w:p>
        </w:tc>
        <w:tc>
          <w:tcPr>
            <w:tcW w:w="689" w:type="pct"/>
            <w:tcBorders>
              <w:tl2br w:val="nil"/>
              <w:tr2bl w:val="nil"/>
            </w:tcBorders>
            <w:shd w:val="clear" w:color="auto" w:fill="auto"/>
            <w:noWrap/>
            <w:vAlign w:val="center"/>
          </w:tcPr>
          <w:p w14:paraId="30E24C9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0.043</w:t>
            </w:r>
          </w:p>
        </w:tc>
        <w:tc>
          <w:tcPr>
            <w:tcW w:w="689" w:type="pct"/>
            <w:tcBorders>
              <w:tl2br w:val="nil"/>
              <w:tr2bl w:val="nil"/>
            </w:tcBorders>
            <w:shd w:val="clear" w:color="auto" w:fill="auto"/>
            <w:noWrap/>
            <w:vAlign w:val="center"/>
          </w:tcPr>
          <w:p w14:paraId="464E3AE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3.233</w:t>
            </w:r>
          </w:p>
        </w:tc>
        <w:tc>
          <w:tcPr>
            <w:tcW w:w="689" w:type="pct"/>
            <w:tcBorders>
              <w:tl2br w:val="nil"/>
              <w:tr2bl w:val="nil"/>
            </w:tcBorders>
            <w:shd w:val="clear" w:color="auto" w:fill="auto"/>
            <w:noWrap/>
            <w:vAlign w:val="center"/>
          </w:tcPr>
          <w:p w14:paraId="54610CF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5.542</w:t>
            </w:r>
          </w:p>
        </w:tc>
        <w:tc>
          <w:tcPr>
            <w:tcW w:w="689" w:type="pct"/>
            <w:tcBorders>
              <w:tl2br w:val="nil"/>
              <w:tr2bl w:val="nil"/>
            </w:tcBorders>
            <w:shd w:val="clear" w:color="auto" w:fill="auto"/>
            <w:noWrap/>
            <w:vAlign w:val="center"/>
          </w:tcPr>
          <w:p w14:paraId="6A4F8DA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b/>
                <w:bCs/>
                <w:color w:val="auto"/>
                <w:kern w:val="2"/>
                <w:sz w:val="22"/>
                <w:szCs w:val="22"/>
                <w:highlight w:val="none"/>
                <w:lang w:val="en-US" w:eastAsia="zh-CN" w:bidi="ar-SA"/>
              </w:rPr>
              <w:t>0.171</w:t>
            </w:r>
          </w:p>
        </w:tc>
        <w:tc>
          <w:tcPr>
            <w:tcW w:w="338" w:type="pct"/>
            <w:tcBorders>
              <w:tl2br w:val="nil"/>
              <w:tr2bl w:val="nil"/>
            </w:tcBorders>
            <w:shd w:val="clear" w:color="auto" w:fill="auto"/>
            <w:noWrap/>
            <w:vAlign w:val="center"/>
          </w:tcPr>
          <w:p w14:paraId="171F610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0.094</w:t>
            </w:r>
          </w:p>
        </w:tc>
      </w:tr>
      <w:tr w14:paraId="33137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561FB30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9</w:t>
            </w:r>
          </w:p>
        </w:tc>
        <w:tc>
          <w:tcPr>
            <w:tcW w:w="1389" w:type="dxa"/>
            <w:tcBorders>
              <w:tl2br w:val="nil"/>
              <w:tr2bl w:val="nil"/>
            </w:tcBorders>
            <w:shd w:val="clear" w:color="auto" w:fill="auto"/>
            <w:noWrap/>
            <w:vAlign w:val="center"/>
          </w:tcPr>
          <w:p w14:paraId="02BADAE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4.392</w:t>
            </w:r>
          </w:p>
        </w:tc>
        <w:tc>
          <w:tcPr>
            <w:tcW w:w="689" w:type="pct"/>
            <w:tcBorders>
              <w:tl2br w:val="nil"/>
              <w:tr2bl w:val="nil"/>
            </w:tcBorders>
            <w:shd w:val="clear" w:color="auto" w:fill="auto"/>
            <w:noWrap/>
            <w:vAlign w:val="center"/>
          </w:tcPr>
          <w:p w14:paraId="2AD374B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0.183</w:t>
            </w:r>
          </w:p>
        </w:tc>
        <w:tc>
          <w:tcPr>
            <w:tcW w:w="689" w:type="pct"/>
            <w:tcBorders>
              <w:tl2br w:val="nil"/>
              <w:tr2bl w:val="nil"/>
            </w:tcBorders>
            <w:shd w:val="clear" w:color="auto" w:fill="auto"/>
            <w:noWrap/>
            <w:vAlign w:val="center"/>
          </w:tcPr>
          <w:p w14:paraId="759E71A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0.064</w:t>
            </w:r>
          </w:p>
        </w:tc>
        <w:tc>
          <w:tcPr>
            <w:tcW w:w="689" w:type="pct"/>
            <w:tcBorders>
              <w:tl2br w:val="nil"/>
              <w:tr2bl w:val="nil"/>
            </w:tcBorders>
            <w:shd w:val="clear" w:color="auto" w:fill="auto"/>
            <w:noWrap/>
            <w:vAlign w:val="center"/>
          </w:tcPr>
          <w:p w14:paraId="6BF811D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3.014</w:t>
            </w:r>
          </w:p>
        </w:tc>
        <w:tc>
          <w:tcPr>
            <w:tcW w:w="689" w:type="pct"/>
            <w:tcBorders>
              <w:tl2br w:val="nil"/>
              <w:tr2bl w:val="nil"/>
            </w:tcBorders>
            <w:shd w:val="clear" w:color="auto" w:fill="auto"/>
            <w:noWrap/>
            <w:vAlign w:val="center"/>
          </w:tcPr>
          <w:p w14:paraId="070E735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7.229</w:t>
            </w:r>
          </w:p>
        </w:tc>
        <w:tc>
          <w:tcPr>
            <w:tcW w:w="689" w:type="pct"/>
            <w:tcBorders>
              <w:tl2br w:val="nil"/>
              <w:tr2bl w:val="nil"/>
            </w:tcBorders>
            <w:shd w:val="clear" w:color="auto" w:fill="auto"/>
            <w:noWrap/>
            <w:vAlign w:val="center"/>
          </w:tcPr>
          <w:p w14:paraId="798EC2C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0.126</w:t>
            </w:r>
          </w:p>
        </w:tc>
        <w:tc>
          <w:tcPr>
            <w:tcW w:w="338" w:type="pct"/>
            <w:tcBorders>
              <w:tl2br w:val="nil"/>
              <w:tr2bl w:val="nil"/>
            </w:tcBorders>
            <w:shd w:val="clear" w:color="auto" w:fill="auto"/>
            <w:noWrap/>
            <w:vAlign w:val="center"/>
          </w:tcPr>
          <w:p w14:paraId="46E92E7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0.049</w:t>
            </w:r>
          </w:p>
        </w:tc>
      </w:tr>
      <w:tr w14:paraId="718E1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3653777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10</w:t>
            </w:r>
          </w:p>
        </w:tc>
        <w:tc>
          <w:tcPr>
            <w:tcW w:w="1389" w:type="dxa"/>
            <w:tcBorders>
              <w:tl2br w:val="nil"/>
              <w:tr2bl w:val="nil"/>
            </w:tcBorders>
            <w:shd w:val="clear" w:color="auto" w:fill="auto"/>
            <w:noWrap/>
            <w:vAlign w:val="center"/>
          </w:tcPr>
          <w:p w14:paraId="7562614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6.378</w:t>
            </w:r>
          </w:p>
        </w:tc>
        <w:tc>
          <w:tcPr>
            <w:tcW w:w="689" w:type="pct"/>
            <w:tcBorders>
              <w:tl2br w:val="nil"/>
              <w:tr2bl w:val="nil"/>
            </w:tcBorders>
            <w:shd w:val="clear" w:color="auto" w:fill="auto"/>
            <w:noWrap/>
            <w:vAlign w:val="center"/>
          </w:tcPr>
          <w:p w14:paraId="41C0008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0.113</w:t>
            </w:r>
          </w:p>
        </w:tc>
        <w:tc>
          <w:tcPr>
            <w:tcW w:w="689" w:type="pct"/>
            <w:tcBorders>
              <w:tl2br w:val="nil"/>
              <w:tr2bl w:val="nil"/>
            </w:tcBorders>
            <w:shd w:val="clear" w:color="auto" w:fill="auto"/>
            <w:noWrap/>
            <w:vAlign w:val="center"/>
          </w:tcPr>
          <w:p w14:paraId="0E3FB29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0.018</w:t>
            </w:r>
          </w:p>
        </w:tc>
        <w:tc>
          <w:tcPr>
            <w:tcW w:w="689" w:type="pct"/>
            <w:tcBorders>
              <w:tl2br w:val="nil"/>
              <w:tr2bl w:val="nil"/>
            </w:tcBorders>
            <w:shd w:val="clear" w:color="auto" w:fill="auto"/>
            <w:noWrap/>
            <w:vAlign w:val="center"/>
          </w:tcPr>
          <w:p w14:paraId="030B458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2.801</w:t>
            </w:r>
          </w:p>
        </w:tc>
        <w:tc>
          <w:tcPr>
            <w:tcW w:w="689" w:type="pct"/>
            <w:tcBorders>
              <w:tl2br w:val="nil"/>
              <w:tr2bl w:val="nil"/>
            </w:tcBorders>
            <w:shd w:val="clear" w:color="auto" w:fill="auto"/>
            <w:noWrap/>
            <w:vAlign w:val="center"/>
          </w:tcPr>
          <w:p w14:paraId="30E3156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6.296</w:t>
            </w:r>
          </w:p>
        </w:tc>
        <w:tc>
          <w:tcPr>
            <w:tcW w:w="689" w:type="pct"/>
            <w:tcBorders>
              <w:tl2br w:val="nil"/>
              <w:tr2bl w:val="nil"/>
            </w:tcBorders>
            <w:shd w:val="clear" w:color="auto" w:fill="auto"/>
            <w:noWrap/>
            <w:vAlign w:val="center"/>
          </w:tcPr>
          <w:p w14:paraId="43CED87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0.123</w:t>
            </w:r>
          </w:p>
        </w:tc>
        <w:tc>
          <w:tcPr>
            <w:tcW w:w="338" w:type="pct"/>
            <w:tcBorders>
              <w:tl2br w:val="nil"/>
              <w:tr2bl w:val="nil"/>
            </w:tcBorders>
            <w:shd w:val="clear" w:color="auto" w:fill="auto"/>
            <w:noWrap/>
            <w:vAlign w:val="center"/>
          </w:tcPr>
          <w:p w14:paraId="6454A84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0.03</w:t>
            </w:r>
          </w:p>
        </w:tc>
      </w:tr>
      <w:tr w14:paraId="5D801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3C66343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11</w:t>
            </w:r>
          </w:p>
        </w:tc>
        <w:tc>
          <w:tcPr>
            <w:tcW w:w="1389" w:type="dxa"/>
            <w:tcBorders>
              <w:tl2br w:val="nil"/>
              <w:tr2bl w:val="nil"/>
            </w:tcBorders>
            <w:shd w:val="clear" w:color="auto" w:fill="auto"/>
            <w:noWrap/>
            <w:vAlign w:val="center"/>
          </w:tcPr>
          <w:p w14:paraId="55D3310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7.117</w:t>
            </w:r>
          </w:p>
        </w:tc>
        <w:tc>
          <w:tcPr>
            <w:tcW w:w="689" w:type="pct"/>
            <w:tcBorders>
              <w:tl2br w:val="nil"/>
              <w:tr2bl w:val="nil"/>
            </w:tcBorders>
            <w:shd w:val="clear" w:color="auto" w:fill="auto"/>
            <w:noWrap/>
            <w:vAlign w:val="center"/>
          </w:tcPr>
          <w:p w14:paraId="488D3BE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0.135</w:t>
            </w:r>
          </w:p>
        </w:tc>
        <w:tc>
          <w:tcPr>
            <w:tcW w:w="689" w:type="pct"/>
            <w:tcBorders>
              <w:tl2br w:val="nil"/>
              <w:tr2bl w:val="nil"/>
            </w:tcBorders>
            <w:shd w:val="clear" w:color="auto" w:fill="auto"/>
            <w:noWrap/>
            <w:vAlign w:val="center"/>
          </w:tcPr>
          <w:p w14:paraId="68DBAC1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0.099</w:t>
            </w:r>
          </w:p>
        </w:tc>
        <w:tc>
          <w:tcPr>
            <w:tcW w:w="689" w:type="pct"/>
            <w:tcBorders>
              <w:tl2br w:val="nil"/>
              <w:tr2bl w:val="nil"/>
            </w:tcBorders>
            <w:shd w:val="clear" w:color="auto" w:fill="auto"/>
            <w:noWrap/>
            <w:vAlign w:val="center"/>
          </w:tcPr>
          <w:p w14:paraId="1A3BFFF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2.958</w:t>
            </w:r>
          </w:p>
        </w:tc>
        <w:tc>
          <w:tcPr>
            <w:tcW w:w="689" w:type="pct"/>
            <w:tcBorders>
              <w:tl2br w:val="nil"/>
              <w:tr2bl w:val="nil"/>
            </w:tcBorders>
            <w:shd w:val="clear" w:color="auto" w:fill="auto"/>
            <w:noWrap/>
            <w:vAlign w:val="center"/>
          </w:tcPr>
          <w:p w14:paraId="23CC266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6.078</w:t>
            </w:r>
          </w:p>
        </w:tc>
        <w:tc>
          <w:tcPr>
            <w:tcW w:w="689" w:type="pct"/>
            <w:tcBorders>
              <w:tl2br w:val="nil"/>
              <w:tr2bl w:val="nil"/>
            </w:tcBorders>
            <w:shd w:val="clear" w:color="auto" w:fill="auto"/>
            <w:noWrap/>
            <w:vAlign w:val="center"/>
          </w:tcPr>
          <w:p w14:paraId="4457441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0.052</w:t>
            </w:r>
          </w:p>
        </w:tc>
        <w:tc>
          <w:tcPr>
            <w:tcW w:w="338" w:type="pct"/>
            <w:tcBorders>
              <w:tl2br w:val="nil"/>
              <w:tr2bl w:val="nil"/>
            </w:tcBorders>
            <w:shd w:val="clear" w:color="auto" w:fill="auto"/>
            <w:noWrap/>
            <w:vAlign w:val="center"/>
          </w:tcPr>
          <w:p w14:paraId="5DFE10B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0.034</w:t>
            </w:r>
          </w:p>
        </w:tc>
      </w:tr>
      <w:tr w14:paraId="0E8E8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52408F0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12</w:t>
            </w:r>
          </w:p>
        </w:tc>
        <w:tc>
          <w:tcPr>
            <w:tcW w:w="1389" w:type="dxa"/>
            <w:tcBorders>
              <w:tl2br w:val="nil"/>
              <w:tr2bl w:val="nil"/>
            </w:tcBorders>
            <w:shd w:val="clear" w:color="auto" w:fill="auto"/>
            <w:noWrap/>
            <w:vAlign w:val="center"/>
          </w:tcPr>
          <w:p w14:paraId="6591573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6.81</w:t>
            </w:r>
          </w:p>
        </w:tc>
        <w:tc>
          <w:tcPr>
            <w:tcW w:w="689" w:type="pct"/>
            <w:tcBorders>
              <w:tl2br w:val="nil"/>
              <w:tr2bl w:val="nil"/>
            </w:tcBorders>
            <w:shd w:val="clear" w:color="auto" w:fill="auto"/>
            <w:noWrap/>
            <w:vAlign w:val="center"/>
          </w:tcPr>
          <w:p w14:paraId="7378E32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0.149</w:t>
            </w:r>
          </w:p>
        </w:tc>
        <w:tc>
          <w:tcPr>
            <w:tcW w:w="689" w:type="pct"/>
            <w:tcBorders>
              <w:tl2br w:val="nil"/>
              <w:tr2bl w:val="nil"/>
            </w:tcBorders>
            <w:shd w:val="clear" w:color="auto" w:fill="auto"/>
            <w:noWrap/>
            <w:vAlign w:val="center"/>
          </w:tcPr>
          <w:p w14:paraId="25432F3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0.012</w:t>
            </w:r>
          </w:p>
        </w:tc>
        <w:tc>
          <w:tcPr>
            <w:tcW w:w="689" w:type="pct"/>
            <w:tcBorders>
              <w:tl2br w:val="nil"/>
              <w:tr2bl w:val="nil"/>
            </w:tcBorders>
            <w:shd w:val="clear" w:color="auto" w:fill="auto"/>
            <w:noWrap/>
            <w:vAlign w:val="center"/>
          </w:tcPr>
          <w:p w14:paraId="0B1B9F2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3.956</w:t>
            </w:r>
          </w:p>
        </w:tc>
        <w:tc>
          <w:tcPr>
            <w:tcW w:w="689" w:type="pct"/>
            <w:tcBorders>
              <w:tl2br w:val="nil"/>
              <w:tr2bl w:val="nil"/>
            </w:tcBorders>
            <w:shd w:val="clear" w:color="auto" w:fill="auto"/>
            <w:noWrap/>
            <w:vAlign w:val="center"/>
          </w:tcPr>
          <w:p w14:paraId="01EBB81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5.712</w:t>
            </w:r>
          </w:p>
        </w:tc>
        <w:tc>
          <w:tcPr>
            <w:tcW w:w="689" w:type="pct"/>
            <w:tcBorders>
              <w:tl2br w:val="nil"/>
              <w:tr2bl w:val="nil"/>
            </w:tcBorders>
            <w:shd w:val="clear" w:color="auto" w:fill="auto"/>
            <w:noWrap/>
            <w:vAlign w:val="center"/>
          </w:tcPr>
          <w:p w14:paraId="365B029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0.088</w:t>
            </w:r>
          </w:p>
        </w:tc>
        <w:tc>
          <w:tcPr>
            <w:tcW w:w="338" w:type="pct"/>
            <w:tcBorders>
              <w:tl2br w:val="nil"/>
              <w:tr2bl w:val="nil"/>
            </w:tcBorders>
            <w:shd w:val="clear" w:color="auto" w:fill="auto"/>
            <w:noWrap/>
            <w:vAlign w:val="center"/>
          </w:tcPr>
          <w:p w14:paraId="73073F2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0.006</w:t>
            </w:r>
          </w:p>
        </w:tc>
      </w:tr>
      <w:tr w14:paraId="29343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632CA9E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标准值</w:t>
            </w:r>
          </w:p>
        </w:tc>
        <w:tc>
          <w:tcPr>
            <w:tcW w:w="767" w:type="pct"/>
            <w:tcBorders>
              <w:tl2br w:val="nil"/>
              <w:tr2bl w:val="nil"/>
            </w:tcBorders>
            <w:shd w:val="clear" w:color="auto" w:fill="auto"/>
            <w:noWrap/>
            <w:vAlign w:val="center"/>
          </w:tcPr>
          <w:p w14:paraId="1CE4224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6~9</w:t>
            </w:r>
          </w:p>
        </w:tc>
        <w:tc>
          <w:tcPr>
            <w:tcW w:w="689" w:type="pct"/>
            <w:tcBorders>
              <w:tl2br w:val="nil"/>
              <w:tr2bl w:val="nil"/>
            </w:tcBorders>
            <w:shd w:val="clear" w:color="auto" w:fill="auto"/>
            <w:noWrap/>
            <w:vAlign w:val="center"/>
          </w:tcPr>
          <w:p w14:paraId="3F152AB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8</w:t>
            </w:r>
          </w:p>
        </w:tc>
        <w:tc>
          <w:tcPr>
            <w:tcW w:w="689" w:type="pct"/>
            <w:tcBorders>
              <w:tl2br w:val="nil"/>
              <w:tr2bl w:val="nil"/>
            </w:tcBorders>
            <w:shd w:val="clear" w:color="auto" w:fill="auto"/>
            <w:noWrap/>
            <w:vAlign w:val="center"/>
          </w:tcPr>
          <w:p w14:paraId="3B68A26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1.0</w:t>
            </w:r>
          </w:p>
        </w:tc>
        <w:tc>
          <w:tcPr>
            <w:tcW w:w="689" w:type="pct"/>
            <w:tcBorders>
              <w:tl2br w:val="nil"/>
              <w:tr2bl w:val="nil"/>
            </w:tcBorders>
            <w:shd w:val="clear" w:color="auto" w:fill="auto"/>
            <w:noWrap/>
            <w:vAlign w:val="center"/>
          </w:tcPr>
          <w:p w14:paraId="1C344E5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15</w:t>
            </w:r>
          </w:p>
        </w:tc>
        <w:tc>
          <w:tcPr>
            <w:tcW w:w="689" w:type="pct"/>
            <w:tcBorders>
              <w:tl2br w:val="nil"/>
              <w:tr2bl w:val="nil"/>
            </w:tcBorders>
            <w:shd w:val="clear" w:color="auto" w:fill="auto"/>
            <w:noWrap/>
            <w:vAlign w:val="center"/>
          </w:tcPr>
          <w:p w14:paraId="12CFEFB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60</w:t>
            </w:r>
          </w:p>
        </w:tc>
        <w:tc>
          <w:tcPr>
            <w:tcW w:w="689" w:type="pct"/>
            <w:tcBorders>
              <w:tl2br w:val="nil"/>
              <w:tr2bl w:val="nil"/>
            </w:tcBorders>
            <w:shd w:val="clear" w:color="auto" w:fill="auto"/>
            <w:noWrap/>
            <w:vAlign w:val="center"/>
          </w:tcPr>
          <w:p w14:paraId="74A2024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0.15（严格50%）</w:t>
            </w:r>
          </w:p>
        </w:tc>
        <w:tc>
          <w:tcPr>
            <w:tcW w:w="338" w:type="pct"/>
            <w:tcBorders>
              <w:tl2br w:val="nil"/>
              <w:tr2bl w:val="nil"/>
            </w:tcBorders>
            <w:shd w:val="clear" w:color="auto" w:fill="auto"/>
            <w:noWrap/>
            <w:vAlign w:val="center"/>
          </w:tcPr>
          <w:p w14:paraId="58587A7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0.1</w:t>
            </w:r>
          </w:p>
        </w:tc>
      </w:tr>
    </w:tbl>
    <w:p w14:paraId="20FD6E9E">
      <w:pPr>
        <w:widowControl w:val="0"/>
        <w:tabs>
          <w:tab w:val="left" w:pos="1021"/>
        </w:tabs>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根据2023年总排口在线监测数据，渣滓溪锑矿外排废水中pH、氨氮、总磷、化学需氧量、总砷满足《</w:t>
      </w:r>
      <w:r>
        <w:rPr>
          <w:rFonts w:hint="eastAsia" w:ascii="Times New Roman" w:hAnsi="Times New Roman" w:eastAsia="宋体" w:cs="Times New Roman"/>
          <w:color w:val="auto"/>
          <w:kern w:val="2"/>
          <w:sz w:val="24"/>
          <w:highlight w:val="none"/>
          <w:lang w:val="en-US" w:eastAsia="zh-CN" w:bidi="ar-SA"/>
        </w:rPr>
        <w:fldChar w:fldCharType="begin"/>
      </w:r>
      <w:r>
        <w:rPr>
          <w:rFonts w:hint="eastAsia" w:ascii="Times New Roman" w:hAnsi="Times New Roman" w:eastAsia="宋体" w:cs="Times New Roman"/>
          <w:color w:val="auto"/>
          <w:kern w:val="2"/>
          <w:sz w:val="24"/>
          <w:highlight w:val="none"/>
          <w:lang w:val="en-US" w:eastAsia="zh-CN" w:bidi="ar-SA"/>
        </w:rPr>
        <w:instrText xml:space="preserve"> HYPERLINK "http://kjs.mep.gov.cn/hjbhbz/bzwb/dqhjbh/dqgdwrywrwpfbz/201405/W020140530533213253195.pdf" </w:instrText>
      </w:r>
      <w:r>
        <w:rPr>
          <w:rFonts w:hint="eastAsia" w:ascii="Times New Roman" w:hAnsi="Times New Roman" w:eastAsia="宋体" w:cs="Times New Roman"/>
          <w:color w:val="auto"/>
          <w:kern w:val="2"/>
          <w:sz w:val="24"/>
          <w:highlight w:val="none"/>
          <w:lang w:val="en-US" w:eastAsia="zh-CN" w:bidi="ar-SA"/>
        </w:rPr>
        <w:fldChar w:fldCharType="separate"/>
      </w:r>
      <w:r>
        <w:rPr>
          <w:rFonts w:hint="eastAsia" w:ascii="Times New Roman" w:hAnsi="Times New Roman" w:eastAsia="宋体" w:cs="Times New Roman"/>
          <w:color w:val="auto"/>
          <w:kern w:val="2"/>
          <w:sz w:val="24"/>
          <w:highlight w:val="none"/>
          <w:lang w:val="en-US" w:eastAsia="zh-CN" w:bidi="ar-SA"/>
        </w:rPr>
        <w:t>锡、锑、汞工业污染物排放标准</w:t>
      </w:r>
      <w:r>
        <w:rPr>
          <w:rFonts w:hint="eastAsia" w:ascii="Times New Roman" w:hAnsi="Times New Roman" w:eastAsia="宋体" w:cs="Times New Roman"/>
          <w:color w:val="auto"/>
          <w:kern w:val="2"/>
          <w:sz w:val="24"/>
          <w:highlight w:val="none"/>
          <w:lang w:val="en-US" w:eastAsia="zh-CN" w:bidi="ar-SA"/>
        </w:rPr>
        <w:fldChar w:fldCharType="end"/>
      </w:r>
      <w:r>
        <w:rPr>
          <w:rFonts w:hint="eastAsia" w:ascii="Times New Roman" w:hAnsi="Times New Roman" w:eastAsia="宋体" w:cs="Times New Roman"/>
          <w:color w:val="auto"/>
          <w:kern w:val="2"/>
          <w:sz w:val="24"/>
          <w:highlight w:val="none"/>
          <w:lang w:val="en-US" w:eastAsia="zh-CN" w:bidi="ar-SA"/>
        </w:rPr>
        <w:t>》（GB 30770-2014）表2限值。对于锑，仅1月、8月2个月超过了0.15mg/L，超标倍数分别为0.033倍、0.14倍。全年锑排放浓度均值为0.10mg/L，占标率为33%。</w:t>
      </w:r>
      <w:r>
        <w:rPr>
          <w:rFonts w:hint="eastAsia" w:ascii="Times New Roman" w:hAnsi="Times New Roman" w:cs="Times New Roman"/>
          <w:color w:val="auto"/>
          <w:sz w:val="24"/>
          <w:szCs w:val="24"/>
          <w:highlight w:val="none"/>
          <w:lang w:val="en-US" w:eastAsia="zh-CN"/>
        </w:rPr>
        <w:t>对于砷，仅7月砷排放浓度超过了标准值，占标率为102%，全年砷平均浓度为0.034mg/L，低于《</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HYPERLINK "http://kjs.mep.gov.cn/hjbhbz/bzwb/dqhjbh/dqgdwrywrwpfbz/201405/W020140530533213253195.pdf" </w:instrText>
      </w:r>
      <w:r>
        <w:rPr>
          <w:rFonts w:hint="eastAsia" w:ascii="Times New Roman" w:hAnsi="Times New Roman" w:cs="Times New Roman"/>
          <w:color w:val="auto"/>
          <w:sz w:val="24"/>
          <w:szCs w:val="24"/>
          <w:highlight w:val="none"/>
          <w:lang w:val="en-US" w:eastAsia="zh-CN"/>
        </w:rPr>
        <w:fldChar w:fldCharType="separate"/>
      </w:r>
      <w:r>
        <w:rPr>
          <w:rFonts w:hint="eastAsia" w:ascii="Times New Roman" w:hAnsi="Times New Roman" w:cs="Times New Roman"/>
          <w:color w:val="auto"/>
          <w:sz w:val="24"/>
          <w:szCs w:val="24"/>
          <w:highlight w:val="none"/>
          <w:lang w:val="en-US" w:eastAsia="zh-CN"/>
        </w:rPr>
        <w:t>锡、锑、汞工业污染物排放标准</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》（GB 30770-2014）表2标准，也低于《地表水环境质量标准》（GB3838-2002）III类水质标准。</w:t>
      </w:r>
    </w:p>
    <w:p w14:paraId="0F03009C">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由监测结果可知，渣滓溪锑矿全年锑排放平均浓度低于本次评价执行的排放标准0.15mg/L，有2个月度监测指标超标，但均低于企业目前排污许可执行标准0.3mg/L。本次评建议提高渣滓溪锑矿废水排放浓度要求，在特别排放限值0.3mg/L的基础上，再严格50%执行，即0.15mg/L。</w:t>
      </w:r>
    </w:p>
    <w:p w14:paraId="06B3EA9F">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c</w:t>
      </w:r>
      <w:r>
        <w:rPr>
          <w:rFonts w:hint="eastAsia" w:ascii="Times New Roman" w:hAnsi="Times New Roman" w:eastAsia="宋体" w:cs="Times New Roman"/>
          <w:color w:val="auto"/>
          <w:kern w:val="2"/>
          <w:sz w:val="24"/>
          <w:szCs w:val="20"/>
          <w:highlight w:val="none"/>
          <w:lang w:val="en-US" w:eastAsia="zh-CN" w:bidi="ar-SA"/>
        </w:rPr>
        <w:t>、补充监测</w:t>
      </w:r>
    </w:p>
    <w:p w14:paraId="430E8ECD">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本次</w:t>
      </w:r>
      <w:r>
        <w:rPr>
          <w:rFonts w:hint="eastAsia" w:cs="Times New Roman"/>
          <w:color w:val="auto"/>
          <w:kern w:val="2"/>
          <w:sz w:val="24"/>
          <w:szCs w:val="20"/>
          <w:highlight w:val="none"/>
          <w:lang w:val="en-US" w:eastAsia="zh-CN" w:bidi="ar-SA"/>
        </w:rPr>
        <w:t>论证</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引用《安化渣滓溪矿业智能化设备升级改造项目环境影响报告表》</w:t>
      </w:r>
      <w:r>
        <w:rPr>
          <w:rFonts w:hint="eastAsia" w:ascii="Times New Roman" w:hAnsi="Times New Roman" w:eastAsia="宋体" w:cs="Times New Roman"/>
          <w:color w:val="auto"/>
          <w:kern w:val="2"/>
          <w:sz w:val="24"/>
          <w:szCs w:val="20"/>
          <w:highlight w:val="none"/>
          <w:lang w:val="en-US" w:eastAsia="zh-CN" w:bidi="ar-SA"/>
        </w:rPr>
        <w:t>废水处理站进出水浓度，监测结果如下：</w:t>
      </w:r>
    </w:p>
    <w:p w14:paraId="3815847E">
      <w:pPr>
        <w:widowControl w:val="0"/>
        <w:tabs>
          <w:tab w:val="left" w:pos="1021"/>
        </w:tabs>
        <w:bidi w:val="0"/>
        <w:spacing w:line="300" w:lineRule="auto"/>
        <w:jc w:val="center"/>
        <w:outlineLvl w:val="4"/>
        <w:rPr>
          <w:rFonts w:hint="default" w:ascii="Times New Roman" w:hAnsi="Times New Roman" w:eastAsia="黑体" w:cs="Times New Roman"/>
          <w:color w:val="auto"/>
          <w:kern w:val="2"/>
          <w:sz w:val="24"/>
          <w:szCs w:val="20"/>
          <w:highlight w:val="none"/>
          <w:lang w:val="en-US" w:eastAsia="zh-CN" w:bidi="ar-SA"/>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2.1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49</w:t>
      </w:r>
      <w:r>
        <w:rPr>
          <w:rFonts w:hint="default" w:ascii="Times New Roman" w:hAnsi="Times New Roman" w:eastAsia="黑体" w:cs="Times New Roman"/>
          <w:color w:val="auto"/>
          <w:kern w:val="2"/>
          <w:sz w:val="24"/>
          <w:szCs w:val="20"/>
          <w:highlight w:val="none"/>
          <w:lang w:val="en-US" w:eastAsia="zh-CN" w:bidi="ar-SA"/>
        </w:rPr>
        <w:fldChar w:fldCharType="end"/>
      </w:r>
      <w:r>
        <w:rPr>
          <w:rFonts w:hint="eastAsia" w:ascii="Times New Roman" w:hAnsi="Times New Roman" w:eastAsia="黑体" w:cs="Times New Roman"/>
          <w:color w:val="auto"/>
          <w:kern w:val="2"/>
          <w:sz w:val="24"/>
          <w:szCs w:val="20"/>
          <w:highlight w:val="none"/>
          <w:lang w:val="en-US" w:eastAsia="zh-CN" w:bidi="ar-SA"/>
        </w:rPr>
        <w:t xml:space="preserve">  废水处理站进出水监测情况表  单位：mg/L，pH，水温除外</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1217"/>
        <w:gridCol w:w="1542"/>
        <w:gridCol w:w="1540"/>
        <w:gridCol w:w="1544"/>
        <w:gridCol w:w="1541"/>
      </w:tblGrid>
      <w:tr w14:paraId="70216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vMerge w:val="restart"/>
            <w:tcBorders>
              <w:tl2br w:val="nil"/>
              <w:tr2bl w:val="nil"/>
            </w:tcBorders>
            <w:vAlign w:val="center"/>
          </w:tcPr>
          <w:p w14:paraId="5D0E91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检测项目</w:t>
            </w:r>
          </w:p>
        </w:tc>
        <w:tc>
          <w:tcPr>
            <w:tcW w:w="1492" w:type="pct"/>
            <w:gridSpan w:val="2"/>
            <w:tcBorders>
              <w:tl2br w:val="nil"/>
              <w:tr2bl w:val="nil"/>
            </w:tcBorders>
            <w:vAlign w:val="center"/>
          </w:tcPr>
          <w:p w14:paraId="4B11F88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进水水质</w:t>
            </w:r>
          </w:p>
        </w:tc>
        <w:tc>
          <w:tcPr>
            <w:tcW w:w="1668" w:type="pct"/>
            <w:gridSpan w:val="2"/>
            <w:tcBorders>
              <w:tl2br w:val="nil"/>
              <w:tr2bl w:val="nil"/>
            </w:tcBorders>
            <w:vAlign w:val="center"/>
          </w:tcPr>
          <w:p w14:paraId="1994278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出水水质</w:t>
            </w:r>
          </w:p>
        </w:tc>
        <w:tc>
          <w:tcPr>
            <w:tcW w:w="833" w:type="pct"/>
            <w:vMerge w:val="restart"/>
            <w:tcBorders>
              <w:tl2br w:val="nil"/>
              <w:tr2bl w:val="nil"/>
            </w:tcBorders>
            <w:vAlign w:val="center"/>
          </w:tcPr>
          <w:p w14:paraId="26AA5D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标准值</w:t>
            </w:r>
          </w:p>
        </w:tc>
      </w:tr>
      <w:tr w14:paraId="14986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vMerge w:val="continue"/>
            <w:tcBorders>
              <w:tl2br w:val="nil"/>
              <w:tr2bl w:val="nil"/>
            </w:tcBorders>
            <w:vAlign w:val="center"/>
          </w:tcPr>
          <w:p w14:paraId="736F259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658" w:type="pct"/>
            <w:tcBorders>
              <w:tl2br w:val="nil"/>
              <w:tr2bl w:val="nil"/>
            </w:tcBorders>
            <w:vAlign w:val="center"/>
          </w:tcPr>
          <w:p w14:paraId="3F57ECE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2024.05.07</w:t>
            </w:r>
          </w:p>
        </w:tc>
        <w:tc>
          <w:tcPr>
            <w:tcW w:w="833" w:type="pct"/>
            <w:tcBorders>
              <w:tl2br w:val="nil"/>
              <w:tr2bl w:val="nil"/>
            </w:tcBorders>
            <w:vAlign w:val="center"/>
          </w:tcPr>
          <w:p w14:paraId="5A329BA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2024.05.08</w:t>
            </w:r>
          </w:p>
        </w:tc>
        <w:tc>
          <w:tcPr>
            <w:tcW w:w="833" w:type="pct"/>
            <w:tcBorders>
              <w:tl2br w:val="nil"/>
              <w:tr2bl w:val="nil"/>
            </w:tcBorders>
            <w:vAlign w:val="center"/>
          </w:tcPr>
          <w:p w14:paraId="7CE2A81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2024.05.07</w:t>
            </w:r>
          </w:p>
        </w:tc>
        <w:tc>
          <w:tcPr>
            <w:tcW w:w="834" w:type="pct"/>
            <w:tcBorders>
              <w:tl2br w:val="nil"/>
              <w:tr2bl w:val="nil"/>
            </w:tcBorders>
            <w:vAlign w:val="center"/>
          </w:tcPr>
          <w:p w14:paraId="496330F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2024.05.08</w:t>
            </w:r>
          </w:p>
        </w:tc>
        <w:tc>
          <w:tcPr>
            <w:tcW w:w="833" w:type="pct"/>
            <w:vMerge w:val="continue"/>
            <w:tcBorders>
              <w:tl2br w:val="nil"/>
              <w:tr2bl w:val="nil"/>
            </w:tcBorders>
            <w:vAlign w:val="center"/>
          </w:tcPr>
          <w:p w14:paraId="0F3C734B">
            <w:pPr>
              <w:pStyle w:val="26"/>
              <w:keepNext w:val="0"/>
              <w:keepLines w:val="0"/>
              <w:suppressLineNumbers w:val="0"/>
              <w:spacing w:before="0" w:beforeAutospacing="0" w:after="0" w:afterAutospacing="0"/>
              <w:ind w:left="0" w:right="0"/>
              <w:rPr>
                <w:rFonts w:hint="eastAsia"/>
                <w:color w:val="auto"/>
                <w:highlight w:val="none"/>
                <w:lang w:val="en-US" w:eastAsia="zh-CN"/>
              </w:rPr>
            </w:pPr>
          </w:p>
        </w:tc>
      </w:tr>
      <w:tr w14:paraId="72CED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2CA0F7A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pH值</w:t>
            </w:r>
          </w:p>
        </w:tc>
        <w:tc>
          <w:tcPr>
            <w:tcW w:w="658" w:type="pct"/>
            <w:tcBorders>
              <w:tl2br w:val="nil"/>
              <w:tr2bl w:val="nil"/>
            </w:tcBorders>
            <w:vAlign w:val="center"/>
          </w:tcPr>
          <w:p w14:paraId="24BA771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7.5</w:t>
            </w:r>
          </w:p>
        </w:tc>
        <w:tc>
          <w:tcPr>
            <w:tcW w:w="833" w:type="pct"/>
            <w:tcBorders>
              <w:tl2br w:val="nil"/>
              <w:tr2bl w:val="nil"/>
            </w:tcBorders>
            <w:vAlign w:val="center"/>
          </w:tcPr>
          <w:p w14:paraId="14AC755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7.4</w:t>
            </w:r>
          </w:p>
        </w:tc>
        <w:tc>
          <w:tcPr>
            <w:tcW w:w="833" w:type="pct"/>
            <w:tcBorders>
              <w:tl2br w:val="nil"/>
              <w:tr2bl w:val="nil"/>
            </w:tcBorders>
            <w:vAlign w:val="center"/>
          </w:tcPr>
          <w:p w14:paraId="487E547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7.2</w:t>
            </w:r>
          </w:p>
        </w:tc>
        <w:tc>
          <w:tcPr>
            <w:tcW w:w="834" w:type="pct"/>
            <w:tcBorders>
              <w:tl2br w:val="nil"/>
              <w:tr2bl w:val="nil"/>
            </w:tcBorders>
            <w:vAlign w:val="center"/>
          </w:tcPr>
          <w:p w14:paraId="1C11D1A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7.1</w:t>
            </w:r>
          </w:p>
        </w:tc>
        <w:tc>
          <w:tcPr>
            <w:tcW w:w="833" w:type="pct"/>
            <w:tcBorders>
              <w:tl2br w:val="nil"/>
              <w:tr2bl w:val="nil"/>
            </w:tcBorders>
            <w:vAlign w:val="center"/>
          </w:tcPr>
          <w:p w14:paraId="5983E4C4">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6~9</w:t>
            </w:r>
          </w:p>
        </w:tc>
      </w:tr>
      <w:tr w14:paraId="49CB9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0978256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水温</w:t>
            </w:r>
          </w:p>
        </w:tc>
        <w:tc>
          <w:tcPr>
            <w:tcW w:w="658" w:type="pct"/>
            <w:tcBorders>
              <w:tl2br w:val="nil"/>
              <w:tr2bl w:val="nil"/>
            </w:tcBorders>
            <w:vAlign w:val="center"/>
          </w:tcPr>
          <w:p w14:paraId="0CE21569">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19.25</w:t>
            </w:r>
          </w:p>
        </w:tc>
        <w:tc>
          <w:tcPr>
            <w:tcW w:w="833" w:type="pct"/>
            <w:tcBorders>
              <w:tl2br w:val="nil"/>
              <w:tr2bl w:val="nil"/>
            </w:tcBorders>
            <w:vAlign w:val="center"/>
          </w:tcPr>
          <w:p w14:paraId="006FA45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21.5</w:t>
            </w:r>
          </w:p>
        </w:tc>
        <w:tc>
          <w:tcPr>
            <w:tcW w:w="833" w:type="pct"/>
            <w:tcBorders>
              <w:tl2br w:val="nil"/>
              <w:tr2bl w:val="nil"/>
            </w:tcBorders>
            <w:vAlign w:val="center"/>
          </w:tcPr>
          <w:p w14:paraId="3510BD8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19.4</w:t>
            </w:r>
          </w:p>
        </w:tc>
        <w:tc>
          <w:tcPr>
            <w:tcW w:w="834" w:type="pct"/>
            <w:tcBorders>
              <w:tl2br w:val="nil"/>
              <w:tr2bl w:val="nil"/>
            </w:tcBorders>
            <w:vAlign w:val="center"/>
          </w:tcPr>
          <w:p w14:paraId="342F0E4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21.2</w:t>
            </w:r>
          </w:p>
        </w:tc>
        <w:tc>
          <w:tcPr>
            <w:tcW w:w="833" w:type="pct"/>
            <w:tcBorders>
              <w:tl2br w:val="nil"/>
              <w:tr2bl w:val="nil"/>
            </w:tcBorders>
            <w:vAlign w:val="center"/>
          </w:tcPr>
          <w:p w14:paraId="6E7100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BD0A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6CBBCC6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溶解氧</w:t>
            </w:r>
          </w:p>
        </w:tc>
        <w:tc>
          <w:tcPr>
            <w:tcW w:w="658" w:type="pct"/>
            <w:tcBorders>
              <w:tl2br w:val="nil"/>
              <w:tr2bl w:val="nil"/>
            </w:tcBorders>
            <w:vAlign w:val="center"/>
          </w:tcPr>
          <w:p w14:paraId="62200672">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6.85</w:t>
            </w:r>
          </w:p>
        </w:tc>
        <w:tc>
          <w:tcPr>
            <w:tcW w:w="833" w:type="pct"/>
            <w:tcBorders>
              <w:tl2br w:val="nil"/>
              <w:tr2bl w:val="nil"/>
            </w:tcBorders>
            <w:vAlign w:val="center"/>
          </w:tcPr>
          <w:p w14:paraId="2DEB763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7.11</w:t>
            </w:r>
          </w:p>
        </w:tc>
        <w:tc>
          <w:tcPr>
            <w:tcW w:w="833" w:type="pct"/>
            <w:tcBorders>
              <w:tl2br w:val="nil"/>
              <w:tr2bl w:val="nil"/>
            </w:tcBorders>
            <w:vAlign w:val="center"/>
          </w:tcPr>
          <w:p w14:paraId="218740C7">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6.83</w:t>
            </w:r>
          </w:p>
        </w:tc>
        <w:tc>
          <w:tcPr>
            <w:tcW w:w="834" w:type="pct"/>
            <w:tcBorders>
              <w:tl2br w:val="nil"/>
              <w:tr2bl w:val="nil"/>
            </w:tcBorders>
            <w:vAlign w:val="center"/>
          </w:tcPr>
          <w:p w14:paraId="687D59C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7.05</w:t>
            </w:r>
          </w:p>
        </w:tc>
        <w:tc>
          <w:tcPr>
            <w:tcW w:w="833" w:type="pct"/>
            <w:tcBorders>
              <w:tl2br w:val="nil"/>
              <w:tr2bl w:val="nil"/>
            </w:tcBorders>
            <w:vAlign w:val="center"/>
          </w:tcPr>
          <w:p w14:paraId="3CE4B1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EDE5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32952824">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化学需氧量</w:t>
            </w:r>
          </w:p>
        </w:tc>
        <w:tc>
          <w:tcPr>
            <w:tcW w:w="658" w:type="pct"/>
            <w:tcBorders>
              <w:tl2br w:val="nil"/>
              <w:tr2bl w:val="nil"/>
            </w:tcBorders>
            <w:vAlign w:val="center"/>
          </w:tcPr>
          <w:p w14:paraId="4277DFB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w:t>
            </w:r>
          </w:p>
        </w:tc>
        <w:tc>
          <w:tcPr>
            <w:tcW w:w="833" w:type="pct"/>
            <w:tcBorders>
              <w:tl2br w:val="nil"/>
              <w:tr2bl w:val="nil"/>
            </w:tcBorders>
            <w:vAlign w:val="center"/>
          </w:tcPr>
          <w:p w14:paraId="3D52814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69</w:t>
            </w:r>
          </w:p>
        </w:tc>
        <w:tc>
          <w:tcPr>
            <w:tcW w:w="833" w:type="pct"/>
            <w:tcBorders>
              <w:tl2br w:val="nil"/>
              <w:tr2bl w:val="nil"/>
            </w:tcBorders>
            <w:vAlign w:val="center"/>
          </w:tcPr>
          <w:p w14:paraId="6E7A38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35</w:t>
            </w:r>
          </w:p>
        </w:tc>
        <w:tc>
          <w:tcPr>
            <w:tcW w:w="834" w:type="pct"/>
            <w:tcBorders>
              <w:tl2br w:val="nil"/>
              <w:tr2bl w:val="nil"/>
            </w:tcBorders>
            <w:vAlign w:val="center"/>
          </w:tcPr>
          <w:p w14:paraId="3928B1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32</w:t>
            </w:r>
          </w:p>
        </w:tc>
        <w:tc>
          <w:tcPr>
            <w:tcW w:w="833" w:type="pct"/>
            <w:tcBorders>
              <w:tl2br w:val="nil"/>
              <w:tr2bl w:val="nil"/>
            </w:tcBorders>
            <w:vAlign w:val="center"/>
          </w:tcPr>
          <w:p w14:paraId="3BF8F1A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60</w:t>
            </w:r>
          </w:p>
        </w:tc>
      </w:tr>
      <w:tr w14:paraId="11B84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307C9C95">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总磷</w:t>
            </w:r>
          </w:p>
        </w:tc>
        <w:tc>
          <w:tcPr>
            <w:tcW w:w="658" w:type="pct"/>
            <w:tcBorders>
              <w:tl2br w:val="nil"/>
              <w:tr2bl w:val="nil"/>
            </w:tcBorders>
            <w:vAlign w:val="center"/>
          </w:tcPr>
          <w:p w14:paraId="34379BF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0.46</w:t>
            </w:r>
          </w:p>
        </w:tc>
        <w:tc>
          <w:tcPr>
            <w:tcW w:w="833" w:type="pct"/>
            <w:tcBorders>
              <w:tl2br w:val="nil"/>
              <w:tr2bl w:val="nil"/>
            </w:tcBorders>
            <w:vAlign w:val="center"/>
          </w:tcPr>
          <w:p w14:paraId="6ED1766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0.44</w:t>
            </w:r>
          </w:p>
        </w:tc>
        <w:tc>
          <w:tcPr>
            <w:tcW w:w="833" w:type="pct"/>
            <w:tcBorders>
              <w:tl2br w:val="nil"/>
              <w:tr2bl w:val="nil"/>
            </w:tcBorders>
            <w:vAlign w:val="center"/>
          </w:tcPr>
          <w:p w14:paraId="7F4FB4B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0.13</w:t>
            </w:r>
          </w:p>
        </w:tc>
        <w:tc>
          <w:tcPr>
            <w:tcW w:w="834" w:type="pct"/>
            <w:tcBorders>
              <w:tl2br w:val="nil"/>
              <w:tr2bl w:val="nil"/>
            </w:tcBorders>
            <w:vAlign w:val="center"/>
          </w:tcPr>
          <w:p w14:paraId="05D0CF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0.11</w:t>
            </w:r>
          </w:p>
        </w:tc>
        <w:tc>
          <w:tcPr>
            <w:tcW w:w="833" w:type="pct"/>
            <w:tcBorders>
              <w:tl2br w:val="nil"/>
              <w:tr2bl w:val="nil"/>
            </w:tcBorders>
            <w:vAlign w:val="center"/>
          </w:tcPr>
          <w:p w14:paraId="4017930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r>
      <w:tr w14:paraId="2F555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4A309B1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氨氮</w:t>
            </w:r>
          </w:p>
        </w:tc>
        <w:tc>
          <w:tcPr>
            <w:tcW w:w="658" w:type="pct"/>
            <w:tcBorders>
              <w:tl2br w:val="nil"/>
              <w:tr2bl w:val="nil"/>
            </w:tcBorders>
            <w:vAlign w:val="center"/>
          </w:tcPr>
          <w:p w14:paraId="36903D05">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1.45</w:t>
            </w:r>
          </w:p>
        </w:tc>
        <w:tc>
          <w:tcPr>
            <w:tcW w:w="833" w:type="pct"/>
            <w:tcBorders>
              <w:tl2br w:val="nil"/>
              <w:tr2bl w:val="nil"/>
            </w:tcBorders>
            <w:vAlign w:val="center"/>
          </w:tcPr>
          <w:p w14:paraId="4BC158D2">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1.46</w:t>
            </w:r>
          </w:p>
        </w:tc>
        <w:tc>
          <w:tcPr>
            <w:tcW w:w="833" w:type="pct"/>
            <w:tcBorders>
              <w:tl2br w:val="nil"/>
              <w:tr2bl w:val="nil"/>
            </w:tcBorders>
            <w:vAlign w:val="center"/>
          </w:tcPr>
          <w:p w14:paraId="33DE4E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0.25</w:t>
            </w:r>
          </w:p>
        </w:tc>
        <w:tc>
          <w:tcPr>
            <w:tcW w:w="834" w:type="pct"/>
            <w:tcBorders>
              <w:tl2br w:val="nil"/>
              <w:tr2bl w:val="nil"/>
            </w:tcBorders>
            <w:vAlign w:val="center"/>
          </w:tcPr>
          <w:p w14:paraId="2A2A8D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0.26</w:t>
            </w:r>
          </w:p>
        </w:tc>
        <w:tc>
          <w:tcPr>
            <w:tcW w:w="833" w:type="pct"/>
            <w:tcBorders>
              <w:tl2br w:val="nil"/>
              <w:tr2bl w:val="nil"/>
            </w:tcBorders>
            <w:vAlign w:val="center"/>
          </w:tcPr>
          <w:p w14:paraId="6EFCB48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w:t>
            </w:r>
          </w:p>
        </w:tc>
      </w:tr>
      <w:tr w14:paraId="3A4B8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195622D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五日生化需氧量</w:t>
            </w:r>
          </w:p>
        </w:tc>
        <w:tc>
          <w:tcPr>
            <w:tcW w:w="658" w:type="pct"/>
            <w:tcBorders>
              <w:tl2br w:val="nil"/>
              <w:tr2bl w:val="nil"/>
            </w:tcBorders>
            <w:vAlign w:val="center"/>
          </w:tcPr>
          <w:p w14:paraId="6D205388">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17.8</w:t>
            </w:r>
          </w:p>
        </w:tc>
        <w:tc>
          <w:tcPr>
            <w:tcW w:w="833" w:type="pct"/>
            <w:tcBorders>
              <w:tl2br w:val="nil"/>
              <w:tr2bl w:val="nil"/>
            </w:tcBorders>
            <w:vAlign w:val="center"/>
          </w:tcPr>
          <w:p w14:paraId="07D9A25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16.9</w:t>
            </w:r>
          </w:p>
        </w:tc>
        <w:tc>
          <w:tcPr>
            <w:tcW w:w="833" w:type="pct"/>
            <w:tcBorders>
              <w:tl2br w:val="nil"/>
              <w:tr2bl w:val="nil"/>
            </w:tcBorders>
            <w:vAlign w:val="center"/>
          </w:tcPr>
          <w:p w14:paraId="180107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8.9</w:t>
            </w:r>
          </w:p>
        </w:tc>
        <w:tc>
          <w:tcPr>
            <w:tcW w:w="834" w:type="pct"/>
            <w:tcBorders>
              <w:tl2br w:val="nil"/>
              <w:tr2bl w:val="nil"/>
            </w:tcBorders>
            <w:vAlign w:val="center"/>
          </w:tcPr>
          <w:p w14:paraId="47DB07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8.1</w:t>
            </w:r>
          </w:p>
        </w:tc>
        <w:tc>
          <w:tcPr>
            <w:tcW w:w="833" w:type="pct"/>
            <w:tcBorders>
              <w:tl2br w:val="nil"/>
              <w:tr2bl w:val="nil"/>
            </w:tcBorders>
            <w:vAlign w:val="center"/>
          </w:tcPr>
          <w:p w14:paraId="2527CA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A79A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0358B21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悬浮物</w:t>
            </w:r>
          </w:p>
        </w:tc>
        <w:tc>
          <w:tcPr>
            <w:tcW w:w="658" w:type="pct"/>
            <w:tcBorders>
              <w:tl2br w:val="nil"/>
              <w:tr2bl w:val="nil"/>
            </w:tcBorders>
            <w:vAlign w:val="center"/>
          </w:tcPr>
          <w:p w14:paraId="697314F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26</w:t>
            </w:r>
          </w:p>
        </w:tc>
        <w:tc>
          <w:tcPr>
            <w:tcW w:w="833" w:type="pct"/>
            <w:tcBorders>
              <w:tl2br w:val="nil"/>
              <w:tr2bl w:val="nil"/>
            </w:tcBorders>
            <w:vAlign w:val="center"/>
          </w:tcPr>
          <w:p w14:paraId="2819129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28</w:t>
            </w:r>
          </w:p>
        </w:tc>
        <w:tc>
          <w:tcPr>
            <w:tcW w:w="833" w:type="pct"/>
            <w:tcBorders>
              <w:tl2br w:val="nil"/>
              <w:tr2bl w:val="nil"/>
            </w:tcBorders>
            <w:vAlign w:val="center"/>
          </w:tcPr>
          <w:p w14:paraId="7C83C36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w:t>
            </w:r>
          </w:p>
        </w:tc>
        <w:tc>
          <w:tcPr>
            <w:tcW w:w="834" w:type="pct"/>
            <w:tcBorders>
              <w:tl2br w:val="nil"/>
              <w:tr2bl w:val="nil"/>
            </w:tcBorders>
            <w:vAlign w:val="center"/>
          </w:tcPr>
          <w:p w14:paraId="79C60A9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w:t>
            </w:r>
          </w:p>
        </w:tc>
        <w:tc>
          <w:tcPr>
            <w:tcW w:w="833" w:type="pct"/>
            <w:tcBorders>
              <w:tl2br w:val="nil"/>
              <w:tr2bl w:val="nil"/>
            </w:tcBorders>
            <w:vAlign w:val="center"/>
          </w:tcPr>
          <w:p w14:paraId="07B08D7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70</w:t>
            </w:r>
          </w:p>
        </w:tc>
      </w:tr>
      <w:tr w14:paraId="40783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7672BA1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石油类</w:t>
            </w:r>
          </w:p>
        </w:tc>
        <w:tc>
          <w:tcPr>
            <w:tcW w:w="658" w:type="pct"/>
            <w:tcBorders>
              <w:tl2br w:val="nil"/>
              <w:tr2bl w:val="nil"/>
            </w:tcBorders>
            <w:vAlign w:val="center"/>
          </w:tcPr>
          <w:p w14:paraId="258EDDA3">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0.22</w:t>
            </w:r>
          </w:p>
        </w:tc>
        <w:tc>
          <w:tcPr>
            <w:tcW w:w="833" w:type="pct"/>
            <w:tcBorders>
              <w:tl2br w:val="nil"/>
              <w:tr2bl w:val="nil"/>
            </w:tcBorders>
            <w:vAlign w:val="center"/>
          </w:tcPr>
          <w:p w14:paraId="3799711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0.21</w:t>
            </w:r>
          </w:p>
        </w:tc>
        <w:tc>
          <w:tcPr>
            <w:tcW w:w="833" w:type="pct"/>
            <w:tcBorders>
              <w:tl2br w:val="nil"/>
              <w:tr2bl w:val="nil"/>
            </w:tcBorders>
            <w:vAlign w:val="center"/>
          </w:tcPr>
          <w:p w14:paraId="0CCF80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0.11</w:t>
            </w:r>
          </w:p>
        </w:tc>
        <w:tc>
          <w:tcPr>
            <w:tcW w:w="834" w:type="pct"/>
            <w:tcBorders>
              <w:tl2br w:val="nil"/>
              <w:tr2bl w:val="nil"/>
            </w:tcBorders>
            <w:vAlign w:val="center"/>
          </w:tcPr>
          <w:p w14:paraId="539A304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0.13</w:t>
            </w:r>
          </w:p>
        </w:tc>
        <w:tc>
          <w:tcPr>
            <w:tcW w:w="833" w:type="pct"/>
            <w:tcBorders>
              <w:tl2br w:val="nil"/>
              <w:tr2bl w:val="nil"/>
            </w:tcBorders>
            <w:vAlign w:val="center"/>
          </w:tcPr>
          <w:p w14:paraId="661A88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w:t>
            </w:r>
          </w:p>
        </w:tc>
      </w:tr>
      <w:tr w14:paraId="2669F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31AFC014">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挥发酚</w:t>
            </w:r>
          </w:p>
        </w:tc>
        <w:tc>
          <w:tcPr>
            <w:tcW w:w="658" w:type="pct"/>
            <w:tcBorders>
              <w:tl2br w:val="nil"/>
              <w:tr2bl w:val="nil"/>
            </w:tcBorders>
            <w:vAlign w:val="center"/>
          </w:tcPr>
          <w:p w14:paraId="6B52A045">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6A7AB5B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2FAAD8C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834" w:type="pct"/>
            <w:tcBorders>
              <w:tl2br w:val="nil"/>
              <w:tr2bl w:val="nil"/>
            </w:tcBorders>
            <w:vAlign w:val="center"/>
          </w:tcPr>
          <w:p w14:paraId="43AC420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47872BB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17A6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27F58578">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六价铬</w:t>
            </w:r>
          </w:p>
        </w:tc>
        <w:tc>
          <w:tcPr>
            <w:tcW w:w="658" w:type="pct"/>
            <w:tcBorders>
              <w:tl2br w:val="nil"/>
              <w:tr2bl w:val="nil"/>
            </w:tcBorders>
            <w:vAlign w:val="center"/>
          </w:tcPr>
          <w:p w14:paraId="2E8EA64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59CD394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30E11AA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834" w:type="pct"/>
            <w:tcBorders>
              <w:tl2br w:val="nil"/>
              <w:tr2bl w:val="nil"/>
            </w:tcBorders>
            <w:vAlign w:val="center"/>
          </w:tcPr>
          <w:p w14:paraId="1F7DFCB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4ACD1B0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30BE5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17B58014">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氟化物</w:t>
            </w:r>
          </w:p>
        </w:tc>
        <w:tc>
          <w:tcPr>
            <w:tcW w:w="658" w:type="pct"/>
            <w:tcBorders>
              <w:tl2br w:val="nil"/>
              <w:tr2bl w:val="nil"/>
            </w:tcBorders>
            <w:vAlign w:val="center"/>
          </w:tcPr>
          <w:p w14:paraId="777E0CE3">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0.11</w:t>
            </w:r>
          </w:p>
        </w:tc>
        <w:tc>
          <w:tcPr>
            <w:tcW w:w="833" w:type="pct"/>
            <w:tcBorders>
              <w:tl2br w:val="nil"/>
              <w:tr2bl w:val="nil"/>
            </w:tcBorders>
            <w:vAlign w:val="center"/>
          </w:tcPr>
          <w:p w14:paraId="6C05E493">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0.10</w:t>
            </w:r>
          </w:p>
        </w:tc>
        <w:tc>
          <w:tcPr>
            <w:tcW w:w="833" w:type="pct"/>
            <w:tcBorders>
              <w:tl2br w:val="nil"/>
              <w:tr2bl w:val="nil"/>
            </w:tcBorders>
            <w:vAlign w:val="center"/>
          </w:tcPr>
          <w:p w14:paraId="5587409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0.09</w:t>
            </w:r>
          </w:p>
        </w:tc>
        <w:tc>
          <w:tcPr>
            <w:tcW w:w="834" w:type="pct"/>
            <w:tcBorders>
              <w:tl2br w:val="nil"/>
              <w:tr2bl w:val="nil"/>
            </w:tcBorders>
            <w:vAlign w:val="center"/>
          </w:tcPr>
          <w:p w14:paraId="6FB59B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0.07</w:t>
            </w:r>
          </w:p>
        </w:tc>
        <w:tc>
          <w:tcPr>
            <w:tcW w:w="833" w:type="pct"/>
            <w:tcBorders>
              <w:tl2br w:val="nil"/>
              <w:tr2bl w:val="nil"/>
            </w:tcBorders>
            <w:vAlign w:val="center"/>
          </w:tcPr>
          <w:p w14:paraId="584376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w:t>
            </w:r>
          </w:p>
        </w:tc>
      </w:tr>
      <w:tr w14:paraId="0BDA5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12BB5C2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硫化物</w:t>
            </w:r>
          </w:p>
        </w:tc>
        <w:tc>
          <w:tcPr>
            <w:tcW w:w="658" w:type="pct"/>
            <w:tcBorders>
              <w:tl2br w:val="nil"/>
              <w:tr2bl w:val="nil"/>
            </w:tcBorders>
            <w:vAlign w:val="center"/>
          </w:tcPr>
          <w:p w14:paraId="338F311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4D80C47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3C6C032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834" w:type="pct"/>
            <w:tcBorders>
              <w:tl2br w:val="nil"/>
              <w:tr2bl w:val="nil"/>
            </w:tcBorders>
            <w:vAlign w:val="center"/>
          </w:tcPr>
          <w:p w14:paraId="2D4BE1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5885A7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w:t>
            </w:r>
          </w:p>
        </w:tc>
      </w:tr>
      <w:tr w14:paraId="732BB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194630C4">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汞</w:t>
            </w:r>
          </w:p>
        </w:tc>
        <w:tc>
          <w:tcPr>
            <w:tcW w:w="658" w:type="pct"/>
            <w:tcBorders>
              <w:tl2br w:val="nil"/>
              <w:tr2bl w:val="nil"/>
            </w:tcBorders>
            <w:vAlign w:val="center"/>
          </w:tcPr>
          <w:p w14:paraId="323C01D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833" w:type="pct"/>
            <w:tcBorders>
              <w:tl2br w:val="nil"/>
              <w:tr2bl w:val="nil"/>
            </w:tcBorders>
            <w:vAlign w:val="center"/>
          </w:tcPr>
          <w:p w14:paraId="7A8E998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833" w:type="pct"/>
            <w:tcBorders>
              <w:tl2br w:val="nil"/>
              <w:tr2bl w:val="nil"/>
            </w:tcBorders>
            <w:vAlign w:val="center"/>
          </w:tcPr>
          <w:p w14:paraId="5CFE3A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0.00004L</w:t>
            </w:r>
          </w:p>
        </w:tc>
        <w:tc>
          <w:tcPr>
            <w:tcW w:w="834" w:type="pct"/>
            <w:tcBorders>
              <w:tl2br w:val="nil"/>
              <w:tr2bl w:val="nil"/>
            </w:tcBorders>
            <w:vAlign w:val="center"/>
          </w:tcPr>
          <w:p w14:paraId="5C547AF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0.00004L</w:t>
            </w:r>
          </w:p>
        </w:tc>
        <w:tc>
          <w:tcPr>
            <w:tcW w:w="833" w:type="pct"/>
            <w:tcBorders>
              <w:tl2br w:val="nil"/>
              <w:tr2bl w:val="nil"/>
            </w:tcBorders>
            <w:vAlign w:val="center"/>
          </w:tcPr>
          <w:p w14:paraId="1CBF52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r>
      <w:tr w14:paraId="0D256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5E57935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砷</w:t>
            </w:r>
          </w:p>
        </w:tc>
        <w:tc>
          <w:tcPr>
            <w:tcW w:w="658" w:type="pct"/>
            <w:tcBorders>
              <w:tl2br w:val="nil"/>
              <w:tr2bl w:val="nil"/>
            </w:tcBorders>
            <w:vAlign w:val="center"/>
          </w:tcPr>
          <w:p w14:paraId="4D89AC95">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0.0212</w:t>
            </w:r>
          </w:p>
        </w:tc>
        <w:tc>
          <w:tcPr>
            <w:tcW w:w="833" w:type="pct"/>
            <w:tcBorders>
              <w:tl2br w:val="nil"/>
              <w:tr2bl w:val="nil"/>
            </w:tcBorders>
            <w:vAlign w:val="center"/>
          </w:tcPr>
          <w:p w14:paraId="232F6EC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0.0221</w:t>
            </w:r>
          </w:p>
        </w:tc>
        <w:tc>
          <w:tcPr>
            <w:tcW w:w="833" w:type="pct"/>
            <w:tcBorders>
              <w:tl2br w:val="nil"/>
              <w:tr2bl w:val="nil"/>
            </w:tcBorders>
            <w:vAlign w:val="center"/>
          </w:tcPr>
          <w:p w14:paraId="2DA12A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0.0004</w:t>
            </w:r>
          </w:p>
        </w:tc>
        <w:tc>
          <w:tcPr>
            <w:tcW w:w="834" w:type="pct"/>
            <w:tcBorders>
              <w:tl2br w:val="nil"/>
              <w:tr2bl w:val="nil"/>
            </w:tcBorders>
            <w:vAlign w:val="center"/>
          </w:tcPr>
          <w:p w14:paraId="465E5B7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833" w:type="pct"/>
            <w:tcBorders>
              <w:tl2br w:val="nil"/>
              <w:tr2bl w:val="nil"/>
            </w:tcBorders>
            <w:vAlign w:val="center"/>
          </w:tcPr>
          <w:p w14:paraId="7206F3D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w:t>
            </w:r>
          </w:p>
        </w:tc>
      </w:tr>
      <w:tr w14:paraId="19D99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1E855E88">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硒</w:t>
            </w:r>
          </w:p>
        </w:tc>
        <w:tc>
          <w:tcPr>
            <w:tcW w:w="658" w:type="pct"/>
            <w:tcBorders>
              <w:tl2br w:val="nil"/>
              <w:tr2bl w:val="nil"/>
            </w:tcBorders>
            <w:vAlign w:val="center"/>
          </w:tcPr>
          <w:p w14:paraId="1DBAD13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833" w:type="pct"/>
            <w:tcBorders>
              <w:tl2br w:val="nil"/>
              <w:tr2bl w:val="nil"/>
            </w:tcBorders>
            <w:vAlign w:val="center"/>
          </w:tcPr>
          <w:p w14:paraId="64C8D12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833" w:type="pct"/>
            <w:tcBorders>
              <w:tl2br w:val="nil"/>
              <w:tr2bl w:val="nil"/>
            </w:tcBorders>
            <w:vAlign w:val="center"/>
          </w:tcPr>
          <w:p w14:paraId="7BA2ACF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0.0004L</w:t>
            </w:r>
          </w:p>
        </w:tc>
        <w:tc>
          <w:tcPr>
            <w:tcW w:w="834" w:type="pct"/>
            <w:tcBorders>
              <w:tl2br w:val="nil"/>
              <w:tr2bl w:val="nil"/>
            </w:tcBorders>
            <w:vAlign w:val="center"/>
          </w:tcPr>
          <w:p w14:paraId="10C3D7F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0.0004L</w:t>
            </w:r>
          </w:p>
        </w:tc>
        <w:tc>
          <w:tcPr>
            <w:tcW w:w="833" w:type="pct"/>
            <w:tcBorders>
              <w:tl2br w:val="nil"/>
              <w:tr2bl w:val="nil"/>
            </w:tcBorders>
            <w:vAlign w:val="center"/>
          </w:tcPr>
          <w:p w14:paraId="32C8429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982C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3F688F8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锑</w:t>
            </w:r>
          </w:p>
        </w:tc>
        <w:tc>
          <w:tcPr>
            <w:tcW w:w="658" w:type="pct"/>
            <w:tcBorders>
              <w:tl2br w:val="nil"/>
              <w:tr2bl w:val="nil"/>
            </w:tcBorders>
            <w:vAlign w:val="center"/>
          </w:tcPr>
          <w:p w14:paraId="2941E2B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2.33</w:t>
            </w:r>
          </w:p>
        </w:tc>
        <w:tc>
          <w:tcPr>
            <w:tcW w:w="833" w:type="pct"/>
            <w:tcBorders>
              <w:tl2br w:val="nil"/>
              <w:tr2bl w:val="nil"/>
            </w:tcBorders>
            <w:vAlign w:val="center"/>
          </w:tcPr>
          <w:p w14:paraId="01A31A29">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2.26</w:t>
            </w:r>
          </w:p>
        </w:tc>
        <w:tc>
          <w:tcPr>
            <w:tcW w:w="833" w:type="pct"/>
            <w:tcBorders>
              <w:tl2br w:val="nil"/>
              <w:tr2bl w:val="nil"/>
            </w:tcBorders>
            <w:vAlign w:val="center"/>
          </w:tcPr>
          <w:p w14:paraId="2B400BC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0.0836</w:t>
            </w:r>
          </w:p>
        </w:tc>
        <w:tc>
          <w:tcPr>
            <w:tcW w:w="834" w:type="pct"/>
            <w:tcBorders>
              <w:tl2br w:val="nil"/>
              <w:tr2bl w:val="nil"/>
            </w:tcBorders>
            <w:vAlign w:val="center"/>
          </w:tcPr>
          <w:p w14:paraId="56AE256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0.0635</w:t>
            </w:r>
          </w:p>
        </w:tc>
        <w:tc>
          <w:tcPr>
            <w:tcW w:w="833" w:type="pct"/>
            <w:tcBorders>
              <w:tl2br w:val="nil"/>
              <w:tr2bl w:val="nil"/>
            </w:tcBorders>
            <w:vAlign w:val="center"/>
          </w:tcPr>
          <w:p w14:paraId="206FA4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0.15</w:t>
            </w:r>
          </w:p>
        </w:tc>
      </w:tr>
      <w:tr w14:paraId="5639B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4C8E4069">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铅</w:t>
            </w:r>
          </w:p>
        </w:tc>
        <w:tc>
          <w:tcPr>
            <w:tcW w:w="658" w:type="pct"/>
            <w:tcBorders>
              <w:tl2br w:val="nil"/>
              <w:tr2bl w:val="nil"/>
            </w:tcBorders>
            <w:vAlign w:val="center"/>
          </w:tcPr>
          <w:p w14:paraId="215533F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833" w:type="pct"/>
            <w:tcBorders>
              <w:tl2br w:val="nil"/>
              <w:tr2bl w:val="nil"/>
            </w:tcBorders>
            <w:vAlign w:val="center"/>
          </w:tcPr>
          <w:p w14:paraId="29E1EA75">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833" w:type="pct"/>
            <w:tcBorders>
              <w:tl2br w:val="nil"/>
              <w:tr2bl w:val="nil"/>
            </w:tcBorders>
            <w:vAlign w:val="center"/>
          </w:tcPr>
          <w:p w14:paraId="12C2BA4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834" w:type="pct"/>
            <w:tcBorders>
              <w:tl2br w:val="nil"/>
              <w:tr2bl w:val="nil"/>
            </w:tcBorders>
            <w:vAlign w:val="center"/>
          </w:tcPr>
          <w:p w14:paraId="3B416BC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833" w:type="pct"/>
            <w:tcBorders>
              <w:tl2br w:val="nil"/>
              <w:tr2bl w:val="nil"/>
            </w:tcBorders>
            <w:vAlign w:val="center"/>
          </w:tcPr>
          <w:p w14:paraId="6909F4A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5EE81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7BED3167">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铬</w:t>
            </w:r>
          </w:p>
        </w:tc>
        <w:tc>
          <w:tcPr>
            <w:tcW w:w="658" w:type="pct"/>
            <w:tcBorders>
              <w:tl2br w:val="nil"/>
              <w:tr2bl w:val="nil"/>
            </w:tcBorders>
            <w:vAlign w:val="center"/>
          </w:tcPr>
          <w:p w14:paraId="1DA0C64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34CBBA09">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444481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834" w:type="pct"/>
            <w:tcBorders>
              <w:tl2br w:val="nil"/>
              <w:tr2bl w:val="nil"/>
            </w:tcBorders>
            <w:vAlign w:val="center"/>
          </w:tcPr>
          <w:p w14:paraId="1B3924B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6F5138F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74BF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1CB3C8F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锌</w:t>
            </w:r>
          </w:p>
        </w:tc>
        <w:tc>
          <w:tcPr>
            <w:tcW w:w="658" w:type="pct"/>
            <w:tcBorders>
              <w:tl2br w:val="nil"/>
              <w:tr2bl w:val="nil"/>
            </w:tcBorders>
            <w:vAlign w:val="center"/>
          </w:tcPr>
          <w:p w14:paraId="411748C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7D1584D5">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2EF2697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c>
          <w:tcPr>
            <w:tcW w:w="834" w:type="pct"/>
            <w:tcBorders>
              <w:tl2br w:val="nil"/>
              <w:tr2bl w:val="nil"/>
            </w:tcBorders>
            <w:vAlign w:val="center"/>
          </w:tcPr>
          <w:p w14:paraId="6DF6C63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74669A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r>
      <w:tr w14:paraId="733F3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7BD2C67E">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铜</w:t>
            </w:r>
          </w:p>
        </w:tc>
        <w:tc>
          <w:tcPr>
            <w:tcW w:w="658" w:type="pct"/>
            <w:tcBorders>
              <w:tl2br w:val="nil"/>
              <w:tr2bl w:val="nil"/>
            </w:tcBorders>
            <w:vAlign w:val="center"/>
          </w:tcPr>
          <w:p w14:paraId="55AF4B99">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70139F8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70F099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c>
          <w:tcPr>
            <w:tcW w:w="834" w:type="pct"/>
            <w:tcBorders>
              <w:tl2br w:val="nil"/>
              <w:tr2bl w:val="nil"/>
            </w:tcBorders>
            <w:vAlign w:val="center"/>
          </w:tcPr>
          <w:p w14:paraId="39A0EE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1B9B9D6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557D0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53A39492">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镉</w:t>
            </w:r>
          </w:p>
        </w:tc>
        <w:tc>
          <w:tcPr>
            <w:tcW w:w="658" w:type="pct"/>
            <w:tcBorders>
              <w:tl2br w:val="nil"/>
              <w:tr2bl w:val="nil"/>
            </w:tcBorders>
            <w:vAlign w:val="center"/>
          </w:tcPr>
          <w:p w14:paraId="5488C71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833" w:type="pct"/>
            <w:tcBorders>
              <w:tl2br w:val="nil"/>
              <w:tr2bl w:val="nil"/>
            </w:tcBorders>
            <w:vAlign w:val="center"/>
          </w:tcPr>
          <w:p w14:paraId="06BAD85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833" w:type="pct"/>
            <w:tcBorders>
              <w:tl2br w:val="nil"/>
              <w:tr2bl w:val="nil"/>
            </w:tcBorders>
            <w:vAlign w:val="center"/>
          </w:tcPr>
          <w:p w14:paraId="4A0037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0.0001L</w:t>
            </w:r>
          </w:p>
        </w:tc>
        <w:tc>
          <w:tcPr>
            <w:tcW w:w="834" w:type="pct"/>
            <w:tcBorders>
              <w:tl2br w:val="nil"/>
              <w:tr2bl w:val="nil"/>
            </w:tcBorders>
            <w:vAlign w:val="center"/>
          </w:tcPr>
          <w:p w14:paraId="5BB1E2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0.0001L</w:t>
            </w:r>
          </w:p>
        </w:tc>
        <w:tc>
          <w:tcPr>
            <w:tcW w:w="833" w:type="pct"/>
            <w:tcBorders>
              <w:tl2br w:val="nil"/>
              <w:tr2bl w:val="nil"/>
            </w:tcBorders>
            <w:vAlign w:val="center"/>
          </w:tcPr>
          <w:p w14:paraId="1AB84B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r>
      <w:tr w14:paraId="5C7D8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141BFB0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铁</w:t>
            </w:r>
          </w:p>
        </w:tc>
        <w:tc>
          <w:tcPr>
            <w:tcW w:w="658" w:type="pct"/>
            <w:tcBorders>
              <w:tl2br w:val="nil"/>
              <w:tr2bl w:val="nil"/>
            </w:tcBorders>
            <w:vAlign w:val="center"/>
          </w:tcPr>
          <w:p w14:paraId="097E96F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38817D8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232C8C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0.03L</w:t>
            </w:r>
          </w:p>
        </w:tc>
        <w:tc>
          <w:tcPr>
            <w:tcW w:w="834" w:type="pct"/>
            <w:tcBorders>
              <w:tl2br w:val="nil"/>
              <w:tr2bl w:val="nil"/>
            </w:tcBorders>
            <w:vAlign w:val="center"/>
          </w:tcPr>
          <w:p w14:paraId="79A95F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3A250E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B196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5262CA8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铍</w:t>
            </w:r>
          </w:p>
        </w:tc>
        <w:tc>
          <w:tcPr>
            <w:tcW w:w="658" w:type="pct"/>
            <w:tcBorders>
              <w:tl2br w:val="nil"/>
              <w:tr2bl w:val="nil"/>
            </w:tcBorders>
            <w:vAlign w:val="center"/>
          </w:tcPr>
          <w:p w14:paraId="6ABB6FE0">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833" w:type="pct"/>
            <w:tcBorders>
              <w:tl2br w:val="nil"/>
              <w:tr2bl w:val="nil"/>
            </w:tcBorders>
            <w:vAlign w:val="center"/>
          </w:tcPr>
          <w:p w14:paraId="3633450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833" w:type="pct"/>
            <w:tcBorders>
              <w:tl2br w:val="nil"/>
              <w:tr2bl w:val="nil"/>
            </w:tcBorders>
            <w:vAlign w:val="center"/>
          </w:tcPr>
          <w:p w14:paraId="71298C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0.0002L</w:t>
            </w:r>
          </w:p>
        </w:tc>
        <w:tc>
          <w:tcPr>
            <w:tcW w:w="834" w:type="pct"/>
            <w:tcBorders>
              <w:tl2br w:val="nil"/>
              <w:tr2bl w:val="nil"/>
            </w:tcBorders>
            <w:vAlign w:val="center"/>
          </w:tcPr>
          <w:p w14:paraId="4CC23C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0.0002L</w:t>
            </w:r>
          </w:p>
        </w:tc>
        <w:tc>
          <w:tcPr>
            <w:tcW w:w="833" w:type="pct"/>
            <w:tcBorders>
              <w:tl2br w:val="nil"/>
              <w:tr2bl w:val="nil"/>
            </w:tcBorders>
            <w:vAlign w:val="center"/>
          </w:tcPr>
          <w:p w14:paraId="1C9771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FFA2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05" w:type="pct"/>
            <w:tcBorders>
              <w:tl2br w:val="nil"/>
              <w:tr2bl w:val="nil"/>
            </w:tcBorders>
            <w:vAlign w:val="center"/>
          </w:tcPr>
          <w:p w14:paraId="3D3F7CB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镍</w:t>
            </w:r>
          </w:p>
        </w:tc>
        <w:tc>
          <w:tcPr>
            <w:tcW w:w="658" w:type="pct"/>
            <w:tcBorders>
              <w:tl2br w:val="nil"/>
              <w:tr2bl w:val="nil"/>
            </w:tcBorders>
            <w:vAlign w:val="center"/>
          </w:tcPr>
          <w:p w14:paraId="71B42E7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2B3914A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69596E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c>
          <w:tcPr>
            <w:tcW w:w="834" w:type="pct"/>
            <w:tcBorders>
              <w:tl2br w:val="nil"/>
              <w:tr2bl w:val="nil"/>
            </w:tcBorders>
            <w:vAlign w:val="center"/>
          </w:tcPr>
          <w:p w14:paraId="4196720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4F9677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201F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5C184409">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银</w:t>
            </w:r>
          </w:p>
        </w:tc>
        <w:tc>
          <w:tcPr>
            <w:tcW w:w="658" w:type="pct"/>
            <w:tcBorders>
              <w:tl2br w:val="nil"/>
              <w:tr2bl w:val="nil"/>
            </w:tcBorders>
            <w:vAlign w:val="center"/>
          </w:tcPr>
          <w:p w14:paraId="3EFF8FE7">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3E6DFE0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14D1A5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0.03L</w:t>
            </w:r>
          </w:p>
        </w:tc>
        <w:tc>
          <w:tcPr>
            <w:tcW w:w="834" w:type="pct"/>
            <w:tcBorders>
              <w:tl2br w:val="nil"/>
              <w:tr2bl w:val="nil"/>
            </w:tcBorders>
            <w:vAlign w:val="center"/>
          </w:tcPr>
          <w:p w14:paraId="35B990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7F059E1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937B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5" w:type="pct"/>
            <w:tcBorders>
              <w:tl2br w:val="nil"/>
              <w:tr2bl w:val="nil"/>
            </w:tcBorders>
            <w:vAlign w:val="center"/>
          </w:tcPr>
          <w:p w14:paraId="58B45C8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铊</w:t>
            </w:r>
          </w:p>
        </w:tc>
        <w:tc>
          <w:tcPr>
            <w:tcW w:w="658" w:type="pct"/>
            <w:tcBorders>
              <w:tl2br w:val="nil"/>
              <w:tr2bl w:val="nil"/>
            </w:tcBorders>
            <w:vAlign w:val="center"/>
          </w:tcPr>
          <w:p w14:paraId="51AA1CA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w:t>
            </w:r>
            <w:r>
              <w:rPr>
                <w:rFonts w:hint="eastAsia"/>
                <w:color w:val="auto"/>
                <w:highlight w:val="none"/>
                <w:lang w:val="en-US" w:eastAsia="zh-CN"/>
              </w:rPr>
              <w:t>0</w:t>
            </w:r>
            <w:r>
              <w:rPr>
                <w:rFonts w:hint="default"/>
                <w:color w:val="auto"/>
                <w:highlight w:val="none"/>
                <w:lang w:val="en-US" w:eastAsia="zh-CN"/>
              </w:rPr>
              <w:t>2L</w:t>
            </w:r>
          </w:p>
        </w:tc>
        <w:tc>
          <w:tcPr>
            <w:tcW w:w="833" w:type="pct"/>
            <w:tcBorders>
              <w:tl2br w:val="nil"/>
              <w:tr2bl w:val="nil"/>
            </w:tcBorders>
            <w:vAlign w:val="center"/>
          </w:tcPr>
          <w:p w14:paraId="7D34E69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w:t>
            </w:r>
            <w:r>
              <w:rPr>
                <w:rFonts w:hint="eastAsia"/>
                <w:color w:val="auto"/>
                <w:highlight w:val="none"/>
                <w:lang w:val="en-US" w:eastAsia="zh-CN"/>
              </w:rPr>
              <w:t>0</w:t>
            </w:r>
            <w:r>
              <w:rPr>
                <w:rFonts w:hint="default"/>
                <w:color w:val="auto"/>
                <w:highlight w:val="none"/>
                <w:lang w:val="en-US" w:eastAsia="zh-CN"/>
              </w:rPr>
              <w:t>2L</w:t>
            </w:r>
          </w:p>
        </w:tc>
        <w:tc>
          <w:tcPr>
            <w:tcW w:w="833" w:type="pct"/>
            <w:tcBorders>
              <w:tl2br w:val="nil"/>
              <w:tr2bl w:val="nil"/>
            </w:tcBorders>
            <w:vAlign w:val="center"/>
          </w:tcPr>
          <w:p w14:paraId="05FC520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w:t>
            </w:r>
            <w:r>
              <w:rPr>
                <w:rFonts w:hint="eastAsia"/>
                <w:color w:val="auto"/>
                <w:highlight w:val="none"/>
                <w:lang w:val="en-US" w:eastAsia="zh-CN"/>
              </w:rPr>
              <w:t>0</w:t>
            </w:r>
            <w:r>
              <w:rPr>
                <w:rFonts w:hint="default"/>
                <w:color w:val="auto"/>
                <w:highlight w:val="none"/>
                <w:lang w:val="en-US" w:eastAsia="zh-CN"/>
              </w:rPr>
              <w:t>2L</w:t>
            </w:r>
          </w:p>
        </w:tc>
        <w:tc>
          <w:tcPr>
            <w:tcW w:w="834" w:type="pct"/>
            <w:tcBorders>
              <w:tl2br w:val="nil"/>
              <w:tr2bl w:val="nil"/>
            </w:tcBorders>
            <w:vAlign w:val="center"/>
          </w:tcPr>
          <w:p w14:paraId="0147F64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w:t>
            </w:r>
            <w:r>
              <w:rPr>
                <w:rFonts w:hint="eastAsia"/>
                <w:color w:val="auto"/>
                <w:highlight w:val="none"/>
                <w:lang w:val="en-US" w:eastAsia="zh-CN"/>
              </w:rPr>
              <w:t>0</w:t>
            </w:r>
            <w:r>
              <w:rPr>
                <w:rFonts w:hint="default"/>
                <w:color w:val="auto"/>
                <w:highlight w:val="none"/>
                <w:lang w:val="en-US" w:eastAsia="zh-CN"/>
              </w:rPr>
              <w:t>2L</w:t>
            </w:r>
          </w:p>
        </w:tc>
        <w:tc>
          <w:tcPr>
            <w:tcW w:w="833" w:type="pct"/>
            <w:tcBorders>
              <w:tl2br w:val="nil"/>
              <w:tr2bl w:val="nil"/>
            </w:tcBorders>
            <w:vAlign w:val="center"/>
          </w:tcPr>
          <w:p w14:paraId="1CE5ADE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0.005</w:t>
            </w:r>
          </w:p>
        </w:tc>
      </w:tr>
    </w:tbl>
    <w:p w14:paraId="33B9EC83">
      <w:pPr>
        <w:widowControl w:val="0"/>
        <w:tabs>
          <w:tab w:val="left" w:pos="1021"/>
        </w:tabs>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根据202</w:t>
      </w:r>
      <w:r>
        <w:rPr>
          <w:rFonts w:hint="eastAsia" w:cs="Times New Roman"/>
          <w:color w:val="auto"/>
          <w:kern w:val="2"/>
          <w:sz w:val="24"/>
          <w:highlight w:val="none"/>
          <w:lang w:val="en-US" w:eastAsia="zh-CN" w:bidi="ar-SA"/>
        </w:rPr>
        <w:t>4</w:t>
      </w:r>
      <w:r>
        <w:rPr>
          <w:rFonts w:hint="eastAsia" w:ascii="Times New Roman" w:hAnsi="Times New Roman" w:eastAsia="宋体" w:cs="Times New Roman"/>
          <w:color w:val="auto"/>
          <w:kern w:val="2"/>
          <w:sz w:val="24"/>
          <w:highlight w:val="none"/>
          <w:lang w:val="en-US" w:eastAsia="zh-CN" w:bidi="ar-SA"/>
        </w:rPr>
        <w:t>年</w:t>
      </w:r>
      <w:r>
        <w:rPr>
          <w:rFonts w:hint="eastAsia" w:cs="Times New Roman"/>
          <w:color w:val="auto"/>
          <w:kern w:val="2"/>
          <w:sz w:val="24"/>
          <w:highlight w:val="none"/>
          <w:lang w:val="en-US" w:eastAsia="zh-CN" w:bidi="ar-SA"/>
        </w:rPr>
        <w:t>5月补充监测</w:t>
      </w:r>
      <w:r>
        <w:rPr>
          <w:rFonts w:hint="eastAsia" w:ascii="Times New Roman" w:hAnsi="Times New Roman" w:eastAsia="宋体" w:cs="Times New Roman"/>
          <w:color w:val="auto"/>
          <w:kern w:val="2"/>
          <w:sz w:val="24"/>
          <w:highlight w:val="none"/>
          <w:lang w:val="en-US" w:eastAsia="zh-CN" w:bidi="ar-SA"/>
        </w:rPr>
        <w:t>，废水处理站出水水质可满足本项目排放标准。</w:t>
      </w:r>
    </w:p>
    <w:p w14:paraId="4F97334C">
      <w:pPr>
        <w:pStyle w:val="2"/>
        <w:rPr>
          <w:rFonts w:hint="eastAsia"/>
          <w:color w:val="auto"/>
          <w:highlight w:val="none"/>
          <w:lang w:val="en-US" w:eastAsia="zh-CN"/>
        </w:rPr>
      </w:pPr>
    </w:p>
    <w:p w14:paraId="019BD235">
      <w:pPr>
        <w:pStyle w:val="36"/>
        <w:bidi w:val="0"/>
        <w:rPr>
          <w:rFonts w:hint="eastAsia" w:ascii="Times New Roman" w:hAnsi="Times New Roman" w:cs="Times New Roman"/>
          <w:color w:val="auto"/>
          <w:highlight w:val="none"/>
          <w:lang w:val="en-US" w:eastAsia="zh-CN"/>
        </w:rPr>
      </w:pPr>
      <w:bookmarkStart w:id="46" w:name="_Toc27604"/>
      <w:r>
        <w:rPr>
          <w:rFonts w:hint="eastAsia" w:ascii="Times New Roman" w:hAnsi="Times New Roman" w:cs="Times New Roman"/>
          <w:color w:val="auto"/>
          <w:highlight w:val="none"/>
          <w:lang w:val="en-US" w:eastAsia="zh-CN"/>
        </w:rPr>
        <w:t>项目所在区域概况</w:t>
      </w:r>
      <w:bookmarkEnd w:id="46"/>
    </w:p>
    <w:p w14:paraId="6FD4BC97">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地理位置</w:t>
      </w:r>
    </w:p>
    <w:p w14:paraId="44FD2015">
      <w:pPr>
        <w:pStyle w:val="2"/>
        <w:rPr>
          <w:rFonts w:hint="eastAsia" w:eastAsia="宋体"/>
          <w:color w:val="auto"/>
          <w:highlight w:val="none"/>
          <w:lang w:val="en-US" w:eastAsia="zh-CN"/>
        </w:rPr>
      </w:pPr>
      <w:r>
        <w:rPr>
          <w:rFonts w:hint="eastAsia"/>
          <w:color w:val="auto"/>
          <w:highlight w:val="none"/>
          <w:lang w:val="en-US" w:eastAsia="zh-CN"/>
        </w:rPr>
        <w:t>本项目位于安化县奎溪镇，距离奎溪镇镇区500m，距离安化县直线距离40km。厂址中心点坐标为</w:t>
      </w:r>
      <w:r>
        <w:rPr>
          <w:rFonts w:hint="default"/>
          <w:color w:val="auto"/>
          <w:highlight w:val="none"/>
          <w:lang w:val="en-US" w:eastAsia="zh-CN"/>
        </w:rPr>
        <w:t>E110°49′53.23865″，N28°15′46.50425″</w:t>
      </w:r>
      <w:r>
        <w:rPr>
          <w:rFonts w:hint="eastAsia" w:ascii="Times New Roman" w:hAnsi="Times New Roman" w:cs="Times New Roman"/>
          <w:color w:val="auto"/>
          <w:highlight w:val="none"/>
          <w:lang w:val="en-US" w:eastAsia="zh-CN"/>
        </w:rPr>
        <w:t>，具体位置见附图</w:t>
      </w:r>
      <w:r>
        <w:rPr>
          <w:rFonts w:hint="eastAsia"/>
          <w:color w:val="auto"/>
          <w:highlight w:val="none"/>
          <w:lang w:val="en-US" w:eastAsia="zh-CN"/>
        </w:rPr>
        <w:t>1</w:t>
      </w:r>
    </w:p>
    <w:p w14:paraId="7C16C637">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地形地貌</w:t>
      </w:r>
    </w:p>
    <w:p w14:paraId="5185B4D7">
      <w:pPr>
        <w:pStyle w:val="2"/>
        <w:rPr>
          <w:rFonts w:hint="default"/>
          <w:color w:val="auto"/>
          <w:highlight w:val="none"/>
          <w:lang w:val="en-US" w:eastAsia="zh-CN"/>
        </w:rPr>
      </w:pPr>
      <w:r>
        <w:rPr>
          <w:rFonts w:hint="eastAsia"/>
          <w:color w:val="auto"/>
          <w:highlight w:val="none"/>
          <w:lang w:val="en-US" w:eastAsia="zh-CN"/>
        </w:rPr>
        <w:t>渣滓溪锑矿区位于资、沅两水系之分水岭地带。区内地势险峻，北高南低，地形切割强烈，北西-北北西向V型发育。地形海拔高一般300~600m，最高点位于矿区西北角，海拔标高817.0m，区内地形最低为鹅梨湾，海拔标高261.8m，高差555.2m，地形坡度一般为20~30</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，属中低山区，构造侵蚀地形。残坡积层厚0~18</w:t>
      </w:r>
      <w:r>
        <w:rPr>
          <w:rFonts w:hint="eastAsia"/>
          <w:color w:val="auto"/>
          <w:highlight w:val="none"/>
          <w:lang w:val="en-US" w:eastAsia="zh-CN"/>
        </w:rPr>
        <w:t>m，植被发育。根据《中国地震烈度区划图》，安化县属地震烈度小于6度的地震区。</w:t>
      </w:r>
    </w:p>
    <w:p w14:paraId="5D3E75CD">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水文</w:t>
      </w:r>
    </w:p>
    <w:p w14:paraId="09B514DD">
      <w:pPr>
        <w:pStyle w:val="2"/>
        <w:rPr>
          <w:rFonts w:hint="eastAsia"/>
          <w:color w:val="auto"/>
          <w:highlight w:val="none"/>
          <w:lang w:val="en-US" w:eastAsia="zh-CN"/>
        </w:rPr>
      </w:pPr>
      <w:r>
        <w:rPr>
          <w:rFonts w:hint="eastAsia"/>
          <w:color w:val="auto"/>
          <w:highlight w:val="none"/>
          <w:lang w:val="en-US" w:eastAsia="zh-CN"/>
        </w:rPr>
        <w:t>（1）渣滓溪</w:t>
      </w:r>
    </w:p>
    <w:p w14:paraId="06B28436">
      <w:pPr>
        <w:pStyle w:val="2"/>
        <w:rPr>
          <w:rFonts w:hint="eastAsia"/>
          <w:color w:val="auto"/>
          <w:highlight w:val="none"/>
          <w:lang w:val="en-US" w:eastAsia="zh-CN"/>
        </w:rPr>
      </w:pPr>
      <w:r>
        <w:rPr>
          <w:rFonts w:hint="eastAsia"/>
          <w:color w:val="auto"/>
          <w:highlight w:val="none"/>
          <w:lang w:val="en-US" w:eastAsia="zh-CN"/>
        </w:rPr>
        <w:t>渣滓溪是白茅溪的一级支流，发源于安化县奎溪镇白洋村，流经奎溪镇、白洋村，于白洋村汇入白茅溪，主河道流向为由北向南，长度3.606km，总流域面积4.042km</w:t>
      </w:r>
      <w:r>
        <w:rPr>
          <w:rFonts w:hint="eastAsia"/>
          <w:color w:val="auto"/>
          <w:highlight w:val="none"/>
          <w:vertAlign w:val="superscript"/>
          <w:lang w:val="en-US" w:eastAsia="zh-CN"/>
        </w:rPr>
        <w:t>2</w:t>
      </w:r>
      <w:r>
        <w:rPr>
          <w:rFonts w:hint="eastAsia"/>
          <w:color w:val="auto"/>
          <w:highlight w:val="none"/>
          <w:lang w:val="en-US" w:eastAsia="zh-CN"/>
        </w:rPr>
        <w:t>，总落差147m，平均坡降40.77‰，多年平均流量0.192m</w:t>
      </w:r>
      <w:r>
        <w:rPr>
          <w:rFonts w:hint="eastAsia"/>
          <w:color w:val="auto"/>
          <w:highlight w:val="none"/>
          <w:vertAlign w:val="superscript"/>
          <w:lang w:val="en-US" w:eastAsia="zh-CN"/>
        </w:rPr>
        <w:t>3</w:t>
      </w:r>
      <w:r>
        <w:rPr>
          <w:rFonts w:hint="eastAsia"/>
          <w:color w:val="auto"/>
          <w:highlight w:val="none"/>
          <w:lang w:val="en-US" w:eastAsia="zh-CN"/>
        </w:rPr>
        <w:t>/s，枯水期流量为0.024m</w:t>
      </w:r>
      <w:r>
        <w:rPr>
          <w:rFonts w:hint="eastAsia"/>
          <w:color w:val="auto"/>
          <w:highlight w:val="none"/>
          <w:vertAlign w:val="superscript"/>
          <w:lang w:val="en-US" w:eastAsia="zh-CN"/>
        </w:rPr>
        <w:t>3</w:t>
      </w:r>
      <w:r>
        <w:rPr>
          <w:rFonts w:hint="eastAsia"/>
          <w:color w:val="auto"/>
          <w:highlight w:val="none"/>
          <w:lang w:val="en-US" w:eastAsia="zh-CN"/>
        </w:rPr>
        <w:t>/s，丰水期最大流量为0.732m</w:t>
      </w:r>
      <w:r>
        <w:rPr>
          <w:rFonts w:hint="eastAsia"/>
          <w:color w:val="auto"/>
          <w:highlight w:val="none"/>
          <w:vertAlign w:val="superscript"/>
          <w:lang w:val="en-US" w:eastAsia="zh-CN"/>
        </w:rPr>
        <w:t>3</w:t>
      </w:r>
      <w:r>
        <w:rPr>
          <w:rFonts w:hint="eastAsia"/>
          <w:color w:val="auto"/>
          <w:highlight w:val="none"/>
          <w:lang w:val="en-US" w:eastAsia="zh-CN"/>
        </w:rPr>
        <w:t>/s。</w:t>
      </w:r>
    </w:p>
    <w:p w14:paraId="149266EA">
      <w:pPr>
        <w:pStyle w:val="2"/>
        <w:rPr>
          <w:rFonts w:hint="eastAsia"/>
          <w:color w:val="auto"/>
          <w:highlight w:val="none"/>
          <w:lang w:val="en-US" w:eastAsia="zh-CN"/>
        </w:rPr>
      </w:pPr>
      <w:r>
        <w:rPr>
          <w:rFonts w:hint="eastAsia"/>
          <w:color w:val="auto"/>
          <w:highlight w:val="none"/>
          <w:lang w:val="en-US" w:eastAsia="zh-CN"/>
        </w:rPr>
        <w:t>根据《益阳市水功能区划》（益阳市水利局，2012年12月），渣滓溪未划定水功能区。渣滓溪目前开发利用程度较低、仅有少量农田灌溉且取用水量较小，参照执行《地表水环境质量标准》（GB3838-2002）中Ⅲ类水域标准。</w:t>
      </w:r>
    </w:p>
    <w:p w14:paraId="161FB667">
      <w:pPr>
        <w:pStyle w:val="2"/>
        <w:rPr>
          <w:rFonts w:hint="eastAsia"/>
          <w:color w:val="auto"/>
          <w:highlight w:val="none"/>
          <w:lang w:val="en-US" w:eastAsia="zh-CN"/>
        </w:rPr>
      </w:pPr>
      <w:r>
        <w:rPr>
          <w:rFonts w:hint="eastAsia"/>
          <w:color w:val="auto"/>
          <w:highlight w:val="none"/>
          <w:lang w:val="en-US" w:eastAsia="zh-CN"/>
        </w:rPr>
        <w:t>（2）石板溪</w:t>
      </w:r>
    </w:p>
    <w:p w14:paraId="59552F1F">
      <w:pPr>
        <w:pStyle w:val="2"/>
        <w:rPr>
          <w:rFonts w:hint="eastAsia"/>
          <w:color w:val="auto"/>
          <w:highlight w:val="none"/>
          <w:lang w:val="en-US" w:eastAsia="zh-CN"/>
        </w:rPr>
      </w:pPr>
      <w:r>
        <w:rPr>
          <w:rFonts w:hint="eastAsia"/>
          <w:color w:val="auto"/>
          <w:highlight w:val="none"/>
          <w:lang w:val="en-US" w:eastAsia="zh-CN"/>
        </w:rPr>
        <w:t>石板溪是白茅溪的一级支流，发源于安化县奎溪镇白茅溪村，流经奎溪镇、奎溪村，于奎溪村汇入奎溪，主河道流向为由北向南，长度4.357km，总流域面积3.755km</w:t>
      </w:r>
      <w:r>
        <w:rPr>
          <w:rFonts w:hint="eastAsia"/>
          <w:color w:val="auto"/>
          <w:highlight w:val="none"/>
          <w:vertAlign w:val="superscript"/>
          <w:lang w:val="en-US" w:eastAsia="zh-CN"/>
        </w:rPr>
        <w:t>2</w:t>
      </w:r>
      <w:r>
        <w:rPr>
          <w:rFonts w:hint="eastAsia"/>
          <w:color w:val="auto"/>
          <w:highlight w:val="none"/>
          <w:lang w:val="en-US" w:eastAsia="zh-CN"/>
        </w:rPr>
        <w:t>，总落差161m，平均坡降36.95‰，多年平均流量0.178m</w:t>
      </w:r>
      <w:r>
        <w:rPr>
          <w:rFonts w:hint="eastAsia"/>
          <w:color w:val="auto"/>
          <w:highlight w:val="none"/>
          <w:vertAlign w:val="superscript"/>
          <w:lang w:val="en-US" w:eastAsia="zh-CN"/>
        </w:rPr>
        <w:t>3</w:t>
      </w:r>
      <w:r>
        <w:rPr>
          <w:rFonts w:hint="eastAsia"/>
          <w:color w:val="auto"/>
          <w:highlight w:val="none"/>
          <w:lang w:val="en-US" w:eastAsia="zh-CN"/>
        </w:rPr>
        <w:t>/s，枯水期流量为0.022m</w:t>
      </w:r>
      <w:r>
        <w:rPr>
          <w:rFonts w:hint="eastAsia"/>
          <w:color w:val="auto"/>
          <w:highlight w:val="none"/>
          <w:vertAlign w:val="superscript"/>
          <w:lang w:val="en-US" w:eastAsia="zh-CN"/>
        </w:rPr>
        <w:t>3</w:t>
      </w:r>
      <w:r>
        <w:rPr>
          <w:rFonts w:hint="eastAsia"/>
          <w:color w:val="auto"/>
          <w:highlight w:val="none"/>
          <w:lang w:val="en-US" w:eastAsia="zh-CN"/>
        </w:rPr>
        <w:t>/s，丰水期最大流量为0.680m</w:t>
      </w:r>
      <w:r>
        <w:rPr>
          <w:rFonts w:hint="eastAsia"/>
          <w:color w:val="auto"/>
          <w:highlight w:val="none"/>
          <w:vertAlign w:val="superscript"/>
          <w:lang w:val="en-US" w:eastAsia="zh-CN"/>
        </w:rPr>
        <w:t>3</w:t>
      </w:r>
      <w:r>
        <w:rPr>
          <w:rFonts w:hint="eastAsia"/>
          <w:color w:val="auto"/>
          <w:highlight w:val="none"/>
          <w:lang w:val="en-US" w:eastAsia="zh-CN"/>
        </w:rPr>
        <w:t>/s。</w:t>
      </w:r>
    </w:p>
    <w:p w14:paraId="68D6C30A">
      <w:pPr>
        <w:pStyle w:val="2"/>
        <w:rPr>
          <w:rFonts w:hint="eastAsia"/>
          <w:color w:val="auto"/>
          <w:highlight w:val="none"/>
          <w:lang w:val="en-US" w:eastAsia="zh-CN"/>
        </w:rPr>
      </w:pPr>
      <w:r>
        <w:rPr>
          <w:rFonts w:hint="eastAsia"/>
          <w:color w:val="auto"/>
          <w:highlight w:val="none"/>
          <w:lang w:val="en-US" w:eastAsia="zh-CN"/>
        </w:rPr>
        <w:t>根据《益阳市水功能区划》（益阳市水利局，2012年12月），石板溪未划定水功能区。石板溪目前开发利用程度较低、仅有少量农田灌溉且取用水量较小，参照执行《地表水环境质量标准》（GB3838-2002）中Ⅲ类水域标准。</w:t>
      </w:r>
    </w:p>
    <w:p w14:paraId="19EA32F2">
      <w:pPr>
        <w:pStyle w:val="2"/>
        <w:rPr>
          <w:rFonts w:hint="eastAsia"/>
          <w:color w:val="auto"/>
          <w:highlight w:val="none"/>
          <w:lang w:val="en-US" w:eastAsia="zh-CN"/>
        </w:rPr>
      </w:pPr>
      <w:r>
        <w:rPr>
          <w:rFonts w:hint="eastAsia"/>
          <w:color w:val="auto"/>
          <w:highlight w:val="none"/>
          <w:lang w:val="en-US" w:eastAsia="zh-CN"/>
        </w:rPr>
        <w:t>（3）白茅溪</w:t>
      </w:r>
    </w:p>
    <w:p w14:paraId="7980D852">
      <w:pPr>
        <w:pStyle w:val="2"/>
        <w:rPr>
          <w:rFonts w:hint="eastAsia"/>
          <w:color w:val="auto"/>
          <w:highlight w:val="none"/>
          <w:lang w:val="en-US" w:eastAsia="zh-CN"/>
        </w:rPr>
      </w:pPr>
      <w:r>
        <w:rPr>
          <w:rFonts w:hint="eastAsia"/>
          <w:color w:val="auto"/>
          <w:highlight w:val="none"/>
          <w:lang w:val="en-US" w:eastAsia="zh-CN"/>
        </w:rPr>
        <w:t>白茅溪是奎溪的一级支流，发源于安化县奎溪镇白茅溪村，流经奎溪镇、奎溪村，于奎溪村汇入奎溪，主河道流向为由西北向东南，长度8.952km，总流域面积18.15km</w:t>
      </w:r>
      <w:r>
        <w:rPr>
          <w:rFonts w:hint="eastAsia"/>
          <w:color w:val="auto"/>
          <w:highlight w:val="none"/>
          <w:vertAlign w:val="superscript"/>
          <w:lang w:val="en-US" w:eastAsia="zh-CN"/>
        </w:rPr>
        <w:t>2</w:t>
      </w:r>
      <w:r>
        <w:rPr>
          <w:rFonts w:hint="eastAsia"/>
          <w:color w:val="auto"/>
          <w:highlight w:val="none"/>
          <w:lang w:val="en-US" w:eastAsia="zh-CN"/>
        </w:rPr>
        <w:t>，总落差163m，平均坡降18.27‰，多年平均流量0.860m</w:t>
      </w:r>
      <w:r>
        <w:rPr>
          <w:rFonts w:hint="eastAsia"/>
          <w:color w:val="auto"/>
          <w:highlight w:val="none"/>
          <w:vertAlign w:val="superscript"/>
          <w:lang w:val="en-US" w:eastAsia="zh-CN"/>
        </w:rPr>
        <w:t>3</w:t>
      </w:r>
      <w:r>
        <w:rPr>
          <w:rFonts w:hint="eastAsia"/>
          <w:color w:val="auto"/>
          <w:highlight w:val="none"/>
          <w:lang w:val="en-US" w:eastAsia="zh-CN"/>
        </w:rPr>
        <w:t>/s，枯水期流量为0.108m</w:t>
      </w:r>
      <w:r>
        <w:rPr>
          <w:rFonts w:hint="eastAsia"/>
          <w:color w:val="auto"/>
          <w:highlight w:val="none"/>
          <w:vertAlign w:val="superscript"/>
          <w:lang w:val="en-US" w:eastAsia="zh-CN"/>
        </w:rPr>
        <w:t>3</w:t>
      </w:r>
      <w:r>
        <w:rPr>
          <w:rFonts w:hint="eastAsia"/>
          <w:color w:val="auto"/>
          <w:highlight w:val="none"/>
          <w:lang w:val="en-US" w:eastAsia="zh-CN"/>
        </w:rPr>
        <w:t>/s，丰水期最大流量为3.288m</w:t>
      </w:r>
      <w:r>
        <w:rPr>
          <w:rFonts w:hint="eastAsia"/>
          <w:color w:val="auto"/>
          <w:highlight w:val="none"/>
          <w:vertAlign w:val="superscript"/>
          <w:lang w:val="en-US" w:eastAsia="zh-CN"/>
        </w:rPr>
        <w:t>3</w:t>
      </w:r>
      <w:r>
        <w:rPr>
          <w:rFonts w:hint="eastAsia"/>
          <w:color w:val="auto"/>
          <w:highlight w:val="none"/>
          <w:lang w:val="en-US" w:eastAsia="zh-CN"/>
        </w:rPr>
        <w:t>/s。</w:t>
      </w:r>
    </w:p>
    <w:p w14:paraId="16F83C79">
      <w:pPr>
        <w:pStyle w:val="2"/>
        <w:rPr>
          <w:rFonts w:hint="eastAsia"/>
          <w:color w:val="auto"/>
          <w:highlight w:val="none"/>
          <w:lang w:val="en-US" w:eastAsia="zh-CN"/>
        </w:rPr>
      </w:pPr>
      <w:r>
        <w:rPr>
          <w:rFonts w:hint="eastAsia"/>
          <w:color w:val="auto"/>
          <w:highlight w:val="none"/>
          <w:lang w:val="en-US" w:eastAsia="zh-CN"/>
        </w:rPr>
        <w:t>根据《益阳市水功能区划》（益阳市水利局，2012年12月），白茅溪未划定水功能区。白茅溪目前开发利用程度较低、仅有少量农田灌溉且取用水量较小，参照执行《地表水环境质量标准》（GB3838-2002）中Ⅲ类水域标准。</w:t>
      </w:r>
    </w:p>
    <w:p w14:paraId="69BCC2B2">
      <w:pPr>
        <w:pStyle w:val="2"/>
        <w:rPr>
          <w:rFonts w:hint="eastAsia"/>
          <w:color w:val="auto"/>
          <w:highlight w:val="none"/>
          <w:lang w:val="en-US" w:eastAsia="zh-CN"/>
        </w:rPr>
      </w:pPr>
      <w:r>
        <w:rPr>
          <w:rFonts w:hint="eastAsia"/>
          <w:color w:val="auto"/>
          <w:highlight w:val="none"/>
          <w:lang w:val="en-US" w:eastAsia="zh-CN"/>
        </w:rPr>
        <w:t>（4）奎溪</w:t>
      </w:r>
    </w:p>
    <w:p w14:paraId="17552FB5">
      <w:pPr>
        <w:pStyle w:val="2"/>
        <w:rPr>
          <w:rFonts w:hint="eastAsia"/>
          <w:color w:val="auto"/>
          <w:highlight w:val="none"/>
          <w:lang w:val="en-US" w:eastAsia="zh-CN"/>
        </w:rPr>
      </w:pPr>
      <w:r>
        <w:rPr>
          <w:rFonts w:hint="eastAsia"/>
          <w:color w:val="auto"/>
          <w:highlight w:val="none"/>
          <w:lang w:val="en-US" w:eastAsia="zh-CN"/>
        </w:rPr>
        <w:t>奎溪，资水二级支流，洋溪一级支流，发源于安化县奎溪镇永兴村，流经奎溪村、言槐村、马井坳村，于牛脑湾汇入洋溪，主河道流向为由西南向东北，长度14.493km，流域面积58.35km</w:t>
      </w:r>
      <w:r>
        <w:rPr>
          <w:rFonts w:hint="eastAsia"/>
          <w:color w:val="auto"/>
          <w:highlight w:val="none"/>
          <w:vertAlign w:val="superscript"/>
          <w:lang w:val="en-US" w:eastAsia="zh-CN"/>
        </w:rPr>
        <w:t>2</w:t>
      </w:r>
      <w:r>
        <w:rPr>
          <w:rFonts w:hint="eastAsia"/>
          <w:color w:val="auto"/>
          <w:highlight w:val="none"/>
          <w:lang w:val="en-US" w:eastAsia="zh-CN"/>
        </w:rPr>
        <w:t>，总落差377m，平均坡降26.01‰，多年平均流量2.767m</w:t>
      </w:r>
      <w:r>
        <w:rPr>
          <w:rFonts w:hint="eastAsia"/>
          <w:color w:val="auto"/>
          <w:highlight w:val="none"/>
          <w:vertAlign w:val="superscript"/>
          <w:lang w:val="en-US" w:eastAsia="zh-CN"/>
        </w:rPr>
        <w:t>3</w:t>
      </w:r>
      <w:r>
        <w:rPr>
          <w:rFonts w:hint="eastAsia"/>
          <w:color w:val="auto"/>
          <w:highlight w:val="none"/>
          <w:lang w:val="en-US" w:eastAsia="zh-CN"/>
        </w:rPr>
        <w:t>/s，枯水期流量为0.348m</w:t>
      </w:r>
      <w:r>
        <w:rPr>
          <w:rFonts w:hint="eastAsia"/>
          <w:color w:val="auto"/>
          <w:highlight w:val="none"/>
          <w:vertAlign w:val="superscript"/>
          <w:lang w:val="en-US" w:eastAsia="zh-CN"/>
        </w:rPr>
        <w:t>3</w:t>
      </w:r>
      <w:r>
        <w:rPr>
          <w:rFonts w:hint="eastAsia"/>
          <w:color w:val="auto"/>
          <w:highlight w:val="none"/>
          <w:lang w:val="en-US" w:eastAsia="zh-CN"/>
        </w:rPr>
        <w:t>/s，丰水期最大流量为10.571m</w:t>
      </w:r>
      <w:r>
        <w:rPr>
          <w:rFonts w:hint="eastAsia"/>
          <w:color w:val="auto"/>
          <w:highlight w:val="none"/>
          <w:vertAlign w:val="superscript"/>
          <w:lang w:val="en-US" w:eastAsia="zh-CN"/>
        </w:rPr>
        <w:t>3</w:t>
      </w:r>
      <w:r>
        <w:rPr>
          <w:rFonts w:hint="eastAsia"/>
          <w:color w:val="auto"/>
          <w:highlight w:val="none"/>
          <w:lang w:val="en-US" w:eastAsia="zh-CN"/>
        </w:rPr>
        <w:t>/s。</w:t>
      </w:r>
    </w:p>
    <w:p w14:paraId="213D0826">
      <w:pPr>
        <w:pStyle w:val="2"/>
        <w:rPr>
          <w:rFonts w:hint="eastAsia"/>
          <w:color w:val="auto"/>
          <w:highlight w:val="none"/>
          <w:lang w:val="en-US" w:eastAsia="zh-CN"/>
        </w:rPr>
      </w:pPr>
      <w:r>
        <w:rPr>
          <w:rFonts w:hint="eastAsia"/>
          <w:color w:val="auto"/>
          <w:highlight w:val="none"/>
          <w:lang w:val="en-US" w:eastAsia="zh-CN"/>
        </w:rPr>
        <w:t>根据《益阳市水功能区划》（益阳市水利局，2012年12月），奎溪未划定水功能区。奎溪目前开发利用程度较低、仅有少量农田灌溉且取用水量较小，参照执行《地表水环境质量标准》（GB3838-2002）中Ⅲ类水域标准。</w:t>
      </w:r>
    </w:p>
    <w:p w14:paraId="67AB6AAA">
      <w:pPr>
        <w:pStyle w:val="2"/>
        <w:rPr>
          <w:rFonts w:hint="eastAsia"/>
          <w:color w:val="auto"/>
          <w:highlight w:val="none"/>
          <w:lang w:val="en-US" w:eastAsia="zh-CN"/>
        </w:rPr>
      </w:pPr>
      <w:r>
        <w:rPr>
          <w:rFonts w:hint="eastAsia"/>
          <w:color w:val="auto"/>
          <w:highlight w:val="none"/>
          <w:lang w:val="en-US" w:eastAsia="zh-CN"/>
        </w:rPr>
        <w:t>（5）洋溪，又称壤溪</w:t>
      </w:r>
    </w:p>
    <w:p w14:paraId="3486202E">
      <w:pPr>
        <w:pStyle w:val="2"/>
        <w:rPr>
          <w:rFonts w:hint="eastAsia"/>
          <w:color w:val="auto"/>
          <w:highlight w:val="none"/>
          <w:lang w:val="en-US" w:eastAsia="zh-CN"/>
        </w:rPr>
      </w:pPr>
      <w:r>
        <w:rPr>
          <w:rFonts w:hint="eastAsia"/>
          <w:color w:val="auto"/>
          <w:highlight w:val="none"/>
          <w:lang w:val="en-US" w:eastAsia="zh-CN"/>
        </w:rPr>
        <w:t>洋溪，资水一级支流，发源于安化县钟鼓界，流经青山岭、渡家滩、玄溪口、木榴、太桥、燕屋场、奎溪口、网塘、片塘、石灰洞，于安化县马路镇洋溪河口注入资水，主河道流向为由西北向东南，全长60.6km，流域面积347.85km</w:t>
      </w:r>
      <w:r>
        <w:rPr>
          <w:rFonts w:hint="eastAsia"/>
          <w:color w:val="auto"/>
          <w:highlight w:val="none"/>
          <w:vertAlign w:val="superscript"/>
          <w:lang w:val="en-US" w:eastAsia="zh-CN"/>
        </w:rPr>
        <w:t>2</w:t>
      </w:r>
      <w:r>
        <w:rPr>
          <w:rFonts w:hint="eastAsia"/>
          <w:color w:val="auto"/>
          <w:highlight w:val="none"/>
          <w:lang w:val="en-US" w:eastAsia="zh-CN"/>
        </w:rPr>
        <w:t>，总落差377m，平均坡降10.97‰，多年平均流量16.491m</w:t>
      </w:r>
      <w:r>
        <w:rPr>
          <w:rFonts w:hint="eastAsia"/>
          <w:color w:val="auto"/>
          <w:highlight w:val="none"/>
          <w:vertAlign w:val="superscript"/>
          <w:lang w:val="en-US" w:eastAsia="zh-CN"/>
        </w:rPr>
        <w:t>3</w:t>
      </w:r>
      <w:r>
        <w:rPr>
          <w:rFonts w:hint="eastAsia"/>
          <w:color w:val="auto"/>
          <w:highlight w:val="none"/>
          <w:lang w:val="en-US" w:eastAsia="zh-CN"/>
        </w:rPr>
        <w:t>/s，枯水期流量为2.072m</w:t>
      </w:r>
      <w:r>
        <w:rPr>
          <w:rFonts w:hint="eastAsia"/>
          <w:color w:val="auto"/>
          <w:highlight w:val="none"/>
          <w:vertAlign w:val="superscript"/>
          <w:lang w:val="en-US" w:eastAsia="zh-CN"/>
        </w:rPr>
        <w:t>3</w:t>
      </w:r>
      <w:r>
        <w:rPr>
          <w:rFonts w:hint="eastAsia"/>
          <w:color w:val="auto"/>
          <w:highlight w:val="none"/>
          <w:lang w:val="en-US" w:eastAsia="zh-CN"/>
        </w:rPr>
        <w:t>/s，丰水期最大流量为63.020m</w:t>
      </w:r>
      <w:r>
        <w:rPr>
          <w:rFonts w:hint="eastAsia"/>
          <w:color w:val="auto"/>
          <w:highlight w:val="none"/>
          <w:vertAlign w:val="superscript"/>
          <w:lang w:val="en-US" w:eastAsia="zh-CN"/>
        </w:rPr>
        <w:t>3</w:t>
      </w:r>
      <w:r>
        <w:rPr>
          <w:rFonts w:hint="eastAsia"/>
          <w:color w:val="auto"/>
          <w:highlight w:val="none"/>
          <w:lang w:val="en-US" w:eastAsia="zh-CN"/>
        </w:rPr>
        <w:t>/s。</w:t>
      </w:r>
    </w:p>
    <w:p w14:paraId="38A45F76">
      <w:pPr>
        <w:pStyle w:val="2"/>
        <w:rPr>
          <w:rFonts w:hint="eastAsia"/>
          <w:color w:val="auto"/>
          <w:highlight w:val="none"/>
          <w:lang w:val="en-US" w:eastAsia="zh-CN"/>
        </w:rPr>
      </w:pPr>
      <w:r>
        <w:rPr>
          <w:rFonts w:hint="eastAsia"/>
          <w:color w:val="auto"/>
          <w:highlight w:val="none"/>
          <w:lang w:val="en-US" w:eastAsia="zh-CN"/>
        </w:rPr>
        <w:t>根据《益阳市水功能区划》（益阳市水利局，2012年12月），洋溪区划范围内划分了2个一级水功能区，说明如下：</w:t>
      </w:r>
    </w:p>
    <w:p w14:paraId="7A455007">
      <w:pPr>
        <w:pStyle w:val="2"/>
        <w:rPr>
          <w:rFonts w:hint="eastAsia"/>
          <w:color w:val="auto"/>
          <w:highlight w:val="none"/>
          <w:lang w:val="en-US" w:eastAsia="zh-CN"/>
        </w:rPr>
      </w:pPr>
      <w:r>
        <w:rPr>
          <w:rFonts w:hint="eastAsia"/>
          <w:color w:val="auto"/>
          <w:highlight w:val="none"/>
          <w:lang w:val="en-US" w:eastAsia="zh-CN"/>
        </w:rPr>
        <w:t>洋溪安化源头水保护区，起于安化县钟鼓界，止于木榴水库上100米，全长24.6km。该段为洋溪的源头部分，现状水质为Ⅱ类，2015年水质管理目标为Ⅱ类，2020年水质管理目标为Ⅱ类。</w:t>
      </w:r>
    </w:p>
    <w:p w14:paraId="5590BC11">
      <w:pPr>
        <w:pStyle w:val="2"/>
        <w:rPr>
          <w:rFonts w:hint="eastAsia"/>
          <w:color w:val="auto"/>
          <w:highlight w:val="none"/>
          <w:lang w:val="en-US" w:eastAsia="zh-CN"/>
        </w:rPr>
      </w:pPr>
      <w:r>
        <w:rPr>
          <w:rFonts w:hint="eastAsia"/>
          <w:color w:val="auto"/>
          <w:highlight w:val="none"/>
          <w:lang w:val="en-US" w:eastAsia="zh-CN"/>
        </w:rPr>
        <w:t>洋溪安化奎溪镇-马路镇保留区，起于木榴水库上100m，止于安化县马路镇洋溪河口，全长36km。该段目前开发利用程度较低，仅有少量农田灌溉且取用水量较小，现状水质为Ⅲ类，2015年水质管理目标为Ⅲ类，2020年水质管理目标为Ⅲ类。</w:t>
      </w:r>
    </w:p>
    <w:p w14:paraId="5213D9FB">
      <w:pPr>
        <w:pStyle w:val="2"/>
        <w:rPr>
          <w:rFonts w:hint="eastAsia"/>
          <w:color w:val="auto"/>
          <w:highlight w:val="none"/>
          <w:lang w:val="en-US" w:eastAsia="zh-CN"/>
        </w:rPr>
      </w:pPr>
      <w:r>
        <w:rPr>
          <w:rFonts w:hint="eastAsia"/>
          <w:color w:val="auto"/>
          <w:highlight w:val="none"/>
          <w:lang w:val="en-US" w:eastAsia="zh-CN"/>
        </w:rPr>
        <w:t>本项目属奎溪流域，奎溪汇入洋溪口位于木榴水库下游。因此，本项目属洋溪安化奎溪镇-马路镇保留区，执行《地表水环境质量标准》（GB3838-2002）中Ⅲ类水域标准。</w:t>
      </w:r>
    </w:p>
    <w:p w14:paraId="20898483">
      <w:pPr>
        <w:pStyle w:val="2"/>
        <w:rPr>
          <w:rFonts w:hint="eastAsia"/>
          <w:color w:val="auto"/>
          <w:highlight w:val="none"/>
          <w:lang w:val="en-US" w:eastAsia="zh-CN"/>
        </w:rPr>
      </w:pPr>
      <w:r>
        <w:rPr>
          <w:rFonts w:hint="eastAsia"/>
          <w:color w:val="auto"/>
          <w:highlight w:val="none"/>
          <w:lang w:val="en-US" w:eastAsia="zh-CN"/>
        </w:rPr>
        <w:t>（6）资江</w:t>
      </w:r>
    </w:p>
    <w:p w14:paraId="29499B80">
      <w:pPr>
        <w:pStyle w:val="2"/>
        <w:rPr>
          <w:rFonts w:hint="eastAsia"/>
          <w:color w:val="auto"/>
          <w:highlight w:val="none"/>
          <w:lang w:val="en-US" w:eastAsia="zh-CN"/>
        </w:rPr>
      </w:pPr>
      <w:r>
        <w:rPr>
          <w:rFonts w:hint="eastAsia"/>
          <w:color w:val="auto"/>
          <w:highlight w:val="none"/>
          <w:lang w:val="en-US" w:eastAsia="zh-CN"/>
        </w:rPr>
        <w:t>水功能区划</w:t>
      </w:r>
    </w:p>
    <w:p w14:paraId="47D84321">
      <w:pPr>
        <w:pStyle w:val="2"/>
        <w:rPr>
          <w:rFonts w:hint="eastAsia"/>
          <w:color w:val="auto"/>
          <w:highlight w:val="none"/>
          <w:lang w:val="en-US" w:eastAsia="zh-CN"/>
        </w:rPr>
      </w:pPr>
      <w:r>
        <w:rPr>
          <w:rFonts w:hint="eastAsia"/>
          <w:color w:val="auto"/>
          <w:highlight w:val="none"/>
          <w:lang w:val="en-US" w:eastAsia="zh-CN"/>
        </w:rPr>
        <w:t>资江，长江支流，又称资水，有西、南两源，西源赧水发源于城步苗族自治县北青山，南源夫夷水发源于广西资源县越城岭，两水于邵阳县双江口汇合称资江，流经邵阳、新化、安化、桃江、益阳等市县，于益阳市甘溪港注入洞庭湖，全长653km（其中资水干流双江口～甘溪港河道长度465.15km），流域面积28142km</w:t>
      </w:r>
      <w:r>
        <w:rPr>
          <w:rFonts w:hint="eastAsia"/>
          <w:color w:val="auto"/>
          <w:highlight w:val="none"/>
          <w:vertAlign w:val="superscript"/>
          <w:lang w:val="en-US" w:eastAsia="zh-CN"/>
        </w:rPr>
        <w:t>2</w:t>
      </w:r>
      <w:r>
        <w:rPr>
          <w:rFonts w:hint="eastAsia"/>
          <w:color w:val="auto"/>
          <w:highlight w:val="none"/>
          <w:lang w:val="en-US" w:eastAsia="zh-CN"/>
        </w:rPr>
        <w:t>。资水多年平均流量为741m</w:t>
      </w:r>
      <w:r>
        <w:rPr>
          <w:rFonts w:hint="eastAsia"/>
          <w:color w:val="auto"/>
          <w:highlight w:val="none"/>
          <w:vertAlign w:val="superscript"/>
          <w:lang w:val="en-US" w:eastAsia="zh-CN"/>
        </w:rPr>
        <w:t>3</w:t>
      </w:r>
      <w:r>
        <w:rPr>
          <w:rFonts w:hint="eastAsia"/>
          <w:color w:val="auto"/>
          <w:highlight w:val="none"/>
          <w:lang w:val="en-US" w:eastAsia="zh-CN"/>
        </w:rPr>
        <w:t>/s，多年平均径流总量为236.8亿m</w:t>
      </w:r>
      <w:r>
        <w:rPr>
          <w:rFonts w:hint="eastAsia"/>
          <w:color w:val="auto"/>
          <w:highlight w:val="none"/>
          <w:vertAlign w:val="superscript"/>
          <w:lang w:val="en-US" w:eastAsia="zh-CN"/>
        </w:rPr>
        <w:t>3</w:t>
      </w:r>
      <w:r>
        <w:rPr>
          <w:rFonts w:hint="eastAsia"/>
          <w:color w:val="auto"/>
          <w:highlight w:val="none"/>
          <w:lang w:val="en-US" w:eastAsia="zh-CN"/>
        </w:rPr>
        <w:t>，多年平均径流深876.8mm。径流模数为88.7万m</w:t>
      </w:r>
      <w:r>
        <w:rPr>
          <w:rFonts w:hint="eastAsia"/>
          <w:color w:val="auto"/>
          <w:highlight w:val="none"/>
          <w:vertAlign w:val="superscript"/>
          <w:lang w:val="en-US" w:eastAsia="zh-CN"/>
        </w:rPr>
        <w:t>3</w:t>
      </w:r>
      <w:r>
        <w:rPr>
          <w:rFonts w:hint="eastAsia"/>
          <w:color w:val="auto"/>
          <w:highlight w:val="none"/>
          <w:lang w:val="en-US" w:eastAsia="zh-CN"/>
        </w:rPr>
        <w:t>/km</w:t>
      </w:r>
      <w:r>
        <w:rPr>
          <w:rFonts w:hint="eastAsia"/>
          <w:color w:val="auto"/>
          <w:highlight w:val="none"/>
          <w:vertAlign w:val="superscript"/>
          <w:lang w:val="en-US" w:eastAsia="zh-CN"/>
        </w:rPr>
        <w:t>2</w:t>
      </w:r>
      <w:r>
        <w:rPr>
          <w:rFonts w:hint="eastAsia"/>
          <w:color w:val="auto"/>
          <w:highlight w:val="none"/>
          <w:lang w:val="en-US" w:eastAsia="zh-CN"/>
        </w:rPr>
        <w:t>，多年平均径流系数为0.58。</w:t>
      </w:r>
    </w:p>
    <w:p w14:paraId="1226C931">
      <w:pPr>
        <w:pStyle w:val="2"/>
        <w:rPr>
          <w:rFonts w:hint="eastAsia"/>
          <w:color w:val="auto"/>
          <w:highlight w:val="none"/>
          <w:lang w:val="en-US" w:eastAsia="zh-CN"/>
        </w:rPr>
      </w:pPr>
      <w:r>
        <w:rPr>
          <w:rFonts w:hint="eastAsia"/>
          <w:color w:val="auto"/>
          <w:highlight w:val="none"/>
          <w:lang w:val="en-US" w:eastAsia="zh-CN"/>
        </w:rPr>
        <w:t>根据《益阳市水功能区划》（益阳市水利局，2012年12月），资江干流在安化县内划分了3个一级水功能区，说明如下：</w:t>
      </w:r>
    </w:p>
    <w:p w14:paraId="38C78CE0">
      <w:pPr>
        <w:pStyle w:val="2"/>
        <w:rPr>
          <w:rFonts w:hint="eastAsia"/>
          <w:color w:val="auto"/>
          <w:highlight w:val="none"/>
          <w:lang w:val="en-US" w:eastAsia="zh-CN"/>
        </w:rPr>
      </w:pPr>
      <w:r>
        <w:rPr>
          <w:rFonts w:hint="eastAsia"/>
          <w:color w:val="auto"/>
          <w:highlight w:val="none"/>
          <w:lang w:val="en-US" w:eastAsia="zh-CN"/>
        </w:rPr>
        <w:t>资水安化保留区，起于安化县平口镇，止于安化县自来水公司二水厂上1000m，全长72.8km。该段目前开发利用程度较低，仅有少量农田灌溉且取用水量较小，现状水质为Ⅲ类，2015年水质管理目标为Ⅲ类，2020年水质管理目标为Ⅲ类。</w:t>
      </w:r>
    </w:p>
    <w:p w14:paraId="391AA043">
      <w:pPr>
        <w:pStyle w:val="2"/>
        <w:rPr>
          <w:rFonts w:hint="eastAsia"/>
          <w:color w:val="auto"/>
          <w:highlight w:val="none"/>
          <w:lang w:val="en-US" w:eastAsia="zh-CN"/>
        </w:rPr>
      </w:pPr>
      <w:r>
        <w:rPr>
          <w:rFonts w:hint="eastAsia"/>
          <w:color w:val="auto"/>
          <w:highlight w:val="none"/>
          <w:lang w:val="en-US" w:eastAsia="zh-CN"/>
        </w:rPr>
        <w:t>资水安化-桃江保留区，起于安化县渭溪河口，止于桃江县马迹塘镇水厂上1000m，全长56.6km。该段目前开发利用程度较低，仅有少量农田灌溉且取用水量较小，现状水质为Ⅲ类，2015年水质管理目标为Ⅲ类，2020年水质管理目标为Ⅲ类。</w:t>
      </w:r>
    </w:p>
    <w:p w14:paraId="4783A062">
      <w:pPr>
        <w:pStyle w:val="2"/>
        <w:rPr>
          <w:rFonts w:hint="eastAsia"/>
          <w:color w:val="auto"/>
          <w:highlight w:val="none"/>
          <w:lang w:val="en-US" w:eastAsia="zh-CN"/>
        </w:rPr>
      </w:pPr>
      <w:r>
        <w:rPr>
          <w:rFonts w:hint="eastAsia"/>
          <w:color w:val="auto"/>
          <w:highlight w:val="none"/>
          <w:lang w:val="en-US" w:eastAsia="zh-CN"/>
        </w:rPr>
        <w:t>资水安化东坪镇-江南镇开发利用区，起于安化县自来水公司二水厂上1000m，止于安化县渭溪河口，全长19.0km，共划分5个二级水功能区。</w:t>
      </w:r>
    </w:p>
    <w:p w14:paraId="447ACD9B">
      <w:pPr>
        <w:pStyle w:val="2"/>
        <w:rPr>
          <w:rFonts w:hint="eastAsia"/>
          <w:color w:val="auto"/>
          <w:highlight w:val="none"/>
          <w:lang w:val="en-US" w:eastAsia="zh-CN"/>
        </w:rPr>
      </w:pPr>
      <w:r>
        <w:rPr>
          <w:rFonts w:hint="eastAsia"/>
          <w:color w:val="auto"/>
          <w:highlight w:val="none"/>
          <w:lang w:val="en-US" w:eastAsia="zh-CN"/>
        </w:rPr>
        <w:t>本项目属洋溪流域，在安化县自来水公司二水厂上1000m的上游，属资水安化保留区，执行《地表水环境质量标准》（GB3838-2002）中Ⅲ类水域标准。</w:t>
      </w:r>
    </w:p>
    <w:p w14:paraId="685ABF7B">
      <w:pPr>
        <w:pStyle w:val="37"/>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气候气象</w:t>
      </w:r>
    </w:p>
    <w:p w14:paraId="0A055722">
      <w:pPr>
        <w:pStyle w:val="2"/>
        <w:rPr>
          <w:rFonts w:hint="eastAsia"/>
          <w:color w:val="auto"/>
          <w:highlight w:val="none"/>
          <w:lang w:val="en-US" w:eastAsia="zh-CN"/>
        </w:rPr>
      </w:pPr>
      <w:r>
        <w:rPr>
          <w:rFonts w:hint="eastAsia"/>
          <w:color w:val="auto"/>
          <w:highlight w:val="none"/>
          <w:lang w:val="en-US" w:eastAsia="zh-CN"/>
        </w:rPr>
        <w:t>安化县属亚热带季风气候，具有气候温暖，四季分明，热量充足，雨水集中，春温多变，夏秋多旱，严寒期短，暑热期长等特点。多年平均气温16.2℃，7月最热，平均气温28℃，历年极端最高气温为41.8℃，元月最冷，平均气温为4.3℃，极端最低气温为-11.3℃。最高地面温度72.7℃，最低地面温度-8.0℃。流域内日照1376小时，多年平均无霜期256天，最多无霜期320天，最少无霜期240天，适宜于农作物生长。多年平均相对湿度为82.9%，月平均最小相对湿度9%。流域内冬季为多偏北风，夏季多偏南风，全年最多风向为北风。历年最大风速15.7m/s，平均风速为1.2m/s。</w:t>
      </w:r>
    </w:p>
    <w:p w14:paraId="5751A209">
      <w:pPr>
        <w:pStyle w:val="2"/>
        <w:rPr>
          <w:rFonts w:hint="eastAsia"/>
          <w:color w:val="auto"/>
          <w:highlight w:val="none"/>
          <w:lang w:val="en-US" w:eastAsia="zh-CN"/>
        </w:rPr>
      </w:pPr>
      <w:r>
        <w:rPr>
          <w:rFonts w:hint="eastAsia"/>
          <w:color w:val="auto"/>
          <w:highlight w:val="none"/>
          <w:lang w:val="en-US" w:eastAsia="zh-CN"/>
        </w:rPr>
        <w:t>流域内雨量丰富，多年平均降水量为1788.7mm，降水总量为79.76亿m</w:t>
      </w:r>
      <w:r>
        <w:rPr>
          <w:rFonts w:hint="eastAsia"/>
          <w:color w:val="auto"/>
          <w:highlight w:val="none"/>
          <w:vertAlign w:val="superscript"/>
          <w:lang w:val="en-US" w:eastAsia="zh-CN"/>
        </w:rPr>
        <w:t>3</w:t>
      </w:r>
      <w:r>
        <w:rPr>
          <w:rFonts w:hint="eastAsia"/>
          <w:color w:val="auto"/>
          <w:highlight w:val="none"/>
          <w:lang w:val="en-US" w:eastAsia="zh-CN"/>
        </w:rPr>
        <w:t xml:space="preserve"> ，最大年降雨量2298.7 mm，最大日降水量238.0 mm 。降水在年内及年际间分布很不均匀，主要集中在3-7月，占全年的52.5%，其中以5月最多，占全年的16%，7～9月份降雨量只占全年的20%，易形成夏涝秋旱现象。最大年降雨量为最小年降雨量两倍以上。降水量在空间上分布不均，有上游大于下游，支流大于干流的趋势。不同地域雨量相差很大：洞市—竹溪坡—熊家山一带多至1817～1851毫米，而清塘—黄柏界一带少至1414～1428毫米。</w:t>
      </w:r>
    </w:p>
    <w:p w14:paraId="483D5114">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生态环境</w:t>
      </w:r>
    </w:p>
    <w:p w14:paraId="01516FA5">
      <w:pPr>
        <w:pStyle w:val="2"/>
        <w:rPr>
          <w:rFonts w:hint="default"/>
          <w:color w:val="auto"/>
          <w:highlight w:val="none"/>
          <w:lang w:val="en-US" w:eastAsia="zh-CN"/>
        </w:rPr>
      </w:pPr>
      <w:r>
        <w:rPr>
          <w:rFonts w:hint="eastAsia"/>
          <w:color w:val="auto"/>
          <w:highlight w:val="none"/>
          <w:lang w:val="en-US" w:eastAsia="zh-CN"/>
        </w:rPr>
        <w:t>1、植物资源</w:t>
      </w:r>
    </w:p>
    <w:p w14:paraId="5F040D6C">
      <w:pPr>
        <w:pStyle w:val="2"/>
        <w:rPr>
          <w:rFonts w:hint="default"/>
          <w:color w:val="auto"/>
          <w:highlight w:val="none"/>
          <w:lang w:val="en-US" w:eastAsia="zh-CN"/>
        </w:rPr>
      </w:pPr>
      <w:r>
        <w:rPr>
          <w:rFonts w:hint="default"/>
          <w:color w:val="auto"/>
          <w:highlight w:val="none"/>
          <w:lang w:val="en-US" w:eastAsia="zh-CN"/>
        </w:rPr>
        <w:t>安化县植被属中亚热带常绿阔叶林北部亚带植被区。植被类型以华东、华中区系为主，森林植被较为丰富，种类繁多，主要有常绿阔叶林、常绿针阔混交林、落叶常绿阔叶混交林、落叶阔叶林、竹林、乔竹混交林和以油茶、杜仲、厚朴、柑橘为主的经济林。</w:t>
      </w:r>
    </w:p>
    <w:p w14:paraId="42B9A68C">
      <w:pPr>
        <w:pStyle w:val="2"/>
        <w:rPr>
          <w:rFonts w:hint="default"/>
          <w:color w:val="auto"/>
          <w:highlight w:val="none"/>
          <w:lang w:val="en-US" w:eastAsia="zh-CN"/>
        </w:rPr>
      </w:pPr>
      <w:r>
        <w:rPr>
          <w:rFonts w:hint="default"/>
          <w:color w:val="auto"/>
          <w:highlight w:val="none"/>
          <w:lang w:val="en-US" w:eastAsia="zh-CN"/>
        </w:rPr>
        <w:t>矿区整体生态环境良好，除局部因矿山开采、废石和尾砂堆放，对生态环境造成一定的影响外，整个矿区植被覆盖率较高。植被属中亚热带常绿阔叶林北部亚地带植被区，群落种类较多，优势科是壳斗科、樟科、山矾科、金缕梅科、山茶科、冬青科、豆科及竹亚科，主要树种有杉树、马尾松、竹子、红杉、桢楠、油茶、樟树、甜槠、苦槠、刺槐、梧桐等。</w:t>
      </w:r>
      <w:r>
        <w:rPr>
          <w:rFonts w:hint="eastAsia"/>
          <w:color w:val="auto"/>
          <w:highlight w:val="none"/>
          <w:lang w:val="en-US" w:eastAsia="zh-CN"/>
        </w:rPr>
        <w:t>矿区</w:t>
      </w:r>
      <w:r>
        <w:rPr>
          <w:rFonts w:hint="default"/>
          <w:color w:val="auto"/>
          <w:highlight w:val="none"/>
          <w:lang w:val="en-US" w:eastAsia="zh-CN"/>
        </w:rPr>
        <w:t>内未见国家保护的珍稀野生植物。</w:t>
      </w:r>
    </w:p>
    <w:p w14:paraId="0F7D1418">
      <w:pPr>
        <w:pStyle w:val="2"/>
        <w:rPr>
          <w:rFonts w:hint="default"/>
          <w:color w:val="auto"/>
          <w:highlight w:val="none"/>
          <w:lang w:val="en-US" w:eastAsia="zh-CN"/>
        </w:rPr>
      </w:pPr>
      <w:r>
        <w:rPr>
          <w:rFonts w:hint="eastAsia"/>
          <w:color w:val="auto"/>
          <w:highlight w:val="none"/>
          <w:lang w:val="en-US" w:eastAsia="zh-CN"/>
        </w:rPr>
        <w:t>2、动物资源</w:t>
      </w:r>
    </w:p>
    <w:p w14:paraId="499807A7">
      <w:pPr>
        <w:pStyle w:val="2"/>
        <w:rPr>
          <w:rFonts w:hint="default"/>
          <w:color w:val="auto"/>
          <w:highlight w:val="none"/>
          <w:lang w:val="en-US" w:eastAsia="zh-CN"/>
        </w:rPr>
      </w:pPr>
      <w:r>
        <w:rPr>
          <w:rFonts w:hint="default"/>
          <w:color w:val="auto"/>
          <w:highlight w:val="none"/>
          <w:lang w:val="en-US" w:eastAsia="zh-CN"/>
        </w:rPr>
        <w:t>根据《安化县志》资料，区域内现存的野生动物资源有17目26科72种，由于长期捕猎，保护不当，以呈种群削弱、数量减少之势。项目区的生态地理区划属亚热带林灌、草地—农田动物群。评价区域野生动物多为适应耕地和居民点的物种，林栖鸟类已少见，而盗食谷物的鼠类和鸟类有所增加，生活于稻田区扑食昆虫、鼠类的两栖类、爬行类动物较多，主要野生动物物种有杜鹃、麻雀、蝙蝠、黄鼬等。</w:t>
      </w:r>
      <w:r>
        <w:rPr>
          <w:rFonts w:hint="eastAsia"/>
          <w:color w:val="auto"/>
          <w:highlight w:val="none"/>
          <w:lang w:val="en-US" w:eastAsia="zh-CN"/>
        </w:rPr>
        <w:t>矿区</w:t>
      </w:r>
      <w:r>
        <w:rPr>
          <w:rFonts w:hint="default"/>
          <w:color w:val="auto"/>
          <w:highlight w:val="none"/>
          <w:lang w:val="en-US" w:eastAsia="zh-CN"/>
        </w:rPr>
        <w:t>内未见珍贵保护野生动物。</w:t>
      </w:r>
    </w:p>
    <w:p w14:paraId="2755D34E">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地质概况</w:t>
      </w:r>
    </w:p>
    <w:p w14:paraId="135184D2">
      <w:pPr>
        <w:pStyle w:val="2"/>
        <w:rPr>
          <w:rFonts w:hint="eastAsia"/>
          <w:color w:val="auto"/>
          <w:highlight w:val="none"/>
          <w:lang w:val="en-US" w:eastAsia="zh-CN"/>
        </w:rPr>
      </w:pPr>
      <w:r>
        <w:rPr>
          <w:rFonts w:hint="eastAsia"/>
          <w:color w:val="auto"/>
          <w:highlight w:val="none"/>
          <w:lang w:val="en-US" w:eastAsia="zh-CN"/>
        </w:rPr>
        <w:t>矿区内出露地层为板溪群五强溪组第一和第二岩性段，由连续沉积的层纹状板岩、凝灰质板岩和长石石英砂岩等组成，总厚度1085.26~1533.5m。</w:t>
      </w:r>
    </w:p>
    <w:p w14:paraId="232F97FB">
      <w:pPr>
        <w:pStyle w:val="2"/>
        <w:rPr>
          <w:rFonts w:hint="default"/>
          <w:color w:val="auto"/>
          <w:highlight w:val="none"/>
          <w:lang w:val="en-US" w:eastAsia="zh-CN"/>
        </w:rPr>
      </w:pPr>
      <w:r>
        <w:rPr>
          <w:rFonts w:hint="eastAsia"/>
          <w:color w:val="auto"/>
          <w:highlight w:val="none"/>
          <w:lang w:val="en-US" w:eastAsia="zh-CN"/>
        </w:rPr>
        <w:t>1、五强溪组第一段(Ptbnw1)</w:t>
      </w:r>
    </w:p>
    <w:p w14:paraId="01533F50">
      <w:pPr>
        <w:pStyle w:val="2"/>
        <w:rPr>
          <w:rFonts w:hint="default"/>
          <w:color w:val="auto"/>
          <w:highlight w:val="none"/>
          <w:lang w:val="en-US" w:eastAsia="zh-CN"/>
        </w:rPr>
      </w:pPr>
      <w:r>
        <w:rPr>
          <w:rFonts w:hint="eastAsia"/>
          <w:color w:val="auto"/>
          <w:highlight w:val="none"/>
          <w:lang w:val="en-US" w:eastAsia="zh-CN"/>
        </w:rPr>
        <w:t>第一段岩性段(Ptbnw1)分7层，区内出露第三～七层，分述如下：</w:t>
      </w:r>
    </w:p>
    <w:p w14:paraId="54C45A3F">
      <w:pPr>
        <w:pStyle w:val="2"/>
        <w:rPr>
          <w:rFonts w:hint="eastAsia"/>
          <w:color w:val="auto"/>
          <w:highlight w:val="none"/>
          <w:lang w:val="en-US" w:eastAsia="zh-CN"/>
        </w:rPr>
      </w:pPr>
      <w:r>
        <w:rPr>
          <w:rFonts w:hint="eastAsia"/>
          <w:color w:val="auto"/>
          <w:highlight w:val="none"/>
          <w:lang w:val="en-US" w:eastAsia="zh-CN"/>
        </w:rPr>
        <w:t>第三层(Ptbnw1-3)：由厚层状杂砂岩和底部石英岩状砂岩组成，其中夹少量凝灰岩，厚86.46m。分布于矿区西北部七玉冲北侧。</w:t>
      </w:r>
    </w:p>
    <w:p w14:paraId="73CCA17A">
      <w:pPr>
        <w:pStyle w:val="2"/>
        <w:rPr>
          <w:rFonts w:hint="eastAsia"/>
          <w:color w:val="auto"/>
          <w:highlight w:val="none"/>
          <w:lang w:val="en-US" w:eastAsia="zh-CN"/>
        </w:rPr>
      </w:pPr>
      <w:r>
        <w:rPr>
          <w:rFonts w:hint="eastAsia"/>
          <w:color w:val="auto"/>
          <w:highlight w:val="none"/>
          <w:lang w:val="en-US" w:eastAsia="zh-CN"/>
        </w:rPr>
        <w:t>第四层(Ptbnw1-4)：下部由粉砂质板岩夹厚层状条带状杂砂岩组成；上部为纹层状板岩，厚81.16m。分布于矿区西北部七玉冲一带。</w:t>
      </w:r>
    </w:p>
    <w:p w14:paraId="4518B47D">
      <w:pPr>
        <w:pStyle w:val="2"/>
        <w:rPr>
          <w:rFonts w:hint="eastAsia"/>
          <w:color w:val="auto"/>
          <w:highlight w:val="none"/>
          <w:lang w:val="en-US" w:eastAsia="zh-CN"/>
        </w:rPr>
      </w:pPr>
      <w:r>
        <w:rPr>
          <w:rFonts w:hint="eastAsia"/>
          <w:color w:val="auto"/>
          <w:highlight w:val="none"/>
          <w:lang w:val="en-US" w:eastAsia="zh-CN"/>
        </w:rPr>
        <w:t>第五、六层(Ptbnw1-（5+6）)：下部由杂砂岩、凝灰质砂岩组成，其中夹不稳定的石英岩状砂岩；上部为凝灰质粉砂岩。全层夹凝灰质板岩，厚137.37～142.17m。分布于矿区西北部七玉冲南侧。</w:t>
      </w:r>
    </w:p>
    <w:p w14:paraId="47EB1779">
      <w:pPr>
        <w:pStyle w:val="2"/>
        <w:rPr>
          <w:rFonts w:hint="eastAsia"/>
          <w:color w:val="auto"/>
          <w:highlight w:val="none"/>
          <w:lang w:val="en-US" w:eastAsia="zh-CN"/>
        </w:rPr>
      </w:pPr>
      <w:r>
        <w:rPr>
          <w:rFonts w:hint="eastAsia"/>
          <w:color w:val="auto"/>
          <w:highlight w:val="none"/>
          <w:lang w:val="en-US" w:eastAsia="zh-CN"/>
        </w:rPr>
        <w:t>第七层(Ptbnw1-7)：底部为石英岩状砂岩；下部、中部及上部由杂砂岩、凝灰质砂岩组成，其中中部和下部夹凝灰质粉砂岩和凝灰质板岩；顶部为凝灰质粉砂岩或凝灰质板岩，厚242.22～270.81m。分布于矿区北部。</w:t>
      </w:r>
    </w:p>
    <w:p w14:paraId="159E3229">
      <w:pPr>
        <w:pStyle w:val="2"/>
        <w:rPr>
          <w:rFonts w:hint="eastAsia"/>
          <w:color w:val="auto"/>
          <w:highlight w:val="none"/>
          <w:lang w:val="en-US" w:eastAsia="zh-CN"/>
        </w:rPr>
      </w:pPr>
      <w:r>
        <w:rPr>
          <w:rFonts w:hint="eastAsia"/>
          <w:color w:val="auto"/>
          <w:highlight w:val="none"/>
          <w:lang w:val="en-US" w:eastAsia="zh-CN"/>
        </w:rPr>
        <w:t>2、五强溪组第二段(Ptbnw2)</w:t>
      </w:r>
    </w:p>
    <w:p w14:paraId="347697CF">
      <w:pPr>
        <w:pStyle w:val="2"/>
        <w:rPr>
          <w:rFonts w:hint="eastAsia"/>
          <w:color w:val="auto"/>
          <w:highlight w:val="none"/>
          <w:lang w:val="en-US" w:eastAsia="zh-CN"/>
        </w:rPr>
      </w:pPr>
      <w:r>
        <w:rPr>
          <w:rFonts w:hint="eastAsia"/>
          <w:color w:val="auto"/>
          <w:highlight w:val="none"/>
          <w:lang w:val="en-US" w:eastAsia="zh-CN"/>
        </w:rPr>
        <w:t>第二岩性段(Ptbnw2)分4层，为区内主要赋矿地层。</w:t>
      </w:r>
    </w:p>
    <w:p w14:paraId="7EC2B102">
      <w:pPr>
        <w:pStyle w:val="2"/>
        <w:rPr>
          <w:rFonts w:hint="eastAsia"/>
          <w:color w:val="auto"/>
          <w:highlight w:val="none"/>
          <w:lang w:val="en-US" w:eastAsia="zh-CN"/>
        </w:rPr>
      </w:pPr>
      <w:r>
        <w:rPr>
          <w:rFonts w:hint="eastAsia"/>
          <w:color w:val="auto"/>
          <w:highlight w:val="none"/>
          <w:lang w:val="en-US" w:eastAsia="zh-CN"/>
        </w:rPr>
        <w:t>第一层(Ptbnw2-1)：下部为石英岩状砂岩（局部为石英砂岩）；中部及上部为杂砂岩，其中夹凝灰质板岩；顶部为石英岩状砂岩（局部为石英砂岩），厚48.05～136.40m。分布于矿区中部砂湾至大湾。</w:t>
      </w:r>
    </w:p>
    <w:p w14:paraId="6F866527">
      <w:pPr>
        <w:pStyle w:val="2"/>
        <w:rPr>
          <w:rFonts w:hint="eastAsia"/>
          <w:color w:val="auto"/>
          <w:highlight w:val="none"/>
          <w:lang w:val="en-US" w:eastAsia="zh-CN"/>
        </w:rPr>
      </w:pPr>
      <w:r>
        <w:rPr>
          <w:rFonts w:hint="eastAsia"/>
          <w:color w:val="auto"/>
          <w:highlight w:val="none"/>
          <w:lang w:val="en-US" w:eastAsia="zh-CN"/>
        </w:rPr>
        <w:t>第二层(Ptbnw2-2)：主要由条带状凝灰质板岩组成，中上部夹一层稳定的凝灰岩；全层中，尤其中部夹凝灰质粉砂岩和少量凝灰质砂岩，厚104.75～131.72m。分布于矿区中部砂湾至石板冲。</w:t>
      </w:r>
    </w:p>
    <w:p w14:paraId="29D30381">
      <w:pPr>
        <w:pStyle w:val="2"/>
        <w:rPr>
          <w:rFonts w:hint="eastAsia"/>
          <w:color w:val="auto"/>
          <w:highlight w:val="none"/>
          <w:lang w:val="en-US" w:eastAsia="zh-CN"/>
        </w:rPr>
      </w:pPr>
      <w:r>
        <w:rPr>
          <w:rFonts w:hint="eastAsia"/>
          <w:color w:val="auto"/>
          <w:highlight w:val="none"/>
          <w:lang w:val="en-US" w:eastAsia="zh-CN"/>
        </w:rPr>
        <w:t>第三层(Ptbnw2-3)：该层为矿区白钨矿赋矿层位，也是锑矿主要赋矿层位之一。下部由石英砂岩、长石石英砂岩、纹层状凝灰质板岩、凝灰质板岩、凝灰质砂岩及杂砂岩组成。局部凝灰质板岩中见白钨矿化，厚75.37～401.54m。分布于矿区中部砂湾至石板冲。</w:t>
      </w:r>
    </w:p>
    <w:p w14:paraId="3D07FE3B">
      <w:pPr>
        <w:pStyle w:val="2"/>
        <w:rPr>
          <w:rFonts w:hint="eastAsia"/>
          <w:color w:val="auto"/>
          <w:highlight w:val="none"/>
          <w:lang w:val="en-US" w:eastAsia="zh-CN"/>
        </w:rPr>
      </w:pPr>
      <w:r>
        <w:rPr>
          <w:rFonts w:hint="eastAsia"/>
          <w:color w:val="auto"/>
          <w:highlight w:val="none"/>
          <w:lang w:val="en-US" w:eastAsia="zh-CN"/>
        </w:rPr>
        <w:t>第四层(Ptbnw2-4)：底部为板岩、凝灰质板岩；下部为层凝灰岩，其中夹一层稳定的凝灰岩；上部由纹层状或条带状凝灰质板岩组成，其中夹凝灰质粉砂岩；全层夹少量凝灰质砂岩，厚239.88～409.64m。分布于矿区南东部。</w:t>
      </w:r>
    </w:p>
    <w:p w14:paraId="7B4A6068">
      <w:pPr>
        <w:pStyle w:val="2"/>
        <w:rPr>
          <w:rFonts w:hint="eastAsia"/>
          <w:color w:val="auto"/>
          <w:highlight w:val="none"/>
          <w:lang w:val="en-US" w:eastAsia="zh-CN"/>
        </w:rPr>
      </w:pPr>
      <w:r>
        <w:rPr>
          <w:rFonts w:hint="eastAsia"/>
          <w:color w:val="auto"/>
          <w:highlight w:val="none"/>
          <w:lang w:val="en-US" w:eastAsia="zh-CN"/>
        </w:rPr>
        <w:t>五强溪组第二段的第一、二、三层往深部凝灰质砂岩、凝灰质粉砂岩、石英砂岩等硬脆的岩石单层具变厚的趋势。</w:t>
      </w:r>
    </w:p>
    <w:p w14:paraId="75F0C504">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社会环境简况</w:t>
      </w:r>
    </w:p>
    <w:p w14:paraId="5CB24F9C">
      <w:pPr>
        <w:pStyle w:val="2"/>
        <w:rPr>
          <w:rFonts w:hint="eastAsia"/>
          <w:color w:val="auto"/>
          <w:highlight w:val="none"/>
          <w:lang w:val="en-US" w:eastAsia="zh-CN"/>
        </w:rPr>
      </w:pPr>
      <w:r>
        <w:rPr>
          <w:rFonts w:hint="eastAsia"/>
          <w:color w:val="auto"/>
          <w:highlight w:val="none"/>
          <w:lang w:val="en-US" w:eastAsia="zh-CN"/>
        </w:rPr>
        <w:t>奎溪镇位于安化县西北部，属雪峰山北段，与溆浦、沅陵两县交界，总面积242.24平方公里，有12个行政村，1个居委，总人口23624人。奎溪镇属于安化县重点林区，今存原始次森林1000余亩，动植物种类多，六步溪国家级自然保护区位于境内；地下矿产资源丰富，主要有锑、铀、铁、铅、钨、金刚石、石煤等，其中已掌握的锑储量达6万吨，是世界第三大锑都。</w:t>
      </w:r>
    </w:p>
    <w:p w14:paraId="59E7D1F2">
      <w:pPr>
        <w:pStyle w:val="36"/>
        <w:bidi w:val="0"/>
        <w:rPr>
          <w:rFonts w:hint="eastAsia" w:ascii="Times New Roman" w:hAnsi="Times New Roman" w:cs="Times New Roman"/>
          <w:color w:val="auto"/>
          <w:highlight w:val="none"/>
          <w:lang w:val="en-US" w:eastAsia="zh-CN"/>
        </w:rPr>
      </w:pPr>
      <w:bookmarkStart w:id="47" w:name="_Toc19989"/>
      <w:r>
        <w:rPr>
          <w:rFonts w:hint="eastAsia" w:ascii="Times New Roman" w:hAnsi="Times New Roman" w:cs="Times New Roman"/>
          <w:color w:val="auto"/>
          <w:highlight w:val="none"/>
          <w:lang w:val="en-US" w:eastAsia="zh-CN"/>
        </w:rPr>
        <w:t>项目建设依据及必要性</w:t>
      </w:r>
      <w:bookmarkEnd w:id="47"/>
    </w:p>
    <w:p w14:paraId="66B961FD">
      <w:pPr>
        <w:pStyle w:val="2"/>
        <w:rPr>
          <w:rFonts w:hint="eastAsia" w:cs="Times New Roman"/>
          <w:color w:val="auto"/>
          <w:highlight w:val="none"/>
          <w:lang w:val="en-US" w:eastAsia="zh-CN"/>
        </w:rPr>
      </w:pPr>
      <w:r>
        <w:rPr>
          <w:rFonts w:hint="eastAsia" w:cs="Times New Roman"/>
          <w:color w:val="auto"/>
          <w:highlight w:val="none"/>
          <w:lang w:val="en-US" w:eastAsia="zh-CN"/>
        </w:rPr>
        <w:t>资江流域锑污染物超标是湖南省地表水污染防治的重点关注的问题。渣滓溪矿业为锑矿采选冶炼企业，锑矿属于国家重点战略资源，从保障国家战略资源的角度，锑矿应进行合理开发。由于历史及地质原因，区域地表水本底值偏高，且区域位于锑矿成矿带，地下水中锑含量也非常高。建设单位一方面加大废水回用量，减少企业生产废水排放，一方面主动提高排放标准，锑的排放标准在国家排放标准基础上，再严格50%执行，最后，企业充分利用企业生产废水处理站处理能力，对区域的山体渗水进行收集和处理。总体上，渣滓溪锑矿入河排污口的设置可大幅度降低区域向下游排放的锑污染物，进而有利于区域地表水环境质量的改善。</w:t>
      </w:r>
    </w:p>
    <w:p w14:paraId="713F35D0">
      <w:pPr>
        <w:pStyle w:val="2"/>
        <w:rPr>
          <w:rFonts w:hint="eastAsia" w:cs="Times New Roman"/>
          <w:color w:val="auto"/>
          <w:highlight w:val="none"/>
          <w:lang w:val="en-US" w:eastAsia="zh-CN"/>
        </w:rPr>
      </w:pPr>
    </w:p>
    <w:p w14:paraId="3DD67BD1">
      <w:pPr>
        <w:pStyle w:val="2"/>
        <w:rPr>
          <w:rFonts w:hint="eastAsia" w:cs="Times New Roman"/>
          <w:color w:val="auto"/>
          <w:highlight w:val="none"/>
          <w:lang w:val="en-US" w:eastAsia="zh-CN"/>
        </w:rPr>
      </w:pPr>
    </w:p>
    <w:p w14:paraId="0E02A5F9">
      <w:pPr>
        <w:pStyle w:val="2"/>
        <w:rPr>
          <w:rFonts w:hint="eastAsia" w:cs="Times New Roman"/>
          <w:color w:val="auto"/>
          <w:highlight w:val="none"/>
          <w:lang w:val="en-US" w:eastAsia="zh-CN"/>
        </w:rPr>
      </w:pPr>
    </w:p>
    <w:p w14:paraId="113F9E22">
      <w:pPr>
        <w:pStyle w:val="35"/>
        <w:bidi w:val="0"/>
        <w:rPr>
          <w:rFonts w:hint="eastAsia" w:ascii="Times New Roman" w:hAnsi="Times New Roman" w:cs="Times New Roman"/>
          <w:color w:val="auto"/>
          <w:highlight w:val="none"/>
          <w:lang w:val="en-US" w:eastAsia="zh-CN"/>
        </w:rPr>
      </w:pPr>
      <w:bookmarkStart w:id="48" w:name="_Toc2279"/>
      <w:r>
        <w:rPr>
          <w:rFonts w:hint="eastAsia" w:cs="Times New Roman"/>
          <w:color w:val="auto"/>
          <w:highlight w:val="none"/>
          <w:lang w:val="en-US" w:eastAsia="zh-CN"/>
        </w:rPr>
        <w:t>水功能区（水域）管理要求和现状取排水状况</w:t>
      </w:r>
      <w:bookmarkEnd w:id="48"/>
    </w:p>
    <w:p w14:paraId="7B592889">
      <w:pPr>
        <w:pStyle w:val="36"/>
        <w:bidi w:val="0"/>
        <w:rPr>
          <w:rFonts w:hint="eastAsia" w:ascii="Times New Roman" w:hAnsi="Times New Roman" w:cs="Times New Roman"/>
          <w:color w:val="auto"/>
          <w:highlight w:val="none"/>
          <w:lang w:val="en-US" w:eastAsia="zh-CN"/>
        </w:rPr>
      </w:pPr>
      <w:bookmarkStart w:id="49" w:name="_Toc15010"/>
      <w:r>
        <w:rPr>
          <w:rFonts w:hint="eastAsia" w:ascii="Times New Roman" w:hAnsi="Times New Roman" w:cs="Times New Roman"/>
          <w:color w:val="auto"/>
          <w:highlight w:val="none"/>
          <w:lang w:val="en-US" w:eastAsia="zh-CN"/>
        </w:rPr>
        <w:t>水功能区（水域）</w:t>
      </w:r>
      <w:r>
        <w:rPr>
          <w:rFonts w:hint="eastAsia" w:cs="Times New Roman"/>
          <w:color w:val="auto"/>
          <w:highlight w:val="none"/>
          <w:lang w:val="en-US" w:eastAsia="zh-CN"/>
        </w:rPr>
        <w:t>保护水质</w:t>
      </w:r>
      <w:r>
        <w:rPr>
          <w:rFonts w:hint="eastAsia" w:ascii="Times New Roman" w:hAnsi="Times New Roman" w:cs="Times New Roman"/>
          <w:color w:val="auto"/>
          <w:highlight w:val="none"/>
          <w:lang w:val="en-US" w:eastAsia="zh-CN"/>
        </w:rPr>
        <w:t>管理</w:t>
      </w:r>
      <w:r>
        <w:rPr>
          <w:rFonts w:hint="eastAsia" w:cs="Times New Roman"/>
          <w:color w:val="auto"/>
          <w:highlight w:val="none"/>
          <w:lang w:val="en-US" w:eastAsia="zh-CN"/>
        </w:rPr>
        <w:t>目标与</w:t>
      </w:r>
      <w:r>
        <w:rPr>
          <w:rFonts w:hint="eastAsia" w:ascii="Times New Roman" w:hAnsi="Times New Roman" w:cs="Times New Roman"/>
          <w:color w:val="auto"/>
          <w:highlight w:val="none"/>
          <w:lang w:val="en-US" w:eastAsia="zh-CN"/>
        </w:rPr>
        <w:t>要求</w:t>
      </w:r>
      <w:bookmarkEnd w:id="49"/>
    </w:p>
    <w:p w14:paraId="7A9788C6">
      <w:pPr>
        <w:pStyle w:val="37"/>
        <w:rPr>
          <w:rFonts w:hint="eastAsia"/>
          <w:color w:val="auto"/>
          <w:highlight w:val="none"/>
          <w:lang w:val="en-US" w:eastAsia="zh-CN"/>
        </w:rPr>
      </w:pPr>
      <w:r>
        <w:rPr>
          <w:rFonts w:hint="eastAsia"/>
          <w:color w:val="auto"/>
          <w:highlight w:val="none"/>
          <w:lang w:val="en-US" w:eastAsia="zh-CN"/>
        </w:rPr>
        <w:t>水功能区区划概述</w:t>
      </w:r>
    </w:p>
    <w:p w14:paraId="5521DE31">
      <w:pPr>
        <w:pStyle w:val="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水功能区是指根据流域或区域的水资源状况，并考虑水资源开发利用现状和经济社会发展对水量和水质的需求，在相应水域划定的具有特定功能，有利于水资源的合理开发利用和保护，能够发挥最佳效益的区域。</w:t>
      </w:r>
    </w:p>
    <w:p w14:paraId="0F75C2E6">
      <w:pPr>
        <w:pStyle w:val="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全国水功能区划技术大纲》，在全国范围内对江河、湖泊、水库、运河、渠道等地表水体实行水功能区管理，水功能区划采用两级体系，水功能一级区分4类，即保护区、保留区、开发利用区、缓冲区；二级功能区划分重点在一级区划的开发利用区内进行，分7类，即饮用水源区、工业用水区、农业用水区、渔业用水区、景观娱乐用水区、过渡区、排污控制区。</w:t>
      </w:r>
    </w:p>
    <w:p w14:paraId="739367AD">
      <w:pPr>
        <w:pStyle w:val="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水利部颁布，于2003年7月1日实施的《水功能区管理办法》（水资源〔2003〕233号文）第九条之规定：水功能区的管理应执行水功能区划确定的保护目标。保护区禁止进行不利于功能保护的活动，同时应遵守现行法律法规的规定</w:t>
      </w:r>
      <w:r>
        <w:rPr>
          <w:rFonts w:hint="eastAsia" w:cs="Times New Roman"/>
          <w:color w:val="auto"/>
          <w:highlight w:val="none"/>
          <w:lang w:val="en-US" w:eastAsia="zh-CN"/>
        </w:rPr>
        <w:t>。</w:t>
      </w:r>
    </w:p>
    <w:p w14:paraId="36A8EEEF">
      <w:pPr>
        <w:pStyle w:val="37"/>
        <w:tabs>
          <w:tab w:val="clear" w:pos="0"/>
          <w:tab w:val="clear" w:pos="862"/>
        </w:tabs>
        <w:rPr>
          <w:rFonts w:hint="eastAsia"/>
          <w:color w:val="auto"/>
          <w:highlight w:val="none"/>
          <w:lang w:val="en-US" w:eastAsia="zh-CN"/>
        </w:rPr>
      </w:pPr>
      <w:r>
        <w:rPr>
          <w:rFonts w:hint="eastAsia"/>
          <w:color w:val="auto"/>
          <w:highlight w:val="none"/>
          <w:lang w:val="en-US" w:eastAsia="zh-CN"/>
        </w:rPr>
        <w:t>水功能区管理目标</w:t>
      </w:r>
    </w:p>
    <w:p w14:paraId="7AA9455A">
      <w:pPr>
        <w:pStyle w:val="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根据《益阳市水功能区划》（益阳市水利局，2012年12月），</w:t>
      </w:r>
      <w:r>
        <w:rPr>
          <w:rFonts w:hint="eastAsia" w:cs="Times New Roman"/>
          <w:color w:val="auto"/>
          <w:highlight w:val="none"/>
          <w:lang w:val="en-US" w:eastAsia="zh-CN"/>
        </w:rPr>
        <w:t>本项目入河排污口直接受纳水体渣滓溪暂未划分水功能区划。渣滓溪下游955m汇入白茅溪，白茅溪下游3500m汇入奎溪，奎溪下游8800m汇入洋溪。渣滓溪、白茅溪、奎溪目前开发利用程度较低、仅有少量农田灌溉且取用水量较小，参照执行《地表水环境质量标准》（GB3838-2002）中Ⅲ类水域标准；本项目属洋溪安化奎溪镇-马路镇保留区，执行《地表水环境质量标准》（GB3838-2002）中Ⅲ类水域标准。</w:t>
      </w:r>
      <w:r>
        <w:rPr>
          <w:rFonts w:hint="eastAsia" w:cs="Times New Roman"/>
          <w:color w:val="auto"/>
          <w:highlight w:val="none"/>
          <w:u w:val="single"/>
          <w:lang w:val="en-US" w:eastAsia="zh-CN"/>
        </w:rPr>
        <w:t>本项目下游资江段，在安化县自来水公司二水厂上1000m的上游，属资水安化保留区，执行《地表水环境质量标准》（GB3838-2002）中Ⅲ类水域标准。</w:t>
      </w:r>
    </w:p>
    <w:p w14:paraId="350596E2">
      <w:pPr>
        <w:pStyle w:val="28"/>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STYLEREF guo-二级标题 \n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3.1</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fldChar w:fldCharType="end"/>
      </w:r>
      <w:r>
        <w:rPr>
          <w:rFonts w:hint="eastAsia" w:ascii="Times New Roman" w:hAnsi="Times New Roman" w:cs="Times New Roman"/>
          <w:color w:val="auto"/>
          <w:highlight w:val="none"/>
          <w:lang w:val="en-US" w:eastAsia="zh-CN"/>
        </w:rPr>
        <w:t xml:space="preserve">  论证范围内水功能情况表</w:t>
      </w:r>
    </w:p>
    <w:tbl>
      <w:tblPr>
        <w:tblStyle w:val="22"/>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78"/>
        <w:gridCol w:w="3303"/>
        <w:gridCol w:w="2854"/>
      </w:tblGrid>
      <w:tr w14:paraId="4D6AB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4940C84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水系</w:t>
            </w:r>
          </w:p>
        </w:tc>
        <w:tc>
          <w:tcPr>
            <w:tcW w:w="1788" w:type="pct"/>
            <w:tcBorders>
              <w:tl2br w:val="nil"/>
              <w:tr2bl w:val="nil"/>
            </w:tcBorders>
            <w:vAlign w:val="center"/>
          </w:tcPr>
          <w:p w14:paraId="6357BB5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功能区划</w:t>
            </w:r>
          </w:p>
        </w:tc>
        <w:tc>
          <w:tcPr>
            <w:tcW w:w="1545" w:type="pct"/>
            <w:tcBorders>
              <w:tl2br w:val="nil"/>
              <w:tr2bl w:val="nil"/>
            </w:tcBorders>
            <w:vAlign w:val="center"/>
          </w:tcPr>
          <w:p w14:paraId="36FC10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水质目标</w:t>
            </w:r>
          </w:p>
        </w:tc>
      </w:tr>
      <w:tr w14:paraId="5977A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2BD3062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w:t>
            </w:r>
          </w:p>
        </w:tc>
        <w:tc>
          <w:tcPr>
            <w:tcW w:w="1788" w:type="pct"/>
            <w:tcBorders>
              <w:tl2br w:val="nil"/>
              <w:tr2bl w:val="nil"/>
            </w:tcBorders>
            <w:vAlign w:val="center"/>
          </w:tcPr>
          <w:p w14:paraId="78D466F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暂未划分</w:t>
            </w:r>
          </w:p>
        </w:tc>
        <w:tc>
          <w:tcPr>
            <w:tcW w:w="1545" w:type="pct"/>
            <w:vMerge w:val="restart"/>
            <w:tcBorders>
              <w:tl2br w:val="nil"/>
              <w:tr2bl w:val="nil"/>
            </w:tcBorders>
            <w:vAlign w:val="center"/>
          </w:tcPr>
          <w:p w14:paraId="6E2748B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地表水环境质量标准》（GB3838-2002）中Ⅲ类</w:t>
            </w:r>
          </w:p>
        </w:tc>
      </w:tr>
      <w:tr w14:paraId="66F0A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69FD7D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w:t>
            </w:r>
          </w:p>
        </w:tc>
        <w:tc>
          <w:tcPr>
            <w:tcW w:w="1788" w:type="pct"/>
            <w:tcBorders>
              <w:tl2br w:val="nil"/>
              <w:tr2bl w:val="nil"/>
            </w:tcBorders>
            <w:vAlign w:val="center"/>
          </w:tcPr>
          <w:p w14:paraId="2553406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暂未划分</w:t>
            </w:r>
          </w:p>
        </w:tc>
        <w:tc>
          <w:tcPr>
            <w:tcW w:w="1545" w:type="pct"/>
            <w:vMerge w:val="continue"/>
            <w:tcBorders>
              <w:tl2br w:val="nil"/>
              <w:tr2bl w:val="nil"/>
            </w:tcBorders>
            <w:vAlign w:val="center"/>
          </w:tcPr>
          <w:p w14:paraId="5A247FEE">
            <w:pPr>
              <w:pStyle w:val="26"/>
              <w:keepNext w:val="0"/>
              <w:keepLines w:val="0"/>
              <w:suppressLineNumbers w:val="0"/>
              <w:spacing w:before="0" w:beforeAutospacing="0" w:after="0" w:afterAutospacing="0"/>
              <w:ind w:left="0" w:right="0"/>
              <w:rPr>
                <w:rFonts w:hint="eastAsia"/>
                <w:color w:val="auto"/>
                <w:highlight w:val="none"/>
                <w:lang w:val="en-US" w:eastAsia="zh-CN"/>
              </w:rPr>
            </w:pPr>
          </w:p>
        </w:tc>
      </w:tr>
      <w:tr w14:paraId="44CD8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74CA02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w:t>
            </w:r>
          </w:p>
        </w:tc>
        <w:tc>
          <w:tcPr>
            <w:tcW w:w="1788" w:type="pct"/>
            <w:tcBorders>
              <w:tl2br w:val="nil"/>
              <w:tr2bl w:val="nil"/>
            </w:tcBorders>
            <w:vAlign w:val="center"/>
          </w:tcPr>
          <w:p w14:paraId="0B35F74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暂未划分</w:t>
            </w:r>
          </w:p>
        </w:tc>
        <w:tc>
          <w:tcPr>
            <w:tcW w:w="1545" w:type="pct"/>
            <w:vMerge w:val="continue"/>
            <w:tcBorders>
              <w:tl2br w:val="nil"/>
              <w:tr2bl w:val="nil"/>
            </w:tcBorders>
            <w:vAlign w:val="center"/>
          </w:tcPr>
          <w:p w14:paraId="5B3CBA53">
            <w:pPr>
              <w:pStyle w:val="26"/>
              <w:keepNext w:val="0"/>
              <w:keepLines w:val="0"/>
              <w:suppressLineNumbers w:val="0"/>
              <w:spacing w:before="0" w:beforeAutospacing="0" w:after="0" w:afterAutospacing="0"/>
              <w:ind w:left="0" w:right="0"/>
              <w:rPr>
                <w:rFonts w:hint="eastAsia"/>
                <w:color w:val="auto"/>
                <w:highlight w:val="none"/>
                <w:lang w:val="en-US" w:eastAsia="zh-CN"/>
              </w:rPr>
            </w:pPr>
          </w:p>
        </w:tc>
      </w:tr>
      <w:tr w14:paraId="51787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4E4290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洋溪</w:t>
            </w:r>
          </w:p>
        </w:tc>
        <w:tc>
          <w:tcPr>
            <w:tcW w:w="1788" w:type="pct"/>
            <w:tcBorders>
              <w:tl2br w:val="nil"/>
              <w:tr2bl w:val="nil"/>
            </w:tcBorders>
            <w:vAlign w:val="center"/>
          </w:tcPr>
          <w:p w14:paraId="4A1EFCB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洋溪安化奎溪镇-马路镇保留区</w:t>
            </w:r>
          </w:p>
        </w:tc>
        <w:tc>
          <w:tcPr>
            <w:tcW w:w="1545" w:type="pct"/>
            <w:vMerge w:val="continue"/>
            <w:tcBorders>
              <w:tl2br w:val="nil"/>
              <w:tr2bl w:val="nil"/>
            </w:tcBorders>
            <w:vAlign w:val="center"/>
          </w:tcPr>
          <w:p w14:paraId="614C9E60">
            <w:pPr>
              <w:pStyle w:val="26"/>
              <w:keepNext w:val="0"/>
              <w:keepLines w:val="0"/>
              <w:suppressLineNumbers w:val="0"/>
              <w:spacing w:before="0" w:beforeAutospacing="0" w:after="0" w:afterAutospacing="0"/>
              <w:ind w:left="0" w:right="0"/>
              <w:rPr>
                <w:rFonts w:hint="eastAsia"/>
                <w:color w:val="auto"/>
                <w:highlight w:val="none"/>
                <w:lang w:val="en-US" w:eastAsia="zh-CN"/>
              </w:rPr>
            </w:pPr>
          </w:p>
        </w:tc>
      </w:tr>
      <w:tr w14:paraId="1666D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0704E8A0">
            <w:pPr>
              <w:pStyle w:val="26"/>
              <w:keepNext w:val="0"/>
              <w:keepLines w:val="0"/>
              <w:suppressLineNumbers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资江</w:t>
            </w:r>
          </w:p>
        </w:tc>
        <w:tc>
          <w:tcPr>
            <w:tcW w:w="1788" w:type="pct"/>
            <w:tcBorders>
              <w:tl2br w:val="nil"/>
              <w:tr2bl w:val="nil"/>
            </w:tcBorders>
            <w:vAlign w:val="center"/>
          </w:tcPr>
          <w:p w14:paraId="4A04D69F">
            <w:pPr>
              <w:pStyle w:val="26"/>
              <w:keepNext w:val="0"/>
              <w:keepLines w:val="0"/>
              <w:suppressLineNumbers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资水安化保留区</w:t>
            </w:r>
          </w:p>
        </w:tc>
        <w:tc>
          <w:tcPr>
            <w:tcW w:w="1545" w:type="pct"/>
            <w:vMerge w:val="continue"/>
            <w:tcBorders>
              <w:tl2br w:val="nil"/>
              <w:tr2bl w:val="nil"/>
            </w:tcBorders>
            <w:vAlign w:val="center"/>
          </w:tcPr>
          <w:p w14:paraId="0965BA11">
            <w:pPr>
              <w:pStyle w:val="26"/>
              <w:keepNext w:val="0"/>
              <w:keepLines w:val="0"/>
              <w:suppressLineNumbers w:val="0"/>
              <w:spacing w:before="0" w:beforeAutospacing="0" w:after="0" w:afterAutospacing="0"/>
              <w:ind w:left="0" w:right="0"/>
              <w:rPr>
                <w:rFonts w:hint="eastAsia"/>
                <w:color w:val="auto"/>
                <w:highlight w:val="none"/>
                <w:lang w:val="en-US" w:eastAsia="zh-CN"/>
              </w:rPr>
            </w:pPr>
          </w:p>
        </w:tc>
      </w:tr>
    </w:tbl>
    <w:p w14:paraId="08B5E84C">
      <w:pPr>
        <w:pStyle w:val="2"/>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本项目排污口论证范围为排污口上游500m至排污口下游41255m洋溪汇入资江处，共41.755km。</w:t>
      </w:r>
    </w:p>
    <w:p w14:paraId="1C088804">
      <w:pPr>
        <w:pStyle w:val="2"/>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本项目排污口论证范围内主要水环境保护目标见下表。</w:t>
      </w:r>
    </w:p>
    <w:p w14:paraId="6CD11A44">
      <w:pPr>
        <w:pStyle w:val="28"/>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表</w:t>
      </w:r>
      <w:r>
        <w:rPr>
          <w:rFonts w:hint="default" w:ascii="Times New Roman" w:hAnsi="Times New Roman" w:cs="Times New Roman"/>
          <w:color w:val="auto"/>
          <w:highlight w:val="none"/>
          <w:u w:val="single"/>
          <w:lang w:val="en-US" w:eastAsia="zh-CN"/>
        </w:rPr>
        <w:fldChar w:fldCharType="begin"/>
      </w:r>
      <w:r>
        <w:rPr>
          <w:rFonts w:hint="default" w:ascii="Times New Roman" w:hAnsi="Times New Roman" w:cs="Times New Roman"/>
          <w:color w:val="auto"/>
          <w:highlight w:val="none"/>
          <w:u w:val="single"/>
          <w:lang w:val="en-US" w:eastAsia="zh-CN"/>
        </w:rPr>
        <w:instrText xml:space="preserve"> STYLEREF guo-二级标题 \n </w:instrText>
      </w:r>
      <w:r>
        <w:rPr>
          <w:rFonts w:hint="default" w:ascii="Times New Roman" w:hAnsi="Times New Roman" w:cs="Times New Roman"/>
          <w:color w:val="auto"/>
          <w:highlight w:val="none"/>
          <w:u w:val="single"/>
          <w:lang w:val="en-US" w:eastAsia="zh-CN"/>
        </w:rPr>
        <w:fldChar w:fldCharType="separate"/>
      </w:r>
      <w:r>
        <w:rPr>
          <w:rFonts w:hint="default" w:ascii="Times New Roman" w:hAnsi="Times New Roman" w:cs="Times New Roman"/>
          <w:color w:val="auto"/>
          <w:highlight w:val="none"/>
          <w:u w:val="single"/>
          <w:lang w:val="en-US" w:eastAsia="zh-CN"/>
        </w:rPr>
        <w:t>3.1</w:t>
      </w:r>
      <w:r>
        <w:rPr>
          <w:rFonts w:hint="default" w:ascii="Times New Roman" w:hAnsi="Times New Roman" w:cs="Times New Roman"/>
          <w:color w:val="auto"/>
          <w:highlight w:val="none"/>
          <w:u w:val="single"/>
          <w:lang w:val="en-US" w:eastAsia="zh-CN"/>
        </w:rPr>
        <w:fldChar w:fldCharType="end"/>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fldChar w:fldCharType="begin"/>
      </w:r>
      <w:r>
        <w:rPr>
          <w:rFonts w:hint="default" w:ascii="Times New Roman" w:hAnsi="Times New Roman" w:cs="Times New Roman"/>
          <w:color w:val="auto"/>
          <w:highlight w:val="none"/>
          <w:u w:val="single"/>
          <w:lang w:val="en-US" w:eastAsia="zh-CN"/>
        </w:rPr>
        <w:instrText xml:space="preserve"> SEQ 表 \* ARABIC \s 2 </w:instrText>
      </w:r>
      <w:r>
        <w:rPr>
          <w:rFonts w:hint="default" w:ascii="Times New Roman" w:hAnsi="Times New Roman" w:cs="Times New Roman"/>
          <w:color w:val="auto"/>
          <w:highlight w:val="none"/>
          <w:u w:val="single"/>
          <w:lang w:val="en-US" w:eastAsia="zh-CN"/>
        </w:rPr>
        <w:fldChar w:fldCharType="separate"/>
      </w:r>
      <w:r>
        <w:rPr>
          <w:rFonts w:hint="default"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lang w:val="en-US" w:eastAsia="zh-CN"/>
        </w:rPr>
        <w:fldChar w:fldCharType="end"/>
      </w:r>
      <w:r>
        <w:rPr>
          <w:rFonts w:hint="eastAsia" w:ascii="Times New Roman" w:hAnsi="Times New Roman" w:cs="Times New Roman"/>
          <w:color w:val="auto"/>
          <w:highlight w:val="none"/>
          <w:u w:val="single"/>
          <w:lang w:val="en-US" w:eastAsia="zh-CN"/>
        </w:rPr>
        <w:t xml:space="preserve">  论证范围内水环境保护目标一览表</w:t>
      </w:r>
    </w:p>
    <w:tbl>
      <w:tblPr>
        <w:tblStyle w:val="22"/>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232"/>
        <w:gridCol w:w="2979"/>
        <w:gridCol w:w="1338"/>
        <w:gridCol w:w="2230"/>
      </w:tblGrid>
      <w:tr w14:paraId="1E4FC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tcBorders>
              <w:tl2br w:val="nil"/>
              <w:tr2bl w:val="nil"/>
            </w:tcBorders>
            <w:vAlign w:val="center"/>
          </w:tcPr>
          <w:p w14:paraId="76905C09">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保护目标</w:t>
            </w:r>
          </w:p>
        </w:tc>
        <w:tc>
          <w:tcPr>
            <w:tcW w:w="667" w:type="pct"/>
            <w:tcBorders>
              <w:tl2br w:val="nil"/>
              <w:tr2bl w:val="nil"/>
            </w:tcBorders>
            <w:vAlign w:val="center"/>
          </w:tcPr>
          <w:p w14:paraId="33F805E4">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水域/规模</w:t>
            </w:r>
          </w:p>
        </w:tc>
        <w:tc>
          <w:tcPr>
            <w:tcW w:w="1612" w:type="pct"/>
            <w:tcBorders>
              <w:tl2br w:val="nil"/>
              <w:tr2bl w:val="nil"/>
            </w:tcBorders>
            <w:vAlign w:val="center"/>
          </w:tcPr>
          <w:p w14:paraId="46ECC533">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与排污口位置关系</w:t>
            </w:r>
          </w:p>
        </w:tc>
        <w:tc>
          <w:tcPr>
            <w:tcW w:w="724" w:type="pct"/>
            <w:tcBorders>
              <w:tl2br w:val="nil"/>
              <w:tr2bl w:val="nil"/>
            </w:tcBorders>
            <w:vAlign w:val="center"/>
          </w:tcPr>
          <w:p w14:paraId="7C6DBAA4">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长度（km）</w:t>
            </w:r>
          </w:p>
        </w:tc>
        <w:tc>
          <w:tcPr>
            <w:tcW w:w="1207" w:type="pct"/>
            <w:tcBorders>
              <w:tl2br w:val="nil"/>
              <w:tr2bl w:val="nil"/>
            </w:tcBorders>
            <w:vAlign w:val="center"/>
          </w:tcPr>
          <w:p w14:paraId="7559BF3A">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水质执行标准</w:t>
            </w:r>
          </w:p>
        </w:tc>
      </w:tr>
      <w:tr w14:paraId="334B8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tcBorders>
              <w:tl2br w:val="nil"/>
              <w:tr2bl w:val="nil"/>
            </w:tcBorders>
            <w:vAlign w:val="center"/>
          </w:tcPr>
          <w:p w14:paraId="4ABD1034">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渣滓溪</w:t>
            </w:r>
          </w:p>
        </w:tc>
        <w:tc>
          <w:tcPr>
            <w:tcW w:w="667" w:type="pct"/>
            <w:tcBorders>
              <w:tl2br w:val="nil"/>
              <w:tr2bl w:val="nil"/>
            </w:tcBorders>
            <w:vAlign w:val="center"/>
          </w:tcPr>
          <w:p w14:paraId="29388845">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小河</w:t>
            </w:r>
          </w:p>
        </w:tc>
        <w:tc>
          <w:tcPr>
            <w:tcW w:w="1612" w:type="pct"/>
            <w:tcBorders>
              <w:tl2br w:val="nil"/>
              <w:tr2bl w:val="nil"/>
            </w:tcBorders>
            <w:vAlign w:val="center"/>
          </w:tcPr>
          <w:p w14:paraId="4C6B5B8A">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直接受纳水体</w:t>
            </w:r>
          </w:p>
        </w:tc>
        <w:tc>
          <w:tcPr>
            <w:tcW w:w="724" w:type="pct"/>
            <w:tcBorders>
              <w:tl2br w:val="nil"/>
              <w:tr2bl w:val="nil"/>
            </w:tcBorders>
            <w:vAlign w:val="center"/>
          </w:tcPr>
          <w:p w14:paraId="7C9371CD">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0.955</w:t>
            </w:r>
          </w:p>
        </w:tc>
        <w:tc>
          <w:tcPr>
            <w:tcW w:w="1207" w:type="pct"/>
            <w:vMerge w:val="restart"/>
            <w:tcBorders>
              <w:tl2br w:val="nil"/>
              <w:tr2bl w:val="nil"/>
            </w:tcBorders>
            <w:vAlign w:val="center"/>
          </w:tcPr>
          <w:p w14:paraId="2C04F56B">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《地表水环境质量标准》（GB3838-2002）中Ⅲ类</w:t>
            </w:r>
          </w:p>
        </w:tc>
      </w:tr>
      <w:tr w14:paraId="03419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tcBorders>
              <w:tl2br w:val="nil"/>
              <w:tr2bl w:val="nil"/>
            </w:tcBorders>
            <w:vAlign w:val="center"/>
          </w:tcPr>
          <w:p w14:paraId="77BBCFF3">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白茅溪</w:t>
            </w:r>
          </w:p>
        </w:tc>
        <w:tc>
          <w:tcPr>
            <w:tcW w:w="667" w:type="pct"/>
            <w:tcBorders>
              <w:tl2br w:val="nil"/>
              <w:tr2bl w:val="nil"/>
            </w:tcBorders>
            <w:vAlign w:val="center"/>
          </w:tcPr>
          <w:p w14:paraId="577172CE">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小河</w:t>
            </w:r>
          </w:p>
        </w:tc>
        <w:tc>
          <w:tcPr>
            <w:tcW w:w="1612" w:type="pct"/>
            <w:tcBorders>
              <w:tl2br w:val="nil"/>
              <w:tr2bl w:val="nil"/>
            </w:tcBorders>
            <w:vAlign w:val="center"/>
          </w:tcPr>
          <w:p w14:paraId="2862B9BC">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排污口下游约0.955km</w:t>
            </w:r>
          </w:p>
        </w:tc>
        <w:tc>
          <w:tcPr>
            <w:tcW w:w="724" w:type="pct"/>
            <w:tcBorders>
              <w:tl2br w:val="nil"/>
              <w:tr2bl w:val="nil"/>
            </w:tcBorders>
            <w:vAlign w:val="center"/>
          </w:tcPr>
          <w:p w14:paraId="087B4C9D">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3.5</w:t>
            </w:r>
          </w:p>
        </w:tc>
        <w:tc>
          <w:tcPr>
            <w:tcW w:w="1207" w:type="pct"/>
            <w:vMerge w:val="continue"/>
            <w:tcBorders>
              <w:tl2br w:val="nil"/>
              <w:tr2bl w:val="nil"/>
            </w:tcBorders>
            <w:vAlign w:val="center"/>
          </w:tcPr>
          <w:p w14:paraId="64EC143D">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p>
        </w:tc>
      </w:tr>
      <w:tr w14:paraId="112B3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tcBorders>
              <w:tl2br w:val="nil"/>
              <w:tr2bl w:val="nil"/>
            </w:tcBorders>
            <w:vAlign w:val="center"/>
          </w:tcPr>
          <w:p w14:paraId="07B159E1">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奎溪</w:t>
            </w:r>
          </w:p>
        </w:tc>
        <w:tc>
          <w:tcPr>
            <w:tcW w:w="667" w:type="pct"/>
            <w:tcBorders>
              <w:tl2br w:val="nil"/>
              <w:tr2bl w:val="nil"/>
            </w:tcBorders>
            <w:vAlign w:val="center"/>
          </w:tcPr>
          <w:p w14:paraId="19D8DA7F">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小河</w:t>
            </w:r>
          </w:p>
        </w:tc>
        <w:tc>
          <w:tcPr>
            <w:tcW w:w="1612" w:type="pct"/>
            <w:tcBorders>
              <w:tl2br w:val="nil"/>
              <w:tr2bl w:val="nil"/>
            </w:tcBorders>
            <w:vAlign w:val="center"/>
          </w:tcPr>
          <w:p w14:paraId="28B03A8B">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排污口下游约4.455km</w:t>
            </w:r>
          </w:p>
        </w:tc>
        <w:tc>
          <w:tcPr>
            <w:tcW w:w="724" w:type="pct"/>
            <w:tcBorders>
              <w:tl2br w:val="nil"/>
              <w:tr2bl w:val="nil"/>
            </w:tcBorders>
            <w:vAlign w:val="center"/>
          </w:tcPr>
          <w:p w14:paraId="0B62E4C9">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8.8</w:t>
            </w:r>
          </w:p>
        </w:tc>
        <w:tc>
          <w:tcPr>
            <w:tcW w:w="1207" w:type="pct"/>
            <w:vMerge w:val="continue"/>
            <w:tcBorders>
              <w:tl2br w:val="nil"/>
              <w:tr2bl w:val="nil"/>
            </w:tcBorders>
            <w:vAlign w:val="center"/>
          </w:tcPr>
          <w:p w14:paraId="4904A048">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p>
        </w:tc>
      </w:tr>
      <w:tr w14:paraId="2E6D3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tcBorders>
              <w:tl2br w:val="nil"/>
              <w:tr2bl w:val="nil"/>
            </w:tcBorders>
            <w:vAlign w:val="center"/>
          </w:tcPr>
          <w:p w14:paraId="2B538545">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洋溪</w:t>
            </w:r>
          </w:p>
        </w:tc>
        <w:tc>
          <w:tcPr>
            <w:tcW w:w="667" w:type="pct"/>
            <w:tcBorders>
              <w:tl2br w:val="nil"/>
              <w:tr2bl w:val="nil"/>
            </w:tcBorders>
            <w:vAlign w:val="center"/>
          </w:tcPr>
          <w:p w14:paraId="3A6467B5">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中河</w:t>
            </w:r>
          </w:p>
        </w:tc>
        <w:tc>
          <w:tcPr>
            <w:tcW w:w="1612" w:type="pct"/>
            <w:tcBorders>
              <w:tl2br w:val="nil"/>
              <w:tr2bl w:val="nil"/>
            </w:tcBorders>
            <w:vAlign w:val="center"/>
          </w:tcPr>
          <w:p w14:paraId="5C2F0E02">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排污口下游约13.255km</w:t>
            </w:r>
          </w:p>
        </w:tc>
        <w:tc>
          <w:tcPr>
            <w:tcW w:w="724" w:type="pct"/>
            <w:tcBorders>
              <w:tl2br w:val="nil"/>
              <w:tr2bl w:val="nil"/>
            </w:tcBorders>
            <w:vAlign w:val="center"/>
          </w:tcPr>
          <w:p w14:paraId="495DAC5C">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28</w:t>
            </w:r>
          </w:p>
        </w:tc>
        <w:tc>
          <w:tcPr>
            <w:tcW w:w="1207" w:type="pct"/>
            <w:vMerge w:val="continue"/>
            <w:tcBorders>
              <w:tl2br w:val="nil"/>
              <w:tr2bl w:val="nil"/>
            </w:tcBorders>
            <w:vAlign w:val="center"/>
          </w:tcPr>
          <w:p w14:paraId="30DE6532">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p>
        </w:tc>
      </w:tr>
      <w:tr w14:paraId="47D85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tcBorders>
              <w:tl2br w:val="nil"/>
              <w:tr2bl w:val="nil"/>
            </w:tcBorders>
            <w:vAlign w:val="center"/>
          </w:tcPr>
          <w:p w14:paraId="0F09CC9D">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r>
              <w:rPr>
                <w:rFonts w:hint="eastAsia"/>
                <w:color w:val="auto"/>
                <w:highlight w:val="none"/>
                <w:u w:val="single"/>
                <w:lang w:val="en-US" w:eastAsia="zh-CN"/>
              </w:rPr>
              <w:t>湖南雪峰湖国家湿地自然公园</w:t>
            </w:r>
          </w:p>
        </w:tc>
        <w:tc>
          <w:tcPr>
            <w:tcW w:w="667" w:type="pct"/>
            <w:tcBorders>
              <w:tl2br w:val="nil"/>
              <w:tr2bl w:val="nil"/>
            </w:tcBorders>
            <w:vAlign w:val="center"/>
          </w:tcPr>
          <w:p w14:paraId="293BECE2">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中河</w:t>
            </w:r>
          </w:p>
        </w:tc>
        <w:tc>
          <w:tcPr>
            <w:tcW w:w="1612" w:type="pct"/>
            <w:tcBorders>
              <w:tl2br w:val="nil"/>
              <w:tr2bl w:val="nil"/>
            </w:tcBorders>
            <w:vAlign w:val="center"/>
          </w:tcPr>
          <w:p w14:paraId="308B2E41">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位于洋溪上，排污口下游约27.325km，奎溪汇入洋溪口下游14.07km</w:t>
            </w:r>
          </w:p>
        </w:tc>
        <w:tc>
          <w:tcPr>
            <w:tcW w:w="724" w:type="pct"/>
            <w:tcBorders>
              <w:tl2br w:val="nil"/>
              <w:tr2bl w:val="nil"/>
            </w:tcBorders>
            <w:vAlign w:val="center"/>
          </w:tcPr>
          <w:p w14:paraId="0712A2D9">
            <w:pPr>
              <w:pStyle w:val="26"/>
              <w:keepNext w:val="0"/>
              <w:keepLines w:val="0"/>
              <w:suppressLineNumbers w:val="0"/>
              <w:spacing w:before="0" w:beforeAutospacing="0" w:after="0" w:afterAutospacing="0"/>
              <w:ind w:left="0" w:right="0"/>
              <w:jc w:val="center"/>
              <w:rPr>
                <w:rFonts w:hint="default"/>
                <w:color w:val="auto"/>
                <w:highlight w:val="none"/>
                <w:u w:val="single"/>
                <w:lang w:val="en-US" w:eastAsia="zh-CN"/>
              </w:rPr>
            </w:pPr>
            <w:r>
              <w:rPr>
                <w:rFonts w:hint="eastAsia"/>
                <w:color w:val="auto"/>
                <w:highlight w:val="none"/>
                <w:u w:val="single"/>
                <w:lang w:val="en-US" w:eastAsia="zh-CN"/>
              </w:rPr>
              <w:t>13.93</w:t>
            </w:r>
          </w:p>
        </w:tc>
        <w:tc>
          <w:tcPr>
            <w:tcW w:w="1207" w:type="pct"/>
            <w:vMerge w:val="continue"/>
            <w:tcBorders>
              <w:tl2br w:val="nil"/>
              <w:tr2bl w:val="nil"/>
            </w:tcBorders>
            <w:vAlign w:val="center"/>
          </w:tcPr>
          <w:p w14:paraId="4622A302">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p>
        </w:tc>
      </w:tr>
      <w:tr w14:paraId="56C88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tcBorders>
              <w:tl2br w:val="nil"/>
              <w:tr2bl w:val="nil"/>
            </w:tcBorders>
            <w:shd w:val="clear" w:color="auto" w:fill="auto"/>
            <w:vAlign w:val="center"/>
          </w:tcPr>
          <w:p w14:paraId="51F3B52C">
            <w:pPr>
              <w:pStyle w:val="26"/>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u w:val="single"/>
                <w:lang w:val="en-US" w:eastAsia="zh-CN" w:bidi="ar-SA"/>
              </w:rPr>
            </w:pPr>
            <w:r>
              <w:rPr>
                <w:rFonts w:hint="eastAsia"/>
                <w:color w:val="auto"/>
                <w:highlight w:val="none"/>
                <w:u w:val="single"/>
                <w:lang w:val="en-US" w:eastAsia="zh-CN"/>
              </w:rPr>
              <w:t>资江</w:t>
            </w:r>
          </w:p>
        </w:tc>
        <w:tc>
          <w:tcPr>
            <w:tcW w:w="667" w:type="pct"/>
            <w:tcBorders>
              <w:tl2br w:val="nil"/>
              <w:tr2bl w:val="nil"/>
            </w:tcBorders>
            <w:shd w:val="clear" w:color="auto" w:fill="auto"/>
            <w:vAlign w:val="center"/>
          </w:tcPr>
          <w:p w14:paraId="7E2B8213">
            <w:pPr>
              <w:pStyle w:val="26"/>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u w:val="single"/>
                <w:lang w:val="en-US" w:eastAsia="zh-CN" w:bidi="ar-SA"/>
              </w:rPr>
            </w:pPr>
            <w:r>
              <w:rPr>
                <w:rFonts w:hint="eastAsia"/>
                <w:color w:val="auto"/>
                <w:highlight w:val="none"/>
                <w:u w:val="single"/>
                <w:lang w:val="en-US" w:eastAsia="zh-CN"/>
              </w:rPr>
              <w:t>大河</w:t>
            </w:r>
          </w:p>
        </w:tc>
        <w:tc>
          <w:tcPr>
            <w:tcW w:w="1612" w:type="pct"/>
            <w:tcBorders>
              <w:tl2br w:val="nil"/>
              <w:tr2bl w:val="nil"/>
            </w:tcBorders>
            <w:shd w:val="clear" w:color="auto" w:fill="auto"/>
            <w:vAlign w:val="center"/>
          </w:tcPr>
          <w:p w14:paraId="5283B341">
            <w:pPr>
              <w:pStyle w:val="26"/>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u w:val="single"/>
                <w:lang w:val="en-US" w:eastAsia="zh-CN" w:bidi="ar-SA"/>
              </w:rPr>
            </w:pPr>
            <w:r>
              <w:rPr>
                <w:rFonts w:hint="eastAsia"/>
                <w:color w:val="auto"/>
                <w:highlight w:val="none"/>
                <w:u w:val="single"/>
                <w:lang w:val="en-US" w:eastAsia="zh-CN"/>
              </w:rPr>
              <w:t>排污口下游约41.255km。资江上最近的饮用水水源保护区为桃江县马迹塘镇资江饮用水水源保护区，为马迹塘镇自来水厂供水。位于排污口下游约121km，洋溪汇入资江口下游79.745km</w:t>
            </w:r>
          </w:p>
        </w:tc>
        <w:tc>
          <w:tcPr>
            <w:tcW w:w="724" w:type="pct"/>
            <w:tcBorders>
              <w:tl2br w:val="nil"/>
              <w:tr2bl w:val="nil"/>
            </w:tcBorders>
            <w:shd w:val="clear" w:color="auto" w:fill="auto"/>
            <w:vAlign w:val="center"/>
          </w:tcPr>
          <w:p w14:paraId="34131DED">
            <w:pPr>
              <w:pStyle w:val="26"/>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u w:val="single"/>
                <w:lang w:val="en-US" w:eastAsia="zh-CN" w:bidi="ar-SA"/>
              </w:rPr>
            </w:pPr>
            <w:r>
              <w:rPr>
                <w:rFonts w:hint="eastAsia"/>
                <w:color w:val="auto"/>
                <w:highlight w:val="none"/>
                <w:u w:val="single"/>
                <w:lang w:val="en-US" w:eastAsia="zh-CN"/>
              </w:rPr>
              <w:t>/</w:t>
            </w:r>
          </w:p>
        </w:tc>
        <w:tc>
          <w:tcPr>
            <w:tcW w:w="1207" w:type="pct"/>
            <w:vMerge w:val="continue"/>
            <w:tcBorders>
              <w:tl2br w:val="nil"/>
              <w:tr2bl w:val="nil"/>
            </w:tcBorders>
            <w:vAlign w:val="center"/>
          </w:tcPr>
          <w:p w14:paraId="29B38A12">
            <w:pPr>
              <w:pStyle w:val="26"/>
              <w:keepNext w:val="0"/>
              <w:keepLines w:val="0"/>
              <w:suppressLineNumbers w:val="0"/>
              <w:spacing w:before="0" w:beforeAutospacing="0" w:after="0" w:afterAutospacing="0"/>
              <w:ind w:left="0" w:right="0"/>
              <w:jc w:val="center"/>
              <w:rPr>
                <w:rFonts w:hint="eastAsia"/>
                <w:color w:val="auto"/>
                <w:highlight w:val="none"/>
                <w:u w:val="single"/>
                <w:lang w:val="en-US" w:eastAsia="zh-CN"/>
              </w:rPr>
            </w:pPr>
          </w:p>
        </w:tc>
      </w:tr>
    </w:tbl>
    <w:p w14:paraId="745C3264">
      <w:pPr>
        <w:keepNext/>
        <w:keepLines/>
        <w:widowControl w:val="0"/>
        <w:numPr>
          <w:ilvl w:val="2"/>
          <w:numId w:val="2"/>
        </w:numPr>
        <w:tabs>
          <w:tab w:val="clear" w:pos="0"/>
        </w:tabs>
        <w:spacing w:before="20" w:after="20" w:line="360" w:lineRule="auto"/>
        <w:jc w:val="left"/>
        <w:outlineLvl w:val="2"/>
        <w:rPr>
          <w:rFonts w:hint="eastAsia" w:ascii="Times New Roman" w:hAnsi="Times New Roman" w:eastAsia="黑体" w:cs="Times New Roman"/>
          <w:b w:val="0"/>
          <w:bCs w:val="0"/>
          <w:color w:val="auto"/>
          <w:kern w:val="2"/>
          <w:sz w:val="28"/>
          <w:szCs w:val="20"/>
          <w:highlight w:val="none"/>
          <w:lang w:val="en-US" w:eastAsia="zh-CN" w:bidi="ar-SA"/>
        </w:rPr>
      </w:pPr>
      <w:r>
        <w:rPr>
          <w:rFonts w:hint="eastAsia" w:ascii="Times New Roman" w:hAnsi="Times New Roman" w:eastAsia="黑体" w:cs="Times New Roman"/>
          <w:b w:val="0"/>
          <w:bCs w:val="0"/>
          <w:color w:val="auto"/>
          <w:kern w:val="2"/>
          <w:sz w:val="28"/>
          <w:szCs w:val="20"/>
          <w:highlight w:val="none"/>
          <w:lang w:val="en-US" w:eastAsia="zh-CN" w:bidi="ar-SA"/>
        </w:rPr>
        <w:t>水功能区管理要求</w:t>
      </w:r>
    </w:p>
    <w:p w14:paraId="12E4C203">
      <w:pPr>
        <w:pStyle w:val="2"/>
        <w:rPr>
          <w:rFonts w:hint="default" w:ascii="Times New Roman" w:hAnsi="Times New Roman" w:cs="Times New Roman"/>
          <w:color w:val="auto"/>
          <w:highlight w:val="none"/>
          <w:u w:val="single"/>
          <w:lang w:val="en-US" w:eastAsia="zh-CN"/>
        </w:rPr>
      </w:pPr>
      <w:r>
        <w:rPr>
          <w:rFonts w:hint="eastAsia" w:cs="Times New Roman"/>
          <w:color w:val="auto"/>
          <w:highlight w:val="none"/>
          <w:lang w:val="en-US" w:eastAsia="zh-CN"/>
        </w:rPr>
        <w:t>根据水功能区管理要求，新增排污口入河污染物要达标排放，以保证排污口所在水域水功能区的水质保护目标要求，以及下游水功能区水质不受影响。本项目入河排污口位于渣滓溪，排污口上游500m至排污口下游13255m奎溪汇入洋溪处，暂未划分水功能区。因渣滓溪、白茅溪、奎溪目前开发利用程度较低、仅有少量农田灌溉且取用水量较小，参照执行《地表水环境质量标准》（GB3838-2002）中Ⅲ类水域标准。</w:t>
      </w:r>
      <w:r>
        <w:rPr>
          <w:rFonts w:hint="eastAsia" w:cs="Times New Roman"/>
          <w:color w:val="auto"/>
          <w:highlight w:val="none"/>
          <w:u w:val="single"/>
          <w:lang w:val="en-US" w:eastAsia="zh-CN"/>
        </w:rPr>
        <w:t>本项目属洋溪安化奎溪镇-马路镇保留区，所涉及洋溪河段执行《地表水环境质量标准》（GB3838-2002）中Ⅲ类水域标准。本项目属资水安化保留区，所涉及资水河段执行《地表水环境质量标准》（GB3838-2002）中Ⅲ类水域标准。</w:t>
      </w:r>
    </w:p>
    <w:p w14:paraId="38ED28B9">
      <w:pPr>
        <w:pStyle w:val="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项目入河排污口的设置及运行不能影响所涉及水功能区的功能，根据《中华人民共和国水法》、《中华人民共和国环境保护法》《中华人民共和国水污染物防治法》、《中华人民共和国河道管理条例》等法律法规，为避免破坏河流生态环境，保护渣滓溪、白茅溪、奎溪、洋溪水资源，建设单位在运行期间应采取措施，排污口形成的污染带不得影响其周边水功能区的水质目标。</w:t>
      </w:r>
    </w:p>
    <w:p w14:paraId="69F3AA3D">
      <w:pPr>
        <w:pStyle w:val="36"/>
        <w:bidi w:val="0"/>
        <w:rPr>
          <w:rFonts w:hint="eastAsia" w:ascii="Times New Roman" w:hAnsi="Times New Roman" w:cs="Times New Roman"/>
          <w:color w:val="auto"/>
          <w:highlight w:val="none"/>
          <w:lang w:val="en-US" w:eastAsia="zh-CN"/>
        </w:rPr>
      </w:pPr>
      <w:bookmarkStart w:id="50" w:name="_Toc10765"/>
      <w:r>
        <w:rPr>
          <w:rFonts w:hint="eastAsia" w:ascii="Times New Roman" w:hAnsi="Times New Roman" w:cs="Times New Roman"/>
          <w:color w:val="auto"/>
          <w:highlight w:val="none"/>
          <w:lang w:val="en-US" w:eastAsia="zh-CN"/>
        </w:rPr>
        <w:t>论证水功能区（水域）现状取排水情况</w:t>
      </w:r>
      <w:bookmarkEnd w:id="50"/>
    </w:p>
    <w:p w14:paraId="6FA35EE0">
      <w:pPr>
        <w:keepNext/>
        <w:keepLines/>
        <w:widowControl w:val="0"/>
        <w:numPr>
          <w:ilvl w:val="2"/>
          <w:numId w:val="2"/>
        </w:numPr>
        <w:tabs>
          <w:tab w:val="clear" w:pos="0"/>
        </w:tabs>
        <w:spacing w:before="20" w:after="20" w:line="360" w:lineRule="auto"/>
        <w:jc w:val="left"/>
        <w:outlineLvl w:val="2"/>
        <w:rPr>
          <w:rFonts w:hint="eastAsia" w:ascii="Times New Roman" w:hAnsi="Times New Roman" w:eastAsia="黑体" w:cs="Times New Roman"/>
          <w:b w:val="0"/>
          <w:bCs w:val="0"/>
          <w:color w:val="auto"/>
          <w:kern w:val="2"/>
          <w:sz w:val="28"/>
          <w:szCs w:val="20"/>
          <w:highlight w:val="none"/>
          <w:lang w:val="en-US" w:eastAsia="zh-CN" w:bidi="ar-SA"/>
        </w:rPr>
      </w:pPr>
      <w:r>
        <w:rPr>
          <w:rFonts w:hint="eastAsia" w:ascii="Times New Roman" w:hAnsi="Times New Roman" w:eastAsia="黑体" w:cs="Times New Roman"/>
          <w:b w:val="0"/>
          <w:bCs w:val="0"/>
          <w:color w:val="auto"/>
          <w:kern w:val="2"/>
          <w:sz w:val="28"/>
          <w:szCs w:val="20"/>
          <w:highlight w:val="none"/>
          <w:lang w:val="en-US" w:eastAsia="zh-CN" w:bidi="ar-SA"/>
        </w:rPr>
        <w:t>取水现状</w:t>
      </w:r>
    </w:p>
    <w:p w14:paraId="29A1E7A2">
      <w:pPr>
        <w:pStyle w:val="2"/>
        <w:rPr>
          <w:rFonts w:hint="eastAsia"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本次排污口论证范围主要地表水体为渣滓溪、白茅溪、奎溪、洋溪</w:t>
      </w:r>
      <w:r>
        <w:rPr>
          <w:rFonts w:hint="eastAsia" w:cs="Times New Roman"/>
          <w:color w:val="auto"/>
          <w:highlight w:val="none"/>
          <w:u w:val="single"/>
          <w:lang w:val="en-US" w:eastAsia="zh-CN"/>
        </w:rPr>
        <w:t>、资江</w:t>
      </w:r>
      <w:r>
        <w:rPr>
          <w:rFonts w:hint="eastAsia" w:ascii="Times New Roman" w:hAnsi="Times New Roman" w:cs="Times New Roman"/>
          <w:color w:val="auto"/>
          <w:highlight w:val="none"/>
          <w:u w:val="single"/>
          <w:lang w:val="en-US" w:eastAsia="zh-CN"/>
        </w:rPr>
        <w:t>，根据现场调查，论证水域内本项目排污口下游内无集中式饮用水源取水口、饮用水水源保护区，无其它集中生活用水和工业用水取水口，亦无现状养殖或规划养殖区，论证范围河段对取水水质无特殊要求。本项目排污口上游0.5km至排污口下游</w:t>
      </w:r>
      <w:r>
        <w:rPr>
          <w:rFonts w:hint="eastAsia" w:cs="Times New Roman"/>
          <w:color w:val="auto"/>
          <w:highlight w:val="none"/>
          <w:u w:val="single"/>
          <w:lang w:val="en-US" w:eastAsia="zh-CN"/>
        </w:rPr>
        <w:t>41</w:t>
      </w:r>
      <w:r>
        <w:rPr>
          <w:rFonts w:hint="eastAsia" w:ascii="Times New Roman" w:hAnsi="Times New Roman" w:cs="Times New Roman"/>
          <w:color w:val="auto"/>
          <w:highlight w:val="none"/>
          <w:u w:val="single"/>
          <w:lang w:val="en-US" w:eastAsia="zh-CN"/>
        </w:rPr>
        <w:t>.25</w:t>
      </w:r>
      <w:r>
        <w:rPr>
          <w:rFonts w:hint="eastAsia" w:cs="Times New Roman"/>
          <w:color w:val="auto"/>
          <w:highlight w:val="none"/>
          <w:u w:val="single"/>
          <w:lang w:val="en-US" w:eastAsia="zh-CN"/>
        </w:rPr>
        <w:t>5</w:t>
      </w:r>
      <w:r>
        <w:rPr>
          <w:rFonts w:hint="eastAsia" w:ascii="Times New Roman" w:hAnsi="Times New Roman" w:cs="Times New Roman"/>
          <w:color w:val="auto"/>
          <w:highlight w:val="none"/>
          <w:u w:val="single"/>
          <w:lang w:val="en-US" w:eastAsia="zh-CN"/>
        </w:rPr>
        <w:t>km范围内无饮用水源取水口。资江上最近的饮用水水源保护区为桃江县马迹塘镇资江饮用水水源保护区，</w:t>
      </w:r>
      <w:r>
        <w:rPr>
          <w:rFonts w:hint="eastAsia"/>
          <w:color w:val="auto"/>
          <w:highlight w:val="none"/>
          <w:u w:val="single"/>
          <w:lang w:val="en-US" w:eastAsia="zh-CN"/>
        </w:rPr>
        <w:t>为马迹塘镇自来水厂供水。</w:t>
      </w:r>
      <w:r>
        <w:rPr>
          <w:rFonts w:hint="eastAsia" w:ascii="Times New Roman" w:hAnsi="Times New Roman" w:cs="Times New Roman"/>
          <w:color w:val="auto"/>
          <w:highlight w:val="none"/>
          <w:u w:val="single"/>
          <w:lang w:val="en-US" w:eastAsia="zh-CN"/>
        </w:rPr>
        <w:t>位于排污口下游约121km，洋溪汇入资江口下游79.745km</w:t>
      </w:r>
      <w:r>
        <w:rPr>
          <w:rFonts w:hint="eastAsia" w:cs="Times New Roman"/>
          <w:color w:val="auto"/>
          <w:highlight w:val="none"/>
          <w:u w:val="single"/>
          <w:lang w:val="en-US" w:eastAsia="zh-CN"/>
        </w:rPr>
        <w:t>。</w:t>
      </w:r>
    </w:p>
    <w:p w14:paraId="76977F35">
      <w:pPr>
        <w:pStyle w:val="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奎溪镇区居民生活用水通过奎溪镇水厂供给，取水口取自</w:t>
      </w:r>
      <w:r>
        <w:rPr>
          <w:rFonts w:hint="eastAsia" w:cs="Times New Roman"/>
          <w:color w:val="auto"/>
          <w:highlight w:val="none"/>
          <w:lang w:val="en-US" w:eastAsia="zh-CN"/>
        </w:rPr>
        <w:t>白茅溪</w:t>
      </w:r>
      <w:r>
        <w:rPr>
          <w:rFonts w:hint="eastAsia" w:ascii="Times New Roman" w:hAnsi="Times New Roman" w:cs="Times New Roman"/>
          <w:color w:val="auto"/>
          <w:highlight w:val="none"/>
          <w:lang w:val="en-US" w:eastAsia="zh-CN"/>
        </w:rPr>
        <w:t>，位于</w:t>
      </w:r>
      <w:r>
        <w:rPr>
          <w:rFonts w:hint="eastAsia" w:cs="Times New Roman"/>
          <w:color w:val="auto"/>
          <w:highlight w:val="none"/>
          <w:lang w:val="en-US" w:eastAsia="zh-CN"/>
        </w:rPr>
        <w:t>渣滓溪汇入白茅溪</w:t>
      </w:r>
      <w:r>
        <w:rPr>
          <w:rFonts w:hint="eastAsia" w:ascii="Times New Roman" w:hAnsi="Times New Roman" w:cs="Times New Roman"/>
          <w:color w:val="auto"/>
          <w:highlight w:val="none"/>
          <w:lang w:val="en-US" w:eastAsia="zh-CN"/>
        </w:rPr>
        <w:t>上游约1.3km。</w:t>
      </w:r>
      <w:r>
        <w:rPr>
          <w:rFonts w:hint="eastAsia" w:cs="Times New Roman"/>
          <w:color w:val="auto"/>
          <w:highlight w:val="none"/>
          <w:lang w:val="en-US" w:eastAsia="zh-CN"/>
        </w:rPr>
        <w:t>其他</w:t>
      </w:r>
      <w:r>
        <w:rPr>
          <w:rFonts w:hint="eastAsia" w:ascii="Times New Roman" w:hAnsi="Times New Roman" w:cs="Times New Roman"/>
          <w:color w:val="auto"/>
          <w:highlight w:val="none"/>
          <w:lang w:val="en-US" w:eastAsia="zh-CN"/>
        </w:rPr>
        <w:t>居民均取用自来水作为生活饮用水</w:t>
      </w:r>
      <w:r>
        <w:rPr>
          <w:rFonts w:hint="eastAsia" w:cs="Times New Roman"/>
          <w:color w:val="auto"/>
          <w:highlight w:val="none"/>
          <w:lang w:val="en-US" w:eastAsia="zh-CN"/>
        </w:rPr>
        <w:t>。本项目入河排污口</w:t>
      </w:r>
      <w:r>
        <w:rPr>
          <w:rFonts w:hint="eastAsia" w:ascii="Times New Roman" w:hAnsi="Times New Roman" w:cs="Times New Roman"/>
          <w:color w:val="auto"/>
          <w:highlight w:val="none"/>
          <w:lang w:val="en-US" w:eastAsia="zh-CN"/>
        </w:rPr>
        <w:t>不会对居民饮用水造成影响。</w:t>
      </w:r>
    </w:p>
    <w:p w14:paraId="5EBF4326">
      <w:pPr>
        <w:pStyle w:val="2"/>
        <w:rPr>
          <w:rFonts w:hint="eastAsia"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本次排污口论证范围所在地表水水域不涉及集中式饮用水源取水口、饮用水水源保护区。</w:t>
      </w:r>
    </w:p>
    <w:p w14:paraId="1B24ED46">
      <w:pPr>
        <w:keepNext/>
        <w:keepLines/>
        <w:widowControl w:val="0"/>
        <w:numPr>
          <w:ilvl w:val="2"/>
          <w:numId w:val="2"/>
        </w:numPr>
        <w:tabs>
          <w:tab w:val="clear" w:pos="0"/>
        </w:tabs>
        <w:spacing w:before="20" w:after="20" w:line="360" w:lineRule="auto"/>
        <w:jc w:val="left"/>
        <w:outlineLvl w:val="2"/>
        <w:rPr>
          <w:rFonts w:hint="eastAsia" w:ascii="Times New Roman" w:hAnsi="Times New Roman" w:eastAsia="黑体" w:cs="Times New Roman"/>
          <w:b w:val="0"/>
          <w:bCs w:val="0"/>
          <w:color w:val="auto"/>
          <w:kern w:val="2"/>
          <w:sz w:val="28"/>
          <w:szCs w:val="20"/>
          <w:highlight w:val="none"/>
          <w:lang w:val="en-US" w:eastAsia="zh-CN" w:bidi="ar-SA"/>
        </w:rPr>
      </w:pPr>
      <w:r>
        <w:rPr>
          <w:rFonts w:hint="eastAsia" w:ascii="Times New Roman" w:hAnsi="Times New Roman" w:eastAsia="黑体" w:cs="Times New Roman"/>
          <w:b w:val="0"/>
          <w:bCs w:val="0"/>
          <w:color w:val="auto"/>
          <w:kern w:val="2"/>
          <w:sz w:val="28"/>
          <w:szCs w:val="20"/>
          <w:highlight w:val="none"/>
          <w:lang w:val="en-US" w:eastAsia="zh-CN" w:bidi="ar-SA"/>
        </w:rPr>
        <w:t>排水口现状</w:t>
      </w:r>
    </w:p>
    <w:p w14:paraId="116B4BD6">
      <w:pPr>
        <w:pStyle w:val="2"/>
        <w:rPr>
          <w:color w:val="auto"/>
          <w:highlight w:val="none"/>
        </w:rPr>
      </w:pPr>
      <w:r>
        <w:rPr>
          <w:rFonts w:hint="eastAsia"/>
          <w:color w:val="auto"/>
          <w:highlight w:val="none"/>
          <w:lang w:val="en-US" w:eastAsia="zh-CN"/>
        </w:rPr>
        <w:t>根据现场调查，渣滓溪汇入白茅溪处下游150m有安化县奎溪镇污水处理厂</w:t>
      </w:r>
      <w:r>
        <w:rPr>
          <w:rFonts w:hint="eastAsia" w:ascii="宋体" w:hAnsi="宋体" w:eastAsia="宋体" w:cs="宋体"/>
          <w:color w:val="auto"/>
          <w:kern w:val="0"/>
          <w:sz w:val="24"/>
          <w:szCs w:val="24"/>
          <w:highlight w:val="none"/>
          <w:lang w:val="en-US" w:eastAsia="zh-CN" w:bidi="ar"/>
        </w:rPr>
        <w:t>污水排放口。</w:t>
      </w:r>
    </w:p>
    <w:p w14:paraId="50C41B2C">
      <w:pPr>
        <w:pStyle w:val="28"/>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STYLEREF guo-二级标题 \n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3.2</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fldChar w:fldCharType="end"/>
      </w:r>
      <w:r>
        <w:rPr>
          <w:rFonts w:hint="eastAsia" w:ascii="Times New Roman" w:hAnsi="Times New Roman" w:cs="Times New Roman"/>
          <w:color w:val="auto"/>
          <w:highlight w:val="none"/>
          <w:lang w:val="en-US" w:eastAsia="zh-CN"/>
        </w:rPr>
        <w:t xml:space="preserve">  安化县奎溪镇污水处理厂入河排污口基本情况表</w:t>
      </w:r>
    </w:p>
    <w:tbl>
      <w:tblPr>
        <w:tblStyle w:val="21"/>
        <w:tblW w:w="5000"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641"/>
        <w:gridCol w:w="6415"/>
      </w:tblGrid>
      <w:tr w14:paraId="03819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458" w:type="pct"/>
            <w:tcBorders>
              <w:top w:val="single" w:color="000000" w:sz="12" w:space="0"/>
              <w:left w:val="single" w:color="000000" w:sz="12" w:space="0"/>
              <w:bottom w:val="single" w:color="000000" w:sz="4" w:space="0"/>
              <w:right w:val="single" w:color="000000" w:sz="4" w:space="0"/>
              <w:tl2br w:val="nil"/>
              <w:tr2bl w:val="nil"/>
            </w:tcBorders>
            <w:shd w:val="clear" w:color="auto" w:fill="auto"/>
            <w:noWrap w:val="0"/>
            <w:vAlign w:val="center"/>
          </w:tcPr>
          <w:p w14:paraId="7B5F2441">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排污口名称</w:t>
            </w:r>
          </w:p>
        </w:tc>
        <w:tc>
          <w:tcPr>
            <w:tcW w:w="3542" w:type="pct"/>
            <w:tcBorders>
              <w:top w:val="single" w:color="000000" w:sz="12" w:space="0"/>
              <w:left w:val="single" w:color="000000" w:sz="4" w:space="0"/>
              <w:bottom w:val="single" w:color="000000" w:sz="4" w:space="0"/>
              <w:right w:val="single" w:color="000000" w:sz="12" w:space="0"/>
              <w:tl2br w:val="nil"/>
              <w:tr2bl w:val="nil"/>
            </w:tcBorders>
            <w:shd w:val="clear" w:color="auto" w:fill="auto"/>
            <w:noWrap w:val="0"/>
            <w:vAlign w:val="center"/>
          </w:tcPr>
          <w:p w14:paraId="36BA415B">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安化县奎溪镇污水处理厂入河排污口</w:t>
            </w:r>
          </w:p>
        </w:tc>
      </w:tr>
      <w:tr w14:paraId="3591B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458" w:type="pct"/>
            <w:tcBorders>
              <w:top w:val="single" w:color="000000" w:sz="4" w:space="0"/>
              <w:left w:val="single" w:color="000000" w:sz="12" w:space="0"/>
              <w:bottom w:val="single" w:color="000000" w:sz="4" w:space="0"/>
              <w:right w:val="single" w:color="000000" w:sz="4" w:space="0"/>
              <w:tl2br w:val="nil"/>
              <w:tr2bl w:val="nil"/>
            </w:tcBorders>
            <w:shd w:val="clear" w:color="auto" w:fill="auto"/>
            <w:noWrap w:val="0"/>
            <w:vAlign w:val="center"/>
          </w:tcPr>
          <w:p w14:paraId="73BF5F56">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排污口行政地址</w:t>
            </w:r>
          </w:p>
        </w:tc>
        <w:tc>
          <w:tcPr>
            <w:tcW w:w="3542" w:type="pct"/>
            <w:tcBorders>
              <w:top w:val="single" w:color="000000" w:sz="4" w:space="0"/>
              <w:left w:val="single" w:color="000000" w:sz="4" w:space="0"/>
              <w:bottom w:val="single" w:color="000000" w:sz="4" w:space="0"/>
              <w:right w:val="single" w:color="000000" w:sz="12" w:space="0"/>
              <w:tl2br w:val="nil"/>
              <w:tr2bl w:val="nil"/>
            </w:tcBorders>
            <w:shd w:val="clear" w:color="auto" w:fill="auto"/>
            <w:noWrap w:val="0"/>
            <w:vAlign w:val="center"/>
          </w:tcPr>
          <w:p w14:paraId="077755A0">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湖南省安化县奎溪镇白茅溪</w:t>
            </w:r>
          </w:p>
        </w:tc>
      </w:tr>
      <w:tr w14:paraId="4F5D2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458" w:type="pct"/>
            <w:tcBorders>
              <w:top w:val="single" w:color="000000" w:sz="4" w:space="0"/>
              <w:left w:val="single" w:color="000000" w:sz="12" w:space="0"/>
              <w:bottom w:val="single" w:color="000000" w:sz="4" w:space="0"/>
              <w:right w:val="single" w:color="000000" w:sz="4" w:space="0"/>
              <w:tl2br w:val="nil"/>
              <w:tr2bl w:val="nil"/>
            </w:tcBorders>
            <w:shd w:val="clear" w:color="auto" w:fill="auto"/>
            <w:noWrap w:val="0"/>
            <w:vAlign w:val="center"/>
          </w:tcPr>
          <w:p w14:paraId="6326388E">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所在水功能区概况</w:t>
            </w:r>
          </w:p>
        </w:tc>
        <w:tc>
          <w:tcPr>
            <w:tcW w:w="3542" w:type="pct"/>
            <w:tcBorders>
              <w:top w:val="single" w:color="000000" w:sz="4" w:space="0"/>
              <w:left w:val="single" w:color="000000" w:sz="4" w:space="0"/>
              <w:bottom w:val="single" w:color="000000" w:sz="4" w:space="0"/>
              <w:right w:val="single" w:color="000000" w:sz="12" w:space="0"/>
              <w:tl2br w:val="nil"/>
              <w:tr2bl w:val="nil"/>
            </w:tcBorders>
            <w:shd w:val="clear" w:color="auto" w:fill="auto"/>
            <w:noWrap w:val="0"/>
            <w:vAlign w:val="center"/>
          </w:tcPr>
          <w:p w14:paraId="10D0AEC5">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未划定水功能区，现状管理目标为Ⅲ类</w:t>
            </w:r>
          </w:p>
        </w:tc>
      </w:tr>
      <w:tr w14:paraId="49EDE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458" w:type="pct"/>
            <w:tcBorders>
              <w:top w:val="single" w:color="000000" w:sz="4" w:space="0"/>
              <w:left w:val="single" w:color="000000" w:sz="12" w:space="0"/>
              <w:bottom w:val="single" w:color="000000" w:sz="4" w:space="0"/>
              <w:right w:val="single" w:color="000000" w:sz="4" w:space="0"/>
              <w:tl2br w:val="nil"/>
              <w:tr2bl w:val="nil"/>
            </w:tcBorders>
            <w:shd w:val="clear" w:color="auto" w:fill="auto"/>
            <w:noWrap w:val="0"/>
            <w:vAlign w:val="center"/>
          </w:tcPr>
          <w:p w14:paraId="7F290D53">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排污口经纬度</w:t>
            </w:r>
          </w:p>
        </w:tc>
        <w:tc>
          <w:tcPr>
            <w:tcW w:w="3542" w:type="pct"/>
            <w:tcBorders>
              <w:top w:val="single" w:color="000000" w:sz="4" w:space="0"/>
              <w:left w:val="single" w:color="000000" w:sz="4" w:space="0"/>
              <w:bottom w:val="single" w:color="000000" w:sz="4" w:space="0"/>
              <w:right w:val="single" w:color="000000" w:sz="12" w:space="0"/>
              <w:tl2br w:val="nil"/>
              <w:tr2bl w:val="nil"/>
            </w:tcBorders>
            <w:shd w:val="clear" w:color="auto" w:fill="auto"/>
            <w:noWrap w:val="0"/>
            <w:vAlign w:val="center"/>
          </w:tcPr>
          <w:p w14:paraId="31103104">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E110°50′8.07196″,N28°14′50.87223″</w:t>
            </w:r>
          </w:p>
        </w:tc>
      </w:tr>
      <w:tr w14:paraId="596AB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458" w:type="pct"/>
            <w:tcBorders>
              <w:top w:val="single" w:color="000000" w:sz="4" w:space="0"/>
              <w:left w:val="single" w:color="000000" w:sz="12" w:space="0"/>
              <w:bottom w:val="single" w:color="000000" w:sz="4" w:space="0"/>
              <w:right w:val="single" w:color="000000" w:sz="4" w:space="0"/>
              <w:tl2br w:val="nil"/>
              <w:tr2bl w:val="nil"/>
            </w:tcBorders>
            <w:shd w:val="clear" w:color="auto" w:fill="auto"/>
            <w:noWrap w:val="0"/>
            <w:vAlign w:val="center"/>
          </w:tcPr>
          <w:p w14:paraId="66D72C31">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污水排放量(</w:t>
            </w:r>
            <w:r>
              <w:rPr>
                <w:rFonts w:hint="eastAsia" w:cs="Times New Roman"/>
                <w:b w:val="0"/>
                <w:color w:val="auto"/>
                <w:highlight w:val="none"/>
                <w:lang w:val="en-US" w:eastAsia="zh-CN"/>
              </w:rPr>
              <w:t>m</w:t>
            </w:r>
            <w:r>
              <w:rPr>
                <w:rFonts w:hint="eastAsia" w:cs="Times New Roman"/>
                <w:b w:val="0"/>
                <w:color w:val="auto"/>
                <w:highlight w:val="none"/>
                <w:vertAlign w:val="superscript"/>
                <w:lang w:val="en-US" w:eastAsia="zh-CN"/>
              </w:rPr>
              <w:t>3</w:t>
            </w:r>
            <w:r>
              <w:rPr>
                <w:rFonts w:hint="eastAsia" w:ascii="Times New Roman" w:hAnsi="Times New Roman" w:cs="Times New Roman"/>
                <w:b w:val="0"/>
                <w:color w:val="auto"/>
                <w:highlight w:val="none"/>
                <w:lang w:val="en-US" w:eastAsia="zh-CN"/>
              </w:rPr>
              <w:t>/d</w:t>
            </w:r>
            <w:r>
              <w:rPr>
                <w:rFonts w:hint="default" w:ascii="Times New Roman" w:hAnsi="Times New Roman" w:cs="Times New Roman"/>
                <w:b w:val="0"/>
                <w:color w:val="auto"/>
                <w:highlight w:val="none"/>
                <w:lang w:val="en-US" w:eastAsia="zh-CN"/>
              </w:rPr>
              <w:t>)</w:t>
            </w:r>
          </w:p>
        </w:tc>
        <w:tc>
          <w:tcPr>
            <w:tcW w:w="3542" w:type="pct"/>
            <w:tcBorders>
              <w:top w:val="single" w:color="000000" w:sz="4" w:space="0"/>
              <w:left w:val="single" w:color="000000" w:sz="4" w:space="0"/>
              <w:bottom w:val="single" w:color="000000" w:sz="4" w:space="0"/>
              <w:right w:val="single" w:color="000000" w:sz="12" w:space="0"/>
              <w:tl2br w:val="nil"/>
              <w:tr2bl w:val="nil"/>
            </w:tcBorders>
            <w:shd w:val="clear" w:color="auto" w:fill="auto"/>
            <w:noWrap w:val="0"/>
            <w:vAlign w:val="center"/>
          </w:tcPr>
          <w:p w14:paraId="35FBAB35">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eastAsia" w:ascii="Times New Roman" w:hAnsi="Times New Roman" w:cs="Times New Roman"/>
                <w:b w:val="0"/>
                <w:color w:val="auto"/>
                <w:highlight w:val="none"/>
                <w:lang w:val="en-US" w:eastAsia="zh-CN"/>
              </w:rPr>
              <w:t>1000</w:t>
            </w:r>
          </w:p>
        </w:tc>
      </w:tr>
      <w:tr w14:paraId="3F00B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458" w:type="pct"/>
            <w:tcBorders>
              <w:top w:val="single" w:color="000000" w:sz="4" w:space="0"/>
              <w:left w:val="single" w:color="000000" w:sz="12" w:space="0"/>
              <w:bottom w:val="single" w:color="000000" w:sz="4" w:space="0"/>
              <w:right w:val="single" w:color="000000" w:sz="4" w:space="0"/>
              <w:tl2br w:val="nil"/>
              <w:tr2bl w:val="nil"/>
            </w:tcBorders>
            <w:shd w:val="clear" w:color="auto" w:fill="auto"/>
            <w:noWrap w:val="0"/>
            <w:vAlign w:val="center"/>
          </w:tcPr>
          <w:p w14:paraId="11245691">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污染物排放标准</w:t>
            </w:r>
          </w:p>
        </w:tc>
        <w:tc>
          <w:tcPr>
            <w:tcW w:w="3542" w:type="pct"/>
            <w:tcBorders>
              <w:top w:val="single" w:color="000000" w:sz="4" w:space="0"/>
              <w:left w:val="single" w:color="000000" w:sz="4" w:space="0"/>
              <w:bottom w:val="single" w:color="000000" w:sz="4" w:space="0"/>
              <w:right w:val="single" w:color="000000" w:sz="12" w:space="0"/>
              <w:tl2br w:val="nil"/>
              <w:tr2bl w:val="nil"/>
            </w:tcBorders>
            <w:shd w:val="clear" w:color="auto" w:fill="auto"/>
            <w:noWrap w:val="0"/>
            <w:vAlign w:val="center"/>
          </w:tcPr>
          <w:p w14:paraId="4D9248D7">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《城镇污水处理厂污染物排放标准》（GB18918-2002）一级A标准</w:t>
            </w:r>
          </w:p>
        </w:tc>
      </w:tr>
      <w:tr w14:paraId="402F4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458" w:type="pct"/>
            <w:tcBorders>
              <w:top w:val="single" w:color="000000" w:sz="4" w:space="0"/>
              <w:left w:val="single" w:color="000000" w:sz="12" w:space="0"/>
              <w:bottom w:val="single" w:color="000000" w:sz="12" w:space="0"/>
              <w:right w:val="single" w:color="000000" w:sz="4" w:space="0"/>
              <w:tl2br w:val="nil"/>
              <w:tr2bl w:val="nil"/>
            </w:tcBorders>
            <w:shd w:val="clear" w:color="auto" w:fill="auto"/>
            <w:noWrap w:val="0"/>
            <w:vAlign w:val="center"/>
          </w:tcPr>
          <w:p w14:paraId="48EAA894">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eastAsia" w:ascii="Times New Roman" w:hAnsi="Times New Roman" w:cs="Times New Roman"/>
                <w:b w:val="0"/>
                <w:color w:val="auto"/>
                <w:highlight w:val="none"/>
                <w:lang w:val="en-US" w:eastAsia="zh-CN"/>
              </w:rPr>
              <w:t>污染物排放量（t/a）</w:t>
            </w:r>
          </w:p>
        </w:tc>
        <w:tc>
          <w:tcPr>
            <w:tcW w:w="3542" w:type="pct"/>
            <w:tcBorders>
              <w:top w:val="single" w:color="000000" w:sz="4" w:space="0"/>
              <w:left w:val="single" w:color="000000" w:sz="4" w:space="0"/>
              <w:bottom w:val="single" w:color="000000" w:sz="12" w:space="0"/>
              <w:right w:val="single" w:color="000000" w:sz="12" w:space="0"/>
              <w:tl2br w:val="nil"/>
              <w:tr2bl w:val="nil"/>
            </w:tcBorders>
            <w:shd w:val="clear" w:color="auto" w:fill="auto"/>
            <w:noWrap w:val="0"/>
            <w:vAlign w:val="center"/>
          </w:tcPr>
          <w:p w14:paraId="009A6267">
            <w:pPr>
              <w:pStyle w:val="26"/>
              <w:keepNext w:val="0"/>
              <w:keepLines w:val="0"/>
              <w:suppressLineNumbers w:val="0"/>
              <w:spacing w:before="0" w:beforeAutospacing="0" w:after="0" w:afterAutospacing="0"/>
              <w:ind w:left="0" w:right="0"/>
              <w:rPr>
                <w:rFonts w:hint="default" w:ascii="Times New Roman" w:hAnsi="Times New Roman" w:cs="Times New Roman"/>
                <w:b w:val="0"/>
                <w:color w:val="auto"/>
                <w:highlight w:val="none"/>
                <w:lang w:val="en-US" w:eastAsia="zh-CN"/>
              </w:rPr>
            </w:pPr>
            <w:r>
              <w:rPr>
                <w:rFonts w:hint="eastAsia" w:ascii="Times New Roman" w:hAnsi="Times New Roman" w:cs="Times New Roman"/>
                <w:b w:val="0"/>
                <w:color w:val="auto"/>
                <w:highlight w:val="none"/>
                <w:lang w:val="en-US" w:eastAsia="zh-CN"/>
              </w:rPr>
              <w:t>COD:18.250，NH</w:t>
            </w:r>
            <w:r>
              <w:rPr>
                <w:rFonts w:hint="eastAsia" w:ascii="Times New Roman" w:hAnsi="Times New Roman" w:cs="Times New Roman"/>
                <w:b w:val="0"/>
                <w:color w:val="auto"/>
                <w:highlight w:val="none"/>
                <w:vertAlign w:val="subscript"/>
                <w:lang w:val="en-US" w:eastAsia="zh-CN"/>
              </w:rPr>
              <w:t>3</w:t>
            </w:r>
            <w:r>
              <w:rPr>
                <w:rFonts w:hint="eastAsia" w:ascii="Times New Roman" w:hAnsi="Times New Roman" w:cs="Times New Roman"/>
                <w:b w:val="0"/>
                <w:color w:val="auto"/>
                <w:highlight w:val="none"/>
                <w:lang w:val="en-US" w:eastAsia="zh-CN"/>
              </w:rPr>
              <w:t>-N:0.058，TN:0.174，TP:0.006</w:t>
            </w:r>
          </w:p>
        </w:tc>
      </w:tr>
    </w:tbl>
    <w:p w14:paraId="6158A262">
      <w:pPr>
        <w:pStyle w:val="2"/>
        <w:rPr>
          <w:rFonts w:hint="eastAsia" w:ascii="Times New Roman" w:hAnsi="Times New Roman" w:cs="Times New Roman"/>
          <w:color w:val="auto"/>
          <w:highlight w:val="none"/>
          <w:lang w:val="en-US" w:eastAsia="zh-CN"/>
        </w:rPr>
      </w:pPr>
    </w:p>
    <w:p w14:paraId="05683272">
      <w:pPr>
        <w:pStyle w:val="2"/>
        <w:bidi w:val="0"/>
        <w:rPr>
          <w:rFonts w:hint="default"/>
          <w:u w:val="single"/>
          <w:lang w:val="en-US"/>
        </w:rPr>
      </w:pPr>
      <w:r>
        <w:rPr>
          <w:rFonts w:hint="eastAsia"/>
          <w:u w:val="single"/>
          <w:lang w:val="en-US" w:eastAsia="zh-CN"/>
        </w:rPr>
        <w:t>根据现场调查，渣滓溪汇入白茅溪处下游1230m有安化县华星锑业有限责任公司（下文简称华星锑业）。华星锑业于2009年成立，2011年由原厂址搬迁至奎溪镇言槐村槐花坪，以奎溪锑品厂（该厂于2009年停产，2010年被县环保局关闭）现有厂区作为华星锑业的新厂址。华星锑业现未生产。</w:t>
      </w:r>
    </w:p>
    <w:p w14:paraId="1A051D1D">
      <w:pPr>
        <w:pStyle w:val="2"/>
        <w:rPr>
          <w:rFonts w:hint="eastAsia" w:ascii="Times New Roman" w:hAnsi="Times New Roman" w:cs="Times New Roman"/>
          <w:color w:val="auto"/>
          <w:highlight w:val="none"/>
          <w:lang w:val="en-US" w:eastAsia="zh-CN"/>
        </w:rPr>
      </w:pPr>
    </w:p>
    <w:p w14:paraId="6E56E8E6">
      <w:pPr>
        <w:pStyle w:val="35"/>
        <w:bidi w:val="0"/>
        <w:rPr>
          <w:rFonts w:hint="eastAsia" w:ascii="Times New Roman" w:hAnsi="Times New Roman" w:cs="Times New Roman"/>
          <w:color w:val="auto"/>
          <w:highlight w:val="none"/>
          <w:lang w:val="en-US" w:eastAsia="zh-CN"/>
        </w:rPr>
      </w:pPr>
      <w:bookmarkStart w:id="51" w:name="_Toc3174"/>
      <w:r>
        <w:rPr>
          <w:rFonts w:hint="eastAsia" w:ascii="Times New Roman" w:hAnsi="Times New Roman" w:cs="Times New Roman"/>
          <w:color w:val="auto"/>
          <w:highlight w:val="none"/>
          <w:lang w:val="en-US" w:eastAsia="zh-CN"/>
        </w:rPr>
        <w:t>入河排污口所在水域水质现状及接纳污水状况</w:t>
      </w:r>
      <w:bookmarkEnd w:id="51"/>
    </w:p>
    <w:p w14:paraId="4C0B833F">
      <w:pPr>
        <w:pStyle w:val="36"/>
        <w:bidi w:val="0"/>
        <w:rPr>
          <w:rFonts w:hint="eastAsia" w:ascii="Times New Roman" w:hAnsi="Times New Roman" w:cs="Times New Roman"/>
          <w:color w:val="auto"/>
          <w:highlight w:val="none"/>
          <w:lang w:val="en-US" w:eastAsia="zh-CN"/>
        </w:rPr>
      </w:pPr>
      <w:bookmarkStart w:id="52" w:name="_Toc22589"/>
      <w:r>
        <w:rPr>
          <w:rFonts w:hint="eastAsia" w:ascii="Times New Roman" w:hAnsi="Times New Roman" w:cs="Times New Roman"/>
          <w:color w:val="auto"/>
          <w:highlight w:val="none"/>
          <w:lang w:val="en-US" w:eastAsia="zh-CN"/>
        </w:rPr>
        <w:t>入河排污口所在水域水质现状</w:t>
      </w:r>
      <w:bookmarkEnd w:id="52"/>
    </w:p>
    <w:p w14:paraId="389F98FE">
      <w:pPr>
        <w:pStyle w:val="37"/>
        <w:bidi w:val="0"/>
        <w:rPr>
          <w:rFonts w:hint="default"/>
          <w:u w:val="single"/>
          <w:lang w:val="en-US" w:eastAsia="zh-CN"/>
        </w:rPr>
      </w:pPr>
      <w:r>
        <w:rPr>
          <w:rFonts w:hint="eastAsia"/>
          <w:u w:val="single"/>
          <w:lang w:val="en-US" w:eastAsia="zh-CN"/>
        </w:rPr>
        <w:t>区域水环境质量调查</w:t>
      </w:r>
    </w:p>
    <w:p w14:paraId="5F9AA752">
      <w:pPr>
        <w:widowControl w:val="0"/>
        <w:tabs>
          <w:tab w:val="left" w:pos="1021"/>
        </w:tabs>
        <w:bidi w:val="0"/>
        <w:spacing w:line="360" w:lineRule="auto"/>
        <w:ind w:firstLine="480" w:firstLineChars="200"/>
        <w:jc w:val="both"/>
        <w:rPr>
          <w:rFonts w:hint="default" w:ascii="Times New Roman" w:hAnsi="Times New Roman" w:eastAsia="宋体" w:cs="Times New Roman"/>
          <w:kern w:val="2"/>
          <w:sz w:val="24"/>
          <w:szCs w:val="24"/>
          <w:u w:val="single"/>
          <w:lang w:val="en-US" w:eastAsia="zh-CN" w:bidi="ar-SA"/>
        </w:rPr>
      </w:pPr>
      <w:r>
        <w:rPr>
          <w:rFonts w:hint="default" w:ascii="Times New Roman" w:hAnsi="Times New Roman" w:eastAsia="宋体" w:cs="Times New Roman"/>
          <w:kern w:val="2"/>
          <w:sz w:val="24"/>
          <w:szCs w:val="24"/>
          <w:u w:val="single"/>
          <w:lang w:val="en-US" w:eastAsia="zh-CN" w:bidi="ar-SA"/>
        </w:rPr>
        <w:t>本项目涉及的地表水体为</w:t>
      </w:r>
      <w:r>
        <w:rPr>
          <w:rFonts w:hint="eastAsia" w:ascii="Times New Roman" w:hAnsi="Times New Roman" w:eastAsia="宋体" w:cs="Times New Roman"/>
          <w:kern w:val="2"/>
          <w:sz w:val="24"/>
          <w:szCs w:val="24"/>
          <w:u w:val="single"/>
          <w:lang w:val="en-US" w:eastAsia="zh-CN" w:bidi="ar-SA"/>
        </w:rPr>
        <w:t>渣滓溪、白茅溪、奎溪、洋溪</w:t>
      </w:r>
      <w:r>
        <w:rPr>
          <w:rFonts w:hint="default" w:ascii="Times New Roman" w:hAnsi="Times New Roman" w:eastAsia="宋体" w:cs="Times New Roman"/>
          <w:kern w:val="2"/>
          <w:sz w:val="24"/>
          <w:szCs w:val="24"/>
          <w:u w:val="single"/>
          <w:lang w:val="en-US" w:eastAsia="zh-CN" w:bidi="ar-SA"/>
        </w:rPr>
        <w:t>和</w:t>
      </w:r>
      <w:r>
        <w:rPr>
          <w:rFonts w:hint="eastAsia" w:ascii="Times New Roman" w:hAnsi="Times New Roman" w:eastAsia="宋体" w:cs="Times New Roman"/>
          <w:kern w:val="2"/>
          <w:sz w:val="24"/>
          <w:szCs w:val="24"/>
          <w:u w:val="single"/>
          <w:lang w:val="en-US" w:eastAsia="zh-CN" w:bidi="ar-SA"/>
        </w:rPr>
        <w:t>资江</w:t>
      </w:r>
      <w:r>
        <w:rPr>
          <w:rFonts w:hint="default" w:ascii="Times New Roman" w:hAnsi="Times New Roman" w:eastAsia="宋体" w:cs="Times New Roman"/>
          <w:kern w:val="2"/>
          <w:sz w:val="24"/>
          <w:szCs w:val="24"/>
          <w:u w:val="single"/>
          <w:lang w:val="en-US" w:eastAsia="zh-CN" w:bidi="ar-SA"/>
        </w:rPr>
        <w:t>，其中，</w:t>
      </w:r>
      <w:r>
        <w:rPr>
          <w:rFonts w:hint="eastAsia" w:ascii="Times New Roman" w:hAnsi="Times New Roman" w:eastAsia="宋体" w:cs="Times New Roman"/>
          <w:kern w:val="2"/>
          <w:sz w:val="24"/>
          <w:szCs w:val="24"/>
          <w:u w:val="single"/>
          <w:lang w:val="en-US" w:eastAsia="zh-CN" w:bidi="ar-SA"/>
        </w:rPr>
        <w:t>渣滓溪汇入白茅溪，白茅溪汇入奎溪，奎溪汇入洋溪，洋溪</w:t>
      </w:r>
      <w:r>
        <w:rPr>
          <w:rFonts w:hint="default" w:ascii="Times New Roman" w:hAnsi="Times New Roman" w:eastAsia="宋体" w:cs="Times New Roman"/>
          <w:kern w:val="2"/>
          <w:sz w:val="24"/>
          <w:szCs w:val="24"/>
          <w:u w:val="single"/>
          <w:lang w:val="en-US" w:eastAsia="zh-CN" w:bidi="ar-SA"/>
        </w:rPr>
        <w:t>下游约</w:t>
      </w:r>
      <w:r>
        <w:rPr>
          <w:rFonts w:hint="eastAsia" w:ascii="Times New Roman" w:hAnsi="Times New Roman" w:eastAsia="宋体" w:cs="Times New Roman"/>
          <w:kern w:val="2"/>
          <w:sz w:val="24"/>
          <w:szCs w:val="24"/>
          <w:u w:val="single"/>
          <w:lang w:val="en-US" w:eastAsia="zh-CN" w:bidi="ar-SA"/>
        </w:rPr>
        <w:t>27.5</w:t>
      </w:r>
      <w:r>
        <w:rPr>
          <w:rFonts w:hint="default" w:ascii="Times New Roman" w:hAnsi="Times New Roman" w:eastAsia="宋体" w:cs="Times New Roman"/>
          <w:kern w:val="2"/>
          <w:sz w:val="24"/>
          <w:szCs w:val="24"/>
          <w:u w:val="single"/>
          <w:lang w:val="en-US" w:eastAsia="zh-CN" w:bidi="ar-SA"/>
        </w:rPr>
        <w:t>km汇入</w:t>
      </w:r>
      <w:r>
        <w:rPr>
          <w:rFonts w:hint="eastAsia" w:ascii="Times New Roman" w:hAnsi="Times New Roman" w:eastAsia="宋体" w:cs="Times New Roman"/>
          <w:kern w:val="2"/>
          <w:sz w:val="24"/>
          <w:szCs w:val="24"/>
          <w:u w:val="single"/>
          <w:lang w:val="en-US" w:eastAsia="zh-CN" w:bidi="ar-SA"/>
        </w:rPr>
        <w:t>资江</w:t>
      </w:r>
      <w:r>
        <w:rPr>
          <w:rFonts w:hint="default" w:ascii="Times New Roman" w:hAnsi="Times New Roman" w:eastAsia="宋体" w:cs="Times New Roman"/>
          <w:kern w:val="2"/>
          <w:sz w:val="24"/>
          <w:szCs w:val="24"/>
          <w:u w:val="single"/>
          <w:lang w:val="en-US" w:eastAsia="zh-CN" w:bidi="ar-SA"/>
        </w:rPr>
        <w:t>。</w:t>
      </w:r>
    </w:p>
    <w:p w14:paraId="70BB02A4">
      <w:pPr>
        <w:widowControl w:val="0"/>
        <w:tabs>
          <w:tab w:val="left" w:pos="1021"/>
        </w:tabs>
        <w:bidi w:val="0"/>
        <w:spacing w:line="360" w:lineRule="auto"/>
        <w:ind w:firstLine="480" w:firstLineChars="200"/>
        <w:jc w:val="both"/>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洋溪汇入口下游17</w:t>
      </w:r>
      <w:r>
        <w:rPr>
          <w:rFonts w:hint="default" w:ascii="Times New Roman" w:hAnsi="Times New Roman" w:eastAsia="宋体" w:cs="Times New Roman"/>
          <w:kern w:val="2"/>
          <w:sz w:val="24"/>
          <w:szCs w:val="24"/>
          <w:u w:val="single"/>
          <w:lang w:val="en-US" w:eastAsia="zh-CN" w:bidi="ar-SA"/>
        </w:rPr>
        <w:t>km</w:t>
      </w:r>
      <w:r>
        <w:rPr>
          <w:rFonts w:hint="eastAsia" w:ascii="Times New Roman" w:hAnsi="Times New Roman" w:eastAsia="宋体" w:cs="Times New Roman"/>
          <w:kern w:val="2"/>
          <w:sz w:val="24"/>
          <w:szCs w:val="24"/>
          <w:u w:val="single"/>
          <w:lang w:val="en-US" w:eastAsia="zh-CN" w:bidi="ar-SA"/>
        </w:rPr>
        <w:t>处</w:t>
      </w:r>
      <w:r>
        <w:rPr>
          <w:rFonts w:hint="default" w:ascii="Times New Roman" w:hAnsi="Times New Roman" w:eastAsia="宋体" w:cs="Times New Roman"/>
          <w:kern w:val="2"/>
          <w:sz w:val="24"/>
          <w:szCs w:val="24"/>
          <w:u w:val="single"/>
          <w:lang w:val="en-US" w:eastAsia="zh-CN" w:bidi="ar-SA"/>
        </w:rPr>
        <w:t>设有</w:t>
      </w:r>
      <w:r>
        <w:rPr>
          <w:rFonts w:hint="eastAsia" w:ascii="Times New Roman" w:hAnsi="Times New Roman" w:eastAsia="宋体" w:cs="Times New Roman"/>
          <w:kern w:val="2"/>
          <w:sz w:val="24"/>
          <w:szCs w:val="24"/>
          <w:u w:val="single"/>
          <w:lang w:val="en-US" w:eastAsia="zh-CN" w:bidi="ar-SA"/>
        </w:rPr>
        <w:t>柘溪水库监测断面</w:t>
      </w:r>
      <w:r>
        <w:rPr>
          <w:rFonts w:hint="default" w:ascii="Times New Roman" w:hAnsi="Times New Roman" w:eastAsia="宋体" w:cs="Times New Roman"/>
          <w:kern w:val="2"/>
          <w:sz w:val="24"/>
          <w:szCs w:val="24"/>
          <w:u w:val="single"/>
          <w:lang w:val="en-US" w:eastAsia="zh-CN" w:bidi="ar-SA"/>
        </w:rPr>
        <w:t>，属于</w:t>
      </w:r>
      <w:r>
        <w:rPr>
          <w:rFonts w:hint="eastAsia" w:ascii="Times New Roman" w:hAnsi="Times New Roman" w:eastAsia="宋体" w:cs="Times New Roman"/>
          <w:kern w:val="2"/>
          <w:sz w:val="24"/>
          <w:szCs w:val="24"/>
          <w:u w:val="single"/>
          <w:lang w:val="en-US" w:eastAsia="zh-CN" w:bidi="ar-SA"/>
        </w:rPr>
        <w:t>省</w:t>
      </w:r>
      <w:r>
        <w:rPr>
          <w:rFonts w:hint="default" w:ascii="Times New Roman" w:hAnsi="Times New Roman" w:eastAsia="宋体" w:cs="Times New Roman"/>
          <w:kern w:val="2"/>
          <w:sz w:val="24"/>
          <w:szCs w:val="24"/>
          <w:u w:val="single"/>
          <w:lang w:val="en-US" w:eastAsia="zh-CN" w:bidi="ar-SA"/>
        </w:rPr>
        <w:t>控断面</w:t>
      </w:r>
      <w:r>
        <w:rPr>
          <w:rFonts w:hint="eastAsia" w:ascii="Times New Roman" w:hAnsi="Times New Roman" w:eastAsia="宋体" w:cs="Times New Roman"/>
          <w:kern w:val="2"/>
          <w:sz w:val="24"/>
          <w:szCs w:val="24"/>
          <w:u w:val="single"/>
          <w:lang w:val="en-US" w:eastAsia="zh-CN" w:bidi="ar-SA"/>
        </w:rPr>
        <w:t>和重金属专项监测断面。本次</w:t>
      </w:r>
      <w:r>
        <w:rPr>
          <w:rFonts w:hint="eastAsia" w:cs="Times New Roman"/>
          <w:kern w:val="2"/>
          <w:sz w:val="24"/>
          <w:szCs w:val="24"/>
          <w:u w:val="single"/>
          <w:lang w:val="en-US" w:eastAsia="zh-CN" w:bidi="ar-SA"/>
        </w:rPr>
        <w:t>论证</w:t>
      </w:r>
      <w:r>
        <w:rPr>
          <w:rFonts w:hint="eastAsia" w:ascii="Times New Roman" w:hAnsi="Times New Roman" w:eastAsia="宋体" w:cs="Times New Roman"/>
          <w:kern w:val="2"/>
          <w:sz w:val="24"/>
          <w:szCs w:val="24"/>
          <w:u w:val="single"/>
          <w:lang w:val="en-US" w:eastAsia="zh-CN" w:bidi="ar-SA"/>
        </w:rPr>
        <w:t>收集了2021~2023年柘溪水库监测断面结果</w:t>
      </w:r>
      <w:r>
        <w:rPr>
          <w:rFonts w:hint="default" w:ascii="Times New Roman" w:hAnsi="Times New Roman" w:eastAsia="宋体"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柘溪水库</w:t>
      </w:r>
      <w:r>
        <w:rPr>
          <w:rFonts w:hint="default" w:ascii="Times New Roman" w:hAnsi="Times New Roman" w:eastAsia="宋体" w:cs="Times New Roman"/>
          <w:kern w:val="2"/>
          <w:sz w:val="24"/>
          <w:szCs w:val="24"/>
          <w:u w:val="single"/>
          <w:lang w:val="en-US" w:eastAsia="zh-CN" w:bidi="ar-SA"/>
        </w:rPr>
        <w:t>断面水质监测结果见下表。</w:t>
      </w:r>
    </w:p>
    <w:p w14:paraId="5ECF4FDD">
      <w:pPr>
        <w:pStyle w:val="28"/>
        <w:bidi w:val="0"/>
        <w:rPr>
          <w:rFonts w:hint="default"/>
          <w:u w:val="single"/>
          <w:lang w:val="en-US" w:eastAsia="zh-CN"/>
        </w:rPr>
      </w:pPr>
      <w:r>
        <w:rPr>
          <w:rFonts w:hint="default"/>
          <w:u w:val="single"/>
          <w:lang w:val="en-US" w:eastAsia="zh-CN"/>
        </w:rPr>
        <w:t>表</w:t>
      </w:r>
      <w:r>
        <w:rPr>
          <w:rFonts w:hint="default"/>
          <w:u w:val="single"/>
          <w:lang w:val="en-US" w:eastAsia="zh-CN"/>
        </w:rPr>
        <w:fldChar w:fldCharType="begin"/>
      </w:r>
      <w:r>
        <w:rPr>
          <w:rFonts w:hint="default"/>
          <w:u w:val="single"/>
          <w:lang w:val="en-US" w:eastAsia="zh-CN"/>
        </w:rPr>
        <w:instrText xml:space="preserve"> STYLEREF guo-二级标题 \n </w:instrText>
      </w:r>
      <w:r>
        <w:rPr>
          <w:rFonts w:hint="default"/>
          <w:u w:val="single"/>
          <w:lang w:val="en-US" w:eastAsia="zh-CN"/>
        </w:rPr>
        <w:fldChar w:fldCharType="separate"/>
      </w:r>
      <w:r>
        <w:rPr>
          <w:rFonts w:hint="default"/>
          <w:u w:val="single"/>
          <w:lang w:val="en-US" w:eastAsia="zh-CN"/>
        </w:rPr>
        <w:t>4.1</w:t>
      </w:r>
      <w:r>
        <w:rPr>
          <w:rFonts w:hint="default"/>
          <w:u w:val="single"/>
          <w:lang w:val="en-US" w:eastAsia="zh-CN"/>
        </w:rPr>
        <w:fldChar w:fldCharType="end"/>
      </w:r>
      <w:r>
        <w:rPr>
          <w:rFonts w:hint="default"/>
          <w:u w:val="single"/>
          <w:lang w:val="en-US" w:eastAsia="zh-CN"/>
        </w:rPr>
        <w:t>–</w:t>
      </w:r>
      <w:r>
        <w:rPr>
          <w:rFonts w:hint="default"/>
          <w:u w:val="single"/>
          <w:lang w:val="en-US" w:eastAsia="zh-CN"/>
        </w:rPr>
        <w:fldChar w:fldCharType="begin"/>
      </w:r>
      <w:r>
        <w:rPr>
          <w:rFonts w:hint="default"/>
          <w:u w:val="single"/>
          <w:lang w:val="en-US" w:eastAsia="zh-CN"/>
        </w:rPr>
        <w:instrText xml:space="preserve"> SEQ 表 \* ARABIC \s 2 </w:instrText>
      </w:r>
      <w:r>
        <w:rPr>
          <w:rFonts w:hint="default"/>
          <w:u w:val="single"/>
          <w:lang w:val="en-US" w:eastAsia="zh-CN"/>
        </w:rPr>
        <w:fldChar w:fldCharType="separate"/>
      </w:r>
      <w:r>
        <w:rPr>
          <w:rFonts w:hint="default"/>
          <w:u w:val="single"/>
          <w:lang w:val="en-US" w:eastAsia="zh-CN"/>
        </w:rPr>
        <w:t>1</w:t>
      </w:r>
      <w:r>
        <w:rPr>
          <w:rFonts w:hint="default"/>
          <w:u w:val="single"/>
          <w:lang w:val="en-US" w:eastAsia="zh-CN"/>
        </w:rPr>
        <w:fldChar w:fldCharType="end"/>
      </w:r>
      <w:r>
        <w:rPr>
          <w:rFonts w:hint="eastAsia"/>
          <w:u w:val="single"/>
          <w:lang w:val="en-US" w:eastAsia="zh-CN"/>
        </w:rPr>
        <w:t xml:space="preserve">  </w:t>
      </w:r>
      <w:r>
        <w:rPr>
          <w:rFonts w:hint="default"/>
          <w:u w:val="single"/>
          <w:lang w:val="en-US" w:eastAsia="zh-CN"/>
        </w:rPr>
        <w:t>柘溪水库断面水质常规监测结果</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604"/>
        <w:gridCol w:w="726"/>
        <w:gridCol w:w="727"/>
        <w:gridCol w:w="727"/>
        <w:gridCol w:w="727"/>
        <w:gridCol w:w="605"/>
        <w:gridCol w:w="605"/>
        <w:gridCol w:w="605"/>
        <w:gridCol w:w="605"/>
        <w:gridCol w:w="728"/>
        <w:gridCol w:w="715"/>
        <w:gridCol w:w="773"/>
      </w:tblGrid>
      <w:tr w14:paraId="2587D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93" w:type="pct"/>
            <w:vMerge w:val="restart"/>
            <w:tcBorders>
              <w:tl2br w:val="nil"/>
              <w:tr2bl w:val="nil"/>
            </w:tcBorders>
            <w:vAlign w:val="center"/>
          </w:tcPr>
          <w:p w14:paraId="66B1BCD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年度</w:t>
            </w:r>
          </w:p>
        </w:tc>
        <w:tc>
          <w:tcPr>
            <w:tcW w:w="4406" w:type="pct"/>
            <w:gridSpan w:val="12"/>
            <w:tcBorders>
              <w:tl2br w:val="nil"/>
              <w:tr2bl w:val="nil"/>
            </w:tcBorders>
            <w:vAlign w:val="center"/>
          </w:tcPr>
          <w:p w14:paraId="2EACA4D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月份</w:t>
            </w:r>
          </w:p>
        </w:tc>
      </w:tr>
      <w:tr w14:paraId="3BFD7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93" w:type="pct"/>
            <w:vMerge w:val="continue"/>
            <w:tcBorders>
              <w:tl2br w:val="nil"/>
              <w:tr2bl w:val="nil"/>
            </w:tcBorders>
            <w:vAlign w:val="center"/>
          </w:tcPr>
          <w:p w14:paraId="09A21EF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p>
        </w:tc>
        <w:tc>
          <w:tcPr>
            <w:tcW w:w="327" w:type="pct"/>
            <w:tcBorders>
              <w:tl2br w:val="nil"/>
              <w:tr2bl w:val="nil"/>
            </w:tcBorders>
            <w:vAlign w:val="center"/>
          </w:tcPr>
          <w:p w14:paraId="5BD0273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1</w:t>
            </w:r>
          </w:p>
        </w:tc>
        <w:tc>
          <w:tcPr>
            <w:tcW w:w="393" w:type="pct"/>
            <w:tcBorders>
              <w:tl2br w:val="nil"/>
              <w:tr2bl w:val="nil"/>
            </w:tcBorders>
            <w:vAlign w:val="center"/>
          </w:tcPr>
          <w:p w14:paraId="0754315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2</w:t>
            </w:r>
          </w:p>
        </w:tc>
        <w:tc>
          <w:tcPr>
            <w:tcW w:w="393" w:type="pct"/>
            <w:tcBorders>
              <w:tl2br w:val="nil"/>
              <w:tr2bl w:val="nil"/>
            </w:tcBorders>
            <w:vAlign w:val="center"/>
          </w:tcPr>
          <w:p w14:paraId="7AD6994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3</w:t>
            </w:r>
          </w:p>
        </w:tc>
        <w:tc>
          <w:tcPr>
            <w:tcW w:w="393" w:type="pct"/>
            <w:tcBorders>
              <w:tl2br w:val="nil"/>
              <w:tr2bl w:val="nil"/>
            </w:tcBorders>
            <w:vAlign w:val="center"/>
          </w:tcPr>
          <w:p w14:paraId="6E0D3AC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4</w:t>
            </w:r>
          </w:p>
        </w:tc>
        <w:tc>
          <w:tcPr>
            <w:tcW w:w="393" w:type="pct"/>
            <w:tcBorders>
              <w:tl2br w:val="nil"/>
              <w:tr2bl w:val="nil"/>
            </w:tcBorders>
            <w:vAlign w:val="center"/>
          </w:tcPr>
          <w:p w14:paraId="1D7DB45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5</w:t>
            </w:r>
          </w:p>
        </w:tc>
        <w:tc>
          <w:tcPr>
            <w:tcW w:w="327" w:type="pct"/>
            <w:tcBorders>
              <w:tl2br w:val="nil"/>
              <w:tr2bl w:val="nil"/>
            </w:tcBorders>
            <w:vAlign w:val="center"/>
          </w:tcPr>
          <w:p w14:paraId="7607158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6</w:t>
            </w:r>
          </w:p>
        </w:tc>
        <w:tc>
          <w:tcPr>
            <w:tcW w:w="327" w:type="pct"/>
            <w:tcBorders>
              <w:tl2br w:val="nil"/>
              <w:tr2bl w:val="nil"/>
            </w:tcBorders>
            <w:vAlign w:val="center"/>
          </w:tcPr>
          <w:p w14:paraId="3453D3A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7</w:t>
            </w:r>
          </w:p>
        </w:tc>
        <w:tc>
          <w:tcPr>
            <w:tcW w:w="327" w:type="pct"/>
            <w:tcBorders>
              <w:tl2br w:val="nil"/>
              <w:tr2bl w:val="nil"/>
            </w:tcBorders>
            <w:vAlign w:val="center"/>
          </w:tcPr>
          <w:p w14:paraId="2063E88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8</w:t>
            </w:r>
          </w:p>
        </w:tc>
        <w:tc>
          <w:tcPr>
            <w:tcW w:w="327" w:type="pct"/>
            <w:tcBorders>
              <w:tl2br w:val="nil"/>
              <w:tr2bl w:val="nil"/>
            </w:tcBorders>
            <w:vAlign w:val="center"/>
          </w:tcPr>
          <w:p w14:paraId="75CD55F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9</w:t>
            </w:r>
          </w:p>
        </w:tc>
        <w:tc>
          <w:tcPr>
            <w:tcW w:w="394" w:type="pct"/>
            <w:tcBorders>
              <w:tl2br w:val="nil"/>
              <w:tr2bl w:val="nil"/>
            </w:tcBorders>
            <w:vAlign w:val="center"/>
          </w:tcPr>
          <w:p w14:paraId="6E03C86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10</w:t>
            </w:r>
          </w:p>
        </w:tc>
        <w:tc>
          <w:tcPr>
            <w:tcW w:w="387" w:type="pct"/>
            <w:tcBorders>
              <w:tl2br w:val="nil"/>
              <w:tr2bl w:val="nil"/>
            </w:tcBorders>
            <w:vAlign w:val="center"/>
          </w:tcPr>
          <w:p w14:paraId="58B0EE3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11</w:t>
            </w:r>
          </w:p>
        </w:tc>
        <w:tc>
          <w:tcPr>
            <w:tcW w:w="410" w:type="pct"/>
            <w:tcBorders>
              <w:tl2br w:val="nil"/>
              <w:tr2bl w:val="nil"/>
            </w:tcBorders>
            <w:vAlign w:val="center"/>
          </w:tcPr>
          <w:p w14:paraId="19FFCDB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12</w:t>
            </w:r>
          </w:p>
        </w:tc>
      </w:tr>
      <w:tr w14:paraId="2BD0B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93" w:type="pct"/>
            <w:tcBorders>
              <w:tl2br w:val="nil"/>
              <w:tr2bl w:val="nil"/>
            </w:tcBorders>
            <w:vAlign w:val="center"/>
          </w:tcPr>
          <w:p w14:paraId="2287107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2021</w:t>
            </w:r>
          </w:p>
        </w:tc>
        <w:tc>
          <w:tcPr>
            <w:tcW w:w="327" w:type="pct"/>
            <w:tcBorders>
              <w:tl2br w:val="nil"/>
              <w:tr2bl w:val="nil"/>
            </w:tcBorders>
            <w:vAlign w:val="center"/>
          </w:tcPr>
          <w:p w14:paraId="49309C4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93" w:type="pct"/>
            <w:tcBorders>
              <w:tl2br w:val="nil"/>
              <w:tr2bl w:val="nil"/>
            </w:tcBorders>
            <w:vAlign w:val="center"/>
          </w:tcPr>
          <w:p w14:paraId="51F6502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III</w:t>
            </w:r>
          </w:p>
        </w:tc>
        <w:tc>
          <w:tcPr>
            <w:tcW w:w="393" w:type="pct"/>
            <w:tcBorders>
              <w:tl2br w:val="nil"/>
              <w:tr2bl w:val="nil"/>
            </w:tcBorders>
            <w:vAlign w:val="center"/>
          </w:tcPr>
          <w:p w14:paraId="6F9323F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93" w:type="pct"/>
            <w:tcBorders>
              <w:tl2br w:val="nil"/>
              <w:tr2bl w:val="nil"/>
            </w:tcBorders>
            <w:vAlign w:val="center"/>
          </w:tcPr>
          <w:p w14:paraId="3A8BC96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93" w:type="pct"/>
            <w:tcBorders>
              <w:tl2br w:val="nil"/>
              <w:tr2bl w:val="nil"/>
            </w:tcBorders>
            <w:vAlign w:val="center"/>
          </w:tcPr>
          <w:p w14:paraId="3CC9C62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291AEE5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3990064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4641E85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5BA8137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w:t>
            </w:r>
          </w:p>
        </w:tc>
        <w:tc>
          <w:tcPr>
            <w:tcW w:w="394" w:type="pct"/>
            <w:tcBorders>
              <w:tl2br w:val="nil"/>
              <w:tr2bl w:val="nil"/>
            </w:tcBorders>
            <w:vAlign w:val="center"/>
          </w:tcPr>
          <w:p w14:paraId="70C8605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87" w:type="pct"/>
            <w:tcBorders>
              <w:tl2br w:val="nil"/>
              <w:tr2bl w:val="nil"/>
            </w:tcBorders>
            <w:vAlign w:val="center"/>
          </w:tcPr>
          <w:p w14:paraId="1098F98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410" w:type="pct"/>
            <w:tcBorders>
              <w:tl2br w:val="nil"/>
              <w:tr2bl w:val="nil"/>
            </w:tcBorders>
            <w:vAlign w:val="center"/>
          </w:tcPr>
          <w:p w14:paraId="4A4E67F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r>
      <w:tr w14:paraId="3FAC8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93" w:type="pct"/>
            <w:tcBorders>
              <w:tl2br w:val="nil"/>
              <w:tr2bl w:val="nil"/>
            </w:tcBorders>
            <w:vAlign w:val="center"/>
          </w:tcPr>
          <w:p w14:paraId="6D286CE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2022</w:t>
            </w:r>
          </w:p>
        </w:tc>
        <w:tc>
          <w:tcPr>
            <w:tcW w:w="327" w:type="pct"/>
            <w:tcBorders>
              <w:tl2br w:val="nil"/>
              <w:tr2bl w:val="nil"/>
            </w:tcBorders>
            <w:vAlign w:val="center"/>
          </w:tcPr>
          <w:p w14:paraId="274B1DF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93" w:type="pct"/>
            <w:tcBorders>
              <w:tl2br w:val="nil"/>
              <w:tr2bl w:val="nil"/>
            </w:tcBorders>
            <w:vAlign w:val="center"/>
          </w:tcPr>
          <w:p w14:paraId="7D93633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93" w:type="pct"/>
            <w:tcBorders>
              <w:tl2br w:val="nil"/>
              <w:tr2bl w:val="nil"/>
            </w:tcBorders>
            <w:vAlign w:val="center"/>
          </w:tcPr>
          <w:p w14:paraId="261F361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III</w:t>
            </w:r>
          </w:p>
        </w:tc>
        <w:tc>
          <w:tcPr>
            <w:tcW w:w="393" w:type="pct"/>
            <w:tcBorders>
              <w:tl2br w:val="nil"/>
              <w:tr2bl w:val="nil"/>
            </w:tcBorders>
            <w:vAlign w:val="center"/>
          </w:tcPr>
          <w:p w14:paraId="71EB094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w:t>
            </w:r>
          </w:p>
        </w:tc>
        <w:tc>
          <w:tcPr>
            <w:tcW w:w="393" w:type="pct"/>
            <w:tcBorders>
              <w:tl2br w:val="nil"/>
              <w:tr2bl w:val="nil"/>
            </w:tcBorders>
            <w:vAlign w:val="center"/>
          </w:tcPr>
          <w:p w14:paraId="0D3C462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011CB71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64449FF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641DE69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41131EC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94" w:type="pct"/>
            <w:tcBorders>
              <w:tl2br w:val="nil"/>
              <w:tr2bl w:val="nil"/>
            </w:tcBorders>
            <w:vAlign w:val="center"/>
          </w:tcPr>
          <w:p w14:paraId="4CB5406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87" w:type="pct"/>
            <w:tcBorders>
              <w:tl2br w:val="nil"/>
              <w:tr2bl w:val="nil"/>
            </w:tcBorders>
            <w:vAlign w:val="center"/>
          </w:tcPr>
          <w:p w14:paraId="5345D8D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410" w:type="pct"/>
            <w:tcBorders>
              <w:tl2br w:val="nil"/>
              <w:tr2bl w:val="nil"/>
            </w:tcBorders>
            <w:vAlign w:val="center"/>
          </w:tcPr>
          <w:p w14:paraId="6F00375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r>
      <w:tr w14:paraId="74CA6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93" w:type="pct"/>
            <w:tcBorders>
              <w:tl2br w:val="nil"/>
              <w:tr2bl w:val="nil"/>
            </w:tcBorders>
            <w:vAlign w:val="center"/>
          </w:tcPr>
          <w:p w14:paraId="4F9DF7E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2023</w:t>
            </w:r>
          </w:p>
        </w:tc>
        <w:tc>
          <w:tcPr>
            <w:tcW w:w="327" w:type="pct"/>
            <w:tcBorders>
              <w:tl2br w:val="nil"/>
              <w:tr2bl w:val="nil"/>
            </w:tcBorders>
            <w:vAlign w:val="center"/>
          </w:tcPr>
          <w:p w14:paraId="4E3DAA1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93" w:type="pct"/>
            <w:tcBorders>
              <w:tl2br w:val="nil"/>
              <w:tr2bl w:val="nil"/>
            </w:tcBorders>
            <w:vAlign w:val="center"/>
          </w:tcPr>
          <w:p w14:paraId="17E3556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93" w:type="pct"/>
            <w:tcBorders>
              <w:tl2br w:val="nil"/>
              <w:tr2bl w:val="nil"/>
            </w:tcBorders>
            <w:vAlign w:val="center"/>
          </w:tcPr>
          <w:p w14:paraId="56F4A29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93" w:type="pct"/>
            <w:tcBorders>
              <w:tl2br w:val="nil"/>
              <w:tr2bl w:val="nil"/>
            </w:tcBorders>
            <w:vAlign w:val="center"/>
          </w:tcPr>
          <w:p w14:paraId="1DB28E7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III</w:t>
            </w:r>
          </w:p>
        </w:tc>
        <w:tc>
          <w:tcPr>
            <w:tcW w:w="393" w:type="pct"/>
            <w:tcBorders>
              <w:tl2br w:val="nil"/>
              <w:tr2bl w:val="nil"/>
            </w:tcBorders>
            <w:vAlign w:val="center"/>
          </w:tcPr>
          <w:p w14:paraId="613F54F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III</w:t>
            </w:r>
          </w:p>
        </w:tc>
        <w:tc>
          <w:tcPr>
            <w:tcW w:w="327" w:type="pct"/>
            <w:tcBorders>
              <w:tl2br w:val="nil"/>
              <w:tr2bl w:val="nil"/>
            </w:tcBorders>
            <w:vAlign w:val="center"/>
          </w:tcPr>
          <w:p w14:paraId="1B0C412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547DC1F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761FBB8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27" w:type="pct"/>
            <w:tcBorders>
              <w:tl2br w:val="nil"/>
              <w:tr2bl w:val="nil"/>
            </w:tcBorders>
            <w:vAlign w:val="center"/>
          </w:tcPr>
          <w:p w14:paraId="5B4D38A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94" w:type="pct"/>
            <w:tcBorders>
              <w:tl2br w:val="nil"/>
              <w:tr2bl w:val="nil"/>
            </w:tcBorders>
            <w:vAlign w:val="center"/>
          </w:tcPr>
          <w:p w14:paraId="7347EA5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387" w:type="pct"/>
            <w:tcBorders>
              <w:tl2br w:val="nil"/>
              <w:tr2bl w:val="nil"/>
            </w:tcBorders>
            <w:vAlign w:val="center"/>
          </w:tcPr>
          <w:p w14:paraId="6C5E02E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c>
          <w:tcPr>
            <w:tcW w:w="410" w:type="pct"/>
            <w:tcBorders>
              <w:tl2br w:val="nil"/>
              <w:tr2bl w:val="nil"/>
            </w:tcBorders>
            <w:vAlign w:val="center"/>
          </w:tcPr>
          <w:p w14:paraId="6D48031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II</w:t>
            </w:r>
          </w:p>
        </w:tc>
      </w:tr>
    </w:tbl>
    <w:p w14:paraId="57AA7D0C">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u w:val="single"/>
          <w:lang w:val="en-US" w:eastAsia="zh-CN" w:bidi="ar-SA"/>
        </w:rPr>
      </w:pPr>
    </w:p>
    <w:p w14:paraId="2B61B88E">
      <w:pPr>
        <w:pStyle w:val="28"/>
        <w:bidi w:val="0"/>
        <w:rPr>
          <w:rFonts w:hint="default"/>
          <w:u w:val="single"/>
          <w:lang w:val="en-US" w:eastAsia="zh-CN"/>
        </w:rPr>
      </w:pPr>
      <w:r>
        <w:rPr>
          <w:rFonts w:hint="default"/>
          <w:u w:val="single"/>
          <w:lang w:val="en-US" w:eastAsia="zh-CN"/>
        </w:rPr>
        <w:t>表</w:t>
      </w:r>
      <w:r>
        <w:rPr>
          <w:rFonts w:hint="default"/>
          <w:u w:val="single"/>
          <w:lang w:val="en-US" w:eastAsia="zh-CN"/>
        </w:rPr>
        <w:fldChar w:fldCharType="begin"/>
      </w:r>
      <w:r>
        <w:rPr>
          <w:rFonts w:hint="default"/>
          <w:u w:val="single"/>
          <w:lang w:val="en-US" w:eastAsia="zh-CN"/>
        </w:rPr>
        <w:instrText xml:space="preserve"> STYLEREF guo-二级标题 \n </w:instrText>
      </w:r>
      <w:r>
        <w:rPr>
          <w:rFonts w:hint="default"/>
          <w:u w:val="single"/>
          <w:lang w:val="en-US" w:eastAsia="zh-CN"/>
        </w:rPr>
        <w:fldChar w:fldCharType="separate"/>
      </w:r>
      <w:r>
        <w:rPr>
          <w:rFonts w:hint="default"/>
          <w:u w:val="single"/>
          <w:lang w:val="en-US" w:eastAsia="zh-CN"/>
        </w:rPr>
        <w:t>4.1</w:t>
      </w:r>
      <w:r>
        <w:rPr>
          <w:rFonts w:hint="default"/>
          <w:u w:val="single"/>
          <w:lang w:val="en-US" w:eastAsia="zh-CN"/>
        </w:rPr>
        <w:fldChar w:fldCharType="end"/>
      </w:r>
      <w:r>
        <w:rPr>
          <w:rFonts w:hint="default"/>
          <w:u w:val="single"/>
          <w:lang w:val="en-US" w:eastAsia="zh-CN"/>
        </w:rPr>
        <w:t>–</w:t>
      </w:r>
      <w:r>
        <w:rPr>
          <w:rFonts w:hint="default"/>
          <w:u w:val="single"/>
          <w:lang w:val="en-US" w:eastAsia="zh-CN"/>
        </w:rPr>
        <w:fldChar w:fldCharType="begin"/>
      </w:r>
      <w:r>
        <w:rPr>
          <w:rFonts w:hint="default"/>
          <w:u w:val="single"/>
          <w:lang w:val="en-US" w:eastAsia="zh-CN"/>
        </w:rPr>
        <w:instrText xml:space="preserve"> SEQ 表 \* ARABIC \s 2 </w:instrText>
      </w:r>
      <w:r>
        <w:rPr>
          <w:rFonts w:hint="default"/>
          <w:u w:val="single"/>
          <w:lang w:val="en-US" w:eastAsia="zh-CN"/>
        </w:rPr>
        <w:fldChar w:fldCharType="separate"/>
      </w:r>
      <w:r>
        <w:rPr>
          <w:rFonts w:hint="default"/>
          <w:u w:val="single"/>
          <w:lang w:val="en-US" w:eastAsia="zh-CN"/>
        </w:rPr>
        <w:t>2</w:t>
      </w:r>
      <w:r>
        <w:rPr>
          <w:rFonts w:hint="default"/>
          <w:u w:val="single"/>
          <w:lang w:val="en-US" w:eastAsia="zh-CN"/>
        </w:rPr>
        <w:fldChar w:fldCharType="end"/>
      </w:r>
      <w:r>
        <w:rPr>
          <w:rFonts w:hint="eastAsia"/>
          <w:u w:val="single"/>
          <w:lang w:val="en-US" w:eastAsia="zh-CN"/>
        </w:rPr>
        <w:t xml:space="preserve">  </w:t>
      </w:r>
      <w:r>
        <w:rPr>
          <w:rFonts w:hint="default"/>
          <w:u w:val="single"/>
          <w:lang w:val="en-US" w:eastAsia="zh-CN"/>
        </w:rPr>
        <w:t>柘溪水库断面</w:t>
      </w:r>
      <w:r>
        <w:rPr>
          <w:rFonts w:hint="eastAsia"/>
          <w:u w:val="single"/>
          <w:lang w:val="en-US" w:eastAsia="zh-CN"/>
        </w:rPr>
        <w:t>锑月均值变化情况</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6" w:type="dxa"/>
          <w:bottom w:w="0" w:type="dxa"/>
          <w:right w:w="6" w:type="dxa"/>
        </w:tblCellMar>
      </w:tblPr>
      <w:tblGrid>
        <w:gridCol w:w="559"/>
        <w:gridCol w:w="750"/>
        <w:gridCol w:w="750"/>
        <w:gridCol w:w="750"/>
        <w:gridCol w:w="750"/>
        <w:gridCol w:w="750"/>
        <w:gridCol w:w="750"/>
        <w:gridCol w:w="750"/>
        <w:gridCol w:w="750"/>
        <w:gridCol w:w="616"/>
        <w:gridCol w:w="750"/>
        <w:gridCol w:w="549"/>
        <w:gridCol w:w="582"/>
      </w:tblGrid>
      <w:tr w14:paraId="0AFB7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0" w:hRule="atLeast"/>
          <w:jc w:val="center"/>
        </w:trPr>
        <w:tc>
          <w:tcPr>
            <w:tcW w:w="309" w:type="pct"/>
            <w:vMerge w:val="restart"/>
            <w:tcBorders>
              <w:tl2br w:val="nil"/>
              <w:tr2bl w:val="nil"/>
            </w:tcBorders>
            <w:vAlign w:val="center"/>
          </w:tcPr>
          <w:p w14:paraId="3CF074E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年度</w:t>
            </w:r>
          </w:p>
        </w:tc>
        <w:tc>
          <w:tcPr>
            <w:tcW w:w="4690" w:type="pct"/>
            <w:gridSpan w:val="12"/>
            <w:tcBorders>
              <w:tl2br w:val="nil"/>
              <w:tr2bl w:val="nil"/>
            </w:tcBorders>
            <w:vAlign w:val="center"/>
          </w:tcPr>
          <w:p w14:paraId="13DB417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月份</w:t>
            </w:r>
          </w:p>
        </w:tc>
      </w:tr>
      <w:tr w14:paraId="7E4F0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0" w:hRule="atLeast"/>
          <w:jc w:val="center"/>
        </w:trPr>
        <w:tc>
          <w:tcPr>
            <w:tcW w:w="309" w:type="pct"/>
            <w:vMerge w:val="continue"/>
            <w:tcBorders>
              <w:tl2br w:val="nil"/>
              <w:tr2bl w:val="nil"/>
            </w:tcBorders>
            <w:vAlign w:val="center"/>
          </w:tcPr>
          <w:p w14:paraId="4EAA5D2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p>
        </w:tc>
        <w:tc>
          <w:tcPr>
            <w:tcW w:w="414" w:type="pct"/>
            <w:tcBorders>
              <w:tl2br w:val="nil"/>
              <w:tr2bl w:val="nil"/>
            </w:tcBorders>
            <w:vAlign w:val="center"/>
          </w:tcPr>
          <w:p w14:paraId="14BAB06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1</w:t>
            </w:r>
          </w:p>
        </w:tc>
        <w:tc>
          <w:tcPr>
            <w:tcW w:w="414" w:type="pct"/>
            <w:tcBorders>
              <w:tl2br w:val="nil"/>
              <w:tr2bl w:val="nil"/>
            </w:tcBorders>
            <w:vAlign w:val="center"/>
          </w:tcPr>
          <w:p w14:paraId="5294DD4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2</w:t>
            </w:r>
          </w:p>
        </w:tc>
        <w:tc>
          <w:tcPr>
            <w:tcW w:w="414" w:type="pct"/>
            <w:tcBorders>
              <w:tl2br w:val="nil"/>
              <w:tr2bl w:val="nil"/>
            </w:tcBorders>
            <w:vAlign w:val="center"/>
          </w:tcPr>
          <w:p w14:paraId="08C4213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3</w:t>
            </w:r>
          </w:p>
        </w:tc>
        <w:tc>
          <w:tcPr>
            <w:tcW w:w="414" w:type="pct"/>
            <w:tcBorders>
              <w:tl2br w:val="nil"/>
              <w:tr2bl w:val="nil"/>
            </w:tcBorders>
            <w:vAlign w:val="center"/>
          </w:tcPr>
          <w:p w14:paraId="0EA6AD3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4</w:t>
            </w:r>
          </w:p>
        </w:tc>
        <w:tc>
          <w:tcPr>
            <w:tcW w:w="414" w:type="pct"/>
            <w:tcBorders>
              <w:tl2br w:val="nil"/>
              <w:tr2bl w:val="nil"/>
            </w:tcBorders>
            <w:vAlign w:val="center"/>
          </w:tcPr>
          <w:p w14:paraId="5621202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5</w:t>
            </w:r>
          </w:p>
        </w:tc>
        <w:tc>
          <w:tcPr>
            <w:tcW w:w="414" w:type="pct"/>
            <w:tcBorders>
              <w:tl2br w:val="nil"/>
              <w:tr2bl w:val="nil"/>
            </w:tcBorders>
            <w:vAlign w:val="center"/>
          </w:tcPr>
          <w:p w14:paraId="2273DC5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6</w:t>
            </w:r>
          </w:p>
        </w:tc>
        <w:tc>
          <w:tcPr>
            <w:tcW w:w="414" w:type="pct"/>
            <w:tcBorders>
              <w:tl2br w:val="nil"/>
              <w:tr2bl w:val="nil"/>
            </w:tcBorders>
            <w:vAlign w:val="center"/>
          </w:tcPr>
          <w:p w14:paraId="627603D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7</w:t>
            </w:r>
          </w:p>
        </w:tc>
        <w:tc>
          <w:tcPr>
            <w:tcW w:w="414" w:type="pct"/>
            <w:tcBorders>
              <w:tl2br w:val="nil"/>
              <w:tr2bl w:val="nil"/>
            </w:tcBorders>
            <w:vAlign w:val="center"/>
          </w:tcPr>
          <w:p w14:paraId="707018A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8</w:t>
            </w:r>
          </w:p>
        </w:tc>
        <w:tc>
          <w:tcPr>
            <w:tcW w:w="340" w:type="pct"/>
            <w:tcBorders>
              <w:tl2br w:val="nil"/>
              <w:tr2bl w:val="nil"/>
            </w:tcBorders>
            <w:vAlign w:val="center"/>
          </w:tcPr>
          <w:p w14:paraId="7402BAD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9</w:t>
            </w:r>
          </w:p>
        </w:tc>
        <w:tc>
          <w:tcPr>
            <w:tcW w:w="414" w:type="pct"/>
            <w:tcBorders>
              <w:tl2br w:val="nil"/>
              <w:tr2bl w:val="nil"/>
            </w:tcBorders>
            <w:vAlign w:val="center"/>
          </w:tcPr>
          <w:p w14:paraId="25722F3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10</w:t>
            </w:r>
          </w:p>
        </w:tc>
        <w:tc>
          <w:tcPr>
            <w:tcW w:w="303" w:type="pct"/>
            <w:tcBorders>
              <w:tl2br w:val="nil"/>
              <w:tr2bl w:val="nil"/>
            </w:tcBorders>
            <w:vAlign w:val="center"/>
          </w:tcPr>
          <w:p w14:paraId="1703876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11</w:t>
            </w:r>
          </w:p>
        </w:tc>
        <w:tc>
          <w:tcPr>
            <w:tcW w:w="310" w:type="pct"/>
            <w:tcBorders>
              <w:tl2br w:val="nil"/>
              <w:tr2bl w:val="nil"/>
            </w:tcBorders>
            <w:vAlign w:val="center"/>
          </w:tcPr>
          <w:p w14:paraId="1CE9C48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12</w:t>
            </w:r>
          </w:p>
        </w:tc>
      </w:tr>
      <w:tr w14:paraId="7E1CC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0" w:hRule="atLeast"/>
          <w:jc w:val="center"/>
        </w:trPr>
        <w:tc>
          <w:tcPr>
            <w:tcW w:w="309" w:type="pct"/>
            <w:tcBorders>
              <w:tl2br w:val="nil"/>
              <w:tr2bl w:val="nil"/>
            </w:tcBorders>
            <w:vAlign w:val="center"/>
          </w:tcPr>
          <w:p w14:paraId="79B546D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2021</w:t>
            </w:r>
          </w:p>
        </w:tc>
        <w:tc>
          <w:tcPr>
            <w:tcW w:w="414" w:type="pct"/>
            <w:tcBorders>
              <w:tl2br w:val="nil"/>
              <w:tr2bl w:val="nil"/>
            </w:tcBorders>
            <w:vAlign w:val="center"/>
          </w:tcPr>
          <w:p w14:paraId="4B05946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0.0036</w:t>
            </w:r>
          </w:p>
        </w:tc>
        <w:tc>
          <w:tcPr>
            <w:tcW w:w="414" w:type="pct"/>
            <w:tcBorders>
              <w:tl2br w:val="nil"/>
              <w:tr2bl w:val="nil"/>
            </w:tcBorders>
            <w:vAlign w:val="center"/>
          </w:tcPr>
          <w:p w14:paraId="6AD4EE6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0.0033</w:t>
            </w:r>
          </w:p>
        </w:tc>
        <w:tc>
          <w:tcPr>
            <w:tcW w:w="414" w:type="pct"/>
            <w:tcBorders>
              <w:tl2br w:val="nil"/>
              <w:tr2bl w:val="nil"/>
            </w:tcBorders>
            <w:vAlign w:val="center"/>
          </w:tcPr>
          <w:p w14:paraId="2044460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0.0017</w:t>
            </w:r>
          </w:p>
        </w:tc>
        <w:tc>
          <w:tcPr>
            <w:tcW w:w="414" w:type="pct"/>
            <w:tcBorders>
              <w:tl2br w:val="nil"/>
              <w:tr2bl w:val="nil"/>
            </w:tcBorders>
            <w:vAlign w:val="center"/>
          </w:tcPr>
          <w:p w14:paraId="70E95DF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0.0031</w:t>
            </w:r>
          </w:p>
        </w:tc>
        <w:tc>
          <w:tcPr>
            <w:tcW w:w="414" w:type="pct"/>
            <w:tcBorders>
              <w:tl2br w:val="nil"/>
              <w:tr2bl w:val="nil"/>
            </w:tcBorders>
            <w:vAlign w:val="center"/>
          </w:tcPr>
          <w:p w14:paraId="1EAF99E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0.0008</w:t>
            </w:r>
          </w:p>
        </w:tc>
        <w:tc>
          <w:tcPr>
            <w:tcW w:w="414" w:type="pct"/>
            <w:tcBorders>
              <w:tl2br w:val="nil"/>
              <w:tr2bl w:val="nil"/>
            </w:tcBorders>
            <w:vAlign w:val="center"/>
          </w:tcPr>
          <w:p w14:paraId="2FAE490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0.0037</w:t>
            </w:r>
          </w:p>
        </w:tc>
        <w:tc>
          <w:tcPr>
            <w:tcW w:w="414" w:type="pct"/>
            <w:tcBorders>
              <w:tl2br w:val="nil"/>
              <w:tr2bl w:val="nil"/>
            </w:tcBorders>
            <w:vAlign w:val="center"/>
          </w:tcPr>
          <w:p w14:paraId="47D3901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0.0036</w:t>
            </w:r>
          </w:p>
        </w:tc>
        <w:tc>
          <w:tcPr>
            <w:tcW w:w="414" w:type="pct"/>
            <w:tcBorders>
              <w:tl2br w:val="nil"/>
              <w:tr2bl w:val="nil"/>
            </w:tcBorders>
            <w:vAlign w:val="center"/>
          </w:tcPr>
          <w:p w14:paraId="037526F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0.0031</w:t>
            </w:r>
          </w:p>
        </w:tc>
        <w:tc>
          <w:tcPr>
            <w:tcW w:w="340" w:type="pct"/>
            <w:tcBorders>
              <w:tl2br w:val="nil"/>
              <w:tr2bl w:val="nil"/>
            </w:tcBorders>
            <w:vAlign w:val="center"/>
          </w:tcPr>
          <w:p w14:paraId="11244F3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0.007</w:t>
            </w:r>
          </w:p>
        </w:tc>
        <w:tc>
          <w:tcPr>
            <w:tcW w:w="414" w:type="pct"/>
            <w:tcBorders>
              <w:tl2br w:val="nil"/>
              <w:tr2bl w:val="nil"/>
            </w:tcBorders>
            <w:vAlign w:val="center"/>
          </w:tcPr>
          <w:p w14:paraId="440D883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0.0065</w:t>
            </w:r>
          </w:p>
        </w:tc>
        <w:tc>
          <w:tcPr>
            <w:tcW w:w="303" w:type="pct"/>
            <w:tcBorders>
              <w:tl2br w:val="nil"/>
              <w:tr2bl w:val="nil"/>
            </w:tcBorders>
            <w:vAlign w:val="center"/>
          </w:tcPr>
          <w:p w14:paraId="0F64D48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310" w:type="pct"/>
            <w:tcBorders>
              <w:tl2br w:val="nil"/>
              <w:tr2bl w:val="nil"/>
            </w:tcBorders>
            <w:vAlign w:val="center"/>
          </w:tcPr>
          <w:p w14:paraId="2CBBC09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r>
      <w:tr w14:paraId="59A31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0" w:hRule="atLeast"/>
          <w:jc w:val="center"/>
        </w:trPr>
        <w:tc>
          <w:tcPr>
            <w:tcW w:w="309" w:type="pct"/>
            <w:tcBorders>
              <w:tl2br w:val="nil"/>
              <w:tr2bl w:val="nil"/>
            </w:tcBorders>
            <w:vAlign w:val="center"/>
          </w:tcPr>
          <w:p w14:paraId="11A3ADB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2022</w:t>
            </w:r>
          </w:p>
        </w:tc>
        <w:tc>
          <w:tcPr>
            <w:tcW w:w="414" w:type="pct"/>
            <w:tcBorders>
              <w:tl2br w:val="nil"/>
              <w:tr2bl w:val="nil"/>
            </w:tcBorders>
            <w:vAlign w:val="center"/>
          </w:tcPr>
          <w:p w14:paraId="5A73E08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1DAC30B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2155124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504DA51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333C783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0F306F1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66F7950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7782622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340" w:type="pct"/>
            <w:tcBorders>
              <w:tl2br w:val="nil"/>
              <w:tr2bl w:val="nil"/>
            </w:tcBorders>
            <w:vAlign w:val="center"/>
          </w:tcPr>
          <w:p w14:paraId="21E13B5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48FDD83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303" w:type="pct"/>
            <w:tcBorders>
              <w:tl2br w:val="nil"/>
              <w:tr2bl w:val="nil"/>
            </w:tcBorders>
            <w:vAlign w:val="center"/>
          </w:tcPr>
          <w:p w14:paraId="426B01B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310" w:type="pct"/>
            <w:tcBorders>
              <w:tl2br w:val="nil"/>
              <w:tr2bl w:val="nil"/>
            </w:tcBorders>
            <w:vAlign w:val="center"/>
          </w:tcPr>
          <w:p w14:paraId="1F28A69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r>
      <w:tr w14:paraId="67969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0" w:hRule="atLeast"/>
          <w:jc w:val="center"/>
        </w:trPr>
        <w:tc>
          <w:tcPr>
            <w:tcW w:w="309" w:type="pct"/>
            <w:tcBorders>
              <w:tl2br w:val="nil"/>
              <w:tr2bl w:val="nil"/>
            </w:tcBorders>
            <w:vAlign w:val="center"/>
          </w:tcPr>
          <w:p w14:paraId="0A26F90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default" w:ascii="Times New Roman" w:hAnsi="Times New Roman" w:eastAsia="宋体" w:cs="Times New Roman"/>
                <w:kern w:val="2"/>
                <w:sz w:val="22"/>
                <w:szCs w:val="22"/>
                <w:u w:val="single"/>
                <w:lang w:val="en-US" w:eastAsia="zh-CN" w:bidi="ar-SA"/>
              </w:rPr>
              <w:t>2023</w:t>
            </w:r>
          </w:p>
        </w:tc>
        <w:tc>
          <w:tcPr>
            <w:tcW w:w="414" w:type="pct"/>
            <w:tcBorders>
              <w:tl2br w:val="nil"/>
              <w:tr2bl w:val="nil"/>
            </w:tcBorders>
            <w:vAlign w:val="center"/>
          </w:tcPr>
          <w:p w14:paraId="23B5673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6ACD57F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6FC8553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6A8D00E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487F56D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0F89AFE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6952F4D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17D5C66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340" w:type="pct"/>
            <w:tcBorders>
              <w:tl2br w:val="nil"/>
              <w:tr2bl w:val="nil"/>
            </w:tcBorders>
            <w:vAlign w:val="center"/>
          </w:tcPr>
          <w:p w14:paraId="1463D8A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414" w:type="pct"/>
            <w:tcBorders>
              <w:tl2br w:val="nil"/>
              <w:tr2bl w:val="nil"/>
            </w:tcBorders>
            <w:vAlign w:val="center"/>
          </w:tcPr>
          <w:p w14:paraId="40012E3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303" w:type="pct"/>
            <w:tcBorders>
              <w:tl2br w:val="nil"/>
              <w:tr2bl w:val="nil"/>
            </w:tcBorders>
            <w:vAlign w:val="center"/>
          </w:tcPr>
          <w:p w14:paraId="4DA1FD3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c>
          <w:tcPr>
            <w:tcW w:w="310" w:type="pct"/>
            <w:tcBorders>
              <w:tl2br w:val="nil"/>
              <w:tr2bl w:val="nil"/>
            </w:tcBorders>
            <w:vAlign w:val="center"/>
          </w:tcPr>
          <w:p w14:paraId="52729BB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jc w:val="center"/>
              <w:rPr>
                <w:rFonts w:hint="default" w:ascii="Times New Roman" w:hAnsi="Times New Roman" w:eastAsia="宋体" w:cs="Times New Roman"/>
                <w:kern w:val="2"/>
                <w:sz w:val="22"/>
                <w:szCs w:val="22"/>
                <w:u w:val="single"/>
                <w:lang w:val="en-US" w:eastAsia="zh-CN" w:bidi="ar-SA"/>
              </w:rPr>
            </w:pPr>
            <w:r>
              <w:rPr>
                <w:rFonts w:hint="eastAsia" w:ascii="Times New Roman" w:hAnsi="Times New Roman" w:eastAsia="宋体" w:cs="Times New Roman"/>
                <w:kern w:val="2"/>
                <w:sz w:val="22"/>
                <w:szCs w:val="22"/>
                <w:u w:val="single"/>
                <w:lang w:val="en-US" w:eastAsia="zh-CN" w:bidi="ar-SA"/>
              </w:rPr>
              <w:t>达标</w:t>
            </w:r>
          </w:p>
        </w:tc>
      </w:tr>
    </w:tbl>
    <w:p w14:paraId="27CD8AAA">
      <w:pPr>
        <w:widowControl w:val="0"/>
        <w:tabs>
          <w:tab w:val="left" w:pos="1021"/>
        </w:tabs>
        <w:bidi w:val="0"/>
        <w:spacing w:line="360" w:lineRule="auto"/>
        <w:ind w:left="0" w:leftChars="0" w:firstLine="0" w:firstLineChars="0"/>
        <w:jc w:val="center"/>
        <w:outlineLvl w:val="9"/>
        <w:rPr>
          <w:rFonts w:hint="default" w:ascii="Times New Roman" w:hAnsi="Times New Roman" w:eastAsia="宋体" w:cs="Times New Roman"/>
          <w:color w:val="auto"/>
          <w:kern w:val="2"/>
          <w:sz w:val="24"/>
          <w:szCs w:val="20"/>
          <w:highlight w:val="none"/>
          <w:u w:val="single"/>
          <w:lang w:val="en-US" w:eastAsia="zh-CN" w:bidi="ar-SA"/>
        </w:rPr>
      </w:pPr>
      <w:r>
        <w:rPr>
          <w:rFonts w:ascii="Times New Roman" w:hAnsi="Times New Roman" w:eastAsia="宋体" w:cs="Times New Roman"/>
          <w:color w:val="auto"/>
          <w:kern w:val="2"/>
          <w:sz w:val="24"/>
          <w:szCs w:val="20"/>
          <w:u w:val="single"/>
          <w:lang w:val="en-US" w:eastAsia="zh-CN" w:bidi="ar-SA"/>
        </w:rPr>
        <w:drawing>
          <wp:inline distT="0" distB="0" distL="114300" distR="114300">
            <wp:extent cx="5212715" cy="2720975"/>
            <wp:effectExtent l="0" t="0" r="14605"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59"/>
                    <a:stretch>
                      <a:fillRect/>
                    </a:stretch>
                  </pic:blipFill>
                  <pic:spPr>
                    <a:xfrm>
                      <a:off x="0" y="0"/>
                      <a:ext cx="5212715" cy="2720975"/>
                    </a:xfrm>
                    <a:prstGeom prst="rect">
                      <a:avLst/>
                    </a:prstGeom>
                    <a:noFill/>
                    <a:ln>
                      <a:noFill/>
                    </a:ln>
                  </pic:spPr>
                </pic:pic>
              </a:graphicData>
            </a:graphic>
          </wp:inline>
        </w:drawing>
      </w:r>
    </w:p>
    <w:p w14:paraId="3B0F382C">
      <w:pPr>
        <w:pStyle w:val="40"/>
        <w:bidi w:val="0"/>
        <w:rPr>
          <w:rFonts w:hint="default"/>
          <w:u w:val="single"/>
          <w:lang w:val="en-US" w:eastAsia="zh-CN"/>
        </w:rPr>
      </w:pPr>
      <w:r>
        <w:rPr>
          <w:rFonts w:hint="default"/>
          <w:u w:val="single"/>
          <w:lang w:val="en-US" w:eastAsia="zh-CN"/>
        </w:rPr>
        <w:t>图</w:t>
      </w:r>
      <w:r>
        <w:rPr>
          <w:rFonts w:hint="default"/>
          <w:u w:val="single"/>
          <w:lang w:val="en-US" w:eastAsia="zh-CN"/>
        </w:rPr>
        <w:fldChar w:fldCharType="begin"/>
      </w:r>
      <w:r>
        <w:rPr>
          <w:rFonts w:hint="default"/>
          <w:u w:val="single"/>
          <w:lang w:val="en-US" w:eastAsia="zh-CN"/>
        </w:rPr>
        <w:instrText xml:space="preserve"> STYLEREF guo-二级标题 \n </w:instrText>
      </w:r>
      <w:r>
        <w:rPr>
          <w:rFonts w:hint="default"/>
          <w:u w:val="single"/>
          <w:lang w:val="en-US" w:eastAsia="zh-CN"/>
        </w:rPr>
        <w:fldChar w:fldCharType="separate"/>
      </w:r>
      <w:r>
        <w:rPr>
          <w:rFonts w:hint="default"/>
          <w:u w:val="single"/>
          <w:lang w:val="en-US" w:eastAsia="zh-CN"/>
        </w:rPr>
        <w:t>4.1</w:t>
      </w:r>
      <w:r>
        <w:rPr>
          <w:rFonts w:hint="default"/>
          <w:u w:val="single"/>
          <w:lang w:val="en-US" w:eastAsia="zh-CN"/>
        </w:rPr>
        <w:fldChar w:fldCharType="end"/>
      </w:r>
      <w:r>
        <w:rPr>
          <w:rFonts w:hint="default"/>
          <w:u w:val="single"/>
          <w:lang w:val="en-US" w:eastAsia="zh-CN"/>
        </w:rPr>
        <w:t>–</w:t>
      </w:r>
      <w:r>
        <w:rPr>
          <w:rFonts w:hint="default"/>
          <w:u w:val="single"/>
          <w:lang w:val="en-US" w:eastAsia="zh-CN"/>
        </w:rPr>
        <w:fldChar w:fldCharType="begin"/>
      </w:r>
      <w:r>
        <w:rPr>
          <w:rFonts w:hint="default"/>
          <w:u w:val="single"/>
          <w:lang w:val="en-US" w:eastAsia="zh-CN"/>
        </w:rPr>
        <w:instrText xml:space="preserve"> SEQ 图 \* ARABIC \s 2 </w:instrText>
      </w:r>
      <w:r>
        <w:rPr>
          <w:rFonts w:hint="default"/>
          <w:u w:val="single"/>
          <w:lang w:val="en-US" w:eastAsia="zh-CN"/>
        </w:rPr>
        <w:fldChar w:fldCharType="separate"/>
      </w:r>
      <w:r>
        <w:rPr>
          <w:rFonts w:hint="default"/>
          <w:u w:val="single"/>
          <w:lang w:val="en-US" w:eastAsia="zh-CN"/>
        </w:rPr>
        <w:t>1</w:t>
      </w:r>
      <w:r>
        <w:rPr>
          <w:rFonts w:hint="default"/>
          <w:u w:val="single"/>
          <w:lang w:val="en-US" w:eastAsia="zh-CN"/>
        </w:rPr>
        <w:fldChar w:fldCharType="end"/>
      </w:r>
      <w:r>
        <w:rPr>
          <w:rFonts w:hint="default"/>
          <w:u w:val="single"/>
          <w:lang w:val="en-US" w:eastAsia="zh-CN"/>
        </w:rPr>
        <w:t xml:space="preserve">  </w:t>
      </w:r>
      <w:r>
        <w:rPr>
          <w:rFonts w:hint="eastAsia"/>
          <w:u w:val="single"/>
          <w:lang w:val="en-US" w:eastAsia="zh-CN"/>
        </w:rPr>
        <w:t>柘溪水库断面水质变化趋势图</w:t>
      </w:r>
    </w:p>
    <w:p w14:paraId="3E99BC3F">
      <w:pPr>
        <w:widowControl w:val="0"/>
        <w:tabs>
          <w:tab w:val="left" w:pos="1021"/>
        </w:tabs>
        <w:bidi w:val="0"/>
        <w:spacing w:line="360" w:lineRule="auto"/>
        <w:ind w:firstLine="480" w:firstLineChars="200"/>
        <w:jc w:val="both"/>
        <w:rPr>
          <w:rFonts w:hint="default" w:ascii="Times New Roman" w:hAnsi="Times New Roman" w:eastAsia="宋体" w:cs="Times New Roman"/>
          <w:kern w:val="2"/>
          <w:sz w:val="24"/>
          <w:u w:val="single"/>
          <w:lang w:val="en-US" w:eastAsia="zh-CN" w:bidi="ar-SA"/>
        </w:rPr>
      </w:pPr>
      <w:r>
        <w:rPr>
          <w:rFonts w:hint="default" w:ascii="Times New Roman" w:hAnsi="Times New Roman" w:eastAsia="宋体" w:cs="Times New Roman"/>
          <w:kern w:val="2"/>
          <w:sz w:val="24"/>
          <w:u w:val="single"/>
          <w:lang w:val="en-US" w:eastAsia="zh-CN" w:bidi="ar-SA"/>
        </w:rPr>
        <w:t>由上表及上图可知，自2021年1月至2023年1</w:t>
      </w:r>
      <w:r>
        <w:rPr>
          <w:rFonts w:hint="eastAsia" w:ascii="Times New Roman" w:hAnsi="Times New Roman" w:eastAsia="宋体" w:cs="Times New Roman"/>
          <w:kern w:val="2"/>
          <w:sz w:val="24"/>
          <w:u w:val="single"/>
          <w:lang w:val="en-US" w:eastAsia="zh-CN" w:bidi="ar-SA"/>
        </w:rPr>
        <w:t>2</w:t>
      </w:r>
      <w:r>
        <w:rPr>
          <w:rFonts w:hint="default" w:ascii="Times New Roman" w:hAnsi="Times New Roman" w:eastAsia="宋体" w:cs="Times New Roman"/>
          <w:kern w:val="2"/>
          <w:sz w:val="24"/>
          <w:u w:val="single"/>
          <w:lang w:val="en-US" w:eastAsia="zh-CN" w:bidi="ar-SA"/>
        </w:rPr>
        <w:t>月，</w:t>
      </w:r>
      <w:r>
        <w:rPr>
          <w:rFonts w:hint="eastAsia" w:ascii="Times New Roman" w:hAnsi="Times New Roman" w:eastAsia="宋体" w:cs="Times New Roman"/>
          <w:kern w:val="2"/>
          <w:sz w:val="24"/>
          <w:u w:val="single"/>
          <w:lang w:val="en-US" w:eastAsia="zh-CN" w:bidi="ar-SA"/>
        </w:rPr>
        <w:t>柘溪水库</w:t>
      </w:r>
      <w:r>
        <w:rPr>
          <w:rFonts w:hint="default" w:ascii="Times New Roman" w:hAnsi="Times New Roman" w:eastAsia="宋体" w:cs="Times New Roman"/>
          <w:kern w:val="2"/>
          <w:sz w:val="24"/>
          <w:u w:val="single"/>
          <w:lang w:val="en-US" w:eastAsia="zh-CN" w:bidi="ar-SA"/>
        </w:rPr>
        <w:t>断面水质均</w:t>
      </w:r>
      <w:r>
        <w:rPr>
          <w:rFonts w:hint="eastAsia" w:ascii="Times New Roman" w:hAnsi="Times New Roman" w:eastAsia="宋体" w:cs="Times New Roman"/>
          <w:kern w:val="2"/>
          <w:sz w:val="24"/>
          <w:u w:val="single"/>
          <w:lang w:val="en-US" w:eastAsia="zh-CN" w:bidi="ar-SA"/>
        </w:rPr>
        <w:t>可达到</w:t>
      </w:r>
      <w:r>
        <w:rPr>
          <w:rFonts w:hint="default" w:ascii="Times New Roman" w:hAnsi="Times New Roman" w:eastAsia="宋体" w:cs="Times New Roman"/>
          <w:kern w:val="2"/>
          <w:sz w:val="24"/>
          <w:u w:val="single"/>
          <w:lang w:val="en-US" w:eastAsia="zh-CN" w:bidi="ar-SA"/>
        </w:rPr>
        <w:t>《地表水环境质量标准》（GB3838-2002）中的Ⅲ类水质</w:t>
      </w:r>
      <w:r>
        <w:rPr>
          <w:rFonts w:hint="eastAsia" w:ascii="Times New Roman" w:hAnsi="Times New Roman" w:eastAsia="宋体" w:cs="Times New Roman"/>
          <w:kern w:val="2"/>
          <w:sz w:val="24"/>
          <w:u w:val="single"/>
          <w:lang w:val="en-US" w:eastAsia="zh-CN" w:bidi="ar-SA"/>
        </w:rPr>
        <w:t>及以上</w:t>
      </w:r>
      <w:r>
        <w:rPr>
          <w:rFonts w:hint="default" w:ascii="Times New Roman" w:hAnsi="Times New Roman" w:eastAsia="宋体" w:cs="Times New Roman"/>
          <w:kern w:val="2"/>
          <w:sz w:val="24"/>
          <w:u w:val="single"/>
          <w:lang w:val="en-US" w:eastAsia="zh-CN" w:bidi="ar-SA"/>
        </w:rPr>
        <w:t>，近</w:t>
      </w:r>
      <w:r>
        <w:rPr>
          <w:rFonts w:hint="eastAsia" w:ascii="Times New Roman" w:hAnsi="Times New Roman" w:eastAsia="宋体" w:cs="Times New Roman"/>
          <w:kern w:val="2"/>
          <w:sz w:val="24"/>
          <w:u w:val="single"/>
          <w:lang w:val="en-US" w:eastAsia="zh-CN" w:bidi="ar-SA"/>
        </w:rPr>
        <w:t>三</w:t>
      </w:r>
      <w:r>
        <w:rPr>
          <w:rFonts w:hint="default" w:ascii="Times New Roman" w:hAnsi="Times New Roman" w:eastAsia="宋体" w:cs="Times New Roman"/>
          <w:kern w:val="2"/>
          <w:sz w:val="24"/>
          <w:u w:val="single"/>
          <w:lang w:val="en-US" w:eastAsia="zh-CN" w:bidi="ar-SA"/>
        </w:rPr>
        <w:t>年内未出现低于II</w:t>
      </w:r>
      <w:r>
        <w:rPr>
          <w:rFonts w:hint="eastAsia" w:ascii="Times New Roman" w:hAnsi="Times New Roman" w:eastAsia="宋体" w:cs="Times New Roman"/>
          <w:kern w:val="2"/>
          <w:sz w:val="24"/>
          <w:u w:val="single"/>
          <w:lang w:val="en-US" w:eastAsia="zh-CN" w:bidi="ar-SA"/>
        </w:rPr>
        <w:t>I</w:t>
      </w:r>
      <w:r>
        <w:rPr>
          <w:rFonts w:hint="default" w:ascii="Times New Roman" w:hAnsi="Times New Roman" w:eastAsia="宋体" w:cs="Times New Roman"/>
          <w:kern w:val="2"/>
          <w:sz w:val="24"/>
          <w:u w:val="single"/>
          <w:lang w:val="en-US" w:eastAsia="zh-CN" w:bidi="ar-SA"/>
        </w:rPr>
        <w:t>类水质情况，水质监测结果平稳。</w:t>
      </w:r>
    </w:p>
    <w:p w14:paraId="1F4926A4">
      <w:pPr>
        <w:widowControl w:val="0"/>
        <w:tabs>
          <w:tab w:val="left" w:pos="1021"/>
        </w:tabs>
        <w:bidi w:val="0"/>
        <w:spacing w:line="360" w:lineRule="auto"/>
        <w:ind w:firstLine="480" w:firstLineChars="200"/>
        <w:jc w:val="both"/>
        <w:rPr>
          <w:rFonts w:hint="default" w:ascii="Times New Roman" w:hAnsi="Times New Roman" w:eastAsia="宋体" w:cs="Times New Roman"/>
          <w:kern w:val="2"/>
          <w:sz w:val="24"/>
          <w:u w:val="single"/>
          <w:lang w:val="en-US" w:eastAsia="zh-CN" w:bidi="ar-SA"/>
        </w:rPr>
      </w:pPr>
      <w:r>
        <w:rPr>
          <w:rFonts w:hint="eastAsia" w:ascii="Times New Roman" w:hAnsi="Times New Roman" w:eastAsia="宋体" w:cs="Times New Roman"/>
          <w:kern w:val="2"/>
          <w:sz w:val="24"/>
          <w:u w:val="single"/>
          <w:lang w:val="en-US" w:eastAsia="zh-CN" w:bidi="ar-SA"/>
        </w:rPr>
        <w:t>根据益阳市生态环境局公布的全市环境质量状况通报，柘溪水库断面2021年9月、10月锑超标0.4倍、0.3倍，其他月份无锑及其他重金属因子超标情况。</w:t>
      </w:r>
    </w:p>
    <w:p w14:paraId="2AB345CE">
      <w:pPr>
        <w:pStyle w:val="2"/>
        <w:rPr>
          <w:rFonts w:hint="default" w:ascii="Times New Roman" w:hAnsi="Times New Roman" w:cs="Times New Roman"/>
          <w:color w:val="auto"/>
          <w:highlight w:val="none"/>
          <w:lang w:val="en-US" w:eastAsia="zh-CN"/>
        </w:rPr>
      </w:pPr>
    </w:p>
    <w:p w14:paraId="0BFF98A5">
      <w:pPr>
        <w:pStyle w:val="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为了解项目所在区域地表水环境质量现状，本论证报告引用《安化渣滓溪矿业智能化设备升级改造项目（井下充填）环境影响报告表》（下文简称“锑矿升级改造环评）”中的地表水监测数据，监测单位为湖南乾诚检测有限公司，监测时间为2024年1月20日~22日（枯水期）、5月7日~9日（丰水期）、6月24日（丰水期）、11月28~30日（枯水期）。</w:t>
      </w:r>
    </w:p>
    <w:p w14:paraId="3D1246C3">
      <w:pPr>
        <w:pStyle w:val="37"/>
        <w:rPr>
          <w:rFonts w:hint="eastAsia"/>
          <w:color w:val="auto"/>
          <w:highlight w:val="none"/>
          <w:lang w:val="en-US" w:eastAsia="zh-CN"/>
        </w:rPr>
      </w:pPr>
      <w:r>
        <w:rPr>
          <w:rFonts w:hint="eastAsia"/>
          <w:color w:val="auto"/>
          <w:highlight w:val="none"/>
          <w:lang w:val="en-US" w:eastAsia="zh-CN"/>
        </w:rPr>
        <w:t>枯水期监测</w:t>
      </w:r>
    </w:p>
    <w:p w14:paraId="68F89D9F">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（1）监测断面：本项目在周边水体共设置</w:t>
      </w:r>
      <w:r>
        <w:rPr>
          <w:rFonts w:hint="eastAsia" w:ascii="Times New Roman" w:hAnsi="Times New Roman" w:eastAsia="宋体" w:cs="Times New Roman"/>
          <w:color w:val="auto"/>
          <w:kern w:val="2"/>
          <w:sz w:val="24"/>
          <w:highlight w:val="none"/>
          <w:lang w:val="en-US" w:eastAsia="zh-CN" w:bidi="ar-SA"/>
        </w:rPr>
        <w:t>12</w:t>
      </w:r>
      <w:r>
        <w:rPr>
          <w:rFonts w:hint="default" w:ascii="Times New Roman" w:hAnsi="Times New Roman" w:eastAsia="宋体" w:cs="Times New Roman"/>
          <w:color w:val="auto"/>
          <w:kern w:val="2"/>
          <w:sz w:val="24"/>
          <w:highlight w:val="none"/>
          <w:lang w:val="en-US" w:eastAsia="zh-CN" w:bidi="ar-SA"/>
        </w:rPr>
        <w:t>个监测断面，见下表。</w:t>
      </w:r>
    </w:p>
    <w:p w14:paraId="281F13E1">
      <w:pPr>
        <w:pStyle w:val="28"/>
        <w:rPr>
          <w:rFonts w:hint="default"/>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4.1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3</w:t>
      </w:r>
      <w:r>
        <w:rPr>
          <w:rFonts w:hint="default"/>
          <w:color w:val="auto"/>
          <w:highlight w:val="none"/>
          <w:lang w:val="en-US" w:eastAsia="zh-CN"/>
        </w:rPr>
        <w:fldChar w:fldCharType="end"/>
      </w:r>
      <w:r>
        <w:rPr>
          <w:rFonts w:hint="default"/>
          <w:color w:val="auto"/>
          <w:highlight w:val="none"/>
          <w:lang w:val="en-US" w:eastAsia="zh-CN"/>
        </w:rPr>
        <w:t xml:space="preserve">  地表水环境质量监测断面</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38"/>
        <w:gridCol w:w="1664"/>
        <w:gridCol w:w="6436"/>
      </w:tblGrid>
      <w:tr w14:paraId="3EC904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679A1F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900" w:type="pct"/>
            <w:vAlign w:val="center"/>
          </w:tcPr>
          <w:p w14:paraId="57C1C1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监测河流</w:t>
            </w:r>
          </w:p>
        </w:tc>
        <w:tc>
          <w:tcPr>
            <w:tcW w:w="3482" w:type="pct"/>
            <w:vAlign w:val="center"/>
          </w:tcPr>
          <w:p w14:paraId="7DCB71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断面</w:t>
            </w:r>
            <w:r>
              <w:rPr>
                <w:rFonts w:hint="eastAsia"/>
                <w:color w:val="auto"/>
                <w:highlight w:val="none"/>
                <w:lang w:val="en-US" w:eastAsia="zh-CN"/>
              </w:rPr>
              <w:t>名称</w:t>
            </w:r>
          </w:p>
        </w:tc>
      </w:tr>
      <w:tr w14:paraId="2CF646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48C4CD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S1</w:t>
            </w:r>
          </w:p>
        </w:tc>
        <w:tc>
          <w:tcPr>
            <w:tcW w:w="900" w:type="pct"/>
            <w:vAlign w:val="center"/>
          </w:tcPr>
          <w:p w14:paraId="4F9B0A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渣滓溪</w:t>
            </w:r>
          </w:p>
        </w:tc>
        <w:tc>
          <w:tcPr>
            <w:tcW w:w="3482" w:type="pct"/>
            <w:vAlign w:val="center"/>
          </w:tcPr>
          <w:p w14:paraId="03804E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渣滓溪矿区上游50m</w:t>
            </w:r>
          </w:p>
        </w:tc>
      </w:tr>
      <w:tr w14:paraId="1EC5A76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4A468F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S2</w:t>
            </w:r>
          </w:p>
        </w:tc>
        <w:tc>
          <w:tcPr>
            <w:tcW w:w="900" w:type="pct"/>
            <w:vAlign w:val="center"/>
          </w:tcPr>
          <w:p w14:paraId="586F61B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渣滓溪</w:t>
            </w:r>
          </w:p>
        </w:tc>
        <w:tc>
          <w:tcPr>
            <w:tcW w:w="3482" w:type="pct"/>
            <w:vAlign w:val="center"/>
          </w:tcPr>
          <w:p w14:paraId="375810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渣滓溪污水处理下游100m</w:t>
            </w:r>
          </w:p>
        </w:tc>
      </w:tr>
      <w:tr w14:paraId="580172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27C202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S3</w:t>
            </w:r>
          </w:p>
        </w:tc>
        <w:tc>
          <w:tcPr>
            <w:tcW w:w="900" w:type="pct"/>
            <w:vAlign w:val="center"/>
          </w:tcPr>
          <w:p w14:paraId="2C3144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白茅溪</w:t>
            </w:r>
          </w:p>
        </w:tc>
        <w:tc>
          <w:tcPr>
            <w:tcW w:w="3482" w:type="pct"/>
            <w:vAlign w:val="center"/>
          </w:tcPr>
          <w:p w14:paraId="5AC74AF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白茅溪与渣滓溪汇入口上游100m</w:t>
            </w:r>
          </w:p>
        </w:tc>
      </w:tr>
      <w:tr w14:paraId="7CC627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06026E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S4</w:t>
            </w:r>
          </w:p>
        </w:tc>
        <w:tc>
          <w:tcPr>
            <w:tcW w:w="900" w:type="pct"/>
            <w:vAlign w:val="center"/>
          </w:tcPr>
          <w:p w14:paraId="49EC3D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白茅溪</w:t>
            </w:r>
          </w:p>
        </w:tc>
        <w:tc>
          <w:tcPr>
            <w:tcW w:w="3482" w:type="pct"/>
            <w:vAlign w:val="center"/>
          </w:tcPr>
          <w:p w14:paraId="6070AD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白茅溪与渣滓溪汇入口下游100m</w:t>
            </w:r>
          </w:p>
        </w:tc>
      </w:tr>
      <w:tr w14:paraId="34E302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4DEF6D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S5</w:t>
            </w:r>
          </w:p>
        </w:tc>
        <w:tc>
          <w:tcPr>
            <w:tcW w:w="900" w:type="pct"/>
            <w:vAlign w:val="center"/>
          </w:tcPr>
          <w:p w14:paraId="390168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石板溪</w:t>
            </w:r>
          </w:p>
        </w:tc>
        <w:tc>
          <w:tcPr>
            <w:tcW w:w="3482" w:type="pct"/>
            <w:vAlign w:val="center"/>
          </w:tcPr>
          <w:p w14:paraId="3A8345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石板溪与白茅溪汇入口上游50m</w:t>
            </w:r>
          </w:p>
        </w:tc>
      </w:tr>
      <w:tr w14:paraId="210AC2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7E40C2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S6</w:t>
            </w:r>
          </w:p>
        </w:tc>
        <w:tc>
          <w:tcPr>
            <w:tcW w:w="900" w:type="pct"/>
            <w:vAlign w:val="center"/>
          </w:tcPr>
          <w:p w14:paraId="00BAF80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w:t>
            </w:r>
          </w:p>
        </w:tc>
        <w:tc>
          <w:tcPr>
            <w:tcW w:w="3482" w:type="pct"/>
            <w:vAlign w:val="center"/>
          </w:tcPr>
          <w:p w14:paraId="5FE127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奎溪与白茅溪汇入口上游50m</w:t>
            </w:r>
          </w:p>
        </w:tc>
      </w:tr>
      <w:tr w14:paraId="1D16AA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617D5F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S7</w:t>
            </w:r>
          </w:p>
        </w:tc>
        <w:tc>
          <w:tcPr>
            <w:tcW w:w="900" w:type="pct"/>
            <w:vAlign w:val="center"/>
          </w:tcPr>
          <w:p w14:paraId="685A15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奎溪</w:t>
            </w:r>
          </w:p>
        </w:tc>
        <w:tc>
          <w:tcPr>
            <w:tcW w:w="3482" w:type="pct"/>
            <w:vAlign w:val="center"/>
          </w:tcPr>
          <w:p w14:paraId="7B51A2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奎溪与白茅溪汇入口下游100m</w:t>
            </w:r>
          </w:p>
        </w:tc>
      </w:tr>
      <w:tr w14:paraId="68A9D1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5E1B7A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S8</w:t>
            </w:r>
          </w:p>
        </w:tc>
        <w:tc>
          <w:tcPr>
            <w:tcW w:w="900" w:type="pct"/>
            <w:vAlign w:val="center"/>
          </w:tcPr>
          <w:p w14:paraId="395CE13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洋溪</w:t>
            </w:r>
          </w:p>
        </w:tc>
        <w:tc>
          <w:tcPr>
            <w:tcW w:w="3482" w:type="pct"/>
            <w:vAlign w:val="center"/>
          </w:tcPr>
          <w:p w14:paraId="075536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洋溪与奎溪汇入口上游200m</w:t>
            </w:r>
          </w:p>
        </w:tc>
      </w:tr>
      <w:tr w14:paraId="17CBDD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63ADA3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S9</w:t>
            </w:r>
          </w:p>
        </w:tc>
        <w:tc>
          <w:tcPr>
            <w:tcW w:w="900" w:type="pct"/>
            <w:vAlign w:val="center"/>
          </w:tcPr>
          <w:p w14:paraId="2F2FC1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洋溪</w:t>
            </w:r>
          </w:p>
        </w:tc>
        <w:tc>
          <w:tcPr>
            <w:tcW w:w="3482" w:type="pct"/>
            <w:vAlign w:val="center"/>
          </w:tcPr>
          <w:p w14:paraId="59C90F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洋溪与奎溪汇入口下游500m</w:t>
            </w:r>
          </w:p>
        </w:tc>
      </w:tr>
      <w:tr w14:paraId="4DF48A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681E62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S10</w:t>
            </w:r>
          </w:p>
        </w:tc>
        <w:tc>
          <w:tcPr>
            <w:tcW w:w="900" w:type="pct"/>
            <w:vAlign w:val="center"/>
          </w:tcPr>
          <w:p w14:paraId="4952B4E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洋溪</w:t>
            </w:r>
          </w:p>
        </w:tc>
        <w:tc>
          <w:tcPr>
            <w:tcW w:w="3482" w:type="pct"/>
            <w:vAlign w:val="center"/>
          </w:tcPr>
          <w:p w14:paraId="369141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洋溪与资水汇入口上游500m</w:t>
            </w:r>
          </w:p>
        </w:tc>
      </w:tr>
      <w:tr w14:paraId="67FF8B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5335B8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S11</w:t>
            </w:r>
          </w:p>
        </w:tc>
        <w:tc>
          <w:tcPr>
            <w:tcW w:w="900" w:type="pct"/>
            <w:vAlign w:val="center"/>
          </w:tcPr>
          <w:p w14:paraId="588A237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资水</w:t>
            </w:r>
          </w:p>
        </w:tc>
        <w:tc>
          <w:tcPr>
            <w:tcW w:w="3482" w:type="pct"/>
            <w:vAlign w:val="center"/>
          </w:tcPr>
          <w:p w14:paraId="375ED5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资水与洋溪汇入口上游500m</w:t>
            </w:r>
          </w:p>
        </w:tc>
      </w:tr>
      <w:tr w14:paraId="472397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16" w:type="pct"/>
            <w:vAlign w:val="center"/>
          </w:tcPr>
          <w:p w14:paraId="0074E9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S12</w:t>
            </w:r>
          </w:p>
        </w:tc>
        <w:tc>
          <w:tcPr>
            <w:tcW w:w="900" w:type="pct"/>
            <w:vAlign w:val="center"/>
          </w:tcPr>
          <w:p w14:paraId="57ADB3E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资水</w:t>
            </w:r>
          </w:p>
        </w:tc>
        <w:tc>
          <w:tcPr>
            <w:tcW w:w="3482" w:type="pct"/>
            <w:vAlign w:val="center"/>
          </w:tcPr>
          <w:p w14:paraId="6AA7D6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资水与洋溪汇入口下游1000m</w:t>
            </w:r>
          </w:p>
        </w:tc>
      </w:tr>
    </w:tbl>
    <w:p w14:paraId="35B8D4C0">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（2）监测因子：</w:t>
      </w:r>
      <w:r>
        <w:rPr>
          <w:rFonts w:hint="eastAsia" w:ascii="Times New Roman" w:hAnsi="Times New Roman" w:eastAsia="宋体" w:cs="Times New Roman"/>
          <w:color w:val="auto"/>
          <w:kern w:val="2"/>
          <w:sz w:val="24"/>
          <w:highlight w:val="none"/>
          <w:lang w:val="en-US" w:eastAsia="zh-CN" w:bidi="ar-SA"/>
        </w:rPr>
        <w:t>S1~S5采用A方案，为pH值、氨氮、化学需氧量、五日生化需氧量、总磷、悬浮物、石油类、挥发酚、铅、镉、总铬、铊、锌、铜、镍、银、钒、六价铬、汞、砷、锑、硒、氟化物、硫化物；S6~S12采用B方案，为</w:t>
      </w:r>
      <w:r>
        <w:rPr>
          <w:rFonts w:hint="default" w:ascii="Times New Roman" w:hAnsi="Times New Roman" w:eastAsia="宋体" w:cs="Times New Roman"/>
          <w:color w:val="auto"/>
          <w:kern w:val="2"/>
          <w:sz w:val="24"/>
          <w:highlight w:val="none"/>
          <w:lang w:val="en-US" w:eastAsia="zh-CN" w:bidi="ar-SA"/>
        </w:rPr>
        <w:t>锑、铊。</w:t>
      </w:r>
    </w:p>
    <w:p w14:paraId="63D2DA96">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（3）监测频次：202</w:t>
      </w:r>
      <w:r>
        <w:rPr>
          <w:rFonts w:hint="eastAsia" w:ascii="Times New Roman" w:hAnsi="Times New Roman" w:eastAsia="宋体" w:cs="Times New Roman"/>
          <w:color w:val="auto"/>
          <w:kern w:val="2"/>
          <w:sz w:val="24"/>
          <w:highlight w:val="none"/>
          <w:lang w:val="en-US" w:eastAsia="zh-CN" w:bidi="ar-SA"/>
        </w:rPr>
        <w:t>4</w:t>
      </w:r>
      <w:r>
        <w:rPr>
          <w:rFonts w:hint="default" w:ascii="Times New Roman" w:hAnsi="Times New Roman" w:eastAsia="宋体" w:cs="Times New Roman"/>
          <w:color w:val="auto"/>
          <w:kern w:val="2"/>
          <w:sz w:val="24"/>
          <w:highlight w:val="none"/>
          <w:lang w:val="en-US" w:eastAsia="zh-CN" w:bidi="ar-SA"/>
        </w:rPr>
        <w:t>年1月</w:t>
      </w:r>
      <w:r>
        <w:rPr>
          <w:rFonts w:hint="eastAsia" w:ascii="Times New Roman" w:hAnsi="Times New Roman" w:eastAsia="宋体" w:cs="Times New Roman"/>
          <w:color w:val="auto"/>
          <w:kern w:val="2"/>
          <w:sz w:val="24"/>
          <w:highlight w:val="none"/>
          <w:lang w:val="en-US" w:eastAsia="zh-CN" w:bidi="ar-SA"/>
        </w:rPr>
        <w:t>20</w:t>
      </w:r>
      <w:r>
        <w:rPr>
          <w:rFonts w:hint="default" w:ascii="Times New Roman" w:hAnsi="Times New Roman" w:eastAsia="宋体" w:cs="Times New Roman"/>
          <w:color w:val="auto"/>
          <w:kern w:val="2"/>
          <w:sz w:val="24"/>
          <w:highlight w:val="none"/>
          <w:lang w:val="en-US" w:eastAsia="zh-CN" w:bidi="ar-SA"/>
        </w:rPr>
        <w:t>日~2</w:t>
      </w:r>
      <w:r>
        <w:rPr>
          <w:rFonts w:hint="eastAsia" w:ascii="Times New Roman" w:hAnsi="Times New Roman" w:eastAsia="宋体" w:cs="Times New Roman"/>
          <w:color w:val="auto"/>
          <w:kern w:val="2"/>
          <w:sz w:val="24"/>
          <w:highlight w:val="none"/>
          <w:lang w:val="en-US" w:eastAsia="zh-CN" w:bidi="ar-SA"/>
        </w:rPr>
        <w:t>2</w:t>
      </w:r>
      <w:r>
        <w:rPr>
          <w:rFonts w:hint="default" w:ascii="Times New Roman" w:hAnsi="Times New Roman" w:eastAsia="宋体" w:cs="Times New Roman"/>
          <w:color w:val="auto"/>
          <w:kern w:val="2"/>
          <w:sz w:val="24"/>
          <w:highlight w:val="none"/>
          <w:lang w:val="en-US" w:eastAsia="zh-CN" w:bidi="ar-SA"/>
        </w:rPr>
        <w:t>日，连续监测3天，每天一次。</w:t>
      </w:r>
    </w:p>
    <w:p w14:paraId="13049681">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（4）执行标准：地表水体为Ⅲ类水域，执行《地表水环境质量标准》（GB3838-2002）中Ⅲ类标准。</w:t>
      </w:r>
    </w:p>
    <w:p w14:paraId="4A66EF11">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（5）评价方法</w:t>
      </w:r>
    </w:p>
    <w:p w14:paraId="6E3E9CC8">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采用</w:t>
      </w:r>
      <w:r>
        <w:rPr>
          <w:rFonts w:hint="eastAsia" w:ascii="Times New Roman" w:hAnsi="Times New Roman" w:eastAsia="宋体" w:cs="Times New Roman"/>
          <w:color w:val="auto"/>
          <w:kern w:val="2"/>
          <w:sz w:val="24"/>
          <w:highlight w:val="none"/>
          <w:lang w:val="en-US" w:eastAsia="zh-CN" w:bidi="ar-SA"/>
        </w:rPr>
        <w:t>水质指数法</w:t>
      </w:r>
      <w:r>
        <w:rPr>
          <w:rFonts w:hint="default" w:ascii="Times New Roman" w:hAnsi="Times New Roman" w:eastAsia="宋体" w:cs="Times New Roman"/>
          <w:color w:val="auto"/>
          <w:kern w:val="2"/>
          <w:sz w:val="24"/>
          <w:highlight w:val="none"/>
          <w:lang w:val="en-US" w:eastAsia="zh-CN" w:bidi="ar-SA"/>
        </w:rPr>
        <w:t>评价水环境现状质量。</w:t>
      </w:r>
    </w:p>
    <w:p w14:paraId="2EC95498">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（6）评价结果</w:t>
      </w:r>
    </w:p>
    <w:p w14:paraId="40CA6F90">
      <w:pPr>
        <w:widowControl w:val="0"/>
        <w:tabs>
          <w:tab w:val="left" w:pos="1021"/>
        </w:tabs>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S10、S11、S12</w:t>
      </w:r>
      <w:r>
        <w:rPr>
          <w:rFonts w:hint="default" w:ascii="Times New Roman" w:hAnsi="Times New Roman" w:eastAsia="宋体" w:cs="Times New Roman"/>
          <w:color w:val="auto"/>
          <w:kern w:val="2"/>
          <w:sz w:val="24"/>
          <w:highlight w:val="none"/>
          <w:lang w:val="en-US" w:eastAsia="zh-CN" w:bidi="ar-SA"/>
        </w:rPr>
        <w:t>各监测断面各检测因子均达到《地表水环境质量标准》（GB3838-2002）中Ⅲ类标准。</w:t>
      </w:r>
    </w:p>
    <w:p w14:paraId="2ADF3716">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其他</w:t>
      </w:r>
      <w:r>
        <w:rPr>
          <w:rFonts w:hint="default" w:ascii="Times New Roman" w:hAnsi="Times New Roman" w:eastAsia="宋体" w:cs="Times New Roman"/>
          <w:color w:val="auto"/>
          <w:kern w:val="2"/>
          <w:sz w:val="24"/>
          <w:highlight w:val="none"/>
          <w:lang w:val="en-US" w:eastAsia="zh-CN" w:bidi="ar-SA"/>
        </w:rPr>
        <w:t>各监测断面各检测因子，</w:t>
      </w:r>
      <w:r>
        <w:rPr>
          <w:rFonts w:hint="eastAsia" w:ascii="Times New Roman" w:hAnsi="Times New Roman" w:eastAsia="宋体" w:cs="Times New Roman"/>
          <w:color w:val="auto"/>
          <w:kern w:val="2"/>
          <w:sz w:val="24"/>
          <w:highlight w:val="none"/>
          <w:lang w:val="en-US" w:eastAsia="zh-CN" w:bidi="ar-SA"/>
        </w:rPr>
        <w:t>除锑超标外，其他因子</w:t>
      </w:r>
      <w:r>
        <w:rPr>
          <w:rFonts w:hint="default" w:ascii="Times New Roman" w:hAnsi="Times New Roman" w:eastAsia="宋体" w:cs="Times New Roman"/>
          <w:color w:val="auto"/>
          <w:kern w:val="2"/>
          <w:sz w:val="24"/>
          <w:highlight w:val="none"/>
          <w:lang w:val="en-US" w:eastAsia="zh-CN" w:bidi="ar-SA"/>
        </w:rPr>
        <w:t>均达到《地表水环境质量标准》（GB3838-2002）中Ⅲ类标准。</w:t>
      </w:r>
    </w:p>
    <w:p w14:paraId="0B7C5968">
      <w:pPr>
        <w:spacing w:line="360" w:lineRule="auto"/>
        <w:ind w:firstLine="480" w:firstLineChars="200"/>
        <w:rPr>
          <w:rFonts w:hint="default" w:ascii="Times New Roman" w:hAnsi="Times New Roman" w:cs="Times New Roman"/>
          <w:color w:val="auto"/>
          <w:sz w:val="24"/>
          <w:highlight w:val="none"/>
        </w:rPr>
      </w:pPr>
    </w:p>
    <w:p w14:paraId="72C336E3">
      <w:pPr>
        <w:pStyle w:val="2"/>
        <w:rPr>
          <w:rFonts w:hint="eastAsia" w:ascii="Times New Roman" w:hAnsi="Times New Roman" w:cs="Times New Roman"/>
          <w:color w:val="auto"/>
          <w:highlight w:val="none"/>
          <w:lang w:val="en-US" w:eastAsia="zh-CN"/>
        </w:rPr>
        <w:sectPr>
          <w:pgSz w:w="11906" w:h="16838"/>
          <w:pgMar w:top="1440" w:right="1440" w:bottom="1236" w:left="1440" w:header="851" w:footer="992" w:gutter="0"/>
          <w:pgBorders>
            <w:top w:val="none" w:sz="0" w:space="0"/>
            <w:left w:val="none" w:sz="0" w:space="0"/>
            <w:bottom w:val="none" w:sz="0" w:space="0"/>
            <w:right w:val="none" w:sz="0" w:space="0"/>
          </w:pgBorders>
          <w:cols w:space="720" w:num="1"/>
          <w:docGrid w:type="lines" w:linePitch="312" w:charSpace="0"/>
        </w:sectPr>
      </w:pPr>
    </w:p>
    <w:p w14:paraId="681C1DCD">
      <w:pPr>
        <w:pStyle w:val="28"/>
        <w:rPr>
          <w:rFonts w:hint="eastAsia"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202</w:t>
      </w:r>
      <w:r>
        <w:rPr>
          <w:rFonts w:hint="eastAsia" w:ascii="Times New Roman" w:hAnsi="Times New Roman" w:eastAsia="黑体" w:cs="Times New Roman"/>
          <w:color w:val="auto"/>
          <w:kern w:val="2"/>
          <w:sz w:val="24"/>
          <w:highlight w:val="none"/>
          <w:lang w:val="en-US" w:eastAsia="zh-CN" w:bidi="ar-SA"/>
        </w:rPr>
        <w:t>4</w:t>
      </w:r>
      <w:r>
        <w:rPr>
          <w:rFonts w:hint="default" w:ascii="Times New Roman" w:hAnsi="Times New Roman" w:eastAsia="黑体" w:cs="Times New Roman"/>
          <w:color w:val="auto"/>
          <w:kern w:val="2"/>
          <w:sz w:val="24"/>
          <w:highlight w:val="none"/>
          <w:lang w:val="en-US" w:eastAsia="zh-CN" w:bidi="ar-SA"/>
        </w:rPr>
        <w:t>年</w:t>
      </w:r>
      <w:r>
        <w:rPr>
          <w:rFonts w:hint="eastAsia" w:ascii="Times New Roman" w:hAnsi="Times New Roman" w:eastAsia="黑体" w:cs="Times New Roman"/>
          <w:color w:val="auto"/>
          <w:kern w:val="2"/>
          <w:sz w:val="24"/>
          <w:highlight w:val="none"/>
          <w:lang w:val="en-US" w:eastAsia="zh-CN" w:bidi="ar-SA"/>
        </w:rPr>
        <w:t>1</w:t>
      </w:r>
      <w:r>
        <w:rPr>
          <w:rFonts w:hint="default" w:ascii="Times New Roman" w:hAnsi="Times New Roman" w:eastAsia="黑体" w:cs="Times New Roman"/>
          <w:color w:val="auto"/>
          <w:kern w:val="2"/>
          <w:sz w:val="24"/>
          <w:highlight w:val="none"/>
          <w:lang w:val="en-US" w:eastAsia="zh-CN" w:bidi="ar-SA"/>
        </w:rPr>
        <w:t>月地表水环境质量补充检测结果</w:t>
      </w:r>
      <w:r>
        <w:rPr>
          <w:rFonts w:hint="eastAsia" w:ascii="Times New Roman" w:hAnsi="Times New Roman" w:eastAsia="黑体" w:cs="Times New Roman"/>
          <w:color w:val="auto"/>
          <w:kern w:val="2"/>
          <w:sz w:val="24"/>
          <w:highlight w:val="none"/>
          <w:lang w:val="en-US" w:eastAsia="zh-CN" w:bidi="ar-SA"/>
        </w:rPr>
        <w:t>（单位：mg/L，pH除外）</w:t>
      </w:r>
    </w:p>
    <w:tbl>
      <w:tblPr>
        <w:tblStyle w:val="21"/>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1" w:type="dxa"/>
          <w:bottom w:w="0" w:type="dxa"/>
          <w:right w:w="11" w:type="dxa"/>
        </w:tblCellMar>
      </w:tblPr>
      <w:tblGrid>
        <w:gridCol w:w="797"/>
        <w:gridCol w:w="669"/>
        <w:gridCol w:w="1019"/>
        <w:gridCol w:w="871"/>
        <w:gridCol w:w="1019"/>
        <w:gridCol w:w="1019"/>
        <w:gridCol w:w="1022"/>
        <w:gridCol w:w="885"/>
        <w:gridCol w:w="873"/>
        <w:gridCol w:w="1022"/>
        <w:gridCol w:w="1047"/>
        <w:gridCol w:w="896"/>
        <w:gridCol w:w="1050"/>
        <w:gridCol w:w="896"/>
        <w:gridCol w:w="896"/>
      </w:tblGrid>
      <w:tr w14:paraId="481C0D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524" w:type="pct"/>
            <w:gridSpan w:val="2"/>
            <w:tcBorders>
              <w:tl2br w:val="nil"/>
              <w:tr2bl w:val="nil"/>
            </w:tcBorders>
            <w:shd w:val="clear" w:color="auto" w:fill="auto"/>
            <w:tcMar>
              <w:top w:w="0" w:type="dxa"/>
              <w:left w:w="17" w:type="dxa"/>
              <w:bottom w:w="0" w:type="dxa"/>
              <w:right w:w="17" w:type="dxa"/>
            </w:tcMar>
            <w:vAlign w:val="center"/>
          </w:tcPr>
          <w:p w14:paraId="597EA0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p w14:paraId="08CD3C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断面</w:t>
            </w:r>
          </w:p>
        </w:tc>
        <w:tc>
          <w:tcPr>
            <w:tcW w:w="364" w:type="pct"/>
            <w:tcBorders>
              <w:tl2br w:val="nil"/>
              <w:tr2bl w:val="nil"/>
            </w:tcBorders>
            <w:shd w:val="clear" w:color="auto" w:fill="auto"/>
            <w:tcMar>
              <w:top w:w="0" w:type="dxa"/>
              <w:left w:w="17" w:type="dxa"/>
              <w:bottom w:w="0" w:type="dxa"/>
              <w:right w:w="17" w:type="dxa"/>
            </w:tcMar>
            <w:vAlign w:val="center"/>
          </w:tcPr>
          <w:p w14:paraId="6D3739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311" w:type="pct"/>
            <w:tcBorders>
              <w:tl2br w:val="nil"/>
              <w:tr2bl w:val="nil"/>
            </w:tcBorders>
            <w:shd w:val="clear" w:color="auto" w:fill="auto"/>
            <w:tcMar>
              <w:top w:w="0" w:type="dxa"/>
              <w:left w:w="17" w:type="dxa"/>
              <w:bottom w:w="0" w:type="dxa"/>
              <w:right w:w="17" w:type="dxa"/>
            </w:tcMar>
            <w:vAlign w:val="center"/>
          </w:tcPr>
          <w:p w14:paraId="7426A3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64" w:type="pct"/>
            <w:tcBorders>
              <w:tl2br w:val="nil"/>
              <w:tr2bl w:val="nil"/>
            </w:tcBorders>
            <w:shd w:val="clear" w:color="auto" w:fill="auto"/>
            <w:tcMar>
              <w:top w:w="0" w:type="dxa"/>
              <w:left w:w="17" w:type="dxa"/>
              <w:bottom w:w="0" w:type="dxa"/>
              <w:right w:w="17" w:type="dxa"/>
            </w:tcMar>
            <w:vAlign w:val="center"/>
          </w:tcPr>
          <w:p w14:paraId="581CE46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64" w:type="pct"/>
            <w:tcBorders>
              <w:tl2br w:val="nil"/>
              <w:tr2bl w:val="nil"/>
            </w:tcBorders>
            <w:shd w:val="clear" w:color="auto" w:fill="auto"/>
            <w:tcMar>
              <w:top w:w="0" w:type="dxa"/>
              <w:left w:w="17" w:type="dxa"/>
              <w:bottom w:w="0" w:type="dxa"/>
              <w:right w:w="17" w:type="dxa"/>
            </w:tcMar>
            <w:vAlign w:val="center"/>
          </w:tcPr>
          <w:p w14:paraId="52AF96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365" w:type="pct"/>
            <w:tcBorders>
              <w:tl2br w:val="nil"/>
              <w:tr2bl w:val="nil"/>
            </w:tcBorders>
            <w:shd w:val="clear" w:color="auto" w:fill="auto"/>
            <w:tcMar>
              <w:top w:w="0" w:type="dxa"/>
              <w:left w:w="17" w:type="dxa"/>
              <w:bottom w:w="0" w:type="dxa"/>
              <w:right w:w="17" w:type="dxa"/>
            </w:tcMar>
            <w:vAlign w:val="center"/>
          </w:tcPr>
          <w:p w14:paraId="4C0CFE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16" w:type="pct"/>
            <w:tcBorders>
              <w:tl2br w:val="nil"/>
              <w:tr2bl w:val="nil"/>
            </w:tcBorders>
            <w:shd w:val="clear" w:color="auto" w:fill="auto"/>
            <w:tcMar>
              <w:top w:w="0" w:type="dxa"/>
              <w:left w:w="17" w:type="dxa"/>
              <w:bottom w:w="0" w:type="dxa"/>
              <w:right w:w="17" w:type="dxa"/>
            </w:tcMar>
            <w:vAlign w:val="center"/>
          </w:tcPr>
          <w:p w14:paraId="5FB0D7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12" w:type="pct"/>
            <w:tcBorders>
              <w:tl2br w:val="nil"/>
              <w:tr2bl w:val="nil"/>
            </w:tcBorders>
            <w:shd w:val="clear" w:color="auto" w:fill="auto"/>
            <w:tcMar>
              <w:top w:w="0" w:type="dxa"/>
              <w:left w:w="17" w:type="dxa"/>
              <w:bottom w:w="0" w:type="dxa"/>
              <w:right w:w="17" w:type="dxa"/>
            </w:tcMar>
            <w:vAlign w:val="center"/>
          </w:tcPr>
          <w:p w14:paraId="09B64C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365" w:type="pct"/>
            <w:tcBorders>
              <w:tl2br w:val="nil"/>
              <w:tr2bl w:val="nil"/>
            </w:tcBorders>
            <w:shd w:val="clear" w:color="auto" w:fill="auto"/>
            <w:tcMar>
              <w:top w:w="0" w:type="dxa"/>
              <w:left w:w="17" w:type="dxa"/>
              <w:bottom w:w="0" w:type="dxa"/>
              <w:right w:w="17" w:type="dxa"/>
            </w:tcMar>
            <w:vAlign w:val="center"/>
          </w:tcPr>
          <w:p w14:paraId="3438E8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4" w:type="pct"/>
            <w:tcBorders>
              <w:tl2br w:val="nil"/>
              <w:tr2bl w:val="nil"/>
            </w:tcBorders>
            <w:shd w:val="clear" w:color="auto" w:fill="auto"/>
            <w:tcMar>
              <w:top w:w="0" w:type="dxa"/>
              <w:left w:w="17" w:type="dxa"/>
              <w:bottom w:w="0" w:type="dxa"/>
              <w:right w:w="17" w:type="dxa"/>
            </w:tcMar>
            <w:vAlign w:val="center"/>
          </w:tcPr>
          <w:p w14:paraId="3EEA95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320" w:type="pct"/>
            <w:tcBorders>
              <w:tl2br w:val="nil"/>
              <w:tr2bl w:val="nil"/>
            </w:tcBorders>
            <w:shd w:val="clear" w:color="auto" w:fill="auto"/>
            <w:tcMar>
              <w:top w:w="0" w:type="dxa"/>
              <w:left w:w="17" w:type="dxa"/>
              <w:bottom w:w="0" w:type="dxa"/>
              <w:right w:w="17" w:type="dxa"/>
            </w:tcMar>
            <w:vAlign w:val="center"/>
          </w:tcPr>
          <w:p w14:paraId="5A9AB2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375" w:type="pct"/>
            <w:tcBorders>
              <w:tl2br w:val="nil"/>
              <w:tr2bl w:val="nil"/>
            </w:tcBorders>
            <w:shd w:val="clear" w:color="auto" w:fill="auto"/>
            <w:tcMar>
              <w:top w:w="0" w:type="dxa"/>
              <w:left w:w="17" w:type="dxa"/>
              <w:bottom w:w="0" w:type="dxa"/>
              <w:right w:w="17" w:type="dxa"/>
            </w:tcMar>
            <w:vAlign w:val="center"/>
          </w:tcPr>
          <w:p w14:paraId="5D90EA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c>
          <w:tcPr>
            <w:tcW w:w="320" w:type="pct"/>
            <w:tcBorders>
              <w:tl2br w:val="nil"/>
              <w:tr2bl w:val="nil"/>
            </w:tcBorders>
            <w:shd w:val="clear" w:color="auto" w:fill="auto"/>
            <w:tcMar>
              <w:top w:w="0" w:type="dxa"/>
              <w:left w:w="17" w:type="dxa"/>
              <w:bottom w:w="0" w:type="dxa"/>
              <w:right w:w="17" w:type="dxa"/>
            </w:tcMar>
            <w:vAlign w:val="center"/>
          </w:tcPr>
          <w:p w14:paraId="039984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320" w:type="pct"/>
            <w:tcBorders>
              <w:tl2br w:val="nil"/>
              <w:tr2bl w:val="nil"/>
            </w:tcBorders>
            <w:shd w:val="clear" w:color="auto" w:fill="auto"/>
            <w:tcMar>
              <w:top w:w="0" w:type="dxa"/>
              <w:left w:w="17" w:type="dxa"/>
              <w:bottom w:w="0" w:type="dxa"/>
              <w:right w:w="17" w:type="dxa"/>
            </w:tcMar>
            <w:vAlign w:val="center"/>
          </w:tcPr>
          <w:p w14:paraId="3F2C70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r>
      <w:tr w14:paraId="4ABCF3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258" w:hRule="atLeast"/>
          <w:jc w:val="center"/>
        </w:trPr>
        <w:tc>
          <w:tcPr>
            <w:tcW w:w="285" w:type="pct"/>
            <w:vMerge w:val="restart"/>
            <w:tcBorders>
              <w:tl2br w:val="nil"/>
              <w:tr2bl w:val="nil"/>
            </w:tcBorders>
            <w:shd w:val="clear" w:color="auto" w:fill="auto"/>
            <w:tcMar>
              <w:top w:w="0" w:type="dxa"/>
              <w:left w:w="17" w:type="dxa"/>
              <w:bottom w:w="0" w:type="dxa"/>
              <w:right w:w="17" w:type="dxa"/>
            </w:tcMar>
            <w:vAlign w:val="center"/>
          </w:tcPr>
          <w:p w14:paraId="7E8690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第一天</w:t>
            </w:r>
          </w:p>
        </w:tc>
        <w:tc>
          <w:tcPr>
            <w:tcW w:w="239" w:type="pct"/>
            <w:tcBorders>
              <w:tl2br w:val="nil"/>
              <w:tr2bl w:val="nil"/>
            </w:tcBorders>
            <w:shd w:val="clear" w:color="auto" w:fill="auto"/>
            <w:tcMar>
              <w:top w:w="0" w:type="dxa"/>
              <w:left w:w="17" w:type="dxa"/>
              <w:bottom w:w="0" w:type="dxa"/>
              <w:right w:w="17" w:type="dxa"/>
            </w:tcMar>
            <w:vAlign w:val="center"/>
          </w:tcPr>
          <w:p w14:paraId="5F16CE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66B8A5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23359C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8</w:t>
            </w:r>
          </w:p>
        </w:tc>
        <w:tc>
          <w:tcPr>
            <w:tcW w:w="364" w:type="pct"/>
            <w:tcBorders>
              <w:tl2br w:val="nil"/>
              <w:tr2bl w:val="nil"/>
            </w:tcBorders>
            <w:shd w:val="clear" w:color="auto" w:fill="auto"/>
            <w:tcMar>
              <w:top w:w="0" w:type="dxa"/>
              <w:left w:w="17" w:type="dxa"/>
              <w:bottom w:w="0" w:type="dxa"/>
              <w:right w:w="17" w:type="dxa"/>
            </w:tcMar>
            <w:vAlign w:val="center"/>
          </w:tcPr>
          <w:p w14:paraId="36721F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59</w:t>
            </w:r>
          </w:p>
        </w:tc>
        <w:tc>
          <w:tcPr>
            <w:tcW w:w="364" w:type="pct"/>
            <w:tcBorders>
              <w:tl2br w:val="nil"/>
              <w:tr2bl w:val="nil"/>
            </w:tcBorders>
            <w:shd w:val="clear" w:color="auto" w:fill="auto"/>
            <w:tcMar>
              <w:top w:w="0" w:type="dxa"/>
              <w:left w:w="17" w:type="dxa"/>
              <w:bottom w:w="0" w:type="dxa"/>
              <w:right w:w="17" w:type="dxa"/>
            </w:tcMar>
            <w:vAlign w:val="center"/>
          </w:tcPr>
          <w:p w14:paraId="445DDA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08</w:t>
            </w:r>
          </w:p>
        </w:tc>
        <w:tc>
          <w:tcPr>
            <w:tcW w:w="365" w:type="pct"/>
            <w:tcBorders>
              <w:tl2br w:val="nil"/>
              <w:tr2bl w:val="nil"/>
            </w:tcBorders>
            <w:shd w:val="clear" w:color="auto" w:fill="auto"/>
            <w:tcMar>
              <w:top w:w="0" w:type="dxa"/>
              <w:left w:w="17" w:type="dxa"/>
              <w:bottom w:w="0" w:type="dxa"/>
              <w:right w:w="17" w:type="dxa"/>
            </w:tcMar>
            <w:vAlign w:val="center"/>
          </w:tcPr>
          <w:p w14:paraId="1C420D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1.4</w:t>
            </w:r>
          </w:p>
        </w:tc>
        <w:tc>
          <w:tcPr>
            <w:tcW w:w="316" w:type="pct"/>
            <w:tcBorders>
              <w:tl2br w:val="nil"/>
              <w:tr2bl w:val="nil"/>
            </w:tcBorders>
            <w:shd w:val="clear" w:color="auto" w:fill="auto"/>
            <w:tcMar>
              <w:top w:w="0" w:type="dxa"/>
              <w:left w:w="17" w:type="dxa"/>
              <w:bottom w:w="0" w:type="dxa"/>
              <w:right w:w="17" w:type="dxa"/>
            </w:tcMar>
            <w:vAlign w:val="center"/>
          </w:tcPr>
          <w:p w14:paraId="243A4E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9</w:t>
            </w:r>
          </w:p>
        </w:tc>
        <w:tc>
          <w:tcPr>
            <w:tcW w:w="312" w:type="pct"/>
            <w:tcBorders>
              <w:tl2br w:val="nil"/>
              <w:tr2bl w:val="nil"/>
            </w:tcBorders>
            <w:shd w:val="clear" w:color="auto" w:fill="auto"/>
            <w:tcMar>
              <w:top w:w="0" w:type="dxa"/>
              <w:left w:w="17" w:type="dxa"/>
              <w:bottom w:w="0" w:type="dxa"/>
              <w:right w:w="17" w:type="dxa"/>
            </w:tcMar>
            <w:vAlign w:val="center"/>
          </w:tcPr>
          <w:p w14:paraId="26EDE6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3EB230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759E09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63F9A3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1A8443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266A45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66BC57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r>
      <w:tr w14:paraId="0AE193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6DC41F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5E5187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49DA63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2C0942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12</w:t>
            </w:r>
          </w:p>
        </w:tc>
        <w:tc>
          <w:tcPr>
            <w:tcW w:w="364" w:type="pct"/>
            <w:tcBorders>
              <w:tl2br w:val="nil"/>
              <w:tr2bl w:val="nil"/>
            </w:tcBorders>
            <w:shd w:val="clear" w:color="auto" w:fill="auto"/>
            <w:tcMar>
              <w:top w:w="0" w:type="dxa"/>
              <w:left w:w="17" w:type="dxa"/>
              <w:bottom w:w="0" w:type="dxa"/>
              <w:right w:w="17" w:type="dxa"/>
            </w:tcMar>
            <w:vAlign w:val="center"/>
          </w:tcPr>
          <w:p w14:paraId="6A3F44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0.94</w:t>
            </w:r>
          </w:p>
        </w:tc>
        <w:tc>
          <w:tcPr>
            <w:tcW w:w="364" w:type="pct"/>
            <w:tcBorders>
              <w:tl2br w:val="nil"/>
              <w:tr2bl w:val="nil"/>
            </w:tcBorders>
            <w:shd w:val="clear" w:color="auto" w:fill="auto"/>
            <w:tcMar>
              <w:top w:w="0" w:type="dxa"/>
              <w:left w:w="17" w:type="dxa"/>
              <w:bottom w:w="0" w:type="dxa"/>
              <w:right w:w="17" w:type="dxa"/>
            </w:tcMar>
            <w:vAlign w:val="center"/>
          </w:tcPr>
          <w:p w14:paraId="220E4E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w:t>
            </w:r>
          </w:p>
        </w:tc>
        <w:tc>
          <w:tcPr>
            <w:tcW w:w="365" w:type="pct"/>
            <w:tcBorders>
              <w:tl2br w:val="nil"/>
              <w:tr2bl w:val="nil"/>
            </w:tcBorders>
            <w:shd w:val="clear" w:color="auto" w:fill="auto"/>
            <w:tcMar>
              <w:top w:w="0" w:type="dxa"/>
              <w:left w:w="17" w:type="dxa"/>
              <w:bottom w:w="0" w:type="dxa"/>
              <w:right w:w="17" w:type="dxa"/>
            </w:tcMar>
            <w:vAlign w:val="center"/>
          </w:tcPr>
          <w:p w14:paraId="4CCB41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2.3</w:t>
            </w:r>
          </w:p>
        </w:tc>
        <w:tc>
          <w:tcPr>
            <w:tcW w:w="316" w:type="pct"/>
            <w:tcBorders>
              <w:tl2br w:val="nil"/>
              <w:tr2bl w:val="nil"/>
            </w:tcBorders>
            <w:shd w:val="clear" w:color="auto" w:fill="auto"/>
            <w:tcMar>
              <w:top w:w="0" w:type="dxa"/>
              <w:left w:w="17" w:type="dxa"/>
              <w:bottom w:w="0" w:type="dxa"/>
              <w:right w:w="17" w:type="dxa"/>
            </w:tcMar>
            <w:vAlign w:val="center"/>
          </w:tcPr>
          <w:p w14:paraId="239AD0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w:t>
            </w:r>
          </w:p>
        </w:tc>
        <w:tc>
          <w:tcPr>
            <w:tcW w:w="312" w:type="pct"/>
            <w:tcBorders>
              <w:tl2br w:val="nil"/>
              <w:tr2bl w:val="nil"/>
            </w:tcBorders>
            <w:shd w:val="clear" w:color="auto" w:fill="auto"/>
            <w:tcMar>
              <w:top w:w="0" w:type="dxa"/>
              <w:left w:w="17" w:type="dxa"/>
              <w:bottom w:w="0" w:type="dxa"/>
              <w:right w:w="17" w:type="dxa"/>
            </w:tcMar>
            <w:vAlign w:val="center"/>
          </w:tcPr>
          <w:p w14:paraId="7A7A9B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732920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783B4D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582680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40F6A7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0F2B42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B7510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r>
      <w:tr w14:paraId="35E97A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4F5E7D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37EAE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72AF5A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7.3</w:t>
            </w:r>
          </w:p>
        </w:tc>
        <w:tc>
          <w:tcPr>
            <w:tcW w:w="311" w:type="pct"/>
            <w:tcBorders>
              <w:tl2br w:val="nil"/>
              <w:tr2bl w:val="nil"/>
            </w:tcBorders>
            <w:shd w:val="clear" w:color="auto" w:fill="auto"/>
            <w:tcMar>
              <w:top w:w="0" w:type="dxa"/>
              <w:left w:w="17" w:type="dxa"/>
              <w:bottom w:w="0" w:type="dxa"/>
              <w:right w:w="17" w:type="dxa"/>
            </w:tcMar>
            <w:vAlign w:val="center"/>
          </w:tcPr>
          <w:p w14:paraId="3C75666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9</w:t>
            </w:r>
          </w:p>
        </w:tc>
        <w:tc>
          <w:tcPr>
            <w:tcW w:w="364" w:type="pct"/>
            <w:tcBorders>
              <w:tl2br w:val="nil"/>
              <w:tr2bl w:val="nil"/>
            </w:tcBorders>
            <w:shd w:val="clear" w:color="auto" w:fill="auto"/>
            <w:tcMar>
              <w:top w:w="0" w:type="dxa"/>
              <w:left w:w="17" w:type="dxa"/>
              <w:bottom w:w="0" w:type="dxa"/>
              <w:right w:w="17" w:type="dxa"/>
            </w:tcMar>
            <w:vAlign w:val="center"/>
          </w:tcPr>
          <w:p w14:paraId="77376C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0.64</w:t>
            </w:r>
          </w:p>
        </w:tc>
        <w:tc>
          <w:tcPr>
            <w:tcW w:w="364" w:type="pct"/>
            <w:tcBorders>
              <w:tl2br w:val="nil"/>
              <w:tr2bl w:val="nil"/>
            </w:tcBorders>
            <w:shd w:val="clear" w:color="auto" w:fill="auto"/>
            <w:tcMar>
              <w:top w:w="0" w:type="dxa"/>
              <w:left w:w="17" w:type="dxa"/>
              <w:bottom w:w="0" w:type="dxa"/>
              <w:right w:w="17" w:type="dxa"/>
            </w:tcMar>
            <w:vAlign w:val="center"/>
          </w:tcPr>
          <w:p w14:paraId="6F7DC7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w:t>
            </w:r>
          </w:p>
        </w:tc>
        <w:tc>
          <w:tcPr>
            <w:tcW w:w="365" w:type="pct"/>
            <w:tcBorders>
              <w:tl2br w:val="nil"/>
              <w:tr2bl w:val="nil"/>
            </w:tcBorders>
            <w:shd w:val="clear" w:color="auto" w:fill="auto"/>
            <w:tcMar>
              <w:top w:w="0" w:type="dxa"/>
              <w:left w:w="17" w:type="dxa"/>
              <w:bottom w:w="0" w:type="dxa"/>
              <w:right w:w="17" w:type="dxa"/>
            </w:tcMar>
            <w:vAlign w:val="center"/>
          </w:tcPr>
          <w:p w14:paraId="664603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1.9</w:t>
            </w:r>
          </w:p>
        </w:tc>
        <w:tc>
          <w:tcPr>
            <w:tcW w:w="316" w:type="pct"/>
            <w:tcBorders>
              <w:tl2br w:val="nil"/>
              <w:tr2bl w:val="nil"/>
            </w:tcBorders>
            <w:shd w:val="clear" w:color="auto" w:fill="auto"/>
            <w:tcMar>
              <w:top w:w="0" w:type="dxa"/>
              <w:left w:w="17" w:type="dxa"/>
              <w:bottom w:w="0" w:type="dxa"/>
              <w:right w:w="17" w:type="dxa"/>
            </w:tcMar>
            <w:vAlign w:val="center"/>
          </w:tcPr>
          <w:p w14:paraId="436272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23</w:t>
            </w:r>
          </w:p>
        </w:tc>
        <w:tc>
          <w:tcPr>
            <w:tcW w:w="312" w:type="pct"/>
            <w:tcBorders>
              <w:tl2br w:val="nil"/>
              <w:tr2bl w:val="nil"/>
            </w:tcBorders>
            <w:shd w:val="clear" w:color="auto" w:fill="auto"/>
            <w:tcMar>
              <w:top w:w="0" w:type="dxa"/>
              <w:left w:w="17" w:type="dxa"/>
              <w:bottom w:w="0" w:type="dxa"/>
              <w:right w:w="17" w:type="dxa"/>
            </w:tcMar>
            <w:vAlign w:val="center"/>
          </w:tcPr>
          <w:p w14:paraId="022AB3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0B20EAB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01FD2F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780F9B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1BE39B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680847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9BA7F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r>
      <w:tr w14:paraId="131029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597639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2E5A80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7ACBE1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3FDA9A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14</w:t>
            </w:r>
          </w:p>
        </w:tc>
        <w:tc>
          <w:tcPr>
            <w:tcW w:w="364" w:type="pct"/>
            <w:tcBorders>
              <w:tl2br w:val="nil"/>
              <w:tr2bl w:val="nil"/>
            </w:tcBorders>
            <w:shd w:val="clear" w:color="auto" w:fill="auto"/>
            <w:tcMar>
              <w:top w:w="0" w:type="dxa"/>
              <w:left w:w="17" w:type="dxa"/>
              <w:bottom w:w="0" w:type="dxa"/>
              <w:right w:w="17" w:type="dxa"/>
            </w:tcMar>
            <w:vAlign w:val="center"/>
          </w:tcPr>
          <w:p w14:paraId="1ED8CA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0.92</w:t>
            </w:r>
          </w:p>
        </w:tc>
        <w:tc>
          <w:tcPr>
            <w:tcW w:w="364" w:type="pct"/>
            <w:tcBorders>
              <w:tl2br w:val="nil"/>
              <w:tr2bl w:val="nil"/>
            </w:tcBorders>
            <w:shd w:val="clear" w:color="auto" w:fill="auto"/>
            <w:tcMar>
              <w:top w:w="0" w:type="dxa"/>
              <w:left w:w="17" w:type="dxa"/>
              <w:bottom w:w="0" w:type="dxa"/>
              <w:right w:w="17" w:type="dxa"/>
            </w:tcMar>
            <w:vAlign w:val="center"/>
          </w:tcPr>
          <w:p w14:paraId="11A4E8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11</w:t>
            </w:r>
          </w:p>
        </w:tc>
        <w:tc>
          <w:tcPr>
            <w:tcW w:w="365" w:type="pct"/>
            <w:tcBorders>
              <w:tl2br w:val="nil"/>
              <w:tr2bl w:val="nil"/>
            </w:tcBorders>
            <w:shd w:val="clear" w:color="auto" w:fill="auto"/>
            <w:tcMar>
              <w:top w:w="0" w:type="dxa"/>
              <w:left w:w="17" w:type="dxa"/>
              <w:bottom w:w="0" w:type="dxa"/>
              <w:right w:w="17" w:type="dxa"/>
            </w:tcMar>
            <w:vAlign w:val="center"/>
          </w:tcPr>
          <w:p w14:paraId="10B403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2.9</w:t>
            </w:r>
          </w:p>
        </w:tc>
        <w:tc>
          <w:tcPr>
            <w:tcW w:w="316" w:type="pct"/>
            <w:tcBorders>
              <w:tl2br w:val="nil"/>
              <w:tr2bl w:val="nil"/>
            </w:tcBorders>
            <w:shd w:val="clear" w:color="auto" w:fill="auto"/>
            <w:tcMar>
              <w:top w:w="0" w:type="dxa"/>
              <w:left w:w="17" w:type="dxa"/>
              <w:bottom w:w="0" w:type="dxa"/>
              <w:right w:w="17" w:type="dxa"/>
            </w:tcMar>
            <w:vAlign w:val="center"/>
          </w:tcPr>
          <w:p w14:paraId="3407D4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16</w:t>
            </w:r>
          </w:p>
        </w:tc>
        <w:tc>
          <w:tcPr>
            <w:tcW w:w="312" w:type="pct"/>
            <w:tcBorders>
              <w:tl2br w:val="nil"/>
              <w:tr2bl w:val="nil"/>
            </w:tcBorders>
            <w:shd w:val="clear" w:color="auto" w:fill="auto"/>
            <w:tcMar>
              <w:top w:w="0" w:type="dxa"/>
              <w:left w:w="17" w:type="dxa"/>
              <w:bottom w:w="0" w:type="dxa"/>
              <w:right w:w="17" w:type="dxa"/>
            </w:tcMar>
            <w:vAlign w:val="center"/>
          </w:tcPr>
          <w:p w14:paraId="43BAE6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65" w:type="pct"/>
            <w:tcBorders>
              <w:tl2br w:val="nil"/>
              <w:tr2bl w:val="nil"/>
            </w:tcBorders>
            <w:shd w:val="clear" w:color="auto" w:fill="auto"/>
            <w:tcMar>
              <w:top w:w="0" w:type="dxa"/>
              <w:left w:w="17" w:type="dxa"/>
              <w:bottom w:w="0" w:type="dxa"/>
              <w:right w:w="17" w:type="dxa"/>
            </w:tcMar>
            <w:vAlign w:val="center"/>
          </w:tcPr>
          <w:p w14:paraId="309C58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59711D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3599B4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5BED71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4421F1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4E395C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r>
      <w:tr w14:paraId="3C061F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5C026C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384B8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6E8559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7E08AB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11</w:t>
            </w:r>
          </w:p>
        </w:tc>
        <w:tc>
          <w:tcPr>
            <w:tcW w:w="364" w:type="pct"/>
            <w:tcBorders>
              <w:tl2br w:val="nil"/>
              <w:tr2bl w:val="nil"/>
            </w:tcBorders>
            <w:shd w:val="clear" w:color="auto" w:fill="auto"/>
            <w:tcMar>
              <w:top w:w="0" w:type="dxa"/>
              <w:left w:w="17" w:type="dxa"/>
              <w:bottom w:w="0" w:type="dxa"/>
              <w:right w:w="17" w:type="dxa"/>
            </w:tcMar>
            <w:vAlign w:val="center"/>
          </w:tcPr>
          <w:p w14:paraId="3B6604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0.69</w:t>
            </w:r>
          </w:p>
        </w:tc>
        <w:tc>
          <w:tcPr>
            <w:tcW w:w="364" w:type="pct"/>
            <w:tcBorders>
              <w:tl2br w:val="nil"/>
              <w:tr2bl w:val="nil"/>
            </w:tcBorders>
            <w:shd w:val="clear" w:color="auto" w:fill="auto"/>
            <w:tcMar>
              <w:top w:w="0" w:type="dxa"/>
              <w:left w:w="17" w:type="dxa"/>
              <w:bottom w:w="0" w:type="dxa"/>
              <w:right w:w="17" w:type="dxa"/>
            </w:tcMar>
            <w:vAlign w:val="center"/>
          </w:tcPr>
          <w:p w14:paraId="143215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0.12</w:t>
            </w:r>
          </w:p>
        </w:tc>
        <w:tc>
          <w:tcPr>
            <w:tcW w:w="365" w:type="pct"/>
            <w:tcBorders>
              <w:tl2br w:val="nil"/>
              <w:tr2bl w:val="nil"/>
            </w:tcBorders>
            <w:shd w:val="clear" w:color="auto" w:fill="auto"/>
            <w:tcMar>
              <w:top w:w="0" w:type="dxa"/>
              <w:left w:w="17" w:type="dxa"/>
              <w:bottom w:w="0" w:type="dxa"/>
              <w:right w:w="17" w:type="dxa"/>
            </w:tcMar>
            <w:vAlign w:val="center"/>
          </w:tcPr>
          <w:p w14:paraId="06B820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2.2</w:t>
            </w:r>
          </w:p>
        </w:tc>
        <w:tc>
          <w:tcPr>
            <w:tcW w:w="316" w:type="pct"/>
            <w:tcBorders>
              <w:tl2br w:val="nil"/>
              <w:tr2bl w:val="nil"/>
            </w:tcBorders>
            <w:shd w:val="clear" w:color="auto" w:fill="auto"/>
            <w:tcMar>
              <w:top w:w="0" w:type="dxa"/>
              <w:left w:w="17" w:type="dxa"/>
              <w:bottom w:w="0" w:type="dxa"/>
              <w:right w:w="17" w:type="dxa"/>
            </w:tcMar>
            <w:vAlign w:val="center"/>
          </w:tcPr>
          <w:p w14:paraId="6EFF82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10</w:t>
            </w:r>
          </w:p>
        </w:tc>
        <w:tc>
          <w:tcPr>
            <w:tcW w:w="312" w:type="pct"/>
            <w:tcBorders>
              <w:tl2br w:val="nil"/>
              <w:tr2bl w:val="nil"/>
            </w:tcBorders>
            <w:shd w:val="clear" w:color="auto" w:fill="auto"/>
            <w:tcMar>
              <w:top w:w="0" w:type="dxa"/>
              <w:left w:w="17" w:type="dxa"/>
              <w:bottom w:w="0" w:type="dxa"/>
              <w:right w:w="17" w:type="dxa"/>
            </w:tcMar>
            <w:vAlign w:val="center"/>
          </w:tcPr>
          <w:p w14:paraId="6D653B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1D2D6C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24A0DC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651FB1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w:t>
            </w:r>
          </w:p>
        </w:tc>
        <w:tc>
          <w:tcPr>
            <w:tcW w:w="375" w:type="pct"/>
            <w:tcBorders>
              <w:tl2br w:val="nil"/>
              <w:tr2bl w:val="nil"/>
            </w:tcBorders>
            <w:shd w:val="clear" w:color="auto" w:fill="auto"/>
            <w:tcMar>
              <w:top w:w="0" w:type="dxa"/>
              <w:left w:w="17" w:type="dxa"/>
              <w:bottom w:w="0" w:type="dxa"/>
              <w:right w:w="17" w:type="dxa"/>
            </w:tcMar>
            <w:vAlign w:val="center"/>
          </w:tcPr>
          <w:p w14:paraId="79B185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3E8297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7EC792D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0.05L</w:t>
            </w:r>
          </w:p>
        </w:tc>
      </w:tr>
      <w:tr w14:paraId="0F7CE9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518075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CA2B6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6E2590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94787D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33F04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54C67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3E1EB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2BAB3BD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109898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A1CA87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85D0F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B132B4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759C21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859ED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468F01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53D989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4D7766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3B550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176A10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51ECE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0627A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54B56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E153F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D3C07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668348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AE6E3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49386C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694594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1C4DC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7A770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71F54DC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5F0095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B2128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6855B8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045CA6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1E20CB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B3C73E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19151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7F673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C5ED6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0380A0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674A2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6ACF1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BA24A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7CAA7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521AA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02007D7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42F80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2940F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DAFAEA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4A13AF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BDFD9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FCEEA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94FD6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0DB52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70788D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ADA32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F7B7B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705432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26151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EE2EB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C5139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7D7C9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62A5B2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34DF6D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72D29E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71D7FB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8F33E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FF4D1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93A03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B1662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7CDF4C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184F73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572F9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7B8BF4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501E7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A7C20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39019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4568DB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4B2A26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158" w:hRule="atLeast"/>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6B0496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12E46E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39EB585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22E9BA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F59CC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B4EDD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B1797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1880C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05B2CB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2CEB7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16957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64921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325FC2D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B6923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6BDAAC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165C8A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90" w:hRule="atLeast"/>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671C72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BC656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2C392A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215E0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E6F96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BBE82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31078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0BA9F0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F6A4C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A305A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E72BD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E341E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405082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5D560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31DAEB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3D75EE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62D1CF6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437DD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36A5D1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311" w:type="pct"/>
            <w:tcBorders>
              <w:tl2br w:val="nil"/>
              <w:tr2bl w:val="nil"/>
            </w:tcBorders>
            <w:shd w:val="clear" w:color="auto" w:fill="auto"/>
            <w:tcMar>
              <w:top w:w="0" w:type="dxa"/>
              <w:left w:w="17" w:type="dxa"/>
              <w:bottom w:w="0" w:type="dxa"/>
              <w:right w:w="17" w:type="dxa"/>
            </w:tcMar>
            <w:vAlign w:val="center"/>
          </w:tcPr>
          <w:p w14:paraId="4CADAB7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w:t>
            </w:r>
          </w:p>
        </w:tc>
        <w:tc>
          <w:tcPr>
            <w:tcW w:w="364" w:type="pct"/>
            <w:tcBorders>
              <w:tl2br w:val="nil"/>
              <w:tr2bl w:val="nil"/>
            </w:tcBorders>
            <w:shd w:val="clear" w:color="auto" w:fill="auto"/>
            <w:tcMar>
              <w:top w:w="0" w:type="dxa"/>
              <w:left w:w="17" w:type="dxa"/>
              <w:bottom w:w="0" w:type="dxa"/>
              <w:right w:w="17" w:type="dxa"/>
            </w:tcMar>
            <w:vAlign w:val="center"/>
          </w:tcPr>
          <w:p w14:paraId="029567B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08BD96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365" w:type="pct"/>
            <w:tcBorders>
              <w:tl2br w:val="nil"/>
              <w:tr2bl w:val="nil"/>
            </w:tcBorders>
            <w:shd w:val="clear" w:color="auto" w:fill="auto"/>
            <w:tcMar>
              <w:top w:w="0" w:type="dxa"/>
              <w:left w:w="17" w:type="dxa"/>
              <w:bottom w:w="0" w:type="dxa"/>
              <w:right w:w="17" w:type="dxa"/>
            </w:tcMar>
            <w:vAlign w:val="center"/>
          </w:tcPr>
          <w:p w14:paraId="4658F7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16" w:type="pct"/>
            <w:tcBorders>
              <w:tl2br w:val="nil"/>
              <w:tr2bl w:val="nil"/>
            </w:tcBorders>
            <w:shd w:val="clear" w:color="auto" w:fill="auto"/>
            <w:tcMar>
              <w:top w:w="0" w:type="dxa"/>
              <w:left w:w="17" w:type="dxa"/>
              <w:bottom w:w="0" w:type="dxa"/>
              <w:right w:w="17" w:type="dxa"/>
            </w:tcMar>
            <w:vAlign w:val="center"/>
          </w:tcPr>
          <w:p w14:paraId="641604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12" w:type="pct"/>
            <w:tcBorders>
              <w:tl2br w:val="nil"/>
              <w:tr2bl w:val="nil"/>
            </w:tcBorders>
            <w:shd w:val="clear" w:color="auto" w:fill="auto"/>
            <w:tcMar>
              <w:top w:w="0" w:type="dxa"/>
              <w:left w:w="17" w:type="dxa"/>
              <w:bottom w:w="0" w:type="dxa"/>
              <w:right w:w="17" w:type="dxa"/>
            </w:tcMar>
            <w:vAlign w:val="center"/>
          </w:tcPr>
          <w:p w14:paraId="553E577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65" w:type="pct"/>
            <w:tcBorders>
              <w:tl2br w:val="nil"/>
              <w:tr2bl w:val="nil"/>
            </w:tcBorders>
            <w:shd w:val="clear" w:color="auto" w:fill="auto"/>
            <w:tcMar>
              <w:top w:w="0" w:type="dxa"/>
              <w:left w:w="17" w:type="dxa"/>
              <w:bottom w:w="0" w:type="dxa"/>
              <w:right w:w="17" w:type="dxa"/>
            </w:tcMar>
            <w:vAlign w:val="center"/>
          </w:tcPr>
          <w:p w14:paraId="13413C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4" w:type="pct"/>
            <w:tcBorders>
              <w:tl2br w:val="nil"/>
              <w:tr2bl w:val="nil"/>
            </w:tcBorders>
            <w:shd w:val="clear" w:color="auto" w:fill="auto"/>
            <w:tcMar>
              <w:top w:w="0" w:type="dxa"/>
              <w:left w:w="17" w:type="dxa"/>
              <w:bottom w:w="0" w:type="dxa"/>
              <w:right w:w="17" w:type="dxa"/>
            </w:tcMar>
            <w:vAlign w:val="center"/>
          </w:tcPr>
          <w:p w14:paraId="76BC8E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20" w:type="pct"/>
            <w:tcBorders>
              <w:tl2br w:val="nil"/>
              <w:tr2bl w:val="nil"/>
            </w:tcBorders>
            <w:shd w:val="clear" w:color="auto" w:fill="auto"/>
            <w:tcMar>
              <w:top w:w="0" w:type="dxa"/>
              <w:left w:w="17" w:type="dxa"/>
              <w:bottom w:w="0" w:type="dxa"/>
              <w:right w:w="17" w:type="dxa"/>
            </w:tcMar>
            <w:vAlign w:val="center"/>
          </w:tcPr>
          <w:p w14:paraId="511B29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tcBorders>
              <w:tl2br w:val="nil"/>
              <w:tr2bl w:val="nil"/>
            </w:tcBorders>
            <w:shd w:val="clear" w:color="auto" w:fill="auto"/>
            <w:tcMar>
              <w:top w:w="0" w:type="dxa"/>
              <w:left w:w="17" w:type="dxa"/>
              <w:bottom w:w="0" w:type="dxa"/>
              <w:right w:w="17" w:type="dxa"/>
            </w:tcMar>
            <w:vAlign w:val="center"/>
          </w:tcPr>
          <w:p w14:paraId="043411A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20" w:type="pct"/>
            <w:tcBorders>
              <w:tl2br w:val="nil"/>
              <w:tr2bl w:val="nil"/>
            </w:tcBorders>
            <w:shd w:val="clear" w:color="auto" w:fill="auto"/>
            <w:tcMar>
              <w:top w:w="0" w:type="dxa"/>
              <w:left w:w="17" w:type="dxa"/>
              <w:bottom w:w="0" w:type="dxa"/>
              <w:right w:w="17" w:type="dxa"/>
            </w:tcMar>
            <w:vAlign w:val="center"/>
          </w:tcPr>
          <w:p w14:paraId="0FC2367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0.0001</w:t>
            </w:r>
          </w:p>
        </w:tc>
        <w:tc>
          <w:tcPr>
            <w:tcW w:w="320" w:type="pct"/>
            <w:tcBorders>
              <w:tl2br w:val="nil"/>
              <w:tr2bl w:val="nil"/>
            </w:tcBorders>
            <w:shd w:val="clear" w:color="auto" w:fill="auto"/>
            <w:tcMar>
              <w:top w:w="0" w:type="dxa"/>
              <w:left w:w="17" w:type="dxa"/>
              <w:bottom w:w="0" w:type="dxa"/>
              <w:right w:w="17" w:type="dxa"/>
            </w:tcMar>
            <w:vAlign w:val="center"/>
          </w:tcPr>
          <w:p w14:paraId="19ED1DD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r>
      <w:tr w14:paraId="7D627F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C0BC2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CE087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因子</w:t>
            </w:r>
          </w:p>
        </w:tc>
        <w:tc>
          <w:tcPr>
            <w:tcW w:w="364" w:type="pct"/>
            <w:tcBorders>
              <w:tl2br w:val="nil"/>
              <w:tr2bl w:val="nil"/>
            </w:tcBorders>
            <w:shd w:val="clear" w:color="auto" w:fill="auto"/>
            <w:tcMar>
              <w:top w:w="0" w:type="dxa"/>
              <w:left w:w="17" w:type="dxa"/>
              <w:bottom w:w="0" w:type="dxa"/>
              <w:right w:w="17" w:type="dxa"/>
            </w:tcMar>
            <w:vAlign w:val="center"/>
          </w:tcPr>
          <w:p w14:paraId="1839276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铜</w:t>
            </w:r>
          </w:p>
        </w:tc>
        <w:tc>
          <w:tcPr>
            <w:tcW w:w="311" w:type="pct"/>
            <w:tcBorders>
              <w:tl2br w:val="nil"/>
              <w:tr2bl w:val="nil"/>
            </w:tcBorders>
            <w:shd w:val="clear" w:color="auto" w:fill="auto"/>
            <w:tcMar>
              <w:top w:w="0" w:type="dxa"/>
              <w:left w:w="17" w:type="dxa"/>
              <w:bottom w:w="0" w:type="dxa"/>
              <w:right w:w="17" w:type="dxa"/>
            </w:tcMar>
            <w:vAlign w:val="center"/>
          </w:tcPr>
          <w:p w14:paraId="58F616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镍</w:t>
            </w:r>
          </w:p>
        </w:tc>
        <w:tc>
          <w:tcPr>
            <w:tcW w:w="364" w:type="pct"/>
            <w:tcBorders>
              <w:tl2br w:val="nil"/>
              <w:tr2bl w:val="nil"/>
            </w:tcBorders>
            <w:shd w:val="clear" w:color="auto" w:fill="auto"/>
            <w:tcMar>
              <w:top w:w="0" w:type="dxa"/>
              <w:left w:w="17" w:type="dxa"/>
              <w:bottom w:w="0" w:type="dxa"/>
              <w:right w:w="17" w:type="dxa"/>
            </w:tcMar>
            <w:vAlign w:val="center"/>
          </w:tcPr>
          <w:p w14:paraId="406BD17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64" w:type="pct"/>
            <w:tcBorders>
              <w:tl2br w:val="nil"/>
              <w:tr2bl w:val="nil"/>
            </w:tcBorders>
            <w:shd w:val="clear" w:color="auto" w:fill="auto"/>
            <w:tcMar>
              <w:top w:w="0" w:type="dxa"/>
              <w:left w:w="17" w:type="dxa"/>
              <w:bottom w:w="0" w:type="dxa"/>
              <w:right w:w="17" w:type="dxa"/>
            </w:tcMar>
            <w:vAlign w:val="center"/>
          </w:tcPr>
          <w:p w14:paraId="117DC93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汞</w:t>
            </w:r>
          </w:p>
        </w:tc>
        <w:tc>
          <w:tcPr>
            <w:tcW w:w="365" w:type="pct"/>
            <w:tcBorders>
              <w:tl2br w:val="nil"/>
              <w:tr2bl w:val="nil"/>
            </w:tcBorders>
            <w:shd w:val="clear" w:color="auto" w:fill="auto"/>
            <w:tcMar>
              <w:top w:w="0" w:type="dxa"/>
              <w:left w:w="17" w:type="dxa"/>
              <w:bottom w:w="0" w:type="dxa"/>
              <w:right w:w="17" w:type="dxa"/>
            </w:tcMar>
            <w:vAlign w:val="center"/>
          </w:tcPr>
          <w:p w14:paraId="417014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砷</w:t>
            </w:r>
          </w:p>
        </w:tc>
        <w:tc>
          <w:tcPr>
            <w:tcW w:w="316" w:type="pct"/>
            <w:tcBorders>
              <w:tl2br w:val="nil"/>
              <w:tr2bl w:val="nil"/>
            </w:tcBorders>
            <w:shd w:val="clear" w:color="auto" w:fill="auto"/>
            <w:tcMar>
              <w:top w:w="0" w:type="dxa"/>
              <w:left w:w="17" w:type="dxa"/>
              <w:bottom w:w="0" w:type="dxa"/>
              <w:right w:w="17" w:type="dxa"/>
            </w:tcMar>
            <w:vAlign w:val="center"/>
          </w:tcPr>
          <w:p w14:paraId="0B41A5AD">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锑</w:t>
            </w:r>
          </w:p>
        </w:tc>
        <w:tc>
          <w:tcPr>
            <w:tcW w:w="312" w:type="pct"/>
            <w:tcBorders>
              <w:tl2br w:val="nil"/>
              <w:tr2bl w:val="nil"/>
            </w:tcBorders>
            <w:shd w:val="clear" w:color="auto" w:fill="auto"/>
            <w:tcMar>
              <w:top w:w="0" w:type="dxa"/>
              <w:left w:w="17" w:type="dxa"/>
              <w:bottom w:w="0" w:type="dxa"/>
              <w:right w:w="17" w:type="dxa"/>
            </w:tcMar>
            <w:vAlign w:val="center"/>
          </w:tcPr>
          <w:p w14:paraId="5CB6F0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硒</w:t>
            </w:r>
          </w:p>
        </w:tc>
        <w:tc>
          <w:tcPr>
            <w:tcW w:w="365" w:type="pct"/>
            <w:tcBorders>
              <w:tl2br w:val="nil"/>
              <w:tr2bl w:val="nil"/>
            </w:tcBorders>
            <w:shd w:val="clear" w:color="auto" w:fill="auto"/>
            <w:tcMar>
              <w:top w:w="0" w:type="dxa"/>
              <w:left w:w="17" w:type="dxa"/>
              <w:bottom w:w="0" w:type="dxa"/>
              <w:right w:w="17" w:type="dxa"/>
            </w:tcMar>
            <w:vAlign w:val="center"/>
          </w:tcPr>
          <w:p w14:paraId="6377D22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氟化物</w:t>
            </w:r>
          </w:p>
        </w:tc>
        <w:tc>
          <w:tcPr>
            <w:tcW w:w="374" w:type="pct"/>
            <w:tcBorders>
              <w:tl2br w:val="nil"/>
              <w:tr2bl w:val="nil"/>
            </w:tcBorders>
            <w:shd w:val="clear" w:color="auto" w:fill="auto"/>
            <w:tcMar>
              <w:top w:w="0" w:type="dxa"/>
              <w:left w:w="17" w:type="dxa"/>
              <w:bottom w:w="0" w:type="dxa"/>
              <w:right w:w="17" w:type="dxa"/>
            </w:tcMar>
            <w:vAlign w:val="center"/>
          </w:tcPr>
          <w:p w14:paraId="72E39C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320" w:type="pct"/>
            <w:tcBorders>
              <w:tl2br w:val="nil"/>
              <w:tr2bl w:val="nil"/>
            </w:tcBorders>
            <w:shd w:val="clear" w:color="auto" w:fill="auto"/>
            <w:tcMar>
              <w:top w:w="0" w:type="dxa"/>
              <w:left w:w="17" w:type="dxa"/>
              <w:bottom w:w="0" w:type="dxa"/>
              <w:right w:w="17" w:type="dxa"/>
            </w:tcMar>
            <w:vAlign w:val="center"/>
          </w:tcPr>
          <w:p w14:paraId="33B00B0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银</w:t>
            </w:r>
          </w:p>
        </w:tc>
        <w:tc>
          <w:tcPr>
            <w:tcW w:w="375" w:type="pct"/>
            <w:tcBorders>
              <w:tl2br w:val="nil"/>
              <w:tr2bl w:val="nil"/>
            </w:tcBorders>
            <w:shd w:val="clear" w:color="auto" w:fill="auto"/>
            <w:tcMar>
              <w:top w:w="0" w:type="dxa"/>
              <w:left w:w="17" w:type="dxa"/>
              <w:bottom w:w="0" w:type="dxa"/>
              <w:right w:w="17" w:type="dxa"/>
            </w:tcMar>
            <w:vAlign w:val="center"/>
          </w:tcPr>
          <w:p w14:paraId="6901C01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钒</w:t>
            </w:r>
          </w:p>
        </w:tc>
        <w:tc>
          <w:tcPr>
            <w:tcW w:w="320" w:type="pct"/>
            <w:tcBorders>
              <w:tl2br w:val="nil"/>
              <w:tr2bl w:val="nil"/>
            </w:tcBorders>
            <w:shd w:val="clear" w:color="auto" w:fill="auto"/>
            <w:tcMar>
              <w:top w:w="0" w:type="dxa"/>
              <w:left w:w="17" w:type="dxa"/>
              <w:bottom w:w="0" w:type="dxa"/>
              <w:right w:w="17" w:type="dxa"/>
            </w:tcMar>
            <w:vAlign w:val="center"/>
          </w:tcPr>
          <w:p w14:paraId="7D644E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07B30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77FDF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090B4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0E279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46B9C76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41F2A5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799A86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2CB449E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377E63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16" w:type="pct"/>
            <w:tcBorders>
              <w:tl2br w:val="nil"/>
              <w:tr2bl w:val="nil"/>
            </w:tcBorders>
            <w:shd w:val="clear" w:color="auto" w:fill="auto"/>
            <w:tcMar>
              <w:top w:w="0" w:type="dxa"/>
              <w:left w:w="17" w:type="dxa"/>
              <w:bottom w:w="0" w:type="dxa"/>
              <w:right w:w="17" w:type="dxa"/>
            </w:tcMar>
            <w:vAlign w:val="center"/>
          </w:tcPr>
          <w:p w14:paraId="7D13E107">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602</w:t>
            </w:r>
          </w:p>
        </w:tc>
        <w:tc>
          <w:tcPr>
            <w:tcW w:w="312" w:type="pct"/>
            <w:tcBorders>
              <w:tl2br w:val="nil"/>
              <w:tr2bl w:val="nil"/>
            </w:tcBorders>
            <w:shd w:val="clear" w:color="auto" w:fill="auto"/>
            <w:tcMar>
              <w:top w:w="0" w:type="dxa"/>
              <w:left w:w="17" w:type="dxa"/>
              <w:bottom w:w="0" w:type="dxa"/>
              <w:right w:w="17" w:type="dxa"/>
            </w:tcMar>
            <w:vAlign w:val="center"/>
          </w:tcPr>
          <w:p w14:paraId="523D37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0F6FBF7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0.33</w:t>
            </w:r>
          </w:p>
        </w:tc>
        <w:tc>
          <w:tcPr>
            <w:tcW w:w="374" w:type="pct"/>
            <w:tcBorders>
              <w:tl2br w:val="nil"/>
              <w:tr2bl w:val="nil"/>
            </w:tcBorders>
            <w:shd w:val="clear" w:color="auto" w:fill="auto"/>
            <w:tcMar>
              <w:top w:w="0" w:type="dxa"/>
              <w:left w:w="17" w:type="dxa"/>
              <w:bottom w:w="0" w:type="dxa"/>
              <w:right w:w="17" w:type="dxa"/>
            </w:tcMar>
            <w:vAlign w:val="center"/>
          </w:tcPr>
          <w:p w14:paraId="57474A6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55CCDCA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5A1F34D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0.000038L</w:t>
            </w:r>
          </w:p>
        </w:tc>
        <w:tc>
          <w:tcPr>
            <w:tcW w:w="320" w:type="pct"/>
            <w:tcBorders>
              <w:tl2br w:val="nil"/>
              <w:tr2bl w:val="nil"/>
            </w:tcBorders>
            <w:shd w:val="clear" w:color="auto" w:fill="auto"/>
            <w:tcMar>
              <w:top w:w="0" w:type="dxa"/>
              <w:left w:w="17" w:type="dxa"/>
              <w:bottom w:w="0" w:type="dxa"/>
              <w:right w:w="17" w:type="dxa"/>
            </w:tcMar>
            <w:vAlign w:val="center"/>
          </w:tcPr>
          <w:p w14:paraId="511F377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F99B7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7AA857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33271A4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5F275A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6403CA9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64C99C0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1A52C9C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5C6472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624E511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0.0024</w:t>
            </w:r>
          </w:p>
        </w:tc>
        <w:tc>
          <w:tcPr>
            <w:tcW w:w="316" w:type="pct"/>
            <w:tcBorders>
              <w:tl2br w:val="nil"/>
              <w:tr2bl w:val="nil"/>
            </w:tcBorders>
            <w:shd w:val="clear" w:color="auto" w:fill="auto"/>
            <w:tcMar>
              <w:top w:w="0" w:type="dxa"/>
              <w:left w:w="17" w:type="dxa"/>
              <w:bottom w:w="0" w:type="dxa"/>
              <w:right w:w="17" w:type="dxa"/>
            </w:tcMar>
            <w:vAlign w:val="center"/>
          </w:tcPr>
          <w:p w14:paraId="42E0BBD9">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0.2</w:t>
            </w:r>
          </w:p>
        </w:tc>
        <w:tc>
          <w:tcPr>
            <w:tcW w:w="312" w:type="pct"/>
            <w:tcBorders>
              <w:tl2br w:val="nil"/>
              <w:tr2bl w:val="nil"/>
            </w:tcBorders>
            <w:shd w:val="clear" w:color="auto" w:fill="auto"/>
            <w:tcMar>
              <w:top w:w="0" w:type="dxa"/>
              <w:left w:w="17" w:type="dxa"/>
              <w:bottom w:w="0" w:type="dxa"/>
              <w:right w:w="17" w:type="dxa"/>
            </w:tcMar>
            <w:vAlign w:val="center"/>
          </w:tcPr>
          <w:p w14:paraId="62DC434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51DBCFF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0.48</w:t>
            </w:r>
          </w:p>
        </w:tc>
        <w:tc>
          <w:tcPr>
            <w:tcW w:w="374" w:type="pct"/>
            <w:tcBorders>
              <w:tl2br w:val="nil"/>
              <w:tr2bl w:val="nil"/>
            </w:tcBorders>
            <w:shd w:val="clear" w:color="auto" w:fill="auto"/>
            <w:tcMar>
              <w:top w:w="0" w:type="dxa"/>
              <w:left w:w="17" w:type="dxa"/>
              <w:bottom w:w="0" w:type="dxa"/>
              <w:right w:w="17" w:type="dxa"/>
            </w:tcMar>
            <w:vAlign w:val="center"/>
          </w:tcPr>
          <w:p w14:paraId="65C13A1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43690EE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57F4AE6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0.000038L</w:t>
            </w:r>
          </w:p>
        </w:tc>
        <w:tc>
          <w:tcPr>
            <w:tcW w:w="320" w:type="pct"/>
            <w:tcBorders>
              <w:tl2br w:val="nil"/>
              <w:tr2bl w:val="nil"/>
            </w:tcBorders>
            <w:shd w:val="clear" w:color="auto" w:fill="auto"/>
            <w:tcMar>
              <w:top w:w="0" w:type="dxa"/>
              <w:left w:w="17" w:type="dxa"/>
              <w:bottom w:w="0" w:type="dxa"/>
              <w:right w:w="17" w:type="dxa"/>
            </w:tcMar>
            <w:vAlign w:val="center"/>
          </w:tcPr>
          <w:p w14:paraId="0B49D6C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75455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7554D2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421023F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F2D98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361064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0AA3C61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7648A5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44EC518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45708C6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16" w:type="pct"/>
            <w:tcBorders>
              <w:tl2br w:val="nil"/>
              <w:tr2bl w:val="nil"/>
            </w:tcBorders>
            <w:shd w:val="clear" w:color="auto" w:fill="auto"/>
            <w:tcMar>
              <w:top w:w="0" w:type="dxa"/>
              <w:left w:w="17" w:type="dxa"/>
              <w:bottom w:w="0" w:type="dxa"/>
              <w:right w:w="17" w:type="dxa"/>
            </w:tcMar>
            <w:vAlign w:val="center"/>
          </w:tcPr>
          <w:p w14:paraId="523BAC38">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0.0128</w:t>
            </w:r>
          </w:p>
        </w:tc>
        <w:tc>
          <w:tcPr>
            <w:tcW w:w="312" w:type="pct"/>
            <w:tcBorders>
              <w:tl2br w:val="nil"/>
              <w:tr2bl w:val="nil"/>
            </w:tcBorders>
            <w:shd w:val="clear" w:color="auto" w:fill="auto"/>
            <w:tcMar>
              <w:top w:w="0" w:type="dxa"/>
              <w:left w:w="17" w:type="dxa"/>
              <w:bottom w:w="0" w:type="dxa"/>
              <w:right w:w="17" w:type="dxa"/>
            </w:tcMar>
            <w:vAlign w:val="center"/>
          </w:tcPr>
          <w:p w14:paraId="41FC2C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20786D9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0.24</w:t>
            </w:r>
          </w:p>
        </w:tc>
        <w:tc>
          <w:tcPr>
            <w:tcW w:w="374" w:type="pct"/>
            <w:tcBorders>
              <w:tl2br w:val="nil"/>
              <w:tr2bl w:val="nil"/>
            </w:tcBorders>
            <w:shd w:val="clear" w:color="auto" w:fill="auto"/>
            <w:tcMar>
              <w:top w:w="0" w:type="dxa"/>
              <w:left w:w="17" w:type="dxa"/>
              <w:bottom w:w="0" w:type="dxa"/>
              <w:right w:w="17" w:type="dxa"/>
            </w:tcMar>
            <w:vAlign w:val="center"/>
          </w:tcPr>
          <w:p w14:paraId="4C0DFD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333DFB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631FD7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0.00024</w:t>
            </w:r>
          </w:p>
        </w:tc>
        <w:tc>
          <w:tcPr>
            <w:tcW w:w="320" w:type="pct"/>
            <w:tcBorders>
              <w:tl2br w:val="nil"/>
              <w:tr2bl w:val="nil"/>
            </w:tcBorders>
            <w:shd w:val="clear" w:color="auto" w:fill="auto"/>
            <w:tcMar>
              <w:top w:w="0" w:type="dxa"/>
              <w:left w:w="17" w:type="dxa"/>
              <w:bottom w:w="0" w:type="dxa"/>
              <w:right w:w="17" w:type="dxa"/>
            </w:tcMar>
            <w:vAlign w:val="center"/>
          </w:tcPr>
          <w:p w14:paraId="44548A7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0DB82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5F38AC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62754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5DFED1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7446B38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0283B78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143FA2E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1B0CB1A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1BD623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w:t>
            </w:r>
          </w:p>
        </w:tc>
        <w:tc>
          <w:tcPr>
            <w:tcW w:w="316" w:type="pct"/>
            <w:tcBorders>
              <w:tl2br w:val="nil"/>
              <w:tr2bl w:val="nil"/>
            </w:tcBorders>
            <w:shd w:val="clear" w:color="auto" w:fill="auto"/>
            <w:tcMar>
              <w:top w:w="0" w:type="dxa"/>
              <w:left w:w="17" w:type="dxa"/>
              <w:bottom w:w="0" w:type="dxa"/>
              <w:right w:w="17" w:type="dxa"/>
            </w:tcMar>
            <w:vAlign w:val="center"/>
          </w:tcPr>
          <w:p w14:paraId="2B54D72B">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0.0895</w:t>
            </w:r>
          </w:p>
        </w:tc>
        <w:tc>
          <w:tcPr>
            <w:tcW w:w="312" w:type="pct"/>
            <w:tcBorders>
              <w:tl2br w:val="nil"/>
              <w:tr2bl w:val="nil"/>
            </w:tcBorders>
            <w:shd w:val="clear" w:color="auto" w:fill="auto"/>
            <w:tcMar>
              <w:top w:w="0" w:type="dxa"/>
              <w:left w:w="17" w:type="dxa"/>
              <w:bottom w:w="0" w:type="dxa"/>
              <w:right w:w="17" w:type="dxa"/>
            </w:tcMar>
            <w:vAlign w:val="center"/>
          </w:tcPr>
          <w:p w14:paraId="1FF608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3861659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0.44</w:t>
            </w:r>
          </w:p>
        </w:tc>
        <w:tc>
          <w:tcPr>
            <w:tcW w:w="374" w:type="pct"/>
            <w:tcBorders>
              <w:tl2br w:val="nil"/>
              <w:tr2bl w:val="nil"/>
            </w:tcBorders>
            <w:shd w:val="clear" w:color="auto" w:fill="auto"/>
            <w:tcMar>
              <w:top w:w="0" w:type="dxa"/>
              <w:left w:w="17" w:type="dxa"/>
              <w:bottom w:w="0" w:type="dxa"/>
              <w:right w:w="17" w:type="dxa"/>
            </w:tcMar>
            <w:vAlign w:val="center"/>
          </w:tcPr>
          <w:p w14:paraId="1D449C4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5E558DF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2839C3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0.00011</w:t>
            </w:r>
          </w:p>
        </w:tc>
        <w:tc>
          <w:tcPr>
            <w:tcW w:w="320" w:type="pct"/>
            <w:tcBorders>
              <w:tl2br w:val="nil"/>
              <w:tr2bl w:val="nil"/>
            </w:tcBorders>
            <w:shd w:val="clear" w:color="auto" w:fill="auto"/>
            <w:tcMar>
              <w:top w:w="0" w:type="dxa"/>
              <w:left w:w="17" w:type="dxa"/>
              <w:bottom w:w="0" w:type="dxa"/>
              <w:right w:w="17" w:type="dxa"/>
            </w:tcMar>
            <w:vAlign w:val="center"/>
          </w:tcPr>
          <w:p w14:paraId="47EE4CF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0FB1E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74CDFA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74184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D9F602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5D6E5A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3B2EB02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6361F16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714078D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3112BB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16" w:type="pct"/>
            <w:tcBorders>
              <w:tl2br w:val="nil"/>
              <w:tr2bl w:val="nil"/>
            </w:tcBorders>
            <w:shd w:val="clear" w:color="auto" w:fill="auto"/>
            <w:tcMar>
              <w:top w:w="0" w:type="dxa"/>
              <w:left w:w="17" w:type="dxa"/>
              <w:bottom w:w="0" w:type="dxa"/>
              <w:right w:w="17" w:type="dxa"/>
            </w:tcMar>
            <w:vAlign w:val="center"/>
          </w:tcPr>
          <w:p w14:paraId="1B9920A2">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0.0989</w:t>
            </w:r>
          </w:p>
        </w:tc>
        <w:tc>
          <w:tcPr>
            <w:tcW w:w="312" w:type="pct"/>
            <w:tcBorders>
              <w:tl2br w:val="nil"/>
              <w:tr2bl w:val="nil"/>
            </w:tcBorders>
            <w:shd w:val="clear" w:color="auto" w:fill="auto"/>
            <w:tcMar>
              <w:top w:w="0" w:type="dxa"/>
              <w:left w:w="17" w:type="dxa"/>
              <w:bottom w:w="0" w:type="dxa"/>
              <w:right w:w="17" w:type="dxa"/>
            </w:tcMar>
            <w:vAlign w:val="center"/>
          </w:tcPr>
          <w:p w14:paraId="4E52333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30D915B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0.44</w:t>
            </w:r>
          </w:p>
        </w:tc>
        <w:tc>
          <w:tcPr>
            <w:tcW w:w="374" w:type="pct"/>
            <w:tcBorders>
              <w:tl2br w:val="nil"/>
              <w:tr2bl w:val="nil"/>
            </w:tcBorders>
            <w:shd w:val="clear" w:color="auto" w:fill="auto"/>
            <w:tcMar>
              <w:top w:w="0" w:type="dxa"/>
              <w:left w:w="17" w:type="dxa"/>
              <w:bottom w:w="0" w:type="dxa"/>
              <w:right w:w="17" w:type="dxa"/>
            </w:tcMar>
            <w:vAlign w:val="center"/>
          </w:tcPr>
          <w:p w14:paraId="10E09B7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195EA5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056527B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0.000038L</w:t>
            </w:r>
          </w:p>
        </w:tc>
        <w:tc>
          <w:tcPr>
            <w:tcW w:w="320" w:type="pct"/>
            <w:tcBorders>
              <w:tl2br w:val="nil"/>
              <w:tr2bl w:val="nil"/>
            </w:tcBorders>
            <w:shd w:val="clear" w:color="auto" w:fill="auto"/>
            <w:tcMar>
              <w:top w:w="0" w:type="dxa"/>
              <w:left w:w="17" w:type="dxa"/>
              <w:bottom w:w="0" w:type="dxa"/>
              <w:right w:w="17" w:type="dxa"/>
            </w:tcMar>
            <w:vAlign w:val="center"/>
          </w:tcPr>
          <w:p w14:paraId="4CB092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98AF3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304B0A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6E6192D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00A32FC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2DFD19E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C439AE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59D537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521D0A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0314B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06D419D">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0.0327</w:t>
            </w:r>
          </w:p>
        </w:tc>
        <w:tc>
          <w:tcPr>
            <w:tcW w:w="312" w:type="pct"/>
            <w:tcBorders>
              <w:tl2br w:val="nil"/>
              <w:tr2bl w:val="nil"/>
            </w:tcBorders>
            <w:shd w:val="clear" w:color="auto" w:fill="auto"/>
            <w:tcMar>
              <w:top w:w="0" w:type="dxa"/>
              <w:left w:w="17" w:type="dxa"/>
              <w:bottom w:w="0" w:type="dxa"/>
              <w:right w:w="17" w:type="dxa"/>
            </w:tcMar>
            <w:vAlign w:val="center"/>
          </w:tcPr>
          <w:p w14:paraId="7E18FF4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3D9A5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B73AC6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A247D7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8E808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B677CA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968071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487B1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7ABE6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C4418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57CE7E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FCA5EF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7E7123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50147E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E3C3B5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2C8DDC9">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0.151</w:t>
            </w:r>
          </w:p>
        </w:tc>
        <w:tc>
          <w:tcPr>
            <w:tcW w:w="312" w:type="pct"/>
            <w:tcBorders>
              <w:tl2br w:val="nil"/>
              <w:tr2bl w:val="nil"/>
            </w:tcBorders>
            <w:shd w:val="clear" w:color="auto" w:fill="auto"/>
            <w:tcMar>
              <w:top w:w="0" w:type="dxa"/>
              <w:left w:w="17" w:type="dxa"/>
              <w:bottom w:w="0" w:type="dxa"/>
              <w:right w:w="17" w:type="dxa"/>
            </w:tcMar>
            <w:vAlign w:val="center"/>
          </w:tcPr>
          <w:p w14:paraId="3E5DFA5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33E9F6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F6E123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6E2B78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B2B814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8C1533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BC5DEC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CD8F9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B18707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6D810F4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34C4097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E087E5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2CA7A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33DD8E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4C26D9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112A385">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0.0175</w:t>
            </w:r>
          </w:p>
        </w:tc>
        <w:tc>
          <w:tcPr>
            <w:tcW w:w="312" w:type="pct"/>
            <w:tcBorders>
              <w:tl2br w:val="nil"/>
              <w:tr2bl w:val="nil"/>
            </w:tcBorders>
            <w:shd w:val="clear" w:color="auto" w:fill="auto"/>
            <w:tcMar>
              <w:top w:w="0" w:type="dxa"/>
              <w:left w:w="17" w:type="dxa"/>
              <w:bottom w:w="0" w:type="dxa"/>
              <w:right w:w="17" w:type="dxa"/>
            </w:tcMar>
            <w:vAlign w:val="center"/>
          </w:tcPr>
          <w:p w14:paraId="171E27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4C066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165AE2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B2E920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44FAF80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914E6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D75F8A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B2B6B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74C56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077880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2855798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68DA757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0BE61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53B35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AD4704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296BABD1">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0.0277</w:t>
            </w:r>
          </w:p>
        </w:tc>
        <w:tc>
          <w:tcPr>
            <w:tcW w:w="312" w:type="pct"/>
            <w:tcBorders>
              <w:tl2br w:val="nil"/>
              <w:tr2bl w:val="nil"/>
            </w:tcBorders>
            <w:shd w:val="clear" w:color="auto" w:fill="auto"/>
            <w:tcMar>
              <w:top w:w="0" w:type="dxa"/>
              <w:left w:w="17" w:type="dxa"/>
              <w:bottom w:w="0" w:type="dxa"/>
              <w:right w:w="17" w:type="dxa"/>
            </w:tcMar>
            <w:vAlign w:val="center"/>
          </w:tcPr>
          <w:p w14:paraId="44CBB5E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F1CDE7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6217E3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08E5B0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4B276D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D196DC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4153A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7CFB3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AB9A2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C2C166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4BF800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0418E1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CABE0F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EAA92C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D75F3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0E34BCBE">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0.0043</w:t>
            </w:r>
          </w:p>
        </w:tc>
        <w:tc>
          <w:tcPr>
            <w:tcW w:w="312" w:type="pct"/>
            <w:tcBorders>
              <w:tl2br w:val="nil"/>
              <w:tr2bl w:val="nil"/>
            </w:tcBorders>
            <w:shd w:val="clear" w:color="auto" w:fill="auto"/>
            <w:tcMar>
              <w:top w:w="0" w:type="dxa"/>
              <w:left w:w="17" w:type="dxa"/>
              <w:bottom w:w="0" w:type="dxa"/>
              <w:right w:w="17" w:type="dxa"/>
            </w:tcMar>
            <w:vAlign w:val="center"/>
          </w:tcPr>
          <w:p w14:paraId="67366B9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7A776E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43616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61A31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551859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412C7E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7596E0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48E21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65BF80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258B2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3DB6B07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A4000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BED15B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B56B0E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D6AA3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77D9491">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0.0037</w:t>
            </w:r>
          </w:p>
        </w:tc>
        <w:tc>
          <w:tcPr>
            <w:tcW w:w="312" w:type="pct"/>
            <w:tcBorders>
              <w:tl2br w:val="nil"/>
              <w:tr2bl w:val="nil"/>
            </w:tcBorders>
            <w:shd w:val="clear" w:color="auto" w:fill="auto"/>
            <w:tcMar>
              <w:top w:w="0" w:type="dxa"/>
              <w:left w:w="17" w:type="dxa"/>
              <w:bottom w:w="0" w:type="dxa"/>
              <w:right w:w="17" w:type="dxa"/>
            </w:tcMar>
            <w:vAlign w:val="center"/>
          </w:tcPr>
          <w:p w14:paraId="41A286E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B32B3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A3416C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79951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32357FC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5C4D8C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DA207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79B56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A8CE7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62BC005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51D5655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0F2BA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4E27B7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EB7870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3E3ADD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5D1C220">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0.0034</w:t>
            </w:r>
          </w:p>
        </w:tc>
        <w:tc>
          <w:tcPr>
            <w:tcW w:w="312" w:type="pct"/>
            <w:tcBorders>
              <w:tl2br w:val="nil"/>
              <w:tr2bl w:val="nil"/>
            </w:tcBorders>
            <w:shd w:val="clear" w:color="auto" w:fill="auto"/>
            <w:tcMar>
              <w:top w:w="0" w:type="dxa"/>
              <w:left w:w="17" w:type="dxa"/>
              <w:bottom w:w="0" w:type="dxa"/>
              <w:right w:w="17" w:type="dxa"/>
            </w:tcMar>
            <w:vAlign w:val="center"/>
          </w:tcPr>
          <w:p w14:paraId="2825F88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2CF28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59344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29602F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3C3629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6D748F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562701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62C3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917BD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608A45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579005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11" w:type="pct"/>
            <w:tcBorders>
              <w:tl2br w:val="nil"/>
              <w:tr2bl w:val="nil"/>
            </w:tcBorders>
            <w:shd w:val="clear" w:color="auto" w:fill="auto"/>
            <w:tcMar>
              <w:top w:w="0" w:type="dxa"/>
              <w:left w:w="17" w:type="dxa"/>
              <w:bottom w:w="0" w:type="dxa"/>
              <w:right w:w="17" w:type="dxa"/>
            </w:tcMar>
            <w:vAlign w:val="center"/>
          </w:tcPr>
          <w:p w14:paraId="295C1C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364" w:type="pct"/>
            <w:tcBorders>
              <w:tl2br w:val="nil"/>
              <w:tr2bl w:val="nil"/>
            </w:tcBorders>
            <w:shd w:val="clear" w:color="auto" w:fill="auto"/>
            <w:tcMar>
              <w:top w:w="0" w:type="dxa"/>
              <w:left w:w="17" w:type="dxa"/>
              <w:bottom w:w="0" w:type="dxa"/>
              <w:right w:w="17" w:type="dxa"/>
            </w:tcMar>
            <w:vAlign w:val="center"/>
          </w:tcPr>
          <w:p w14:paraId="469174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64" w:type="pct"/>
            <w:tcBorders>
              <w:tl2br w:val="nil"/>
              <w:tr2bl w:val="nil"/>
            </w:tcBorders>
            <w:shd w:val="clear" w:color="auto" w:fill="auto"/>
            <w:tcMar>
              <w:top w:w="0" w:type="dxa"/>
              <w:left w:w="17" w:type="dxa"/>
              <w:bottom w:w="0" w:type="dxa"/>
              <w:right w:w="17" w:type="dxa"/>
            </w:tcMar>
            <w:vAlign w:val="center"/>
          </w:tcPr>
          <w:p w14:paraId="751361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65" w:type="pct"/>
            <w:tcBorders>
              <w:tl2br w:val="nil"/>
              <w:tr2bl w:val="nil"/>
            </w:tcBorders>
            <w:shd w:val="clear" w:color="auto" w:fill="auto"/>
            <w:tcMar>
              <w:top w:w="0" w:type="dxa"/>
              <w:left w:w="17" w:type="dxa"/>
              <w:bottom w:w="0" w:type="dxa"/>
              <w:right w:w="17" w:type="dxa"/>
            </w:tcMar>
            <w:vAlign w:val="center"/>
          </w:tcPr>
          <w:p w14:paraId="3938AE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16" w:type="pct"/>
            <w:tcBorders>
              <w:tl2br w:val="nil"/>
              <w:tr2bl w:val="nil"/>
            </w:tcBorders>
            <w:shd w:val="clear" w:color="auto" w:fill="auto"/>
            <w:tcMar>
              <w:top w:w="0" w:type="dxa"/>
              <w:left w:w="17" w:type="dxa"/>
              <w:bottom w:w="0" w:type="dxa"/>
              <w:right w:w="17" w:type="dxa"/>
            </w:tcMar>
            <w:vAlign w:val="center"/>
          </w:tcPr>
          <w:p w14:paraId="2A7ABE1B">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0.005</w:t>
            </w:r>
          </w:p>
        </w:tc>
        <w:tc>
          <w:tcPr>
            <w:tcW w:w="312" w:type="pct"/>
            <w:tcBorders>
              <w:tl2br w:val="nil"/>
              <w:tr2bl w:val="nil"/>
            </w:tcBorders>
            <w:shd w:val="clear" w:color="auto" w:fill="auto"/>
            <w:tcMar>
              <w:top w:w="0" w:type="dxa"/>
              <w:left w:w="17" w:type="dxa"/>
              <w:bottom w:w="0" w:type="dxa"/>
              <w:right w:w="17" w:type="dxa"/>
            </w:tcMar>
            <w:vAlign w:val="center"/>
          </w:tcPr>
          <w:p w14:paraId="5A166B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3BFCA8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74" w:type="pct"/>
            <w:tcBorders>
              <w:tl2br w:val="nil"/>
              <w:tr2bl w:val="nil"/>
            </w:tcBorders>
            <w:shd w:val="clear" w:color="auto" w:fill="auto"/>
            <w:tcMar>
              <w:top w:w="0" w:type="dxa"/>
              <w:left w:w="17" w:type="dxa"/>
              <w:bottom w:w="0" w:type="dxa"/>
              <w:right w:w="17" w:type="dxa"/>
            </w:tcMar>
            <w:vAlign w:val="center"/>
          </w:tcPr>
          <w:p w14:paraId="3235C8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320" w:type="pct"/>
            <w:tcBorders>
              <w:tl2br w:val="nil"/>
              <w:tr2bl w:val="nil"/>
            </w:tcBorders>
            <w:shd w:val="clear" w:color="auto" w:fill="auto"/>
            <w:tcMar>
              <w:top w:w="0" w:type="dxa"/>
              <w:left w:w="17" w:type="dxa"/>
              <w:bottom w:w="0" w:type="dxa"/>
              <w:right w:w="17" w:type="dxa"/>
            </w:tcMar>
            <w:vAlign w:val="center"/>
          </w:tcPr>
          <w:p w14:paraId="6D285E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tcBorders>
              <w:tl2br w:val="nil"/>
              <w:tr2bl w:val="nil"/>
            </w:tcBorders>
            <w:shd w:val="clear" w:color="auto" w:fill="auto"/>
            <w:tcMar>
              <w:top w:w="0" w:type="dxa"/>
              <w:left w:w="17" w:type="dxa"/>
              <w:bottom w:w="0" w:type="dxa"/>
              <w:right w:w="17" w:type="dxa"/>
            </w:tcMar>
            <w:vAlign w:val="center"/>
          </w:tcPr>
          <w:p w14:paraId="26A561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20" w:type="pct"/>
            <w:tcBorders>
              <w:tl2br w:val="nil"/>
              <w:tr2bl w:val="nil"/>
            </w:tcBorders>
            <w:shd w:val="clear" w:color="auto" w:fill="auto"/>
            <w:tcMar>
              <w:top w:w="0" w:type="dxa"/>
              <w:left w:w="17" w:type="dxa"/>
              <w:bottom w:w="0" w:type="dxa"/>
              <w:right w:w="17" w:type="dxa"/>
            </w:tcMar>
            <w:vAlign w:val="center"/>
          </w:tcPr>
          <w:p w14:paraId="4481EE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E8815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0B5D2D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restart"/>
            <w:tcBorders>
              <w:tl2br w:val="nil"/>
              <w:tr2bl w:val="nil"/>
            </w:tcBorders>
            <w:shd w:val="clear" w:color="auto" w:fill="auto"/>
            <w:tcMar>
              <w:top w:w="0" w:type="dxa"/>
              <w:left w:w="17" w:type="dxa"/>
              <w:bottom w:w="0" w:type="dxa"/>
              <w:right w:w="17" w:type="dxa"/>
            </w:tcMar>
            <w:vAlign w:val="center"/>
          </w:tcPr>
          <w:p w14:paraId="19636A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第</w:t>
            </w:r>
            <w:r>
              <w:rPr>
                <w:rFonts w:hint="eastAsia"/>
                <w:color w:val="auto"/>
                <w:highlight w:val="none"/>
                <w:lang w:val="en-US" w:eastAsia="zh-CN"/>
              </w:rPr>
              <w:t>二</w:t>
            </w:r>
            <w:r>
              <w:rPr>
                <w:rFonts w:hint="default"/>
                <w:color w:val="auto"/>
                <w:highlight w:val="none"/>
                <w:lang w:val="en-US" w:eastAsia="zh-CN"/>
              </w:rPr>
              <w:t>天</w:t>
            </w:r>
          </w:p>
        </w:tc>
        <w:tc>
          <w:tcPr>
            <w:tcW w:w="239" w:type="pct"/>
            <w:tcBorders>
              <w:tl2br w:val="nil"/>
              <w:tr2bl w:val="nil"/>
            </w:tcBorders>
            <w:shd w:val="clear" w:color="auto" w:fill="auto"/>
            <w:tcMar>
              <w:top w:w="0" w:type="dxa"/>
              <w:left w:w="17" w:type="dxa"/>
              <w:bottom w:w="0" w:type="dxa"/>
              <w:right w:w="17" w:type="dxa"/>
            </w:tcMar>
            <w:vAlign w:val="center"/>
          </w:tcPr>
          <w:p w14:paraId="5147D0E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因子</w:t>
            </w:r>
          </w:p>
        </w:tc>
        <w:tc>
          <w:tcPr>
            <w:tcW w:w="364" w:type="pct"/>
            <w:tcBorders>
              <w:tl2br w:val="nil"/>
              <w:tr2bl w:val="nil"/>
            </w:tcBorders>
            <w:shd w:val="clear" w:color="auto" w:fill="auto"/>
            <w:tcMar>
              <w:top w:w="0" w:type="dxa"/>
              <w:left w:w="17" w:type="dxa"/>
              <w:bottom w:w="0" w:type="dxa"/>
              <w:right w:w="17" w:type="dxa"/>
            </w:tcMar>
            <w:vAlign w:val="center"/>
          </w:tcPr>
          <w:p w14:paraId="71D5C1F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pH值</w:t>
            </w:r>
          </w:p>
        </w:tc>
        <w:tc>
          <w:tcPr>
            <w:tcW w:w="311" w:type="pct"/>
            <w:tcBorders>
              <w:tl2br w:val="nil"/>
              <w:tr2bl w:val="nil"/>
            </w:tcBorders>
            <w:shd w:val="clear" w:color="auto" w:fill="auto"/>
            <w:tcMar>
              <w:top w:w="0" w:type="dxa"/>
              <w:left w:w="17" w:type="dxa"/>
              <w:bottom w:w="0" w:type="dxa"/>
              <w:right w:w="17" w:type="dxa"/>
            </w:tcMar>
            <w:vAlign w:val="center"/>
          </w:tcPr>
          <w:p w14:paraId="67069B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CODCr</w:t>
            </w:r>
          </w:p>
        </w:tc>
        <w:tc>
          <w:tcPr>
            <w:tcW w:w="364" w:type="pct"/>
            <w:tcBorders>
              <w:tl2br w:val="nil"/>
              <w:tr2bl w:val="nil"/>
            </w:tcBorders>
            <w:shd w:val="clear" w:color="auto" w:fill="auto"/>
            <w:tcMar>
              <w:top w:w="0" w:type="dxa"/>
              <w:left w:w="17" w:type="dxa"/>
              <w:bottom w:w="0" w:type="dxa"/>
              <w:right w:w="17" w:type="dxa"/>
            </w:tcMar>
            <w:vAlign w:val="center"/>
          </w:tcPr>
          <w:p w14:paraId="743C801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氨氮</w:t>
            </w:r>
          </w:p>
        </w:tc>
        <w:tc>
          <w:tcPr>
            <w:tcW w:w="364" w:type="pct"/>
            <w:tcBorders>
              <w:tl2br w:val="nil"/>
              <w:tr2bl w:val="nil"/>
            </w:tcBorders>
            <w:shd w:val="clear" w:color="auto" w:fill="auto"/>
            <w:tcMar>
              <w:top w:w="0" w:type="dxa"/>
              <w:left w:w="17" w:type="dxa"/>
              <w:bottom w:w="0" w:type="dxa"/>
              <w:right w:w="17" w:type="dxa"/>
            </w:tcMar>
            <w:vAlign w:val="center"/>
          </w:tcPr>
          <w:p w14:paraId="580175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总磷</w:t>
            </w:r>
          </w:p>
        </w:tc>
        <w:tc>
          <w:tcPr>
            <w:tcW w:w="365" w:type="pct"/>
            <w:tcBorders>
              <w:tl2br w:val="nil"/>
              <w:tr2bl w:val="nil"/>
            </w:tcBorders>
            <w:shd w:val="clear" w:color="auto" w:fill="auto"/>
            <w:tcMar>
              <w:top w:w="0" w:type="dxa"/>
              <w:left w:w="17" w:type="dxa"/>
              <w:bottom w:w="0" w:type="dxa"/>
              <w:right w:w="17" w:type="dxa"/>
            </w:tcMar>
            <w:vAlign w:val="center"/>
          </w:tcPr>
          <w:p w14:paraId="753AB3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BOD5</w:t>
            </w:r>
          </w:p>
        </w:tc>
        <w:tc>
          <w:tcPr>
            <w:tcW w:w="316" w:type="pct"/>
            <w:tcBorders>
              <w:tl2br w:val="nil"/>
              <w:tr2bl w:val="nil"/>
            </w:tcBorders>
            <w:shd w:val="clear" w:color="auto" w:fill="auto"/>
            <w:tcMar>
              <w:top w:w="0" w:type="dxa"/>
              <w:left w:w="17" w:type="dxa"/>
              <w:bottom w:w="0" w:type="dxa"/>
              <w:right w:w="17" w:type="dxa"/>
            </w:tcMar>
            <w:vAlign w:val="center"/>
          </w:tcPr>
          <w:p w14:paraId="67B603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悬浮物</w:t>
            </w:r>
          </w:p>
        </w:tc>
        <w:tc>
          <w:tcPr>
            <w:tcW w:w="312" w:type="pct"/>
            <w:tcBorders>
              <w:tl2br w:val="nil"/>
              <w:tr2bl w:val="nil"/>
            </w:tcBorders>
            <w:shd w:val="clear" w:color="auto" w:fill="auto"/>
            <w:tcMar>
              <w:top w:w="0" w:type="dxa"/>
              <w:left w:w="17" w:type="dxa"/>
              <w:bottom w:w="0" w:type="dxa"/>
              <w:right w:w="17" w:type="dxa"/>
            </w:tcMar>
            <w:vAlign w:val="center"/>
          </w:tcPr>
          <w:p w14:paraId="492D3B6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石油类</w:t>
            </w:r>
          </w:p>
        </w:tc>
        <w:tc>
          <w:tcPr>
            <w:tcW w:w="365" w:type="pct"/>
            <w:tcBorders>
              <w:tl2br w:val="nil"/>
              <w:tr2bl w:val="nil"/>
            </w:tcBorders>
            <w:shd w:val="clear" w:color="auto" w:fill="auto"/>
            <w:tcMar>
              <w:top w:w="0" w:type="dxa"/>
              <w:left w:w="17" w:type="dxa"/>
              <w:bottom w:w="0" w:type="dxa"/>
              <w:right w:w="17" w:type="dxa"/>
            </w:tcMar>
            <w:vAlign w:val="center"/>
          </w:tcPr>
          <w:p w14:paraId="283CAE1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挥发酚</w:t>
            </w:r>
          </w:p>
        </w:tc>
        <w:tc>
          <w:tcPr>
            <w:tcW w:w="374" w:type="pct"/>
            <w:tcBorders>
              <w:tl2br w:val="nil"/>
              <w:tr2bl w:val="nil"/>
            </w:tcBorders>
            <w:shd w:val="clear" w:color="auto" w:fill="auto"/>
            <w:tcMar>
              <w:top w:w="0" w:type="dxa"/>
              <w:left w:w="17" w:type="dxa"/>
              <w:bottom w:w="0" w:type="dxa"/>
              <w:right w:w="17" w:type="dxa"/>
            </w:tcMar>
            <w:vAlign w:val="center"/>
          </w:tcPr>
          <w:p w14:paraId="1C58B68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铅</w:t>
            </w:r>
          </w:p>
        </w:tc>
        <w:tc>
          <w:tcPr>
            <w:tcW w:w="320" w:type="pct"/>
            <w:tcBorders>
              <w:tl2br w:val="nil"/>
              <w:tr2bl w:val="nil"/>
            </w:tcBorders>
            <w:shd w:val="clear" w:color="auto" w:fill="auto"/>
            <w:tcMar>
              <w:top w:w="0" w:type="dxa"/>
              <w:left w:w="17" w:type="dxa"/>
              <w:bottom w:w="0" w:type="dxa"/>
              <w:right w:w="17" w:type="dxa"/>
            </w:tcMar>
            <w:vAlign w:val="center"/>
          </w:tcPr>
          <w:p w14:paraId="1EB8AAA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镉</w:t>
            </w:r>
          </w:p>
        </w:tc>
        <w:tc>
          <w:tcPr>
            <w:tcW w:w="375" w:type="pct"/>
            <w:tcBorders>
              <w:tl2br w:val="nil"/>
              <w:tr2bl w:val="nil"/>
            </w:tcBorders>
            <w:shd w:val="clear" w:color="auto" w:fill="auto"/>
            <w:tcMar>
              <w:top w:w="0" w:type="dxa"/>
              <w:left w:w="17" w:type="dxa"/>
              <w:bottom w:w="0" w:type="dxa"/>
              <w:right w:w="17" w:type="dxa"/>
            </w:tcMar>
            <w:vAlign w:val="center"/>
          </w:tcPr>
          <w:p w14:paraId="60F18C6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铬</w:t>
            </w:r>
          </w:p>
        </w:tc>
        <w:tc>
          <w:tcPr>
            <w:tcW w:w="320" w:type="pct"/>
            <w:tcBorders>
              <w:tl2br w:val="nil"/>
              <w:tr2bl w:val="nil"/>
            </w:tcBorders>
            <w:shd w:val="clear" w:color="auto" w:fill="auto"/>
            <w:tcMar>
              <w:top w:w="0" w:type="dxa"/>
              <w:left w:w="17" w:type="dxa"/>
              <w:bottom w:w="0" w:type="dxa"/>
              <w:right w:w="17" w:type="dxa"/>
            </w:tcMar>
            <w:vAlign w:val="center"/>
          </w:tcPr>
          <w:p w14:paraId="7D98E6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铊</w:t>
            </w:r>
          </w:p>
        </w:tc>
        <w:tc>
          <w:tcPr>
            <w:tcW w:w="320" w:type="pct"/>
            <w:tcBorders>
              <w:tl2br w:val="nil"/>
              <w:tr2bl w:val="nil"/>
            </w:tcBorders>
            <w:shd w:val="clear" w:color="auto" w:fill="auto"/>
            <w:tcMar>
              <w:top w:w="0" w:type="dxa"/>
              <w:left w:w="17" w:type="dxa"/>
              <w:bottom w:w="0" w:type="dxa"/>
              <w:right w:w="17" w:type="dxa"/>
            </w:tcMar>
            <w:vAlign w:val="center"/>
          </w:tcPr>
          <w:p w14:paraId="14AAAC8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锌</w:t>
            </w:r>
          </w:p>
        </w:tc>
      </w:tr>
      <w:tr w14:paraId="6F1D2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50569E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F2E04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6078CB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768CAF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3A7F5AE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58</w:t>
            </w:r>
          </w:p>
        </w:tc>
        <w:tc>
          <w:tcPr>
            <w:tcW w:w="364" w:type="pct"/>
            <w:tcBorders>
              <w:tl2br w:val="nil"/>
              <w:tr2bl w:val="nil"/>
            </w:tcBorders>
            <w:shd w:val="clear" w:color="auto" w:fill="auto"/>
            <w:tcMar>
              <w:top w:w="0" w:type="dxa"/>
              <w:left w:w="17" w:type="dxa"/>
              <w:bottom w:w="0" w:type="dxa"/>
              <w:right w:w="17" w:type="dxa"/>
            </w:tcMar>
            <w:vAlign w:val="center"/>
          </w:tcPr>
          <w:p w14:paraId="30332E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08</w:t>
            </w:r>
          </w:p>
        </w:tc>
        <w:tc>
          <w:tcPr>
            <w:tcW w:w="365" w:type="pct"/>
            <w:tcBorders>
              <w:tl2br w:val="nil"/>
              <w:tr2bl w:val="nil"/>
            </w:tcBorders>
            <w:shd w:val="clear" w:color="auto" w:fill="auto"/>
            <w:tcMar>
              <w:top w:w="0" w:type="dxa"/>
              <w:left w:w="17" w:type="dxa"/>
              <w:bottom w:w="0" w:type="dxa"/>
              <w:right w:w="17" w:type="dxa"/>
            </w:tcMar>
            <w:vAlign w:val="center"/>
          </w:tcPr>
          <w:p w14:paraId="42AD5F7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1.9</w:t>
            </w:r>
          </w:p>
        </w:tc>
        <w:tc>
          <w:tcPr>
            <w:tcW w:w="316" w:type="pct"/>
            <w:tcBorders>
              <w:tl2br w:val="nil"/>
              <w:tr2bl w:val="nil"/>
            </w:tcBorders>
            <w:shd w:val="clear" w:color="auto" w:fill="auto"/>
            <w:tcMar>
              <w:top w:w="0" w:type="dxa"/>
              <w:left w:w="17" w:type="dxa"/>
              <w:bottom w:w="0" w:type="dxa"/>
              <w:right w:w="17" w:type="dxa"/>
            </w:tcMar>
            <w:vAlign w:val="center"/>
          </w:tcPr>
          <w:p w14:paraId="4FDB0C5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w:t>
            </w:r>
          </w:p>
        </w:tc>
        <w:tc>
          <w:tcPr>
            <w:tcW w:w="312" w:type="pct"/>
            <w:tcBorders>
              <w:tl2br w:val="nil"/>
              <w:tr2bl w:val="nil"/>
            </w:tcBorders>
            <w:shd w:val="clear" w:color="auto" w:fill="auto"/>
            <w:tcMar>
              <w:top w:w="0" w:type="dxa"/>
              <w:left w:w="17" w:type="dxa"/>
              <w:bottom w:w="0" w:type="dxa"/>
              <w:right w:w="17" w:type="dxa"/>
            </w:tcMar>
            <w:vAlign w:val="center"/>
          </w:tcPr>
          <w:p w14:paraId="6A0789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0B7B553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1774B29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735CC6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1DE3E68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67DE95A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6B5512E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r>
      <w:tr w14:paraId="1217D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FC14B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157A7BD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29E494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5E21F8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14</w:t>
            </w:r>
          </w:p>
        </w:tc>
        <w:tc>
          <w:tcPr>
            <w:tcW w:w="364" w:type="pct"/>
            <w:tcBorders>
              <w:tl2br w:val="nil"/>
              <w:tr2bl w:val="nil"/>
            </w:tcBorders>
            <w:shd w:val="clear" w:color="auto" w:fill="auto"/>
            <w:tcMar>
              <w:top w:w="0" w:type="dxa"/>
              <w:left w:w="17" w:type="dxa"/>
              <w:bottom w:w="0" w:type="dxa"/>
              <w:right w:w="17" w:type="dxa"/>
            </w:tcMar>
            <w:vAlign w:val="center"/>
          </w:tcPr>
          <w:p w14:paraId="3CCE809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0.95</w:t>
            </w:r>
          </w:p>
        </w:tc>
        <w:tc>
          <w:tcPr>
            <w:tcW w:w="364" w:type="pct"/>
            <w:tcBorders>
              <w:tl2br w:val="nil"/>
              <w:tr2bl w:val="nil"/>
            </w:tcBorders>
            <w:shd w:val="clear" w:color="auto" w:fill="auto"/>
            <w:tcMar>
              <w:top w:w="0" w:type="dxa"/>
              <w:left w:w="17" w:type="dxa"/>
              <w:bottom w:w="0" w:type="dxa"/>
              <w:right w:w="17" w:type="dxa"/>
            </w:tcMar>
            <w:vAlign w:val="center"/>
          </w:tcPr>
          <w:p w14:paraId="220924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11</w:t>
            </w:r>
          </w:p>
        </w:tc>
        <w:tc>
          <w:tcPr>
            <w:tcW w:w="365" w:type="pct"/>
            <w:tcBorders>
              <w:tl2br w:val="nil"/>
              <w:tr2bl w:val="nil"/>
            </w:tcBorders>
            <w:shd w:val="clear" w:color="auto" w:fill="auto"/>
            <w:tcMar>
              <w:top w:w="0" w:type="dxa"/>
              <w:left w:w="17" w:type="dxa"/>
              <w:bottom w:w="0" w:type="dxa"/>
              <w:right w:w="17" w:type="dxa"/>
            </w:tcMar>
            <w:vAlign w:val="center"/>
          </w:tcPr>
          <w:p w14:paraId="48EA00E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2.5</w:t>
            </w:r>
          </w:p>
        </w:tc>
        <w:tc>
          <w:tcPr>
            <w:tcW w:w="316" w:type="pct"/>
            <w:tcBorders>
              <w:tl2br w:val="nil"/>
              <w:tr2bl w:val="nil"/>
            </w:tcBorders>
            <w:shd w:val="clear" w:color="auto" w:fill="auto"/>
            <w:tcMar>
              <w:top w:w="0" w:type="dxa"/>
              <w:left w:w="17" w:type="dxa"/>
              <w:bottom w:w="0" w:type="dxa"/>
              <w:right w:w="17" w:type="dxa"/>
            </w:tcMar>
            <w:vAlign w:val="center"/>
          </w:tcPr>
          <w:p w14:paraId="36E3CB4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8</w:t>
            </w:r>
          </w:p>
        </w:tc>
        <w:tc>
          <w:tcPr>
            <w:tcW w:w="312" w:type="pct"/>
            <w:tcBorders>
              <w:tl2br w:val="nil"/>
              <w:tr2bl w:val="nil"/>
            </w:tcBorders>
            <w:shd w:val="clear" w:color="auto" w:fill="auto"/>
            <w:tcMar>
              <w:top w:w="0" w:type="dxa"/>
              <w:left w:w="17" w:type="dxa"/>
              <w:bottom w:w="0" w:type="dxa"/>
              <w:right w:w="17" w:type="dxa"/>
            </w:tcMar>
            <w:vAlign w:val="center"/>
          </w:tcPr>
          <w:p w14:paraId="73B423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2510DA5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0C72AB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1CCFD7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5D303BF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7683D97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6966A6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r>
      <w:tr w14:paraId="3F15F6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D61CDD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0FF506B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636DF49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7.3</w:t>
            </w:r>
          </w:p>
        </w:tc>
        <w:tc>
          <w:tcPr>
            <w:tcW w:w="311" w:type="pct"/>
            <w:tcBorders>
              <w:tl2br w:val="nil"/>
              <w:tr2bl w:val="nil"/>
            </w:tcBorders>
            <w:shd w:val="clear" w:color="auto" w:fill="auto"/>
            <w:tcMar>
              <w:top w:w="0" w:type="dxa"/>
              <w:left w:w="17" w:type="dxa"/>
              <w:bottom w:w="0" w:type="dxa"/>
              <w:right w:w="17" w:type="dxa"/>
            </w:tcMar>
            <w:vAlign w:val="center"/>
          </w:tcPr>
          <w:p w14:paraId="7382355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9</w:t>
            </w:r>
          </w:p>
        </w:tc>
        <w:tc>
          <w:tcPr>
            <w:tcW w:w="364" w:type="pct"/>
            <w:tcBorders>
              <w:tl2br w:val="nil"/>
              <w:tr2bl w:val="nil"/>
            </w:tcBorders>
            <w:shd w:val="clear" w:color="auto" w:fill="auto"/>
            <w:tcMar>
              <w:top w:w="0" w:type="dxa"/>
              <w:left w:w="17" w:type="dxa"/>
              <w:bottom w:w="0" w:type="dxa"/>
              <w:right w:w="17" w:type="dxa"/>
            </w:tcMar>
            <w:vAlign w:val="center"/>
          </w:tcPr>
          <w:p w14:paraId="10BB639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0.66</w:t>
            </w:r>
          </w:p>
        </w:tc>
        <w:tc>
          <w:tcPr>
            <w:tcW w:w="364" w:type="pct"/>
            <w:tcBorders>
              <w:tl2br w:val="nil"/>
              <w:tr2bl w:val="nil"/>
            </w:tcBorders>
            <w:shd w:val="clear" w:color="auto" w:fill="auto"/>
            <w:tcMar>
              <w:top w:w="0" w:type="dxa"/>
              <w:left w:w="17" w:type="dxa"/>
              <w:bottom w:w="0" w:type="dxa"/>
              <w:right w:w="17" w:type="dxa"/>
            </w:tcMar>
            <w:vAlign w:val="center"/>
          </w:tcPr>
          <w:p w14:paraId="3C2F02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w:t>
            </w:r>
          </w:p>
        </w:tc>
        <w:tc>
          <w:tcPr>
            <w:tcW w:w="365" w:type="pct"/>
            <w:tcBorders>
              <w:tl2br w:val="nil"/>
              <w:tr2bl w:val="nil"/>
            </w:tcBorders>
            <w:shd w:val="clear" w:color="auto" w:fill="auto"/>
            <w:tcMar>
              <w:top w:w="0" w:type="dxa"/>
              <w:left w:w="17" w:type="dxa"/>
              <w:bottom w:w="0" w:type="dxa"/>
              <w:right w:w="17" w:type="dxa"/>
            </w:tcMar>
            <w:vAlign w:val="center"/>
          </w:tcPr>
          <w:p w14:paraId="1FAC02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1.7</w:t>
            </w:r>
          </w:p>
        </w:tc>
        <w:tc>
          <w:tcPr>
            <w:tcW w:w="316" w:type="pct"/>
            <w:tcBorders>
              <w:tl2br w:val="nil"/>
              <w:tr2bl w:val="nil"/>
            </w:tcBorders>
            <w:shd w:val="clear" w:color="auto" w:fill="auto"/>
            <w:tcMar>
              <w:top w:w="0" w:type="dxa"/>
              <w:left w:w="17" w:type="dxa"/>
              <w:bottom w:w="0" w:type="dxa"/>
              <w:right w:w="17" w:type="dxa"/>
            </w:tcMar>
            <w:vAlign w:val="center"/>
          </w:tcPr>
          <w:p w14:paraId="5AE27B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20</w:t>
            </w:r>
          </w:p>
        </w:tc>
        <w:tc>
          <w:tcPr>
            <w:tcW w:w="312" w:type="pct"/>
            <w:tcBorders>
              <w:tl2br w:val="nil"/>
              <w:tr2bl w:val="nil"/>
            </w:tcBorders>
            <w:shd w:val="clear" w:color="auto" w:fill="auto"/>
            <w:tcMar>
              <w:top w:w="0" w:type="dxa"/>
              <w:left w:w="17" w:type="dxa"/>
              <w:bottom w:w="0" w:type="dxa"/>
              <w:right w:w="17" w:type="dxa"/>
            </w:tcMar>
            <w:vAlign w:val="center"/>
          </w:tcPr>
          <w:p w14:paraId="16C37EA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2EF6E6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62E6D83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272598A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3F486D5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50635C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2405215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r>
      <w:tr w14:paraId="4978D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E8680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1D2E05C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0B88E2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06A30D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14</w:t>
            </w:r>
          </w:p>
        </w:tc>
        <w:tc>
          <w:tcPr>
            <w:tcW w:w="364" w:type="pct"/>
            <w:tcBorders>
              <w:tl2br w:val="nil"/>
              <w:tr2bl w:val="nil"/>
            </w:tcBorders>
            <w:shd w:val="clear" w:color="auto" w:fill="auto"/>
            <w:tcMar>
              <w:top w:w="0" w:type="dxa"/>
              <w:left w:w="17" w:type="dxa"/>
              <w:bottom w:w="0" w:type="dxa"/>
              <w:right w:w="17" w:type="dxa"/>
            </w:tcMar>
            <w:vAlign w:val="center"/>
          </w:tcPr>
          <w:p w14:paraId="501CF73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0.91</w:t>
            </w:r>
          </w:p>
        </w:tc>
        <w:tc>
          <w:tcPr>
            <w:tcW w:w="364" w:type="pct"/>
            <w:tcBorders>
              <w:tl2br w:val="nil"/>
              <w:tr2bl w:val="nil"/>
            </w:tcBorders>
            <w:shd w:val="clear" w:color="auto" w:fill="auto"/>
            <w:tcMar>
              <w:top w:w="0" w:type="dxa"/>
              <w:left w:w="17" w:type="dxa"/>
              <w:bottom w:w="0" w:type="dxa"/>
              <w:right w:w="17" w:type="dxa"/>
            </w:tcMar>
            <w:vAlign w:val="center"/>
          </w:tcPr>
          <w:p w14:paraId="4F5AA5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10</w:t>
            </w:r>
          </w:p>
        </w:tc>
        <w:tc>
          <w:tcPr>
            <w:tcW w:w="365" w:type="pct"/>
            <w:tcBorders>
              <w:tl2br w:val="nil"/>
              <w:tr2bl w:val="nil"/>
            </w:tcBorders>
            <w:shd w:val="clear" w:color="auto" w:fill="auto"/>
            <w:tcMar>
              <w:top w:w="0" w:type="dxa"/>
              <w:left w:w="17" w:type="dxa"/>
              <w:bottom w:w="0" w:type="dxa"/>
              <w:right w:w="17" w:type="dxa"/>
            </w:tcMar>
            <w:vAlign w:val="center"/>
          </w:tcPr>
          <w:p w14:paraId="4F3E72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2.7</w:t>
            </w:r>
          </w:p>
        </w:tc>
        <w:tc>
          <w:tcPr>
            <w:tcW w:w="316" w:type="pct"/>
            <w:tcBorders>
              <w:tl2br w:val="nil"/>
              <w:tr2bl w:val="nil"/>
            </w:tcBorders>
            <w:shd w:val="clear" w:color="auto" w:fill="auto"/>
            <w:tcMar>
              <w:top w:w="0" w:type="dxa"/>
              <w:left w:w="17" w:type="dxa"/>
              <w:bottom w:w="0" w:type="dxa"/>
              <w:right w:w="17" w:type="dxa"/>
            </w:tcMar>
            <w:vAlign w:val="center"/>
          </w:tcPr>
          <w:p w14:paraId="6C17AA9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14</w:t>
            </w:r>
          </w:p>
        </w:tc>
        <w:tc>
          <w:tcPr>
            <w:tcW w:w="312" w:type="pct"/>
            <w:tcBorders>
              <w:tl2br w:val="nil"/>
              <w:tr2bl w:val="nil"/>
            </w:tcBorders>
            <w:shd w:val="clear" w:color="auto" w:fill="auto"/>
            <w:tcMar>
              <w:top w:w="0" w:type="dxa"/>
              <w:left w:w="17" w:type="dxa"/>
              <w:bottom w:w="0" w:type="dxa"/>
              <w:right w:w="17" w:type="dxa"/>
            </w:tcMar>
            <w:vAlign w:val="center"/>
          </w:tcPr>
          <w:p w14:paraId="6D21C2B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6731621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5A2EF8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3144F4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62B5E38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3019B9B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5C4535A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r>
      <w:tr w14:paraId="18CABD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95A8C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517F970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2DF078B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4D5821E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13</w:t>
            </w:r>
          </w:p>
        </w:tc>
        <w:tc>
          <w:tcPr>
            <w:tcW w:w="364" w:type="pct"/>
            <w:tcBorders>
              <w:tl2br w:val="nil"/>
              <w:tr2bl w:val="nil"/>
            </w:tcBorders>
            <w:shd w:val="clear" w:color="auto" w:fill="auto"/>
            <w:tcMar>
              <w:top w:w="0" w:type="dxa"/>
              <w:left w:w="17" w:type="dxa"/>
              <w:bottom w:w="0" w:type="dxa"/>
              <w:right w:w="17" w:type="dxa"/>
            </w:tcMar>
            <w:vAlign w:val="center"/>
          </w:tcPr>
          <w:p w14:paraId="75A252F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0.67</w:t>
            </w:r>
          </w:p>
        </w:tc>
        <w:tc>
          <w:tcPr>
            <w:tcW w:w="364" w:type="pct"/>
            <w:tcBorders>
              <w:tl2br w:val="nil"/>
              <w:tr2bl w:val="nil"/>
            </w:tcBorders>
            <w:shd w:val="clear" w:color="auto" w:fill="auto"/>
            <w:tcMar>
              <w:top w:w="0" w:type="dxa"/>
              <w:left w:w="17" w:type="dxa"/>
              <w:bottom w:w="0" w:type="dxa"/>
              <w:right w:w="17" w:type="dxa"/>
            </w:tcMar>
            <w:vAlign w:val="center"/>
          </w:tcPr>
          <w:p w14:paraId="5AFA919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0.12</w:t>
            </w:r>
          </w:p>
        </w:tc>
        <w:tc>
          <w:tcPr>
            <w:tcW w:w="365" w:type="pct"/>
            <w:tcBorders>
              <w:tl2br w:val="nil"/>
              <w:tr2bl w:val="nil"/>
            </w:tcBorders>
            <w:shd w:val="clear" w:color="auto" w:fill="auto"/>
            <w:tcMar>
              <w:top w:w="0" w:type="dxa"/>
              <w:left w:w="17" w:type="dxa"/>
              <w:bottom w:w="0" w:type="dxa"/>
              <w:right w:w="17" w:type="dxa"/>
            </w:tcMar>
            <w:vAlign w:val="center"/>
          </w:tcPr>
          <w:p w14:paraId="145552D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2.4</w:t>
            </w:r>
          </w:p>
        </w:tc>
        <w:tc>
          <w:tcPr>
            <w:tcW w:w="316" w:type="pct"/>
            <w:tcBorders>
              <w:tl2br w:val="nil"/>
              <w:tr2bl w:val="nil"/>
            </w:tcBorders>
            <w:shd w:val="clear" w:color="auto" w:fill="auto"/>
            <w:tcMar>
              <w:top w:w="0" w:type="dxa"/>
              <w:left w:w="17" w:type="dxa"/>
              <w:bottom w:w="0" w:type="dxa"/>
              <w:right w:w="17" w:type="dxa"/>
            </w:tcMar>
            <w:vAlign w:val="center"/>
          </w:tcPr>
          <w:p w14:paraId="56A487F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12</w:t>
            </w:r>
          </w:p>
        </w:tc>
        <w:tc>
          <w:tcPr>
            <w:tcW w:w="312" w:type="pct"/>
            <w:tcBorders>
              <w:tl2br w:val="nil"/>
              <w:tr2bl w:val="nil"/>
            </w:tcBorders>
            <w:shd w:val="clear" w:color="auto" w:fill="auto"/>
            <w:tcMar>
              <w:top w:w="0" w:type="dxa"/>
              <w:left w:w="17" w:type="dxa"/>
              <w:bottom w:w="0" w:type="dxa"/>
              <w:right w:w="17" w:type="dxa"/>
            </w:tcMar>
            <w:vAlign w:val="center"/>
          </w:tcPr>
          <w:p w14:paraId="355BDA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5FFA6C8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63A8E8C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68F1458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0.0011</w:t>
            </w:r>
          </w:p>
        </w:tc>
        <w:tc>
          <w:tcPr>
            <w:tcW w:w="375" w:type="pct"/>
            <w:tcBorders>
              <w:tl2br w:val="nil"/>
              <w:tr2bl w:val="nil"/>
            </w:tcBorders>
            <w:shd w:val="clear" w:color="auto" w:fill="auto"/>
            <w:tcMar>
              <w:top w:w="0" w:type="dxa"/>
              <w:left w:w="17" w:type="dxa"/>
              <w:bottom w:w="0" w:type="dxa"/>
              <w:right w:w="17" w:type="dxa"/>
            </w:tcMar>
            <w:vAlign w:val="center"/>
          </w:tcPr>
          <w:p w14:paraId="4D49C06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5EEBAE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0ACE606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r>
      <w:tr w14:paraId="542B02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6F3A1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985215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26FE367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1D67BA1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14FB26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2F97E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3D6494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296531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08EA7E5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A6502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7038BE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25D10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F236B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7B4FF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2FC52E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C34C0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699E78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2B805C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4A3F42E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6DED88E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0CBC63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61758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A52092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F86049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3B304EE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A10B4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74E2EE6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35269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7ECFAE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067E01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06F7382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AAE99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D9D4D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79FCF13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29C2287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15ECB38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44EFEE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B810F6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A1958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13857D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70613E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865C4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C000DD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86B68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61EAE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719D4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5300CCF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71709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9047E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F330EB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724B927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A77726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332BEF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A9EED7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CAFE29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579A1F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68B6FD0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9A1876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6B15860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5709B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9A4B0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AA5626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00093A3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A8C14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6D048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71EAEC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45D9D7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6427909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B298FA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A512C3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0F47C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8B0DAE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12F3BD7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58DFCC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F74FF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70D088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0E3BE6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317AA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7E8C5F6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F346C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395DA6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710CA9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41EEEEB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509D6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D270A8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DAAF10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48FE9A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0F995F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4F3F0A9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203AA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D93204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F325F9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5DD2FE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E0C2E6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6B4D895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AC135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6FEE7F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B62B0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672BF6A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5D6A92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8743E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BE91F5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C807D2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208B5AC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609D7E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7261D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C25337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187EF7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7E9B0B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013B99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3016A1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E0260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B77A3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4CAE0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158669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6~9</w:t>
            </w:r>
          </w:p>
        </w:tc>
        <w:tc>
          <w:tcPr>
            <w:tcW w:w="311" w:type="pct"/>
            <w:tcBorders>
              <w:tl2br w:val="nil"/>
              <w:tr2bl w:val="nil"/>
            </w:tcBorders>
            <w:shd w:val="clear" w:color="auto" w:fill="auto"/>
            <w:tcMar>
              <w:top w:w="0" w:type="dxa"/>
              <w:left w:w="17" w:type="dxa"/>
              <w:bottom w:w="0" w:type="dxa"/>
              <w:right w:w="17" w:type="dxa"/>
            </w:tcMar>
            <w:vAlign w:val="center"/>
          </w:tcPr>
          <w:p w14:paraId="7058BB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w:t>
            </w:r>
          </w:p>
        </w:tc>
        <w:tc>
          <w:tcPr>
            <w:tcW w:w="364" w:type="pct"/>
            <w:tcBorders>
              <w:tl2br w:val="nil"/>
              <w:tr2bl w:val="nil"/>
            </w:tcBorders>
            <w:shd w:val="clear" w:color="auto" w:fill="auto"/>
            <w:tcMar>
              <w:top w:w="0" w:type="dxa"/>
              <w:left w:w="17" w:type="dxa"/>
              <w:bottom w:w="0" w:type="dxa"/>
              <w:right w:w="17" w:type="dxa"/>
            </w:tcMar>
            <w:vAlign w:val="center"/>
          </w:tcPr>
          <w:p w14:paraId="1B20BF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7E3029B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w:t>
            </w:r>
          </w:p>
        </w:tc>
        <w:tc>
          <w:tcPr>
            <w:tcW w:w="365" w:type="pct"/>
            <w:tcBorders>
              <w:tl2br w:val="nil"/>
              <w:tr2bl w:val="nil"/>
            </w:tcBorders>
            <w:shd w:val="clear" w:color="auto" w:fill="auto"/>
            <w:tcMar>
              <w:top w:w="0" w:type="dxa"/>
              <w:left w:w="17" w:type="dxa"/>
              <w:bottom w:w="0" w:type="dxa"/>
              <w:right w:w="17" w:type="dxa"/>
            </w:tcMar>
            <w:vAlign w:val="center"/>
          </w:tcPr>
          <w:p w14:paraId="70F9F6C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w:t>
            </w:r>
          </w:p>
        </w:tc>
        <w:tc>
          <w:tcPr>
            <w:tcW w:w="316" w:type="pct"/>
            <w:tcBorders>
              <w:tl2br w:val="nil"/>
              <w:tr2bl w:val="nil"/>
            </w:tcBorders>
            <w:shd w:val="clear" w:color="auto" w:fill="auto"/>
            <w:tcMar>
              <w:top w:w="0" w:type="dxa"/>
              <w:left w:w="17" w:type="dxa"/>
              <w:bottom w:w="0" w:type="dxa"/>
              <w:right w:w="17" w:type="dxa"/>
            </w:tcMar>
            <w:vAlign w:val="center"/>
          </w:tcPr>
          <w:p w14:paraId="420275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12" w:type="pct"/>
            <w:tcBorders>
              <w:tl2br w:val="nil"/>
              <w:tr2bl w:val="nil"/>
            </w:tcBorders>
            <w:shd w:val="clear" w:color="auto" w:fill="auto"/>
            <w:tcMar>
              <w:top w:w="0" w:type="dxa"/>
              <w:left w:w="17" w:type="dxa"/>
              <w:bottom w:w="0" w:type="dxa"/>
              <w:right w:w="17" w:type="dxa"/>
            </w:tcMar>
            <w:vAlign w:val="center"/>
          </w:tcPr>
          <w:p w14:paraId="69D467D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65" w:type="pct"/>
            <w:tcBorders>
              <w:tl2br w:val="nil"/>
              <w:tr2bl w:val="nil"/>
            </w:tcBorders>
            <w:shd w:val="clear" w:color="auto" w:fill="auto"/>
            <w:tcMar>
              <w:top w:w="0" w:type="dxa"/>
              <w:left w:w="17" w:type="dxa"/>
              <w:bottom w:w="0" w:type="dxa"/>
              <w:right w:w="17" w:type="dxa"/>
            </w:tcMar>
            <w:vAlign w:val="center"/>
          </w:tcPr>
          <w:p w14:paraId="66540D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0.005</w:t>
            </w:r>
          </w:p>
        </w:tc>
        <w:tc>
          <w:tcPr>
            <w:tcW w:w="374" w:type="pct"/>
            <w:tcBorders>
              <w:tl2br w:val="nil"/>
              <w:tr2bl w:val="nil"/>
            </w:tcBorders>
            <w:shd w:val="clear" w:color="auto" w:fill="auto"/>
            <w:tcMar>
              <w:top w:w="0" w:type="dxa"/>
              <w:left w:w="17" w:type="dxa"/>
              <w:bottom w:w="0" w:type="dxa"/>
              <w:right w:w="17" w:type="dxa"/>
            </w:tcMar>
            <w:vAlign w:val="center"/>
          </w:tcPr>
          <w:p w14:paraId="22322D1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20" w:type="pct"/>
            <w:tcBorders>
              <w:tl2br w:val="nil"/>
              <w:tr2bl w:val="nil"/>
            </w:tcBorders>
            <w:shd w:val="clear" w:color="auto" w:fill="auto"/>
            <w:tcMar>
              <w:top w:w="0" w:type="dxa"/>
              <w:left w:w="17" w:type="dxa"/>
              <w:bottom w:w="0" w:type="dxa"/>
              <w:right w:w="17" w:type="dxa"/>
            </w:tcMar>
            <w:vAlign w:val="center"/>
          </w:tcPr>
          <w:p w14:paraId="18DA127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0.005</w:t>
            </w:r>
          </w:p>
        </w:tc>
        <w:tc>
          <w:tcPr>
            <w:tcW w:w="375" w:type="pct"/>
            <w:tcBorders>
              <w:tl2br w:val="nil"/>
              <w:tr2bl w:val="nil"/>
            </w:tcBorders>
            <w:shd w:val="clear" w:color="auto" w:fill="auto"/>
            <w:tcMar>
              <w:top w:w="0" w:type="dxa"/>
              <w:left w:w="17" w:type="dxa"/>
              <w:bottom w:w="0" w:type="dxa"/>
              <w:right w:w="17" w:type="dxa"/>
            </w:tcMar>
            <w:vAlign w:val="center"/>
          </w:tcPr>
          <w:p w14:paraId="78550AA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20" w:type="pct"/>
            <w:tcBorders>
              <w:tl2br w:val="nil"/>
              <w:tr2bl w:val="nil"/>
            </w:tcBorders>
            <w:shd w:val="clear" w:color="auto" w:fill="auto"/>
            <w:tcMar>
              <w:top w:w="0" w:type="dxa"/>
              <w:left w:w="17" w:type="dxa"/>
              <w:bottom w:w="0" w:type="dxa"/>
              <w:right w:w="17" w:type="dxa"/>
            </w:tcMar>
            <w:vAlign w:val="center"/>
          </w:tcPr>
          <w:p w14:paraId="43B3512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0.0001</w:t>
            </w:r>
          </w:p>
        </w:tc>
        <w:tc>
          <w:tcPr>
            <w:tcW w:w="320" w:type="pct"/>
            <w:tcBorders>
              <w:tl2br w:val="nil"/>
              <w:tr2bl w:val="nil"/>
            </w:tcBorders>
            <w:shd w:val="clear" w:color="auto" w:fill="auto"/>
            <w:tcMar>
              <w:top w:w="0" w:type="dxa"/>
              <w:left w:w="17" w:type="dxa"/>
              <w:bottom w:w="0" w:type="dxa"/>
              <w:right w:w="17" w:type="dxa"/>
            </w:tcMar>
            <w:vAlign w:val="center"/>
          </w:tcPr>
          <w:p w14:paraId="3DB3087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r>
      <w:tr w14:paraId="485AA2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41273A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7FA872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因子</w:t>
            </w:r>
          </w:p>
        </w:tc>
        <w:tc>
          <w:tcPr>
            <w:tcW w:w="364" w:type="pct"/>
            <w:tcBorders>
              <w:tl2br w:val="nil"/>
              <w:tr2bl w:val="nil"/>
            </w:tcBorders>
            <w:shd w:val="clear" w:color="auto" w:fill="auto"/>
            <w:tcMar>
              <w:top w:w="0" w:type="dxa"/>
              <w:left w:w="17" w:type="dxa"/>
              <w:bottom w:w="0" w:type="dxa"/>
              <w:right w:w="17" w:type="dxa"/>
            </w:tcMar>
            <w:vAlign w:val="center"/>
          </w:tcPr>
          <w:p w14:paraId="244DE07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铜</w:t>
            </w:r>
          </w:p>
        </w:tc>
        <w:tc>
          <w:tcPr>
            <w:tcW w:w="311" w:type="pct"/>
            <w:tcBorders>
              <w:tl2br w:val="nil"/>
              <w:tr2bl w:val="nil"/>
            </w:tcBorders>
            <w:shd w:val="clear" w:color="auto" w:fill="auto"/>
            <w:tcMar>
              <w:top w:w="0" w:type="dxa"/>
              <w:left w:w="17" w:type="dxa"/>
              <w:bottom w:w="0" w:type="dxa"/>
              <w:right w:w="17" w:type="dxa"/>
            </w:tcMar>
            <w:vAlign w:val="center"/>
          </w:tcPr>
          <w:p w14:paraId="562A21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镍</w:t>
            </w:r>
          </w:p>
        </w:tc>
        <w:tc>
          <w:tcPr>
            <w:tcW w:w="364" w:type="pct"/>
            <w:tcBorders>
              <w:tl2br w:val="nil"/>
              <w:tr2bl w:val="nil"/>
            </w:tcBorders>
            <w:shd w:val="clear" w:color="auto" w:fill="auto"/>
            <w:tcMar>
              <w:top w:w="0" w:type="dxa"/>
              <w:left w:w="17" w:type="dxa"/>
              <w:bottom w:w="0" w:type="dxa"/>
              <w:right w:w="17" w:type="dxa"/>
            </w:tcMar>
            <w:vAlign w:val="center"/>
          </w:tcPr>
          <w:p w14:paraId="5E4E1EA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六价铬</w:t>
            </w:r>
          </w:p>
        </w:tc>
        <w:tc>
          <w:tcPr>
            <w:tcW w:w="364" w:type="pct"/>
            <w:tcBorders>
              <w:tl2br w:val="nil"/>
              <w:tr2bl w:val="nil"/>
            </w:tcBorders>
            <w:shd w:val="clear" w:color="auto" w:fill="auto"/>
            <w:tcMar>
              <w:top w:w="0" w:type="dxa"/>
              <w:left w:w="17" w:type="dxa"/>
              <w:bottom w:w="0" w:type="dxa"/>
              <w:right w:w="17" w:type="dxa"/>
            </w:tcMar>
            <w:vAlign w:val="center"/>
          </w:tcPr>
          <w:p w14:paraId="262C33D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汞</w:t>
            </w:r>
          </w:p>
        </w:tc>
        <w:tc>
          <w:tcPr>
            <w:tcW w:w="365" w:type="pct"/>
            <w:tcBorders>
              <w:tl2br w:val="nil"/>
              <w:tr2bl w:val="nil"/>
            </w:tcBorders>
            <w:shd w:val="clear" w:color="auto" w:fill="auto"/>
            <w:tcMar>
              <w:top w:w="0" w:type="dxa"/>
              <w:left w:w="17" w:type="dxa"/>
              <w:bottom w:w="0" w:type="dxa"/>
              <w:right w:w="17" w:type="dxa"/>
            </w:tcMar>
            <w:vAlign w:val="center"/>
          </w:tcPr>
          <w:p w14:paraId="6BF26E7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砷</w:t>
            </w:r>
          </w:p>
        </w:tc>
        <w:tc>
          <w:tcPr>
            <w:tcW w:w="316" w:type="pct"/>
            <w:tcBorders>
              <w:tl2br w:val="nil"/>
              <w:tr2bl w:val="nil"/>
            </w:tcBorders>
            <w:shd w:val="clear" w:color="auto" w:fill="auto"/>
            <w:tcMar>
              <w:top w:w="0" w:type="dxa"/>
              <w:left w:w="17" w:type="dxa"/>
              <w:bottom w:w="0" w:type="dxa"/>
              <w:right w:w="17" w:type="dxa"/>
            </w:tcMar>
            <w:vAlign w:val="center"/>
          </w:tcPr>
          <w:p w14:paraId="04781D50">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锑</w:t>
            </w:r>
          </w:p>
        </w:tc>
        <w:tc>
          <w:tcPr>
            <w:tcW w:w="312" w:type="pct"/>
            <w:tcBorders>
              <w:tl2br w:val="nil"/>
              <w:tr2bl w:val="nil"/>
            </w:tcBorders>
            <w:shd w:val="clear" w:color="auto" w:fill="auto"/>
            <w:tcMar>
              <w:top w:w="0" w:type="dxa"/>
              <w:left w:w="17" w:type="dxa"/>
              <w:bottom w:w="0" w:type="dxa"/>
              <w:right w:w="17" w:type="dxa"/>
            </w:tcMar>
            <w:vAlign w:val="center"/>
          </w:tcPr>
          <w:p w14:paraId="551B9F6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硒</w:t>
            </w:r>
          </w:p>
        </w:tc>
        <w:tc>
          <w:tcPr>
            <w:tcW w:w="365" w:type="pct"/>
            <w:tcBorders>
              <w:tl2br w:val="nil"/>
              <w:tr2bl w:val="nil"/>
            </w:tcBorders>
            <w:shd w:val="clear" w:color="auto" w:fill="auto"/>
            <w:tcMar>
              <w:top w:w="0" w:type="dxa"/>
              <w:left w:w="17" w:type="dxa"/>
              <w:bottom w:w="0" w:type="dxa"/>
              <w:right w:w="17" w:type="dxa"/>
            </w:tcMar>
            <w:vAlign w:val="center"/>
          </w:tcPr>
          <w:p w14:paraId="455DB7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氟化物</w:t>
            </w:r>
          </w:p>
        </w:tc>
        <w:tc>
          <w:tcPr>
            <w:tcW w:w="374" w:type="pct"/>
            <w:tcBorders>
              <w:tl2br w:val="nil"/>
              <w:tr2bl w:val="nil"/>
            </w:tcBorders>
            <w:shd w:val="clear" w:color="auto" w:fill="auto"/>
            <w:tcMar>
              <w:top w:w="0" w:type="dxa"/>
              <w:left w:w="17" w:type="dxa"/>
              <w:bottom w:w="0" w:type="dxa"/>
              <w:right w:w="17" w:type="dxa"/>
            </w:tcMar>
            <w:vAlign w:val="center"/>
          </w:tcPr>
          <w:p w14:paraId="795C8E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硫化物</w:t>
            </w:r>
          </w:p>
        </w:tc>
        <w:tc>
          <w:tcPr>
            <w:tcW w:w="320" w:type="pct"/>
            <w:tcBorders>
              <w:tl2br w:val="nil"/>
              <w:tr2bl w:val="nil"/>
            </w:tcBorders>
            <w:shd w:val="clear" w:color="auto" w:fill="auto"/>
            <w:tcMar>
              <w:top w:w="0" w:type="dxa"/>
              <w:left w:w="17" w:type="dxa"/>
              <w:bottom w:w="0" w:type="dxa"/>
              <w:right w:w="17" w:type="dxa"/>
            </w:tcMar>
            <w:vAlign w:val="center"/>
          </w:tcPr>
          <w:p w14:paraId="453F742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银</w:t>
            </w:r>
          </w:p>
        </w:tc>
        <w:tc>
          <w:tcPr>
            <w:tcW w:w="375" w:type="pct"/>
            <w:tcBorders>
              <w:tl2br w:val="nil"/>
              <w:tr2bl w:val="nil"/>
            </w:tcBorders>
            <w:shd w:val="clear" w:color="auto" w:fill="auto"/>
            <w:tcMar>
              <w:top w:w="0" w:type="dxa"/>
              <w:left w:w="17" w:type="dxa"/>
              <w:bottom w:w="0" w:type="dxa"/>
              <w:right w:w="17" w:type="dxa"/>
            </w:tcMar>
            <w:vAlign w:val="center"/>
          </w:tcPr>
          <w:p w14:paraId="242D7A1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钒</w:t>
            </w:r>
          </w:p>
        </w:tc>
        <w:tc>
          <w:tcPr>
            <w:tcW w:w="320" w:type="pct"/>
            <w:tcBorders>
              <w:tl2br w:val="nil"/>
              <w:tr2bl w:val="nil"/>
            </w:tcBorders>
            <w:shd w:val="clear" w:color="auto" w:fill="auto"/>
            <w:tcMar>
              <w:top w:w="0" w:type="dxa"/>
              <w:left w:w="17" w:type="dxa"/>
              <w:bottom w:w="0" w:type="dxa"/>
              <w:right w:w="17" w:type="dxa"/>
            </w:tcMar>
            <w:vAlign w:val="center"/>
          </w:tcPr>
          <w:p w14:paraId="5C8A8E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0D8D7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CDADB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3D584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05DCB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4678E9E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5C2D1F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1B24D8E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23C1094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28F691C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16" w:type="pct"/>
            <w:tcBorders>
              <w:tl2br w:val="nil"/>
              <w:tr2bl w:val="nil"/>
            </w:tcBorders>
            <w:shd w:val="clear" w:color="auto" w:fill="auto"/>
            <w:tcMar>
              <w:top w:w="0" w:type="dxa"/>
              <w:left w:w="17" w:type="dxa"/>
              <w:bottom w:w="0" w:type="dxa"/>
              <w:right w:w="17" w:type="dxa"/>
            </w:tcMar>
            <w:vAlign w:val="center"/>
          </w:tcPr>
          <w:p w14:paraId="6C6A69D8">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539</w:t>
            </w:r>
          </w:p>
        </w:tc>
        <w:tc>
          <w:tcPr>
            <w:tcW w:w="312" w:type="pct"/>
            <w:tcBorders>
              <w:tl2br w:val="nil"/>
              <w:tr2bl w:val="nil"/>
            </w:tcBorders>
            <w:shd w:val="clear" w:color="auto" w:fill="auto"/>
            <w:tcMar>
              <w:top w:w="0" w:type="dxa"/>
              <w:left w:w="17" w:type="dxa"/>
              <w:bottom w:w="0" w:type="dxa"/>
              <w:right w:w="17" w:type="dxa"/>
            </w:tcMar>
            <w:vAlign w:val="center"/>
          </w:tcPr>
          <w:p w14:paraId="5A3ED13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6C25C98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0.35</w:t>
            </w:r>
          </w:p>
        </w:tc>
        <w:tc>
          <w:tcPr>
            <w:tcW w:w="374" w:type="pct"/>
            <w:tcBorders>
              <w:tl2br w:val="nil"/>
              <w:tr2bl w:val="nil"/>
            </w:tcBorders>
            <w:shd w:val="clear" w:color="auto" w:fill="auto"/>
            <w:tcMar>
              <w:top w:w="0" w:type="dxa"/>
              <w:left w:w="17" w:type="dxa"/>
              <w:bottom w:w="0" w:type="dxa"/>
              <w:right w:w="17" w:type="dxa"/>
            </w:tcMar>
            <w:vAlign w:val="center"/>
          </w:tcPr>
          <w:p w14:paraId="7C0F329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2F5489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266CC9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0.000038L</w:t>
            </w:r>
          </w:p>
        </w:tc>
        <w:tc>
          <w:tcPr>
            <w:tcW w:w="320" w:type="pct"/>
            <w:tcBorders>
              <w:tl2br w:val="nil"/>
              <w:tr2bl w:val="nil"/>
            </w:tcBorders>
            <w:shd w:val="clear" w:color="auto" w:fill="auto"/>
            <w:tcMar>
              <w:top w:w="0" w:type="dxa"/>
              <w:left w:w="17" w:type="dxa"/>
              <w:bottom w:w="0" w:type="dxa"/>
              <w:right w:w="17" w:type="dxa"/>
            </w:tcMar>
            <w:vAlign w:val="center"/>
          </w:tcPr>
          <w:p w14:paraId="5252AD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26DDD5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16F97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34EBB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C9D2A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45B17E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698393D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2F0848D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7B66DE5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7D8B068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0.002</w:t>
            </w:r>
          </w:p>
        </w:tc>
        <w:tc>
          <w:tcPr>
            <w:tcW w:w="316" w:type="pct"/>
            <w:tcBorders>
              <w:tl2br w:val="nil"/>
              <w:tr2bl w:val="nil"/>
            </w:tcBorders>
            <w:shd w:val="clear" w:color="auto" w:fill="auto"/>
            <w:tcMar>
              <w:top w:w="0" w:type="dxa"/>
              <w:left w:w="17" w:type="dxa"/>
              <w:bottom w:w="0" w:type="dxa"/>
              <w:right w:w="17" w:type="dxa"/>
            </w:tcMar>
            <w:vAlign w:val="center"/>
          </w:tcPr>
          <w:p w14:paraId="0D8917C9">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0.191</w:t>
            </w:r>
          </w:p>
        </w:tc>
        <w:tc>
          <w:tcPr>
            <w:tcW w:w="312" w:type="pct"/>
            <w:tcBorders>
              <w:tl2br w:val="nil"/>
              <w:tr2bl w:val="nil"/>
            </w:tcBorders>
            <w:shd w:val="clear" w:color="auto" w:fill="auto"/>
            <w:tcMar>
              <w:top w:w="0" w:type="dxa"/>
              <w:left w:w="17" w:type="dxa"/>
              <w:bottom w:w="0" w:type="dxa"/>
              <w:right w:w="17" w:type="dxa"/>
            </w:tcMar>
            <w:vAlign w:val="center"/>
          </w:tcPr>
          <w:p w14:paraId="339FE75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02B3C9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0.47</w:t>
            </w:r>
          </w:p>
        </w:tc>
        <w:tc>
          <w:tcPr>
            <w:tcW w:w="374" w:type="pct"/>
            <w:tcBorders>
              <w:tl2br w:val="nil"/>
              <w:tr2bl w:val="nil"/>
            </w:tcBorders>
            <w:shd w:val="clear" w:color="auto" w:fill="auto"/>
            <w:tcMar>
              <w:top w:w="0" w:type="dxa"/>
              <w:left w:w="17" w:type="dxa"/>
              <w:bottom w:w="0" w:type="dxa"/>
              <w:right w:w="17" w:type="dxa"/>
            </w:tcMar>
            <w:vAlign w:val="center"/>
          </w:tcPr>
          <w:p w14:paraId="5F4C38A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0A1ABA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7959CA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0.000038L</w:t>
            </w:r>
          </w:p>
        </w:tc>
        <w:tc>
          <w:tcPr>
            <w:tcW w:w="320" w:type="pct"/>
            <w:tcBorders>
              <w:tl2br w:val="nil"/>
              <w:tr2bl w:val="nil"/>
            </w:tcBorders>
            <w:shd w:val="clear" w:color="auto" w:fill="auto"/>
            <w:tcMar>
              <w:top w:w="0" w:type="dxa"/>
              <w:left w:w="17" w:type="dxa"/>
              <w:bottom w:w="0" w:type="dxa"/>
              <w:right w:w="17" w:type="dxa"/>
            </w:tcMar>
            <w:vAlign w:val="center"/>
          </w:tcPr>
          <w:p w14:paraId="6111DC6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411BCD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079F7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35404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1D186E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4E3ED08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3EE619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25CE226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4F193C0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440565D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16" w:type="pct"/>
            <w:tcBorders>
              <w:tl2br w:val="nil"/>
              <w:tr2bl w:val="nil"/>
            </w:tcBorders>
            <w:shd w:val="clear" w:color="auto" w:fill="auto"/>
            <w:tcMar>
              <w:top w:w="0" w:type="dxa"/>
              <w:left w:w="17" w:type="dxa"/>
              <w:bottom w:w="0" w:type="dxa"/>
              <w:right w:w="17" w:type="dxa"/>
            </w:tcMar>
            <w:vAlign w:val="center"/>
          </w:tcPr>
          <w:p w14:paraId="1AD4C7A1">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0.0117</w:t>
            </w:r>
          </w:p>
        </w:tc>
        <w:tc>
          <w:tcPr>
            <w:tcW w:w="312" w:type="pct"/>
            <w:tcBorders>
              <w:tl2br w:val="nil"/>
              <w:tr2bl w:val="nil"/>
            </w:tcBorders>
            <w:shd w:val="clear" w:color="auto" w:fill="auto"/>
            <w:tcMar>
              <w:top w:w="0" w:type="dxa"/>
              <w:left w:w="17" w:type="dxa"/>
              <w:bottom w:w="0" w:type="dxa"/>
              <w:right w:w="17" w:type="dxa"/>
            </w:tcMar>
            <w:vAlign w:val="center"/>
          </w:tcPr>
          <w:p w14:paraId="476D3B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478C67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0.26</w:t>
            </w:r>
          </w:p>
        </w:tc>
        <w:tc>
          <w:tcPr>
            <w:tcW w:w="374" w:type="pct"/>
            <w:tcBorders>
              <w:tl2br w:val="nil"/>
              <w:tr2bl w:val="nil"/>
            </w:tcBorders>
            <w:shd w:val="clear" w:color="auto" w:fill="auto"/>
            <w:tcMar>
              <w:top w:w="0" w:type="dxa"/>
              <w:left w:w="17" w:type="dxa"/>
              <w:bottom w:w="0" w:type="dxa"/>
              <w:right w:w="17" w:type="dxa"/>
            </w:tcMar>
            <w:vAlign w:val="center"/>
          </w:tcPr>
          <w:p w14:paraId="706F53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5E5AD68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104EAB2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0.00027</w:t>
            </w:r>
          </w:p>
        </w:tc>
        <w:tc>
          <w:tcPr>
            <w:tcW w:w="320" w:type="pct"/>
            <w:tcBorders>
              <w:tl2br w:val="nil"/>
              <w:tr2bl w:val="nil"/>
            </w:tcBorders>
            <w:shd w:val="clear" w:color="auto" w:fill="auto"/>
            <w:tcMar>
              <w:top w:w="0" w:type="dxa"/>
              <w:left w:w="17" w:type="dxa"/>
              <w:bottom w:w="0" w:type="dxa"/>
              <w:right w:w="17" w:type="dxa"/>
            </w:tcMar>
            <w:vAlign w:val="center"/>
          </w:tcPr>
          <w:p w14:paraId="0784B71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37C542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0A4AC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082B4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6AA01E8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4F864FB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53FD9D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3DD3DF9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2EFB0E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36B3A91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16" w:type="pct"/>
            <w:tcBorders>
              <w:tl2br w:val="nil"/>
              <w:tr2bl w:val="nil"/>
            </w:tcBorders>
            <w:shd w:val="clear" w:color="auto" w:fill="auto"/>
            <w:tcMar>
              <w:top w:w="0" w:type="dxa"/>
              <w:left w:w="17" w:type="dxa"/>
              <w:bottom w:w="0" w:type="dxa"/>
              <w:right w:w="17" w:type="dxa"/>
            </w:tcMar>
            <w:vAlign w:val="center"/>
          </w:tcPr>
          <w:p w14:paraId="2D3EF0AA">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0.0981</w:t>
            </w:r>
          </w:p>
        </w:tc>
        <w:tc>
          <w:tcPr>
            <w:tcW w:w="312" w:type="pct"/>
            <w:tcBorders>
              <w:tl2br w:val="nil"/>
              <w:tr2bl w:val="nil"/>
            </w:tcBorders>
            <w:shd w:val="clear" w:color="auto" w:fill="auto"/>
            <w:tcMar>
              <w:top w:w="0" w:type="dxa"/>
              <w:left w:w="17" w:type="dxa"/>
              <w:bottom w:w="0" w:type="dxa"/>
              <w:right w:w="17" w:type="dxa"/>
            </w:tcMar>
            <w:vAlign w:val="center"/>
          </w:tcPr>
          <w:p w14:paraId="1E2D2F6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1776A48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0.44</w:t>
            </w:r>
          </w:p>
        </w:tc>
        <w:tc>
          <w:tcPr>
            <w:tcW w:w="374" w:type="pct"/>
            <w:tcBorders>
              <w:tl2br w:val="nil"/>
              <w:tr2bl w:val="nil"/>
            </w:tcBorders>
            <w:shd w:val="clear" w:color="auto" w:fill="auto"/>
            <w:tcMar>
              <w:top w:w="0" w:type="dxa"/>
              <w:left w:w="17" w:type="dxa"/>
              <w:bottom w:w="0" w:type="dxa"/>
              <w:right w:w="17" w:type="dxa"/>
            </w:tcMar>
            <w:vAlign w:val="center"/>
          </w:tcPr>
          <w:p w14:paraId="4B49EA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37E22FA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6A1BBC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0.000038L</w:t>
            </w:r>
          </w:p>
        </w:tc>
        <w:tc>
          <w:tcPr>
            <w:tcW w:w="320" w:type="pct"/>
            <w:tcBorders>
              <w:tl2br w:val="nil"/>
              <w:tr2bl w:val="nil"/>
            </w:tcBorders>
            <w:shd w:val="clear" w:color="auto" w:fill="auto"/>
            <w:tcMar>
              <w:top w:w="0" w:type="dxa"/>
              <w:left w:w="17" w:type="dxa"/>
              <w:bottom w:w="0" w:type="dxa"/>
              <w:right w:w="17" w:type="dxa"/>
            </w:tcMar>
            <w:vAlign w:val="center"/>
          </w:tcPr>
          <w:p w14:paraId="7010468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FEC92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33F25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49AB6A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764EF7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04C0DC9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688D6AA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0BA0B6E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2853143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233AA6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16" w:type="pct"/>
            <w:tcBorders>
              <w:tl2br w:val="nil"/>
              <w:tr2bl w:val="nil"/>
            </w:tcBorders>
            <w:shd w:val="clear" w:color="auto" w:fill="auto"/>
            <w:tcMar>
              <w:top w:w="0" w:type="dxa"/>
              <w:left w:w="17" w:type="dxa"/>
              <w:bottom w:w="0" w:type="dxa"/>
              <w:right w:w="17" w:type="dxa"/>
            </w:tcMar>
            <w:vAlign w:val="center"/>
          </w:tcPr>
          <w:p w14:paraId="5B7A1CE0">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0.0981</w:t>
            </w:r>
          </w:p>
        </w:tc>
        <w:tc>
          <w:tcPr>
            <w:tcW w:w="312" w:type="pct"/>
            <w:tcBorders>
              <w:tl2br w:val="nil"/>
              <w:tr2bl w:val="nil"/>
            </w:tcBorders>
            <w:shd w:val="clear" w:color="auto" w:fill="auto"/>
            <w:tcMar>
              <w:top w:w="0" w:type="dxa"/>
              <w:left w:w="17" w:type="dxa"/>
              <w:bottom w:w="0" w:type="dxa"/>
              <w:right w:w="17" w:type="dxa"/>
            </w:tcMar>
            <w:vAlign w:val="center"/>
          </w:tcPr>
          <w:p w14:paraId="3D00EB9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61207C3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0.44</w:t>
            </w:r>
          </w:p>
        </w:tc>
        <w:tc>
          <w:tcPr>
            <w:tcW w:w="374" w:type="pct"/>
            <w:tcBorders>
              <w:tl2br w:val="nil"/>
              <w:tr2bl w:val="nil"/>
            </w:tcBorders>
            <w:shd w:val="clear" w:color="auto" w:fill="auto"/>
            <w:tcMar>
              <w:top w:w="0" w:type="dxa"/>
              <w:left w:w="17" w:type="dxa"/>
              <w:bottom w:w="0" w:type="dxa"/>
              <w:right w:w="17" w:type="dxa"/>
            </w:tcMar>
            <w:vAlign w:val="center"/>
          </w:tcPr>
          <w:p w14:paraId="1081D68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72193E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43AE0A0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0.000038L</w:t>
            </w:r>
          </w:p>
        </w:tc>
        <w:tc>
          <w:tcPr>
            <w:tcW w:w="320" w:type="pct"/>
            <w:tcBorders>
              <w:tl2br w:val="nil"/>
              <w:tr2bl w:val="nil"/>
            </w:tcBorders>
            <w:shd w:val="clear" w:color="auto" w:fill="auto"/>
            <w:tcMar>
              <w:top w:w="0" w:type="dxa"/>
              <w:left w:w="17" w:type="dxa"/>
              <w:bottom w:w="0" w:type="dxa"/>
              <w:right w:w="17" w:type="dxa"/>
            </w:tcMar>
            <w:vAlign w:val="center"/>
          </w:tcPr>
          <w:p w14:paraId="576C322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69C365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2042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473722A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5AFB9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5B4B9B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CC6B4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BB8B2E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C5B85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2D5378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7AC4C0E5">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0.0325</w:t>
            </w:r>
          </w:p>
        </w:tc>
        <w:tc>
          <w:tcPr>
            <w:tcW w:w="312" w:type="pct"/>
            <w:tcBorders>
              <w:tl2br w:val="nil"/>
              <w:tr2bl w:val="nil"/>
            </w:tcBorders>
            <w:shd w:val="clear" w:color="auto" w:fill="auto"/>
            <w:tcMar>
              <w:top w:w="0" w:type="dxa"/>
              <w:left w:w="17" w:type="dxa"/>
              <w:bottom w:w="0" w:type="dxa"/>
              <w:right w:w="17" w:type="dxa"/>
            </w:tcMar>
            <w:vAlign w:val="center"/>
          </w:tcPr>
          <w:p w14:paraId="3AD3173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6A477F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65AFFE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A5363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17377E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3C9697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CBBF3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45EFF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5CBF6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C7D19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5131C4A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1E5C3F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95E2F4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66F818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BF8E6D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2538578">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0.145</w:t>
            </w:r>
          </w:p>
        </w:tc>
        <w:tc>
          <w:tcPr>
            <w:tcW w:w="312" w:type="pct"/>
            <w:tcBorders>
              <w:tl2br w:val="nil"/>
              <w:tr2bl w:val="nil"/>
            </w:tcBorders>
            <w:shd w:val="clear" w:color="auto" w:fill="auto"/>
            <w:tcMar>
              <w:top w:w="0" w:type="dxa"/>
              <w:left w:w="17" w:type="dxa"/>
              <w:bottom w:w="0" w:type="dxa"/>
              <w:right w:w="17" w:type="dxa"/>
            </w:tcMar>
            <w:vAlign w:val="center"/>
          </w:tcPr>
          <w:p w14:paraId="26EBBB1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DB183E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6B0620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30B3F5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A9689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FE9CDB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25EC8F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25B7F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F972B7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720658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67B7545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742D35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C1BA9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8FD890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DACCA0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D387191">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0.0170</w:t>
            </w:r>
          </w:p>
        </w:tc>
        <w:tc>
          <w:tcPr>
            <w:tcW w:w="312" w:type="pct"/>
            <w:tcBorders>
              <w:tl2br w:val="nil"/>
              <w:tr2bl w:val="nil"/>
            </w:tcBorders>
            <w:shd w:val="clear" w:color="auto" w:fill="auto"/>
            <w:tcMar>
              <w:top w:w="0" w:type="dxa"/>
              <w:left w:w="17" w:type="dxa"/>
              <w:bottom w:w="0" w:type="dxa"/>
              <w:right w:w="17" w:type="dxa"/>
            </w:tcMar>
            <w:vAlign w:val="center"/>
          </w:tcPr>
          <w:p w14:paraId="7DA6009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E79986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903212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5AB131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A4E247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353D5B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93DBF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5E77D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3BB65A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28AE2D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4AA6C32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AA5DF2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0CD8BD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374F62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ED35BD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2362CD25">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0.0292</w:t>
            </w:r>
          </w:p>
        </w:tc>
        <w:tc>
          <w:tcPr>
            <w:tcW w:w="312" w:type="pct"/>
            <w:tcBorders>
              <w:tl2br w:val="nil"/>
              <w:tr2bl w:val="nil"/>
            </w:tcBorders>
            <w:shd w:val="clear" w:color="auto" w:fill="auto"/>
            <w:tcMar>
              <w:top w:w="0" w:type="dxa"/>
              <w:left w:w="17" w:type="dxa"/>
              <w:bottom w:w="0" w:type="dxa"/>
              <w:right w:w="17" w:type="dxa"/>
            </w:tcMar>
            <w:vAlign w:val="center"/>
          </w:tcPr>
          <w:p w14:paraId="70D07F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D9256B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3A31B1F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D6FA25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173441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6AB6D5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E8332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9289D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930D8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9EEF6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1F8559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6807F01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BABA90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85F0B6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E186A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82791BF">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0.0042</w:t>
            </w:r>
          </w:p>
        </w:tc>
        <w:tc>
          <w:tcPr>
            <w:tcW w:w="312" w:type="pct"/>
            <w:tcBorders>
              <w:tl2br w:val="nil"/>
              <w:tr2bl w:val="nil"/>
            </w:tcBorders>
            <w:shd w:val="clear" w:color="auto" w:fill="auto"/>
            <w:tcMar>
              <w:top w:w="0" w:type="dxa"/>
              <w:left w:w="17" w:type="dxa"/>
              <w:bottom w:w="0" w:type="dxa"/>
              <w:right w:w="17" w:type="dxa"/>
            </w:tcMar>
            <w:vAlign w:val="center"/>
          </w:tcPr>
          <w:p w14:paraId="734AF09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00859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14C2A1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AA457C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737FA6C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650B4B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B7995B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148DF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4C7CC2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533A1DF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7F4FD72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E14761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091855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9DE42B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D61FAE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2CCA86A0">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0.0036</w:t>
            </w:r>
          </w:p>
        </w:tc>
        <w:tc>
          <w:tcPr>
            <w:tcW w:w="312" w:type="pct"/>
            <w:tcBorders>
              <w:tl2br w:val="nil"/>
              <w:tr2bl w:val="nil"/>
            </w:tcBorders>
            <w:shd w:val="clear" w:color="auto" w:fill="auto"/>
            <w:tcMar>
              <w:top w:w="0" w:type="dxa"/>
              <w:left w:w="17" w:type="dxa"/>
              <w:bottom w:w="0" w:type="dxa"/>
              <w:right w:w="17" w:type="dxa"/>
            </w:tcMar>
            <w:vAlign w:val="center"/>
          </w:tcPr>
          <w:p w14:paraId="55C65BE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DE4E1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C4C9F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D5FDF6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317E36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0597B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312B46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2B1AD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19EEE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B9A592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00FC62A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A38D31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BE5005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87D89C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612D07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ABEEBEA">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0.0035</w:t>
            </w:r>
          </w:p>
        </w:tc>
        <w:tc>
          <w:tcPr>
            <w:tcW w:w="312" w:type="pct"/>
            <w:tcBorders>
              <w:tl2br w:val="nil"/>
              <w:tr2bl w:val="nil"/>
            </w:tcBorders>
            <w:shd w:val="clear" w:color="auto" w:fill="auto"/>
            <w:tcMar>
              <w:top w:w="0" w:type="dxa"/>
              <w:left w:w="17" w:type="dxa"/>
              <w:bottom w:w="0" w:type="dxa"/>
              <w:right w:w="17" w:type="dxa"/>
            </w:tcMar>
            <w:vAlign w:val="center"/>
          </w:tcPr>
          <w:p w14:paraId="4FFDDC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926E3C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BD1DE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D13A55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0BAA11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F52D1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056A5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0907A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B60F6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5D8560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7BDDDAA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11" w:type="pct"/>
            <w:tcBorders>
              <w:tl2br w:val="nil"/>
              <w:tr2bl w:val="nil"/>
            </w:tcBorders>
            <w:shd w:val="clear" w:color="auto" w:fill="auto"/>
            <w:tcMar>
              <w:top w:w="0" w:type="dxa"/>
              <w:left w:w="17" w:type="dxa"/>
              <w:bottom w:w="0" w:type="dxa"/>
              <w:right w:w="17" w:type="dxa"/>
            </w:tcMar>
            <w:vAlign w:val="center"/>
          </w:tcPr>
          <w:p w14:paraId="287CC3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0.02</w:t>
            </w:r>
          </w:p>
        </w:tc>
        <w:tc>
          <w:tcPr>
            <w:tcW w:w="364" w:type="pct"/>
            <w:tcBorders>
              <w:tl2br w:val="nil"/>
              <w:tr2bl w:val="nil"/>
            </w:tcBorders>
            <w:shd w:val="clear" w:color="auto" w:fill="auto"/>
            <w:tcMar>
              <w:top w:w="0" w:type="dxa"/>
              <w:left w:w="17" w:type="dxa"/>
              <w:bottom w:w="0" w:type="dxa"/>
              <w:right w:w="17" w:type="dxa"/>
            </w:tcMar>
            <w:vAlign w:val="center"/>
          </w:tcPr>
          <w:p w14:paraId="47A2B4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64" w:type="pct"/>
            <w:tcBorders>
              <w:tl2br w:val="nil"/>
              <w:tr2bl w:val="nil"/>
            </w:tcBorders>
            <w:shd w:val="clear" w:color="auto" w:fill="auto"/>
            <w:tcMar>
              <w:top w:w="0" w:type="dxa"/>
              <w:left w:w="17" w:type="dxa"/>
              <w:bottom w:w="0" w:type="dxa"/>
              <w:right w:w="17" w:type="dxa"/>
            </w:tcMar>
            <w:vAlign w:val="center"/>
          </w:tcPr>
          <w:p w14:paraId="4F22C22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0.0001</w:t>
            </w:r>
          </w:p>
        </w:tc>
        <w:tc>
          <w:tcPr>
            <w:tcW w:w="365" w:type="pct"/>
            <w:tcBorders>
              <w:tl2br w:val="nil"/>
              <w:tr2bl w:val="nil"/>
            </w:tcBorders>
            <w:shd w:val="clear" w:color="auto" w:fill="auto"/>
            <w:tcMar>
              <w:top w:w="0" w:type="dxa"/>
              <w:left w:w="17" w:type="dxa"/>
              <w:bottom w:w="0" w:type="dxa"/>
              <w:right w:w="17" w:type="dxa"/>
            </w:tcMar>
            <w:vAlign w:val="center"/>
          </w:tcPr>
          <w:p w14:paraId="77415B7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16" w:type="pct"/>
            <w:tcBorders>
              <w:tl2br w:val="nil"/>
              <w:tr2bl w:val="nil"/>
            </w:tcBorders>
            <w:shd w:val="clear" w:color="auto" w:fill="auto"/>
            <w:tcMar>
              <w:top w:w="0" w:type="dxa"/>
              <w:left w:w="17" w:type="dxa"/>
              <w:bottom w:w="0" w:type="dxa"/>
              <w:right w:w="17" w:type="dxa"/>
            </w:tcMar>
            <w:vAlign w:val="center"/>
          </w:tcPr>
          <w:p w14:paraId="378B648F">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0.005</w:t>
            </w:r>
          </w:p>
        </w:tc>
        <w:tc>
          <w:tcPr>
            <w:tcW w:w="312" w:type="pct"/>
            <w:tcBorders>
              <w:tl2br w:val="nil"/>
              <w:tr2bl w:val="nil"/>
            </w:tcBorders>
            <w:shd w:val="clear" w:color="auto" w:fill="auto"/>
            <w:tcMar>
              <w:top w:w="0" w:type="dxa"/>
              <w:left w:w="17" w:type="dxa"/>
              <w:bottom w:w="0" w:type="dxa"/>
              <w:right w:w="17" w:type="dxa"/>
            </w:tcMar>
            <w:vAlign w:val="center"/>
          </w:tcPr>
          <w:p w14:paraId="307B5B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1798FE3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74" w:type="pct"/>
            <w:tcBorders>
              <w:tl2br w:val="nil"/>
              <w:tr2bl w:val="nil"/>
            </w:tcBorders>
            <w:shd w:val="clear" w:color="auto" w:fill="auto"/>
            <w:tcMar>
              <w:top w:w="0" w:type="dxa"/>
              <w:left w:w="17" w:type="dxa"/>
              <w:bottom w:w="0" w:type="dxa"/>
              <w:right w:w="17" w:type="dxa"/>
            </w:tcMar>
            <w:vAlign w:val="center"/>
          </w:tcPr>
          <w:p w14:paraId="292B85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w:t>
            </w:r>
          </w:p>
        </w:tc>
        <w:tc>
          <w:tcPr>
            <w:tcW w:w="320" w:type="pct"/>
            <w:tcBorders>
              <w:tl2br w:val="nil"/>
              <w:tr2bl w:val="nil"/>
            </w:tcBorders>
            <w:shd w:val="clear" w:color="auto" w:fill="auto"/>
            <w:tcMar>
              <w:top w:w="0" w:type="dxa"/>
              <w:left w:w="17" w:type="dxa"/>
              <w:bottom w:w="0" w:type="dxa"/>
              <w:right w:w="17" w:type="dxa"/>
            </w:tcMar>
            <w:vAlign w:val="center"/>
          </w:tcPr>
          <w:p w14:paraId="21C1878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75" w:type="pct"/>
            <w:tcBorders>
              <w:tl2br w:val="nil"/>
              <w:tr2bl w:val="nil"/>
            </w:tcBorders>
            <w:shd w:val="clear" w:color="auto" w:fill="auto"/>
            <w:tcMar>
              <w:top w:w="0" w:type="dxa"/>
              <w:left w:w="17" w:type="dxa"/>
              <w:bottom w:w="0" w:type="dxa"/>
              <w:right w:w="17" w:type="dxa"/>
            </w:tcMar>
            <w:vAlign w:val="center"/>
          </w:tcPr>
          <w:p w14:paraId="473C7B0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20" w:type="pct"/>
            <w:tcBorders>
              <w:tl2br w:val="nil"/>
              <w:tr2bl w:val="nil"/>
            </w:tcBorders>
            <w:shd w:val="clear" w:color="auto" w:fill="auto"/>
            <w:tcMar>
              <w:top w:w="0" w:type="dxa"/>
              <w:left w:w="17" w:type="dxa"/>
              <w:bottom w:w="0" w:type="dxa"/>
              <w:right w:w="17" w:type="dxa"/>
            </w:tcMar>
            <w:vAlign w:val="center"/>
          </w:tcPr>
          <w:p w14:paraId="1B81450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1400F8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67A0A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restart"/>
            <w:tcBorders>
              <w:tl2br w:val="nil"/>
              <w:tr2bl w:val="nil"/>
            </w:tcBorders>
            <w:shd w:val="clear" w:color="auto" w:fill="auto"/>
            <w:tcMar>
              <w:top w:w="0" w:type="dxa"/>
              <w:left w:w="17" w:type="dxa"/>
              <w:bottom w:w="0" w:type="dxa"/>
              <w:right w:w="17" w:type="dxa"/>
            </w:tcMar>
            <w:vAlign w:val="center"/>
          </w:tcPr>
          <w:p w14:paraId="3C8615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第</w:t>
            </w:r>
            <w:r>
              <w:rPr>
                <w:rFonts w:hint="eastAsia"/>
                <w:color w:val="auto"/>
                <w:highlight w:val="none"/>
                <w:lang w:val="en-US" w:eastAsia="zh-CN"/>
              </w:rPr>
              <w:t>三</w:t>
            </w:r>
            <w:r>
              <w:rPr>
                <w:rFonts w:hint="default"/>
                <w:color w:val="auto"/>
                <w:highlight w:val="none"/>
                <w:lang w:val="en-US" w:eastAsia="zh-CN"/>
              </w:rPr>
              <w:t>天</w:t>
            </w:r>
          </w:p>
        </w:tc>
        <w:tc>
          <w:tcPr>
            <w:tcW w:w="239" w:type="pct"/>
            <w:tcBorders>
              <w:tl2br w:val="nil"/>
              <w:tr2bl w:val="nil"/>
            </w:tcBorders>
            <w:shd w:val="clear" w:color="auto" w:fill="auto"/>
            <w:tcMar>
              <w:top w:w="0" w:type="dxa"/>
              <w:left w:w="17" w:type="dxa"/>
              <w:bottom w:w="0" w:type="dxa"/>
              <w:right w:w="17" w:type="dxa"/>
            </w:tcMar>
            <w:vAlign w:val="center"/>
          </w:tcPr>
          <w:p w14:paraId="103CC0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因子</w:t>
            </w:r>
          </w:p>
        </w:tc>
        <w:tc>
          <w:tcPr>
            <w:tcW w:w="364" w:type="pct"/>
            <w:tcBorders>
              <w:tl2br w:val="nil"/>
              <w:tr2bl w:val="nil"/>
            </w:tcBorders>
            <w:shd w:val="clear" w:color="auto" w:fill="auto"/>
            <w:tcMar>
              <w:top w:w="0" w:type="dxa"/>
              <w:left w:w="17" w:type="dxa"/>
              <w:bottom w:w="0" w:type="dxa"/>
              <w:right w:w="17" w:type="dxa"/>
            </w:tcMar>
            <w:vAlign w:val="center"/>
          </w:tcPr>
          <w:p w14:paraId="1984D6D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pH值</w:t>
            </w:r>
          </w:p>
        </w:tc>
        <w:tc>
          <w:tcPr>
            <w:tcW w:w="311" w:type="pct"/>
            <w:tcBorders>
              <w:tl2br w:val="nil"/>
              <w:tr2bl w:val="nil"/>
            </w:tcBorders>
            <w:shd w:val="clear" w:color="auto" w:fill="auto"/>
            <w:tcMar>
              <w:top w:w="0" w:type="dxa"/>
              <w:left w:w="17" w:type="dxa"/>
              <w:bottom w:w="0" w:type="dxa"/>
              <w:right w:w="17" w:type="dxa"/>
            </w:tcMar>
            <w:vAlign w:val="center"/>
          </w:tcPr>
          <w:p w14:paraId="152D21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CODCr</w:t>
            </w:r>
          </w:p>
        </w:tc>
        <w:tc>
          <w:tcPr>
            <w:tcW w:w="364" w:type="pct"/>
            <w:tcBorders>
              <w:tl2br w:val="nil"/>
              <w:tr2bl w:val="nil"/>
            </w:tcBorders>
            <w:shd w:val="clear" w:color="auto" w:fill="auto"/>
            <w:tcMar>
              <w:top w:w="0" w:type="dxa"/>
              <w:left w:w="17" w:type="dxa"/>
              <w:bottom w:w="0" w:type="dxa"/>
              <w:right w:w="17" w:type="dxa"/>
            </w:tcMar>
            <w:vAlign w:val="center"/>
          </w:tcPr>
          <w:p w14:paraId="1DB11A6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氨氮</w:t>
            </w:r>
          </w:p>
        </w:tc>
        <w:tc>
          <w:tcPr>
            <w:tcW w:w="364" w:type="pct"/>
            <w:tcBorders>
              <w:tl2br w:val="nil"/>
              <w:tr2bl w:val="nil"/>
            </w:tcBorders>
            <w:shd w:val="clear" w:color="auto" w:fill="auto"/>
            <w:tcMar>
              <w:top w:w="0" w:type="dxa"/>
              <w:left w:w="17" w:type="dxa"/>
              <w:bottom w:w="0" w:type="dxa"/>
              <w:right w:w="17" w:type="dxa"/>
            </w:tcMar>
            <w:vAlign w:val="center"/>
          </w:tcPr>
          <w:p w14:paraId="1FDC77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总磷</w:t>
            </w:r>
          </w:p>
        </w:tc>
        <w:tc>
          <w:tcPr>
            <w:tcW w:w="365" w:type="pct"/>
            <w:tcBorders>
              <w:tl2br w:val="nil"/>
              <w:tr2bl w:val="nil"/>
            </w:tcBorders>
            <w:shd w:val="clear" w:color="auto" w:fill="auto"/>
            <w:tcMar>
              <w:top w:w="0" w:type="dxa"/>
              <w:left w:w="17" w:type="dxa"/>
              <w:bottom w:w="0" w:type="dxa"/>
              <w:right w:w="17" w:type="dxa"/>
            </w:tcMar>
            <w:vAlign w:val="center"/>
          </w:tcPr>
          <w:p w14:paraId="420634A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BOD5</w:t>
            </w:r>
          </w:p>
        </w:tc>
        <w:tc>
          <w:tcPr>
            <w:tcW w:w="316" w:type="pct"/>
            <w:tcBorders>
              <w:tl2br w:val="nil"/>
              <w:tr2bl w:val="nil"/>
            </w:tcBorders>
            <w:shd w:val="clear" w:color="auto" w:fill="auto"/>
            <w:tcMar>
              <w:top w:w="0" w:type="dxa"/>
              <w:left w:w="17" w:type="dxa"/>
              <w:bottom w:w="0" w:type="dxa"/>
              <w:right w:w="17" w:type="dxa"/>
            </w:tcMar>
            <w:vAlign w:val="center"/>
          </w:tcPr>
          <w:p w14:paraId="2121F9B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悬浮物</w:t>
            </w:r>
          </w:p>
        </w:tc>
        <w:tc>
          <w:tcPr>
            <w:tcW w:w="312" w:type="pct"/>
            <w:tcBorders>
              <w:tl2br w:val="nil"/>
              <w:tr2bl w:val="nil"/>
            </w:tcBorders>
            <w:shd w:val="clear" w:color="auto" w:fill="auto"/>
            <w:tcMar>
              <w:top w:w="0" w:type="dxa"/>
              <w:left w:w="17" w:type="dxa"/>
              <w:bottom w:w="0" w:type="dxa"/>
              <w:right w:w="17" w:type="dxa"/>
            </w:tcMar>
            <w:vAlign w:val="center"/>
          </w:tcPr>
          <w:p w14:paraId="63FFD8C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石油类</w:t>
            </w:r>
          </w:p>
        </w:tc>
        <w:tc>
          <w:tcPr>
            <w:tcW w:w="365" w:type="pct"/>
            <w:tcBorders>
              <w:tl2br w:val="nil"/>
              <w:tr2bl w:val="nil"/>
            </w:tcBorders>
            <w:shd w:val="clear" w:color="auto" w:fill="auto"/>
            <w:tcMar>
              <w:top w:w="0" w:type="dxa"/>
              <w:left w:w="17" w:type="dxa"/>
              <w:bottom w:w="0" w:type="dxa"/>
              <w:right w:w="17" w:type="dxa"/>
            </w:tcMar>
            <w:vAlign w:val="center"/>
          </w:tcPr>
          <w:p w14:paraId="0E8F067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挥发酚</w:t>
            </w:r>
          </w:p>
        </w:tc>
        <w:tc>
          <w:tcPr>
            <w:tcW w:w="374" w:type="pct"/>
            <w:tcBorders>
              <w:tl2br w:val="nil"/>
              <w:tr2bl w:val="nil"/>
            </w:tcBorders>
            <w:shd w:val="clear" w:color="auto" w:fill="auto"/>
            <w:tcMar>
              <w:top w:w="0" w:type="dxa"/>
              <w:left w:w="17" w:type="dxa"/>
              <w:bottom w:w="0" w:type="dxa"/>
              <w:right w:w="17" w:type="dxa"/>
            </w:tcMar>
            <w:vAlign w:val="center"/>
          </w:tcPr>
          <w:p w14:paraId="49FAF4F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铅</w:t>
            </w:r>
          </w:p>
        </w:tc>
        <w:tc>
          <w:tcPr>
            <w:tcW w:w="320" w:type="pct"/>
            <w:tcBorders>
              <w:tl2br w:val="nil"/>
              <w:tr2bl w:val="nil"/>
            </w:tcBorders>
            <w:shd w:val="clear" w:color="auto" w:fill="auto"/>
            <w:tcMar>
              <w:top w:w="0" w:type="dxa"/>
              <w:left w:w="17" w:type="dxa"/>
              <w:bottom w:w="0" w:type="dxa"/>
              <w:right w:w="17" w:type="dxa"/>
            </w:tcMar>
            <w:vAlign w:val="center"/>
          </w:tcPr>
          <w:p w14:paraId="77C90C5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镉</w:t>
            </w:r>
          </w:p>
        </w:tc>
        <w:tc>
          <w:tcPr>
            <w:tcW w:w="375" w:type="pct"/>
            <w:tcBorders>
              <w:tl2br w:val="nil"/>
              <w:tr2bl w:val="nil"/>
            </w:tcBorders>
            <w:shd w:val="clear" w:color="auto" w:fill="auto"/>
            <w:tcMar>
              <w:top w:w="0" w:type="dxa"/>
              <w:left w:w="17" w:type="dxa"/>
              <w:bottom w:w="0" w:type="dxa"/>
              <w:right w:w="17" w:type="dxa"/>
            </w:tcMar>
            <w:vAlign w:val="center"/>
          </w:tcPr>
          <w:p w14:paraId="114B86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铬</w:t>
            </w:r>
          </w:p>
        </w:tc>
        <w:tc>
          <w:tcPr>
            <w:tcW w:w="320" w:type="pct"/>
            <w:tcBorders>
              <w:tl2br w:val="nil"/>
              <w:tr2bl w:val="nil"/>
            </w:tcBorders>
            <w:shd w:val="clear" w:color="auto" w:fill="auto"/>
            <w:tcMar>
              <w:top w:w="0" w:type="dxa"/>
              <w:left w:w="17" w:type="dxa"/>
              <w:bottom w:w="0" w:type="dxa"/>
              <w:right w:w="17" w:type="dxa"/>
            </w:tcMar>
            <w:vAlign w:val="center"/>
          </w:tcPr>
          <w:p w14:paraId="7DB8454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铊</w:t>
            </w:r>
          </w:p>
        </w:tc>
        <w:tc>
          <w:tcPr>
            <w:tcW w:w="320" w:type="pct"/>
            <w:tcBorders>
              <w:tl2br w:val="nil"/>
              <w:tr2bl w:val="nil"/>
            </w:tcBorders>
            <w:shd w:val="clear" w:color="auto" w:fill="auto"/>
            <w:tcMar>
              <w:top w:w="0" w:type="dxa"/>
              <w:left w:w="17" w:type="dxa"/>
              <w:bottom w:w="0" w:type="dxa"/>
              <w:right w:w="17" w:type="dxa"/>
            </w:tcMar>
            <w:vAlign w:val="center"/>
          </w:tcPr>
          <w:p w14:paraId="0F5616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锌</w:t>
            </w:r>
          </w:p>
        </w:tc>
      </w:tr>
      <w:tr w14:paraId="5F586A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425648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E6D6B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59E3626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6A84775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9</w:t>
            </w:r>
          </w:p>
        </w:tc>
        <w:tc>
          <w:tcPr>
            <w:tcW w:w="364" w:type="pct"/>
            <w:tcBorders>
              <w:tl2br w:val="nil"/>
              <w:tr2bl w:val="nil"/>
            </w:tcBorders>
            <w:shd w:val="clear" w:color="auto" w:fill="auto"/>
            <w:tcMar>
              <w:top w:w="0" w:type="dxa"/>
              <w:left w:w="17" w:type="dxa"/>
              <w:bottom w:w="0" w:type="dxa"/>
              <w:right w:w="17" w:type="dxa"/>
            </w:tcMar>
            <w:vAlign w:val="center"/>
          </w:tcPr>
          <w:p w14:paraId="5D99646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57</w:t>
            </w:r>
          </w:p>
        </w:tc>
        <w:tc>
          <w:tcPr>
            <w:tcW w:w="364" w:type="pct"/>
            <w:tcBorders>
              <w:tl2br w:val="nil"/>
              <w:tr2bl w:val="nil"/>
            </w:tcBorders>
            <w:shd w:val="clear" w:color="auto" w:fill="auto"/>
            <w:tcMar>
              <w:top w:w="0" w:type="dxa"/>
              <w:left w:w="17" w:type="dxa"/>
              <w:bottom w:w="0" w:type="dxa"/>
              <w:right w:w="17" w:type="dxa"/>
            </w:tcMar>
            <w:vAlign w:val="center"/>
          </w:tcPr>
          <w:p w14:paraId="19FED6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09</w:t>
            </w:r>
          </w:p>
        </w:tc>
        <w:tc>
          <w:tcPr>
            <w:tcW w:w="365" w:type="pct"/>
            <w:tcBorders>
              <w:tl2br w:val="nil"/>
              <w:tr2bl w:val="nil"/>
            </w:tcBorders>
            <w:shd w:val="clear" w:color="auto" w:fill="auto"/>
            <w:tcMar>
              <w:top w:w="0" w:type="dxa"/>
              <w:left w:w="17" w:type="dxa"/>
              <w:bottom w:w="0" w:type="dxa"/>
              <w:right w:w="17" w:type="dxa"/>
            </w:tcMar>
            <w:vAlign w:val="center"/>
          </w:tcPr>
          <w:p w14:paraId="3B73A5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1.8</w:t>
            </w:r>
          </w:p>
        </w:tc>
        <w:tc>
          <w:tcPr>
            <w:tcW w:w="316" w:type="pct"/>
            <w:tcBorders>
              <w:tl2br w:val="nil"/>
              <w:tr2bl w:val="nil"/>
            </w:tcBorders>
            <w:shd w:val="clear" w:color="auto" w:fill="auto"/>
            <w:tcMar>
              <w:top w:w="0" w:type="dxa"/>
              <w:left w:w="17" w:type="dxa"/>
              <w:bottom w:w="0" w:type="dxa"/>
              <w:right w:w="17" w:type="dxa"/>
            </w:tcMar>
            <w:vAlign w:val="center"/>
          </w:tcPr>
          <w:p w14:paraId="3C3218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9</w:t>
            </w:r>
          </w:p>
        </w:tc>
        <w:tc>
          <w:tcPr>
            <w:tcW w:w="312" w:type="pct"/>
            <w:tcBorders>
              <w:tl2br w:val="nil"/>
              <w:tr2bl w:val="nil"/>
            </w:tcBorders>
            <w:shd w:val="clear" w:color="auto" w:fill="auto"/>
            <w:tcMar>
              <w:top w:w="0" w:type="dxa"/>
              <w:left w:w="17" w:type="dxa"/>
              <w:bottom w:w="0" w:type="dxa"/>
              <w:right w:w="17" w:type="dxa"/>
            </w:tcMar>
            <w:vAlign w:val="center"/>
          </w:tcPr>
          <w:p w14:paraId="31464A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5B6F686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417706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78FAF8B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0225F45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5443C56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482824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r>
      <w:tr w14:paraId="11750E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348F3F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77E7EB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73BB786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571004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12</w:t>
            </w:r>
          </w:p>
        </w:tc>
        <w:tc>
          <w:tcPr>
            <w:tcW w:w="364" w:type="pct"/>
            <w:tcBorders>
              <w:tl2br w:val="nil"/>
              <w:tr2bl w:val="nil"/>
            </w:tcBorders>
            <w:shd w:val="clear" w:color="auto" w:fill="auto"/>
            <w:tcMar>
              <w:top w:w="0" w:type="dxa"/>
              <w:left w:w="17" w:type="dxa"/>
              <w:bottom w:w="0" w:type="dxa"/>
              <w:right w:w="17" w:type="dxa"/>
            </w:tcMar>
            <w:vAlign w:val="center"/>
          </w:tcPr>
          <w:p w14:paraId="7D3622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0.97</w:t>
            </w:r>
          </w:p>
        </w:tc>
        <w:tc>
          <w:tcPr>
            <w:tcW w:w="364" w:type="pct"/>
            <w:tcBorders>
              <w:tl2br w:val="nil"/>
              <w:tr2bl w:val="nil"/>
            </w:tcBorders>
            <w:shd w:val="clear" w:color="auto" w:fill="auto"/>
            <w:tcMar>
              <w:top w:w="0" w:type="dxa"/>
              <w:left w:w="17" w:type="dxa"/>
              <w:bottom w:w="0" w:type="dxa"/>
              <w:right w:w="17" w:type="dxa"/>
            </w:tcMar>
            <w:vAlign w:val="center"/>
          </w:tcPr>
          <w:p w14:paraId="3D0F2B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13</w:t>
            </w:r>
          </w:p>
        </w:tc>
        <w:tc>
          <w:tcPr>
            <w:tcW w:w="365" w:type="pct"/>
            <w:tcBorders>
              <w:tl2br w:val="nil"/>
              <w:tr2bl w:val="nil"/>
            </w:tcBorders>
            <w:shd w:val="clear" w:color="auto" w:fill="auto"/>
            <w:tcMar>
              <w:top w:w="0" w:type="dxa"/>
              <w:left w:w="17" w:type="dxa"/>
              <w:bottom w:w="0" w:type="dxa"/>
              <w:right w:w="17" w:type="dxa"/>
            </w:tcMar>
            <w:vAlign w:val="center"/>
          </w:tcPr>
          <w:p w14:paraId="52E25B6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2.1</w:t>
            </w:r>
          </w:p>
        </w:tc>
        <w:tc>
          <w:tcPr>
            <w:tcW w:w="316" w:type="pct"/>
            <w:tcBorders>
              <w:tl2br w:val="nil"/>
              <w:tr2bl w:val="nil"/>
            </w:tcBorders>
            <w:shd w:val="clear" w:color="auto" w:fill="auto"/>
            <w:tcMar>
              <w:top w:w="0" w:type="dxa"/>
              <w:left w:w="17" w:type="dxa"/>
              <w:bottom w:w="0" w:type="dxa"/>
              <w:right w:w="17" w:type="dxa"/>
            </w:tcMar>
            <w:vAlign w:val="center"/>
          </w:tcPr>
          <w:p w14:paraId="76290F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8</w:t>
            </w:r>
          </w:p>
        </w:tc>
        <w:tc>
          <w:tcPr>
            <w:tcW w:w="312" w:type="pct"/>
            <w:tcBorders>
              <w:tl2br w:val="nil"/>
              <w:tr2bl w:val="nil"/>
            </w:tcBorders>
            <w:shd w:val="clear" w:color="auto" w:fill="auto"/>
            <w:tcMar>
              <w:top w:w="0" w:type="dxa"/>
              <w:left w:w="17" w:type="dxa"/>
              <w:bottom w:w="0" w:type="dxa"/>
              <w:right w:w="17" w:type="dxa"/>
            </w:tcMar>
            <w:vAlign w:val="center"/>
          </w:tcPr>
          <w:p w14:paraId="283F235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6067A06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1B6A73B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5E2AD23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365CF6F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3A5FFD7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2EDD15E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r>
      <w:tr w14:paraId="1EDFB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F24F30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51E687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5646FAE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7AFB2FD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8</w:t>
            </w:r>
          </w:p>
        </w:tc>
        <w:tc>
          <w:tcPr>
            <w:tcW w:w="364" w:type="pct"/>
            <w:tcBorders>
              <w:tl2br w:val="nil"/>
              <w:tr2bl w:val="nil"/>
            </w:tcBorders>
            <w:shd w:val="clear" w:color="auto" w:fill="auto"/>
            <w:tcMar>
              <w:top w:w="0" w:type="dxa"/>
              <w:left w:w="17" w:type="dxa"/>
              <w:bottom w:w="0" w:type="dxa"/>
              <w:right w:w="17" w:type="dxa"/>
            </w:tcMar>
            <w:vAlign w:val="center"/>
          </w:tcPr>
          <w:p w14:paraId="7F441A1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0.66</w:t>
            </w:r>
          </w:p>
        </w:tc>
        <w:tc>
          <w:tcPr>
            <w:tcW w:w="364" w:type="pct"/>
            <w:tcBorders>
              <w:tl2br w:val="nil"/>
              <w:tr2bl w:val="nil"/>
            </w:tcBorders>
            <w:shd w:val="clear" w:color="auto" w:fill="auto"/>
            <w:tcMar>
              <w:top w:w="0" w:type="dxa"/>
              <w:left w:w="17" w:type="dxa"/>
              <w:bottom w:w="0" w:type="dxa"/>
              <w:right w:w="17" w:type="dxa"/>
            </w:tcMar>
            <w:vAlign w:val="center"/>
          </w:tcPr>
          <w:p w14:paraId="195A3E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0.07</w:t>
            </w:r>
          </w:p>
        </w:tc>
        <w:tc>
          <w:tcPr>
            <w:tcW w:w="365" w:type="pct"/>
            <w:tcBorders>
              <w:tl2br w:val="nil"/>
              <w:tr2bl w:val="nil"/>
            </w:tcBorders>
            <w:shd w:val="clear" w:color="auto" w:fill="auto"/>
            <w:tcMar>
              <w:top w:w="0" w:type="dxa"/>
              <w:left w:w="17" w:type="dxa"/>
              <w:bottom w:w="0" w:type="dxa"/>
              <w:right w:w="17" w:type="dxa"/>
            </w:tcMar>
            <w:vAlign w:val="center"/>
          </w:tcPr>
          <w:p w14:paraId="358BB9B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1.5</w:t>
            </w:r>
          </w:p>
        </w:tc>
        <w:tc>
          <w:tcPr>
            <w:tcW w:w="316" w:type="pct"/>
            <w:tcBorders>
              <w:tl2br w:val="nil"/>
              <w:tr2bl w:val="nil"/>
            </w:tcBorders>
            <w:shd w:val="clear" w:color="auto" w:fill="auto"/>
            <w:tcMar>
              <w:top w:w="0" w:type="dxa"/>
              <w:left w:w="17" w:type="dxa"/>
              <w:bottom w:w="0" w:type="dxa"/>
              <w:right w:w="17" w:type="dxa"/>
            </w:tcMar>
            <w:vAlign w:val="center"/>
          </w:tcPr>
          <w:p w14:paraId="3BCDE3C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22</w:t>
            </w:r>
          </w:p>
        </w:tc>
        <w:tc>
          <w:tcPr>
            <w:tcW w:w="312" w:type="pct"/>
            <w:tcBorders>
              <w:tl2br w:val="nil"/>
              <w:tr2bl w:val="nil"/>
            </w:tcBorders>
            <w:shd w:val="clear" w:color="auto" w:fill="auto"/>
            <w:tcMar>
              <w:top w:w="0" w:type="dxa"/>
              <w:left w:w="17" w:type="dxa"/>
              <w:bottom w:w="0" w:type="dxa"/>
              <w:right w:w="17" w:type="dxa"/>
            </w:tcMar>
            <w:vAlign w:val="center"/>
          </w:tcPr>
          <w:p w14:paraId="07A6557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1F115DD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2AFFF00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2E46F59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5226C40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25855A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5C13C9E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r>
      <w:tr w14:paraId="384740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381282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3D517AC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70E09DE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w:t>
            </w:r>
          </w:p>
        </w:tc>
        <w:tc>
          <w:tcPr>
            <w:tcW w:w="311" w:type="pct"/>
            <w:tcBorders>
              <w:tl2br w:val="nil"/>
              <w:tr2bl w:val="nil"/>
            </w:tcBorders>
            <w:shd w:val="clear" w:color="auto" w:fill="auto"/>
            <w:tcMar>
              <w:top w:w="0" w:type="dxa"/>
              <w:left w:w="17" w:type="dxa"/>
              <w:bottom w:w="0" w:type="dxa"/>
              <w:right w:w="17" w:type="dxa"/>
            </w:tcMar>
            <w:vAlign w:val="center"/>
          </w:tcPr>
          <w:p w14:paraId="3E242E6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13</w:t>
            </w:r>
          </w:p>
        </w:tc>
        <w:tc>
          <w:tcPr>
            <w:tcW w:w="364" w:type="pct"/>
            <w:tcBorders>
              <w:tl2br w:val="nil"/>
              <w:tr2bl w:val="nil"/>
            </w:tcBorders>
            <w:shd w:val="clear" w:color="auto" w:fill="auto"/>
            <w:tcMar>
              <w:top w:w="0" w:type="dxa"/>
              <w:left w:w="17" w:type="dxa"/>
              <w:bottom w:w="0" w:type="dxa"/>
              <w:right w:w="17" w:type="dxa"/>
            </w:tcMar>
            <w:vAlign w:val="center"/>
          </w:tcPr>
          <w:p w14:paraId="5EB939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0.93</w:t>
            </w:r>
          </w:p>
        </w:tc>
        <w:tc>
          <w:tcPr>
            <w:tcW w:w="364" w:type="pct"/>
            <w:tcBorders>
              <w:tl2br w:val="nil"/>
              <w:tr2bl w:val="nil"/>
            </w:tcBorders>
            <w:shd w:val="clear" w:color="auto" w:fill="auto"/>
            <w:tcMar>
              <w:top w:w="0" w:type="dxa"/>
              <w:left w:w="17" w:type="dxa"/>
              <w:bottom w:w="0" w:type="dxa"/>
              <w:right w:w="17" w:type="dxa"/>
            </w:tcMar>
            <w:vAlign w:val="center"/>
          </w:tcPr>
          <w:p w14:paraId="5CCBD5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r>
              <w:rPr>
                <w:rFonts w:hint="default"/>
                <w:color w:val="auto"/>
                <w:highlight w:val="none"/>
                <w:lang w:val="en-US" w:eastAsia="zh-CN"/>
              </w:rPr>
              <w:t>1</w:t>
            </w:r>
          </w:p>
        </w:tc>
        <w:tc>
          <w:tcPr>
            <w:tcW w:w="365" w:type="pct"/>
            <w:tcBorders>
              <w:tl2br w:val="nil"/>
              <w:tr2bl w:val="nil"/>
            </w:tcBorders>
            <w:shd w:val="clear" w:color="auto" w:fill="auto"/>
            <w:tcMar>
              <w:top w:w="0" w:type="dxa"/>
              <w:left w:w="17" w:type="dxa"/>
              <w:bottom w:w="0" w:type="dxa"/>
              <w:right w:w="17" w:type="dxa"/>
            </w:tcMar>
            <w:vAlign w:val="center"/>
          </w:tcPr>
          <w:p w14:paraId="7C32002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2.6</w:t>
            </w:r>
          </w:p>
        </w:tc>
        <w:tc>
          <w:tcPr>
            <w:tcW w:w="316" w:type="pct"/>
            <w:tcBorders>
              <w:tl2br w:val="nil"/>
              <w:tr2bl w:val="nil"/>
            </w:tcBorders>
            <w:shd w:val="clear" w:color="auto" w:fill="auto"/>
            <w:tcMar>
              <w:top w:w="0" w:type="dxa"/>
              <w:left w:w="17" w:type="dxa"/>
              <w:bottom w:w="0" w:type="dxa"/>
              <w:right w:w="17" w:type="dxa"/>
            </w:tcMar>
            <w:vAlign w:val="center"/>
          </w:tcPr>
          <w:p w14:paraId="14B5FBD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17</w:t>
            </w:r>
          </w:p>
        </w:tc>
        <w:tc>
          <w:tcPr>
            <w:tcW w:w="312" w:type="pct"/>
            <w:tcBorders>
              <w:tl2br w:val="nil"/>
              <w:tr2bl w:val="nil"/>
            </w:tcBorders>
            <w:shd w:val="clear" w:color="auto" w:fill="auto"/>
            <w:tcMar>
              <w:top w:w="0" w:type="dxa"/>
              <w:left w:w="17" w:type="dxa"/>
              <w:bottom w:w="0" w:type="dxa"/>
              <w:right w:w="17" w:type="dxa"/>
            </w:tcMar>
            <w:vAlign w:val="center"/>
          </w:tcPr>
          <w:p w14:paraId="47F8C8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0132BF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7D5743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72359F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34B658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451869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35692F2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r>
      <w:tr w14:paraId="22619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15F36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6F3BF4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77EF86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w:t>
            </w:r>
          </w:p>
        </w:tc>
        <w:tc>
          <w:tcPr>
            <w:tcW w:w="311" w:type="pct"/>
            <w:tcBorders>
              <w:tl2br w:val="nil"/>
              <w:tr2bl w:val="nil"/>
            </w:tcBorders>
            <w:shd w:val="clear" w:color="auto" w:fill="auto"/>
            <w:tcMar>
              <w:top w:w="0" w:type="dxa"/>
              <w:left w:w="17" w:type="dxa"/>
              <w:bottom w:w="0" w:type="dxa"/>
              <w:right w:w="17" w:type="dxa"/>
            </w:tcMar>
            <w:vAlign w:val="center"/>
          </w:tcPr>
          <w:p w14:paraId="2A631A8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12</w:t>
            </w:r>
          </w:p>
        </w:tc>
        <w:tc>
          <w:tcPr>
            <w:tcW w:w="364" w:type="pct"/>
            <w:tcBorders>
              <w:tl2br w:val="nil"/>
              <w:tr2bl w:val="nil"/>
            </w:tcBorders>
            <w:shd w:val="clear" w:color="auto" w:fill="auto"/>
            <w:tcMar>
              <w:top w:w="0" w:type="dxa"/>
              <w:left w:w="17" w:type="dxa"/>
              <w:bottom w:w="0" w:type="dxa"/>
              <w:right w:w="17" w:type="dxa"/>
            </w:tcMar>
            <w:vAlign w:val="center"/>
          </w:tcPr>
          <w:p w14:paraId="68AB0B0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0.67</w:t>
            </w:r>
          </w:p>
        </w:tc>
        <w:tc>
          <w:tcPr>
            <w:tcW w:w="364" w:type="pct"/>
            <w:tcBorders>
              <w:tl2br w:val="nil"/>
              <w:tr2bl w:val="nil"/>
            </w:tcBorders>
            <w:shd w:val="clear" w:color="auto" w:fill="auto"/>
            <w:tcMar>
              <w:top w:w="0" w:type="dxa"/>
              <w:left w:w="17" w:type="dxa"/>
              <w:bottom w:w="0" w:type="dxa"/>
              <w:right w:w="17" w:type="dxa"/>
            </w:tcMar>
            <w:vAlign w:val="center"/>
          </w:tcPr>
          <w:p w14:paraId="7377F4D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0.14</w:t>
            </w:r>
          </w:p>
        </w:tc>
        <w:tc>
          <w:tcPr>
            <w:tcW w:w="365" w:type="pct"/>
            <w:tcBorders>
              <w:tl2br w:val="nil"/>
              <w:tr2bl w:val="nil"/>
            </w:tcBorders>
            <w:shd w:val="clear" w:color="auto" w:fill="auto"/>
            <w:tcMar>
              <w:top w:w="0" w:type="dxa"/>
              <w:left w:w="17" w:type="dxa"/>
              <w:bottom w:w="0" w:type="dxa"/>
              <w:right w:w="17" w:type="dxa"/>
            </w:tcMar>
            <w:vAlign w:val="center"/>
          </w:tcPr>
          <w:p w14:paraId="30CAB4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2.3</w:t>
            </w:r>
          </w:p>
        </w:tc>
        <w:tc>
          <w:tcPr>
            <w:tcW w:w="316" w:type="pct"/>
            <w:tcBorders>
              <w:tl2br w:val="nil"/>
              <w:tr2bl w:val="nil"/>
            </w:tcBorders>
            <w:shd w:val="clear" w:color="auto" w:fill="auto"/>
            <w:tcMar>
              <w:top w:w="0" w:type="dxa"/>
              <w:left w:w="17" w:type="dxa"/>
              <w:bottom w:w="0" w:type="dxa"/>
              <w:right w:w="17" w:type="dxa"/>
            </w:tcMar>
            <w:vAlign w:val="center"/>
          </w:tcPr>
          <w:p w14:paraId="1293FB2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11</w:t>
            </w:r>
          </w:p>
        </w:tc>
        <w:tc>
          <w:tcPr>
            <w:tcW w:w="312" w:type="pct"/>
            <w:tcBorders>
              <w:tl2br w:val="nil"/>
              <w:tr2bl w:val="nil"/>
            </w:tcBorders>
            <w:shd w:val="clear" w:color="auto" w:fill="auto"/>
            <w:tcMar>
              <w:top w:w="0" w:type="dxa"/>
              <w:left w:w="17" w:type="dxa"/>
              <w:bottom w:w="0" w:type="dxa"/>
              <w:right w:w="17" w:type="dxa"/>
            </w:tcMar>
            <w:vAlign w:val="center"/>
          </w:tcPr>
          <w:p w14:paraId="1310DB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07ED49A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576322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3BCB845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0.0011</w:t>
            </w:r>
          </w:p>
        </w:tc>
        <w:tc>
          <w:tcPr>
            <w:tcW w:w="375" w:type="pct"/>
            <w:tcBorders>
              <w:tl2br w:val="nil"/>
              <w:tr2bl w:val="nil"/>
            </w:tcBorders>
            <w:shd w:val="clear" w:color="auto" w:fill="auto"/>
            <w:tcMar>
              <w:top w:w="0" w:type="dxa"/>
              <w:left w:w="17" w:type="dxa"/>
              <w:bottom w:w="0" w:type="dxa"/>
              <w:right w:w="17" w:type="dxa"/>
            </w:tcMar>
            <w:vAlign w:val="center"/>
          </w:tcPr>
          <w:p w14:paraId="210AE5C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022516A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31D054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r>
      <w:tr w14:paraId="5C6184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EBD53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0F08546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2BAF15E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F746AF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A7614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16F1A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3B300B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EAB4E4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94303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380D2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49DA37D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BB5EAE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0D0D47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B3B981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3F1AA8A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2699A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4F03C6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D6ABE1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1876E46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2B928E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1C586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2250AB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D309F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05A280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6FBA7A0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57CAE4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DB2ED1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1525B2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F3DC0D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48A488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47D2552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97E55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6F92CCE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793C96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6E32B7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14570A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CBB8FE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3BD58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3A66B7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F0CA9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6295098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6F2A1E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A0FA7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DD8CF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4C1EDF8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B37FB5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69893B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EE66F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30FC133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08229A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50E0E0E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908D9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816C2F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889840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C2A21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9A37F2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176A8A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C8EC7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65D057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693F0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EFC7D3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AC6A5C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5788B75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41430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9F272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FE6F7E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69DEF16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173B77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1DDC6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FBD6B5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23382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36D036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77B052E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3F502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12D61D3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6C9D71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FD6810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3E3280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37A8E4E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43000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B8606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79F850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783C054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6904F9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C2C930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3F62A7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1C7571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2EFA7AF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40670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7C6DF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737C6E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C6872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4B5F5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590C82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263A7A5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BD06C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83D63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0230315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69E41B7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325D1D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D59D15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CB573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0489CD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0422AC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4643D9F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76B029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B80E08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0061B1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79A990D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6F202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0585005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AEF7D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5683CD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6573A18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45031A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6~9</w:t>
            </w:r>
          </w:p>
        </w:tc>
        <w:tc>
          <w:tcPr>
            <w:tcW w:w="311" w:type="pct"/>
            <w:tcBorders>
              <w:tl2br w:val="nil"/>
              <w:tr2bl w:val="nil"/>
            </w:tcBorders>
            <w:shd w:val="clear" w:color="auto" w:fill="auto"/>
            <w:tcMar>
              <w:top w:w="0" w:type="dxa"/>
              <w:left w:w="17" w:type="dxa"/>
              <w:bottom w:w="0" w:type="dxa"/>
              <w:right w:w="17" w:type="dxa"/>
            </w:tcMar>
            <w:vAlign w:val="center"/>
          </w:tcPr>
          <w:p w14:paraId="4E3DB6C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w:t>
            </w:r>
          </w:p>
        </w:tc>
        <w:tc>
          <w:tcPr>
            <w:tcW w:w="364" w:type="pct"/>
            <w:tcBorders>
              <w:tl2br w:val="nil"/>
              <w:tr2bl w:val="nil"/>
            </w:tcBorders>
            <w:shd w:val="clear" w:color="auto" w:fill="auto"/>
            <w:tcMar>
              <w:top w:w="0" w:type="dxa"/>
              <w:left w:w="17" w:type="dxa"/>
              <w:bottom w:w="0" w:type="dxa"/>
              <w:right w:w="17" w:type="dxa"/>
            </w:tcMar>
            <w:vAlign w:val="center"/>
          </w:tcPr>
          <w:p w14:paraId="49B9D11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3124338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w:t>
            </w:r>
          </w:p>
        </w:tc>
        <w:tc>
          <w:tcPr>
            <w:tcW w:w="365" w:type="pct"/>
            <w:tcBorders>
              <w:tl2br w:val="nil"/>
              <w:tr2bl w:val="nil"/>
            </w:tcBorders>
            <w:shd w:val="clear" w:color="auto" w:fill="auto"/>
            <w:tcMar>
              <w:top w:w="0" w:type="dxa"/>
              <w:left w:w="17" w:type="dxa"/>
              <w:bottom w:w="0" w:type="dxa"/>
              <w:right w:w="17" w:type="dxa"/>
            </w:tcMar>
            <w:vAlign w:val="center"/>
          </w:tcPr>
          <w:p w14:paraId="72527EF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w:t>
            </w:r>
          </w:p>
        </w:tc>
        <w:tc>
          <w:tcPr>
            <w:tcW w:w="316" w:type="pct"/>
            <w:tcBorders>
              <w:tl2br w:val="nil"/>
              <w:tr2bl w:val="nil"/>
            </w:tcBorders>
            <w:shd w:val="clear" w:color="auto" w:fill="auto"/>
            <w:tcMar>
              <w:top w:w="0" w:type="dxa"/>
              <w:left w:w="17" w:type="dxa"/>
              <w:bottom w:w="0" w:type="dxa"/>
              <w:right w:w="17" w:type="dxa"/>
            </w:tcMar>
            <w:vAlign w:val="center"/>
          </w:tcPr>
          <w:p w14:paraId="0661FCC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12" w:type="pct"/>
            <w:tcBorders>
              <w:tl2br w:val="nil"/>
              <w:tr2bl w:val="nil"/>
            </w:tcBorders>
            <w:shd w:val="clear" w:color="auto" w:fill="auto"/>
            <w:tcMar>
              <w:top w:w="0" w:type="dxa"/>
              <w:left w:w="17" w:type="dxa"/>
              <w:bottom w:w="0" w:type="dxa"/>
              <w:right w:w="17" w:type="dxa"/>
            </w:tcMar>
            <w:vAlign w:val="center"/>
          </w:tcPr>
          <w:p w14:paraId="5605DD5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65" w:type="pct"/>
            <w:tcBorders>
              <w:tl2br w:val="nil"/>
              <w:tr2bl w:val="nil"/>
            </w:tcBorders>
            <w:shd w:val="clear" w:color="auto" w:fill="auto"/>
            <w:tcMar>
              <w:top w:w="0" w:type="dxa"/>
              <w:left w:w="17" w:type="dxa"/>
              <w:bottom w:w="0" w:type="dxa"/>
              <w:right w:w="17" w:type="dxa"/>
            </w:tcMar>
            <w:vAlign w:val="center"/>
          </w:tcPr>
          <w:p w14:paraId="1059376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0.005</w:t>
            </w:r>
          </w:p>
        </w:tc>
        <w:tc>
          <w:tcPr>
            <w:tcW w:w="374" w:type="pct"/>
            <w:tcBorders>
              <w:tl2br w:val="nil"/>
              <w:tr2bl w:val="nil"/>
            </w:tcBorders>
            <w:shd w:val="clear" w:color="auto" w:fill="auto"/>
            <w:tcMar>
              <w:top w:w="0" w:type="dxa"/>
              <w:left w:w="17" w:type="dxa"/>
              <w:bottom w:w="0" w:type="dxa"/>
              <w:right w:w="17" w:type="dxa"/>
            </w:tcMar>
            <w:vAlign w:val="center"/>
          </w:tcPr>
          <w:p w14:paraId="20B9EF3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20" w:type="pct"/>
            <w:tcBorders>
              <w:tl2br w:val="nil"/>
              <w:tr2bl w:val="nil"/>
            </w:tcBorders>
            <w:shd w:val="clear" w:color="auto" w:fill="auto"/>
            <w:tcMar>
              <w:top w:w="0" w:type="dxa"/>
              <w:left w:w="17" w:type="dxa"/>
              <w:bottom w:w="0" w:type="dxa"/>
              <w:right w:w="17" w:type="dxa"/>
            </w:tcMar>
            <w:vAlign w:val="center"/>
          </w:tcPr>
          <w:p w14:paraId="2EB537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0.005</w:t>
            </w:r>
          </w:p>
        </w:tc>
        <w:tc>
          <w:tcPr>
            <w:tcW w:w="375" w:type="pct"/>
            <w:tcBorders>
              <w:tl2br w:val="nil"/>
              <w:tr2bl w:val="nil"/>
            </w:tcBorders>
            <w:shd w:val="clear" w:color="auto" w:fill="auto"/>
            <w:tcMar>
              <w:top w:w="0" w:type="dxa"/>
              <w:left w:w="17" w:type="dxa"/>
              <w:bottom w:w="0" w:type="dxa"/>
              <w:right w:w="17" w:type="dxa"/>
            </w:tcMar>
            <w:vAlign w:val="center"/>
          </w:tcPr>
          <w:p w14:paraId="11D3C99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20" w:type="pct"/>
            <w:tcBorders>
              <w:tl2br w:val="nil"/>
              <w:tr2bl w:val="nil"/>
            </w:tcBorders>
            <w:shd w:val="clear" w:color="auto" w:fill="auto"/>
            <w:tcMar>
              <w:top w:w="0" w:type="dxa"/>
              <w:left w:w="17" w:type="dxa"/>
              <w:bottom w:w="0" w:type="dxa"/>
              <w:right w:w="17" w:type="dxa"/>
            </w:tcMar>
            <w:vAlign w:val="center"/>
          </w:tcPr>
          <w:p w14:paraId="7059A58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0.0001</w:t>
            </w:r>
          </w:p>
        </w:tc>
        <w:tc>
          <w:tcPr>
            <w:tcW w:w="320" w:type="pct"/>
            <w:tcBorders>
              <w:tl2br w:val="nil"/>
              <w:tr2bl w:val="nil"/>
            </w:tcBorders>
            <w:shd w:val="clear" w:color="auto" w:fill="auto"/>
            <w:tcMar>
              <w:top w:w="0" w:type="dxa"/>
              <w:left w:w="17" w:type="dxa"/>
              <w:bottom w:w="0" w:type="dxa"/>
              <w:right w:w="17" w:type="dxa"/>
            </w:tcMar>
            <w:vAlign w:val="center"/>
          </w:tcPr>
          <w:p w14:paraId="23988F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r>
      <w:tr w14:paraId="61DB31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32B9C3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08209B4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因子</w:t>
            </w:r>
          </w:p>
        </w:tc>
        <w:tc>
          <w:tcPr>
            <w:tcW w:w="364" w:type="pct"/>
            <w:tcBorders>
              <w:tl2br w:val="nil"/>
              <w:tr2bl w:val="nil"/>
            </w:tcBorders>
            <w:shd w:val="clear" w:color="auto" w:fill="auto"/>
            <w:tcMar>
              <w:top w:w="0" w:type="dxa"/>
              <w:left w:w="17" w:type="dxa"/>
              <w:bottom w:w="0" w:type="dxa"/>
              <w:right w:w="17" w:type="dxa"/>
            </w:tcMar>
            <w:vAlign w:val="center"/>
          </w:tcPr>
          <w:p w14:paraId="2A6228C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铜</w:t>
            </w:r>
          </w:p>
        </w:tc>
        <w:tc>
          <w:tcPr>
            <w:tcW w:w="311" w:type="pct"/>
            <w:tcBorders>
              <w:tl2br w:val="nil"/>
              <w:tr2bl w:val="nil"/>
            </w:tcBorders>
            <w:shd w:val="clear" w:color="auto" w:fill="auto"/>
            <w:tcMar>
              <w:top w:w="0" w:type="dxa"/>
              <w:left w:w="17" w:type="dxa"/>
              <w:bottom w:w="0" w:type="dxa"/>
              <w:right w:w="17" w:type="dxa"/>
            </w:tcMar>
            <w:vAlign w:val="center"/>
          </w:tcPr>
          <w:p w14:paraId="2C83C8C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镍</w:t>
            </w:r>
          </w:p>
        </w:tc>
        <w:tc>
          <w:tcPr>
            <w:tcW w:w="364" w:type="pct"/>
            <w:tcBorders>
              <w:tl2br w:val="nil"/>
              <w:tr2bl w:val="nil"/>
            </w:tcBorders>
            <w:shd w:val="clear" w:color="auto" w:fill="auto"/>
            <w:tcMar>
              <w:top w:w="0" w:type="dxa"/>
              <w:left w:w="17" w:type="dxa"/>
              <w:bottom w:w="0" w:type="dxa"/>
              <w:right w:w="17" w:type="dxa"/>
            </w:tcMar>
            <w:vAlign w:val="center"/>
          </w:tcPr>
          <w:p w14:paraId="03FDC1C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六价铬</w:t>
            </w:r>
          </w:p>
        </w:tc>
        <w:tc>
          <w:tcPr>
            <w:tcW w:w="364" w:type="pct"/>
            <w:tcBorders>
              <w:tl2br w:val="nil"/>
              <w:tr2bl w:val="nil"/>
            </w:tcBorders>
            <w:shd w:val="clear" w:color="auto" w:fill="auto"/>
            <w:tcMar>
              <w:top w:w="0" w:type="dxa"/>
              <w:left w:w="17" w:type="dxa"/>
              <w:bottom w:w="0" w:type="dxa"/>
              <w:right w:w="17" w:type="dxa"/>
            </w:tcMar>
            <w:vAlign w:val="center"/>
          </w:tcPr>
          <w:p w14:paraId="0D7C38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汞</w:t>
            </w:r>
          </w:p>
        </w:tc>
        <w:tc>
          <w:tcPr>
            <w:tcW w:w="365" w:type="pct"/>
            <w:tcBorders>
              <w:tl2br w:val="nil"/>
              <w:tr2bl w:val="nil"/>
            </w:tcBorders>
            <w:shd w:val="clear" w:color="auto" w:fill="auto"/>
            <w:tcMar>
              <w:top w:w="0" w:type="dxa"/>
              <w:left w:w="17" w:type="dxa"/>
              <w:bottom w:w="0" w:type="dxa"/>
              <w:right w:w="17" w:type="dxa"/>
            </w:tcMar>
            <w:vAlign w:val="center"/>
          </w:tcPr>
          <w:p w14:paraId="69775E0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砷</w:t>
            </w:r>
          </w:p>
        </w:tc>
        <w:tc>
          <w:tcPr>
            <w:tcW w:w="316" w:type="pct"/>
            <w:tcBorders>
              <w:tl2br w:val="nil"/>
              <w:tr2bl w:val="nil"/>
            </w:tcBorders>
            <w:shd w:val="clear" w:color="auto" w:fill="auto"/>
            <w:tcMar>
              <w:top w:w="0" w:type="dxa"/>
              <w:left w:w="17" w:type="dxa"/>
              <w:bottom w:w="0" w:type="dxa"/>
              <w:right w:w="17" w:type="dxa"/>
            </w:tcMar>
            <w:vAlign w:val="center"/>
          </w:tcPr>
          <w:p w14:paraId="4BECE706">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锑</w:t>
            </w:r>
          </w:p>
        </w:tc>
        <w:tc>
          <w:tcPr>
            <w:tcW w:w="312" w:type="pct"/>
            <w:tcBorders>
              <w:tl2br w:val="nil"/>
              <w:tr2bl w:val="nil"/>
            </w:tcBorders>
            <w:shd w:val="clear" w:color="auto" w:fill="auto"/>
            <w:tcMar>
              <w:top w:w="0" w:type="dxa"/>
              <w:left w:w="17" w:type="dxa"/>
              <w:bottom w:w="0" w:type="dxa"/>
              <w:right w:w="17" w:type="dxa"/>
            </w:tcMar>
            <w:vAlign w:val="center"/>
          </w:tcPr>
          <w:p w14:paraId="7865156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硒</w:t>
            </w:r>
          </w:p>
        </w:tc>
        <w:tc>
          <w:tcPr>
            <w:tcW w:w="365" w:type="pct"/>
            <w:tcBorders>
              <w:tl2br w:val="nil"/>
              <w:tr2bl w:val="nil"/>
            </w:tcBorders>
            <w:shd w:val="clear" w:color="auto" w:fill="auto"/>
            <w:tcMar>
              <w:top w:w="0" w:type="dxa"/>
              <w:left w:w="17" w:type="dxa"/>
              <w:bottom w:w="0" w:type="dxa"/>
              <w:right w:w="17" w:type="dxa"/>
            </w:tcMar>
            <w:vAlign w:val="center"/>
          </w:tcPr>
          <w:p w14:paraId="58AA430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氟化物</w:t>
            </w:r>
          </w:p>
        </w:tc>
        <w:tc>
          <w:tcPr>
            <w:tcW w:w="374" w:type="pct"/>
            <w:tcBorders>
              <w:tl2br w:val="nil"/>
              <w:tr2bl w:val="nil"/>
            </w:tcBorders>
            <w:shd w:val="clear" w:color="auto" w:fill="auto"/>
            <w:tcMar>
              <w:top w:w="0" w:type="dxa"/>
              <w:left w:w="17" w:type="dxa"/>
              <w:bottom w:w="0" w:type="dxa"/>
              <w:right w:w="17" w:type="dxa"/>
            </w:tcMar>
            <w:vAlign w:val="center"/>
          </w:tcPr>
          <w:p w14:paraId="708C00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硫化物</w:t>
            </w:r>
          </w:p>
        </w:tc>
        <w:tc>
          <w:tcPr>
            <w:tcW w:w="320" w:type="pct"/>
            <w:tcBorders>
              <w:tl2br w:val="nil"/>
              <w:tr2bl w:val="nil"/>
            </w:tcBorders>
            <w:shd w:val="clear" w:color="auto" w:fill="auto"/>
            <w:tcMar>
              <w:top w:w="0" w:type="dxa"/>
              <w:left w:w="17" w:type="dxa"/>
              <w:bottom w:w="0" w:type="dxa"/>
              <w:right w:w="17" w:type="dxa"/>
            </w:tcMar>
            <w:vAlign w:val="center"/>
          </w:tcPr>
          <w:p w14:paraId="1A3DC16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银</w:t>
            </w:r>
          </w:p>
        </w:tc>
        <w:tc>
          <w:tcPr>
            <w:tcW w:w="375" w:type="pct"/>
            <w:tcBorders>
              <w:tl2br w:val="nil"/>
              <w:tr2bl w:val="nil"/>
            </w:tcBorders>
            <w:shd w:val="clear" w:color="auto" w:fill="auto"/>
            <w:tcMar>
              <w:top w:w="0" w:type="dxa"/>
              <w:left w:w="17" w:type="dxa"/>
              <w:bottom w:w="0" w:type="dxa"/>
              <w:right w:w="17" w:type="dxa"/>
            </w:tcMar>
            <w:vAlign w:val="center"/>
          </w:tcPr>
          <w:p w14:paraId="3F6F6F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钒</w:t>
            </w:r>
          </w:p>
        </w:tc>
        <w:tc>
          <w:tcPr>
            <w:tcW w:w="320" w:type="pct"/>
            <w:tcBorders>
              <w:tl2br w:val="nil"/>
              <w:tr2bl w:val="nil"/>
            </w:tcBorders>
            <w:shd w:val="clear" w:color="auto" w:fill="auto"/>
            <w:tcMar>
              <w:top w:w="0" w:type="dxa"/>
              <w:left w:w="17" w:type="dxa"/>
              <w:bottom w:w="0" w:type="dxa"/>
              <w:right w:w="17" w:type="dxa"/>
            </w:tcMar>
            <w:vAlign w:val="center"/>
          </w:tcPr>
          <w:p w14:paraId="05F630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C38FF4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1C76F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EDE5C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61101BB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2DF6EC3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4560FAC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0600BCA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2B38B06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11F21E8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16" w:type="pct"/>
            <w:tcBorders>
              <w:tl2br w:val="nil"/>
              <w:tr2bl w:val="nil"/>
            </w:tcBorders>
            <w:shd w:val="clear" w:color="auto" w:fill="auto"/>
            <w:tcMar>
              <w:top w:w="0" w:type="dxa"/>
              <w:left w:w="17" w:type="dxa"/>
              <w:bottom w:w="0" w:type="dxa"/>
              <w:right w:w="17" w:type="dxa"/>
            </w:tcMar>
            <w:vAlign w:val="center"/>
          </w:tcPr>
          <w:p w14:paraId="1F3B5047">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556</w:t>
            </w:r>
          </w:p>
        </w:tc>
        <w:tc>
          <w:tcPr>
            <w:tcW w:w="312" w:type="pct"/>
            <w:tcBorders>
              <w:tl2br w:val="nil"/>
              <w:tr2bl w:val="nil"/>
            </w:tcBorders>
            <w:shd w:val="clear" w:color="auto" w:fill="auto"/>
            <w:tcMar>
              <w:top w:w="0" w:type="dxa"/>
              <w:left w:w="17" w:type="dxa"/>
              <w:bottom w:w="0" w:type="dxa"/>
              <w:right w:w="17" w:type="dxa"/>
            </w:tcMar>
            <w:vAlign w:val="center"/>
          </w:tcPr>
          <w:p w14:paraId="668799B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652768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0.34</w:t>
            </w:r>
          </w:p>
        </w:tc>
        <w:tc>
          <w:tcPr>
            <w:tcW w:w="374" w:type="pct"/>
            <w:tcBorders>
              <w:tl2br w:val="nil"/>
              <w:tr2bl w:val="nil"/>
            </w:tcBorders>
            <w:shd w:val="clear" w:color="auto" w:fill="auto"/>
            <w:tcMar>
              <w:top w:w="0" w:type="dxa"/>
              <w:left w:w="17" w:type="dxa"/>
              <w:bottom w:w="0" w:type="dxa"/>
              <w:right w:w="17" w:type="dxa"/>
            </w:tcMar>
            <w:vAlign w:val="center"/>
          </w:tcPr>
          <w:p w14:paraId="65C2117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78253BE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3A2ADA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0.000038L</w:t>
            </w:r>
          </w:p>
        </w:tc>
        <w:tc>
          <w:tcPr>
            <w:tcW w:w="320" w:type="pct"/>
            <w:tcBorders>
              <w:tl2br w:val="nil"/>
              <w:tr2bl w:val="nil"/>
            </w:tcBorders>
            <w:shd w:val="clear" w:color="auto" w:fill="auto"/>
            <w:tcMar>
              <w:top w:w="0" w:type="dxa"/>
              <w:left w:w="17" w:type="dxa"/>
              <w:bottom w:w="0" w:type="dxa"/>
              <w:right w:w="17" w:type="dxa"/>
            </w:tcMar>
            <w:vAlign w:val="center"/>
          </w:tcPr>
          <w:p w14:paraId="15E688A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7F95E5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5673C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0C8424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040872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56A02F2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55BCE2C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5511F8B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6665AD3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32B543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0.0019</w:t>
            </w:r>
          </w:p>
        </w:tc>
        <w:tc>
          <w:tcPr>
            <w:tcW w:w="316" w:type="pct"/>
            <w:tcBorders>
              <w:tl2br w:val="nil"/>
              <w:tr2bl w:val="nil"/>
            </w:tcBorders>
            <w:shd w:val="clear" w:color="auto" w:fill="auto"/>
            <w:tcMar>
              <w:top w:w="0" w:type="dxa"/>
              <w:left w:w="17" w:type="dxa"/>
              <w:bottom w:w="0" w:type="dxa"/>
              <w:right w:w="17" w:type="dxa"/>
            </w:tcMar>
            <w:vAlign w:val="center"/>
          </w:tcPr>
          <w:p w14:paraId="6CD07FA3">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0.196</w:t>
            </w:r>
          </w:p>
        </w:tc>
        <w:tc>
          <w:tcPr>
            <w:tcW w:w="312" w:type="pct"/>
            <w:tcBorders>
              <w:tl2br w:val="nil"/>
              <w:tr2bl w:val="nil"/>
            </w:tcBorders>
            <w:shd w:val="clear" w:color="auto" w:fill="auto"/>
            <w:tcMar>
              <w:top w:w="0" w:type="dxa"/>
              <w:left w:w="17" w:type="dxa"/>
              <w:bottom w:w="0" w:type="dxa"/>
              <w:right w:w="17" w:type="dxa"/>
            </w:tcMar>
            <w:vAlign w:val="center"/>
          </w:tcPr>
          <w:p w14:paraId="47708D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768062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0.48</w:t>
            </w:r>
          </w:p>
        </w:tc>
        <w:tc>
          <w:tcPr>
            <w:tcW w:w="374" w:type="pct"/>
            <w:tcBorders>
              <w:tl2br w:val="nil"/>
              <w:tr2bl w:val="nil"/>
            </w:tcBorders>
            <w:shd w:val="clear" w:color="auto" w:fill="auto"/>
            <w:tcMar>
              <w:top w:w="0" w:type="dxa"/>
              <w:left w:w="17" w:type="dxa"/>
              <w:bottom w:w="0" w:type="dxa"/>
              <w:right w:w="17" w:type="dxa"/>
            </w:tcMar>
            <w:vAlign w:val="center"/>
          </w:tcPr>
          <w:p w14:paraId="55D309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42F20D0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09891CA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0.000038L</w:t>
            </w:r>
          </w:p>
        </w:tc>
        <w:tc>
          <w:tcPr>
            <w:tcW w:w="320" w:type="pct"/>
            <w:tcBorders>
              <w:tl2br w:val="nil"/>
              <w:tr2bl w:val="nil"/>
            </w:tcBorders>
            <w:shd w:val="clear" w:color="auto" w:fill="auto"/>
            <w:tcMar>
              <w:top w:w="0" w:type="dxa"/>
              <w:left w:w="17" w:type="dxa"/>
              <w:bottom w:w="0" w:type="dxa"/>
              <w:right w:w="17" w:type="dxa"/>
            </w:tcMar>
            <w:vAlign w:val="center"/>
          </w:tcPr>
          <w:p w14:paraId="297C0B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2146D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B5F4B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5547C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7C36F5E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29AB962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5E294E3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0B09154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4F3F41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65A8BB7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16" w:type="pct"/>
            <w:tcBorders>
              <w:tl2br w:val="nil"/>
              <w:tr2bl w:val="nil"/>
            </w:tcBorders>
            <w:shd w:val="clear" w:color="auto" w:fill="auto"/>
            <w:tcMar>
              <w:top w:w="0" w:type="dxa"/>
              <w:left w:w="17" w:type="dxa"/>
              <w:bottom w:w="0" w:type="dxa"/>
              <w:right w:w="17" w:type="dxa"/>
            </w:tcMar>
            <w:vAlign w:val="center"/>
          </w:tcPr>
          <w:p w14:paraId="1016E256">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0.0116</w:t>
            </w:r>
          </w:p>
        </w:tc>
        <w:tc>
          <w:tcPr>
            <w:tcW w:w="312" w:type="pct"/>
            <w:tcBorders>
              <w:tl2br w:val="nil"/>
              <w:tr2bl w:val="nil"/>
            </w:tcBorders>
            <w:shd w:val="clear" w:color="auto" w:fill="auto"/>
            <w:tcMar>
              <w:top w:w="0" w:type="dxa"/>
              <w:left w:w="17" w:type="dxa"/>
              <w:bottom w:w="0" w:type="dxa"/>
              <w:right w:w="17" w:type="dxa"/>
            </w:tcMar>
            <w:vAlign w:val="center"/>
          </w:tcPr>
          <w:p w14:paraId="7463560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504EEB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0.25</w:t>
            </w:r>
          </w:p>
        </w:tc>
        <w:tc>
          <w:tcPr>
            <w:tcW w:w="374" w:type="pct"/>
            <w:tcBorders>
              <w:tl2br w:val="nil"/>
              <w:tr2bl w:val="nil"/>
            </w:tcBorders>
            <w:shd w:val="clear" w:color="auto" w:fill="auto"/>
            <w:tcMar>
              <w:top w:w="0" w:type="dxa"/>
              <w:left w:w="17" w:type="dxa"/>
              <w:bottom w:w="0" w:type="dxa"/>
              <w:right w:w="17" w:type="dxa"/>
            </w:tcMar>
            <w:vAlign w:val="center"/>
          </w:tcPr>
          <w:p w14:paraId="435FD2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1397B2D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03B6265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0.00016</w:t>
            </w:r>
          </w:p>
        </w:tc>
        <w:tc>
          <w:tcPr>
            <w:tcW w:w="320" w:type="pct"/>
            <w:tcBorders>
              <w:tl2br w:val="nil"/>
              <w:tr2bl w:val="nil"/>
            </w:tcBorders>
            <w:shd w:val="clear" w:color="auto" w:fill="auto"/>
            <w:tcMar>
              <w:top w:w="0" w:type="dxa"/>
              <w:left w:w="17" w:type="dxa"/>
              <w:bottom w:w="0" w:type="dxa"/>
              <w:right w:w="17" w:type="dxa"/>
            </w:tcMar>
            <w:vAlign w:val="center"/>
          </w:tcPr>
          <w:p w14:paraId="1D6C477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BC6EC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A138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054BF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52E990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4D51CA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34D0AF9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45E95E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02746E4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525F8C4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0.0007</w:t>
            </w:r>
          </w:p>
        </w:tc>
        <w:tc>
          <w:tcPr>
            <w:tcW w:w="316" w:type="pct"/>
            <w:tcBorders>
              <w:tl2br w:val="nil"/>
              <w:tr2bl w:val="nil"/>
            </w:tcBorders>
            <w:shd w:val="clear" w:color="auto" w:fill="auto"/>
            <w:tcMar>
              <w:top w:w="0" w:type="dxa"/>
              <w:left w:w="17" w:type="dxa"/>
              <w:bottom w:w="0" w:type="dxa"/>
              <w:right w:w="17" w:type="dxa"/>
            </w:tcMar>
            <w:vAlign w:val="center"/>
          </w:tcPr>
          <w:p w14:paraId="5AA5CD96">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0.0969</w:t>
            </w:r>
          </w:p>
        </w:tc>
        <w:tc>
          <w:tcPr>
            <w:tcW w:w="312" w:type="pct"/>
            <w:tcBorders>
              <w:tl2br w:val="nil"/>
              <w:tr2bl w:val="nil"/>
            </w:tcBorders>
            <w:shd w:val="clear" w:color="auto" w:fill="auto"/>
            <w:tcMar>
              <w:top w:w="0" w:type="dxa"/>
              <w:left w:w="17" w:type="dxa"/>
              <w:bottom w:w="0" w:type="dxa"/>
              <w:right w:w="17" w:type="dxa"/>
            </w:tcMar>
            <w:vAlign w:val="center"/>
          </w:tcPr>
          <w:p w14:paraId="7E51383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7B081A1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0.43</w:t>
            </w:r>
          </w:p>
        </w:tc>
        <w:tc>
          <w:tcPr>
            <w:tcW w:w="374" w:type="pct"/>
            <w:tcBorders>
              <w:tl2br w:val="nil"/>
              <w:tr2bl w:val="nil"/>
            </w:tcBorders>
            <w:shd w:val="clear" w:color="auto" w:fill="auto"/>
            <w:tcMar>
              <w:top w:w="0" w:type="dxa"/>
              <w:left w:w="17" w:type="dxa"/>
              <w:bottom w:w="0" w:type="dxa"/>
              <w:right w:w="17" w:type="dxa"/>
            </w:tcMar>
            <w:vAlign w:val="center"/>
          </w:tcPr>
          <w:p w14:paraId="36318E4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618DBCA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1669B89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0.00009</w:t>
            </w:r>
          </w:p>
        </w:tc>
        <w:tc>
          <w:tcPr>
            <w:tcW w:w="320" w:type="pct"/>
            <w:tcBorders>
              <w:tl2br w:val="nil"/>
              <w:tr2bl w:val="nil"/>
            </w:tcBorders>
            <w:shd w:val="clear" w:color="auto" w:fill="auto"/>
            <w:tcMar>
              <w:top w:w="0" w:type="dxa"/>
              <w:left w:w="17" w:type="dxa"/>
              <w:bottom w:w="0" w:type="dxa"/>
              <w:right w:w="17" w:type="dxa"/>
            </w:tcMar>
            <w:vAlign w:val="center"/>
          </w:tcPr>
          <w:p w14:paraId="346DFD8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FB695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D1353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561589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7C7A097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00D2B0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11" w:type="pct"/>
            <w:tcBorders>
              <w:tl2br w:val="nil"/>
              <w:tr2bl w:val="nil"/>
            </w:tcBorders>
            <w:shd w:val="clear" w:color="auto" w:fill="auto"/>
            <w:tcMar>
              <w:top w:w="0" w:type="dxa"/>
              <w:left w:w="17" w:type="dxa"/>
              <w:bottom w:w="0" w:type="dxa"/>
              <w:right w:w="17" w:type="dxa"/>
            </w:tcMar>
            <w:vAlign w:val="center"/>
          </w:tcPr>
          <w:p w14:paraId="3F7CF65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4" w:type="pct"/>
            <w:tcBorders>
              <w:tl2br w:val="nil"/>
              <w:tr2bl w:val="nil"/>
            </w:tcBorders>
            <w:shd w:val="clear" w:color="auto" w:fill="auto"/>
            <w:tcMar>
              <w:top w:w="0" w:type="dxa"/>
              <w:left w:w="17" w:type="dxa"/>
              <w:bottom w:w="0" w:type="dxa"/>
              <w:right w:w="17" w:type="dxa"/>
            </w:tcMar>
            <w:vAlign w:val="center"/>
          </w:tcPr>
          <w:p w14:paraId="02410B5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64" w:type="pct"/>
            <w:tcBorders>
              <w:tl2br w:val="nil"/>
              <w:tr2bl w:val="nil"/>
            </w:tcBorders>
            <w:shd w:val="clear" w:color="auto" w:fill="auto"/>
            <w:tcMar>
              <w:top w:w="0" w:type="dxa"/>
              <w:left w:w="17" w:type="dxa"/>
              <w:bottom w:w="0" w:type="dxa"/>
              <w:right w:w="17" w:type="dxa"/>
            </w:tcMar>
            <w:vAlign w:val="center"/>
          </w:tcPr>
          <w:p w14:paraId="00E9DB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65" w:type="pct"/>
            <w:tcBorders>
              <w:tl2br w:val="nil"/>
              <w:tr2bl w:val="nil"/>
            </w:tcBorders>
            <w:shd w:val="clear" w:color="auto" w:fill="auto"/>
            <w:tcMar>
              <w:top w:w="0" w:type="dxa"/>
              <w:left w:w="17" w:type="dxa"/>
              <w:bottom w:w="0" w:type="dxa"/>
              <w:right w:w="17" w:type="dxa"/>
            </w:tcMar>
            <w:vAlign w:val="center"/>
          </w:tcPr>
          <w:p w14:paraId="1043615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16" w:type="pct"/>
            <w:tcBorders>
              <w:tl2br w:val="nil"/>
              <w:tr2bl w:val="nil"/>
            </w:tcBorders>
            <w:shd w:val="clear" w:color="auto" w:fill="auto"/>
            <w:tcMar>
              <w:top w:w="0" w:type="dxa"/>
              <w:left w:w="17" w:type="dxa"/>
              <w:bottom w:w="0" w:type="dxa"/>
              <w:right w:w="17" w:type="dxa"/>
            </w:tcMar>
            <w:vAlign w:val="center"/>
          </w:tcPr>
          <w:p w14:paraId="48ED9714">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0.093</w:t>
            </w:r>
          </w:p>
        </w:tc>
        <w:tc>
          <w:tcPr>
            <w:tcW w:w="312" w:type="pct"/>
            <w:tcBorders>
              <w:tl2br w:val="nil"/>
              <w:tr2bl w:val="nil"/>
            </w:tcBorders>
            <w:shd w:val="clear" w:color="auto" w:fill="auto"/>
            <w:tcMar>
              <w:top w:w="0" w:type="dxa"/>
              <w:left w:w="17" w:type="dxa"/>
              <w:bottom w:w="0" w:type="dxa"/>
              <w:right w:w="17" w:type="dxa"/>
            </w:tcMar>
            <w:vAlign w:val="center"/>
          </w:tcPr>
          <w:p w14:paraId="637B09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65" w:type="pct"/>
            <w:tcBorders>
              <w:tl2br w:val="nil"/>
              <w:tr2bl w:val="nil"/>
            </w:tcBorders>
            <w:shd w:val="clear" w:color="auto" w:fill="auto"/>
            <w:tcMar>
              <w:top w:w="0" w:type="dxa"/>
              <w:left w:w="17" w:type="dxa"/>
              <w:bottom w:w="0" w:type="dxa"/>
              <w:right w:w="17" w:type="dxa"/>
            </w:tcMar>
            <w:vAlign w:val="center"/>
          </w:tcPr>
          <w:p w14:paraId="204010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0.45</w:t>
            </w:r>
          </w:p>
        </w:tc>
        <w:tc>
          <w:tcPr>
            <w:tcW w:w="374" w:type="pct"/>
            <w:tcBorders>
              <w:tl2br w:val="nil"/>
              <w:tr2bl w:val="nil"/>
            </w:tcBorders>
            <w:shd w:val="clear" w:color="auto" w:fill="auto"/>
            <w:tcMar>
              <w:top w:w="0" w:type="dxa"/>
              <w:left w:w="17" w:type="dxa"/>
              <w:bottom w:w="0" w:type="dxa"/>
              <w:right w:w="17" w:type="dxa"/>
            </w:tcMar>
            <w:vAlign w:val="center"/>
          </w:tcPr>
          <w:p w14:paraId="770D10C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62858DB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75" w:type="pct"/>
            <w:tcBorders>
              <w:tl2br w:val="nil"/>
              <w:tr2bl w:val="nil"/>
            </w:tcBorders>
            <w:shd w:val="clear" w:color="auto" w:fill="auto"/>
            <w:tcMar>
              <w:top w:w="0" w:type="dxa"/>
              <w:left w:w="17" w:type="dxa"/>
              <w:bottom w:w="0" w:type="dxa"/>
              <w:right w:w="17" w:type="dxa"/>
            </w:tcMar>
            <w:vAlign w:val="center"/>
          </w:tcPr>
          <w:p w14:paraId="73D7397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w:t>
            </w:r>
          </w:p>
        </w:tc>
        <w:tc>
          <w:tcPr>
            <w:tcW w:w="320" w:type="pct"/>
            <w:tcBorders>
              <w:tl2br w:val="nil"/>
              <w:tr2bl w:val="nil"/>
            </w:tcBorders>
            <w:shd w:val="clear" w:color="auto" w:fill="auto"/>
            <w:tcMar>
              <w:top w:w="0" w:type="dxa"/>
              <w:left w:w="17" w:type="dxa"/>
              <w:bottom w:w="0" w:type="dxa"/>
              <w:right w:w="17" w:type="dxa"/>
            </w:tcMar>
            <w:vAlign w:val="center"/>
          </w:tcPr>
          <w:p w14:paraId="76154B2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041779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CE4D5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5D08FB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861D97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79F5360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B959E6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AB9E51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E0FD1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0A77E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BF7F61D">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0.0337</w:t>
            </w:r>
          </w:p>
        </w:tc>
        <w:tc>
          <w:tcPr>
            <w:tcW w:w="312" w:type="pct"/>
            <w:tcBorders>
              <w:tl2br w:val="nil"/>
              <w:tr2bl w:val="nil"/>
            </w:tcBorders>
            <w:shd w:val="clear" w:color="auto" w:fill="auto"/>
            <w:tcMar>
              <w:top w:w="0" w:type="dxa"/>
              <w:left w:w="17" w:type="dxa"/>
              <w:bottom w:w="0" w:type="dxa"/>
              <w:right w:w="17" w:type="dxa"/>
            </w:tcMar>
            <w:vAlign w:val="center"/>
          </w:tcPr>
          <w:p w14:paraId="4FC2B6B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2D588E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ACBEE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B3BC9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2C34E7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AFE791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79981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13A00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48136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6DE0CCE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20990A5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1BD2562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CEA9A1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FB4153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9E1E7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9F56BA6">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0.155</w:t>
            </w:r>
          </w:p>
        </w:tc>
        <w:tc>
          <w:tcPr>
            <w:tcW w:w="312" w:type="pct"/>
            <w:tcBorders>
              <w:tl2br w:val="nil"/>
              <w:tr2bl w:val="nil"/>
            </w:tcBorders>
            <w:shd w:val="clear" w:color="auto" w:fill="auto"/>
            <w:tcMar>
              <w:top w:w="0" w:type="dxa"/>
              <w:left w:w="17" w:type="dxa"/>
              <w:bottom w:w="0" w:type="dxa"/>
              <w:right w:w="17" w:type="dxa"/>
            </w:tcMar>
            <w:vAlign w:val="center"/>
          </w:tcPr>
          <w:p w14:paraId="75C1B19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6E03D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4224DE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88DDEE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61B94E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49ACC7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AA4549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F34D1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65ECEC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1942165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61D31D9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022AD9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B803CB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D34A66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3193D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05F19A3">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0.0164</w:t>
            </w:r>
          </w:p>
        </w:tc>
        <w:tc>
          <w:tcPr>
            <w:tcW w:w="312" w:type="pct"/>
            <w:tcBorders>
              <w:tl2br w:val="nil"/>
              <w:tr2bl w:val="nil"/>
            </w:tcBorders>
            <w:shd w:val="clear" w:color="auto" w:fill="auto"/>
            <w:tcMar>
              <w:top w:w="0" w:type="dxa"/>
              <w:left w:w="17" w:type="dxa"/>
              <w:bottom w:w="0" w:type="dxa"/>
              <w:right w:w="17" w:type="dxa"/>
            </w:tcMar>
            <w:vAlign w:val="center"/>
          </w:tcPr>
          <w:p w14:paraId="1E2090F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212FE4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1E9CD2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1E818B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B68221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FC2C4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E562B5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93A4C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63BB1D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7B5F47A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6B01ACF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1F68E8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09FD22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9BBC3B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25FC44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00BBE5B">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0.0294</w:t>
            </w:r>
          </w:p>
        </w:tc>
        <w:tc>
          <w:tcPr>
            <w:tcW w:w="312" w:type="pct"/>
            <w:tcBorders>
              <w:tl2br w:val="nil"/>
              <w:tr2bl w:val="nil"/>
            </w:tcBorders>
            <w:shd w:val="clear" w:color="auto" w:fill="auto"/>
            <w:tcMar>
              <w:top w:w="0" w:type="dxa"/>
              <w:left w:w="17" w:type="dxa"/>
              <w:bottom w:w="0" w:type="dxa"/>
              <w:right w:w="17" w:type="dxa"/>
            </w:tcMar>
            <w:vAlign w:val="center"/>
          </w:tcPr>
          <w:p w14:paraId="54C9594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0C99CA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1D3F5D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0F110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75B2D7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5F928A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E69BE7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9B6BC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1EEC4D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2FD9DA9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614D971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9EB158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F4B32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0A0B1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10640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10889821">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0.0041</w:t>
            </w:r>
          </w:p>
        </w:tc>
        <w:tc>
          <w:tcPr>
            <w:tcW w:w="312" w:type="pct"/>
            <w:tcBorders>
              <w:tl2br w:val="nil"/>
              <w:tr2bl w:val="nil"/>
            </w:tcBorders>
            <w:shd w:val="clear" w:color="auto" w:fill="auto"/>
            <w:tcMar>
              <w:top w:w="0" w:type="dxa"/>
              <w:left w:w="17" w:type="dxa"/>
              <w:bottom w:w="0" w:type="dxa"/>
              <w:right w:w="17" w:type="dxa"/>
            </w:tcMar>
            <w:vAlign w:val="center"/>
          </w:tcPr>
          <w:p w14:paraId="09A78EC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70985E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38E8666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DFC7FA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23B4D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35E2F5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51AA97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A34E0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3AC05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1F5BB8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36BDD33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369245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9BC656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FAA19A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64DEA8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FE9BE64">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0.0036</w:t>
            </w:r>
          </w:p>
        </w:tc>
        <w:tc>
          <w:tcPr>
            <w:tcW w:w="312" w:type="pct"/>
            <w:tcBorders>
              <w:tl2br w:val="nil"/>
              <w:tr2bl w:val="nil"/>
            </w:tcBorders>
            <w:shd w:val="clear" w:color="auto" w:fill="auto"/>
            <w:tcMar>
              <w:top w:w="0" w:type="dxa"/>
              <w:left w:w="17" w:type="dxa"/>
              <w:bottom w:w="0" w:type="dxa"/>
              <w:right w:w="17" w:type="dxa"/>
            </w:tcMar>
            <w:vAlign w:val="center"/>
          </w:tcPr>
          <w:p w14:paraId="2EF6C09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E64F7C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1F4EFF2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F9002B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06B9440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D3D1BF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FC5561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FEA24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214658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0E0BD76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69039B6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711565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1252A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756E7E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49DA4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17D36D06">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0.0035</w:t>
            </w:r>
          </w:p>
        </w:tc>
        <w:tc>
          <w:tcPr>
            <w:tcW w:w="312" w:type="pct"/>
            <w:tcBorders>
              <w:tl2br w:val="nil"/>
              <w:tr2bl w:val="nil"/>
            </w:tcBorders>
            <w:shd w:val="clear" w:color="auto" w:fill="auto"/>
            <w:tcMar>
              <w:top w:w="0" w:type="dxa"/>
              <w:left w:w="17" w:type="dxa"/>
              <w:bottom w:w="0" w:type="dxa"/>
              <w:right w:w="17" w:type="dxa"/>
            </w:tcMar>
            <w:vAlign w:val="center"/>
          </w:tcPr>
          <w:p w14:paraId="60A6762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A28F7A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D9B775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1C14C7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A91CF3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6AE741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EA5826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4C041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5" w:type="pct"/>
            <w:vMerge w:val="continue"/>
            <w:tcBorders>
              <w:tl2br w:val="nil"/>
              <w:tr2bl w:val="nil"/>
            </w:tcBorders>
            <w:shd w:val="clear" w:color="auto" w:fill="auto"/>
            <w:tcMar>
              <w:top w:w="0" w:type="dxa"/>
              <w:left w:w="17" w:type="dxa"/>
              <w:bottom w:w="0" w:type="dxa"/>
              <w:right w:w="17" w:type="dxa"/>
            </w:tcMar>
            <w:vAlign w:val="center"/>
          </w:tcPr>
          <w:p w14:paraId="7342E9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39" w:type="pct"/>
            <w:tcBorders>
              <w:tl2br w:val="nil"/>
              <w:tr2bl w:val="nil"/>
            </w:tcBorders>
            <w:shd w:val="clear" w:color="auto" w:fill="auto"/>
            <w:tcMar>
              <w:top w:w="0" w:type="dxa"/>
              <w:left w:w="17" w:type="dxa"/>
              <w:bottom w:w="0" w:type="dxa"/>
              <w:right w:w="17" w:type="dxa"/>
            </w:tcMar>
            <w:vAlign w:val="center"/>
          </w:tcPr>
          <w:p w14:paraId="4C86083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7401628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11" w:type="pct"/>
            <w:tcBorders>
              <w:tl2br w:val="nil"/>
              <w:tr2bl w:val="nil"/>
            </w:tcBorders>
            <w:shd w:val="clear" w:color="auto" w:fill="auto"/>
            <w:tcMar>
              <w:top w:w="0" w:type="dxa"/>
              <w:left w:w="17" w:type="dxa"/>
              <w:bottom w:w="0" w:type="dxa"/>
              <w:right w:w="17" w:type="dxa"/>
            </w:tcMar>
            <w:vAlign w:val="center"/>
          </w:tcPr>
          <w:p w14:paraId="3E752F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0.02</w:t>
            </w:r>
          </w:p>
        </w:tc>
        <w:tc>
          <w:tcPr>
            <w:tcW w:w="364" w:type="pct"/>
            <w:tcBorders>
              <w:tl2br w:val="nil"/>
              <w:tr2bl w:val="nil"/>
            </w:tcBorders>
            <w:shd w:val="clear" w:color="auto" w:fill="auto"/>
            <w:tcMar>
              <w:top w:w="0" w:type="dxa"/>
              <w:left w:w="17" w:type="dxa"/>
              <w:bottom w:w="0" w:type="dxa"/>
              <w:right w:w="17" w:type="dxa"/>
            </w:tcMar>
            <w:vAlign w:val="center"/>
          </w:tcPr>
          <w:p w14:paraId="73E1666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64" w:type="pct"/>
            <w:tcBorders>
              <w:tl2br w:val="nil"/>
              <w:tr2bl w:val="nil"/>
            </w:tcBorders>
            <w:shd w:val="clear" w:color="auto" w:fill="auto"/>
            <w:tcMar>
              <w:top w:w="0" w:type="dxa"/>
              <w:left w:w="17" w:type="dxa"/>
              <w:bottom w:w="0" w:type="dxa"/>
              <w:right w:w="17" w:type="dxa"/>
            </w:tcMar>
            <w:vAlign w:val="center"/>
          </w:tcPr>
          <w:p w14:paraId="04EC1B8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0.0001</w:t>
            </w:r>
          </w:p>
        </w:tc>
        <w:tc>
          <w:tcPr>
            <w:tcW w:w="365" w:type="pct"/>
            <w:tcBorders>
              <w:tl2br w:val="nil"/>
              <w:tr2bl w:val="nil"/>
            </w:tcBorders>
            <w:shd w:val="clear" w:color="auto" w:fill="auto"/>
            <w:tcMar>
              <w:top w:w="0" w:type="dxa"/>
              <w:left w:w="17" w:type="dxa"/>
              <w:bottom w:w="0" w:type="dxa"/>
              <w:right w:w="17" w:type="dxa"/>
            </w:tcMar>
            <w:vAlign w:val="center"/>
          </w:tcPr>
          <w:p w14:paraId="15ABDF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16" w:type="pct"/>
            <w:tcBorders>
              <w:tl2br w:val="nil"/>
              <w:tr2bl w:val="nil"/>
            </w:tcBorders>
            <w:shd w:val="clear" w:color="auto" w:fill="auto"/>
            <w:tcMar>
              <w:top w:w="0" w:type="dxa"/>
              <w:left w:w="17" w:type="dxa"/>
              <w:bottom w:w="0" w:type="dxa"/>
              <w:right w:w="17" w:type="dxa"/>
            </w:tcMar>
            <w:vAlign w:val="center"/>
          </w:tcPr>
          <w:p w14:paraId="67A103C1">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0.005</w:t>
            </w:r>
          </w:p>
        </w:tc>
        <w:tc>
          <w:tcPr>
            <w:tcW w:w="312" w:type="pct"/>
            <w:tcBorders>
              <w:tl2br w:val="nil"/>
              <w:tr2bl w:val="nil"/>
            </w:tcBorders>
            <w:shd w:val="clear" w:color="auto" w:fill="auto"/>
            <w:tcMar>
              <w:top w:w="0" w:type="dxa"/>
              <w:left w:w="17" w:type="dxa"/>
              <w:bottom w:w="0" w:type="dxa"/>
              <w:right w:w="17" w:type="dxa"/>
            </w:tcMar>
            <w:vAlign w:val="center"/>
          </w:tcPr>
          <w:p w14:paraId="48003BD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76DE61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74" w:type="pct"/>
            <w:tcBorders>
              <w:tl2br w:val="nil"/>
              <w:tr2bl w:val="nil"/>
            </w:tcBorders>
            <w:shd w:val="clear" w:color="auto" w:fill="auto"/>
            <w:tcMar>
              <w:top w:w="0" w:type="dxa"/>
              <w:left w:w="17" w:type="dxa"/>
              <w:bottom w:w="0" w:type="dxa"/>
              <w:right w:w="17" w:type="dxa"/>
            </w:tcMar>
            <w:vAlign w:val="center"/>
          </w:tcPr>
          <w:p w14:paraId="781374C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w:t>
            </w:r>
          </w:p>
        </w:tc>
        <w:tc>
          <w:tcPr>
            <w:tcW w:w="320" w:type="pct"/>
            <w:tcBorders>
              <w:tl2br w:val="nil"/>
              <w:tr2bl w:val="nil"/>
            </w:tcBorders>
            <w:shd w:val="clear" w:color="auto" w:fill="auto"/>
            <w:tcMar>
              <w:top w:w="0" w:type="dxa"/>
              <w:left w:w="17" w:type="dxa"/>
              <w:bottom w:w="0" w:type="dxa"/>
              <w:right w:w="17" w:type="dxa"/>
            </w:tcMar>
            <w:vAlign w:val="center"/>
          </w:tcPr>
          <w:p w14:paraId="3B492E4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75" w:type="pct"/>
            <w:tcBorders>
              <w:tl2br w:val="nil"/>
              <w:tr2bl w:val="nil"/>
            </w:tcBorders>
            <w:shd w:val="clear" w:color="auto" w:fill="auto"/>
            <w:tcMar>
              <w:top w:w="0" w:type="dxa"/>
              <w:left w:w="17" w:type="dxa"/>
              <w:bottom w:w="0" w:type="dxa"/>
              <w:right w:w="17" w:type="dxa"/>
            </w:tcMar>
            <w:vAlign w:val="center"/>
          </w:tcPr>
          <w:p w14:paraId="106C110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20" w:type="pct"/>
            <w:tcBorders>
              <w:tl2br w:val="nil"/>
              <w:tr2bl w:val="nil"/>
            </w:tcBorders>
            <w:shd w:val="clear" w:color="auto" w:fill="auto"/>
            <w:tcMar>
              <w:top w:w="0" w:type="dxa"/>
              <w:left w:w="17" w:type="dxa"/>
              <w:bottom w:w="0" w:type="dxa"/>
              <w:right w:w="17" w:type="dxa"/>
            </w:tcMar>
            <w:vAlign w:val="center"/>
          </w:tcPr>
          <w:p w14:paraId="7A8C0E5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E9D39B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bl>
    <w:p w14:paraId="331D5A50">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p>
    <w:p w14:paraId="2A43FFF0">
      <w:pPr>
        <w:bidi w:val="0"/>
        <w:rPr>
          <w:rFonts w:hint="default" w:ascii="Times New Roman" w:hAnsi="Times New Roman" w:cs="Times New Roman"/>
          <w:color w:val="auto"/>
          <w:highlight w:val="none"/>
          <w:lang w:val="en-US" w:eastAsia="zh-CN"/>
        </w:rPr>
        <w:sectPr>
          <w:pgSz w:w="16838" w:h="11906" w:orient="landscape"/>
          <w:pgMar w:top="1440" w:right="1440" w:bottom="1236" w:left="1440" w:header="851" w:footer="992" w:gutter="0"/>
          <w:pgBorders>
            <w:top w:val="none" w:sz="0" w:space="0"/>
            <w:left w:val="none" w:sz="0" w:space="0"/>
            <w:bottom w:val="none" w:sz="0" w:space="0"/>
            <w:right w:val="none" w:sz="0" w:space="0"/>
          </w:pgBorders>
          <w:cols w:space="720" w:num="1"/>
          <w:docGrid w:type="lines" w:linePitch="312" w:charSpace="0"/>
        </w:sectPr>
      </w:pPr>
    </w:p>
    <w:p w14:paraId="372D7625">
      <w:pPr>
        <w:pStyle w:val="28"/>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5</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2024年1月地表水环境质量评价结果</w:t>
      </w:r>
    </w:p>
    <w:tbl>
      <w:tblPr>
        <w:tblStyle w:val="21"/>
        <w:tblW w:w="5053"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6" w:type="dxa"/>
          <w:bottom w:w="0" w:type="dxa"/>
          <w:right w:w="6" w:type="dxa"/>
        </w:tblCellMar>
      </w:tblPr>
      <w:tblGrid>
        <w:gridCol w:w="701"/>
        <w:gridCol w:w="1055"/>
        <w:gridCol w:w="947"/>
        <w:gridCol w:w="1224"/>
        <w:gridCol w:w="1015"/>
        <w:gridCol w:w="1097"/>
        <w:gridCol w:w="1145"/>
        <w:gridCol w:w="1114"/>
        <w:gridCol w:w="1117"/>
        <w:gridCol w:w="1140"/>
        <w:gridCol w:w="1063"/>
        <w:gridCol w:w="1177"/>
        <w:gridCol w:w="1341"/>
      </w:tblGrid>
      <w:tr w14:paraId="3A8F6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90" w:hRule="atLeast"/>
        </w:trPr>
        <w:tc>
          <w:tcPr>
            <w:tcW w:w="248" w:type="pct"/>
            <w:vAlign w:val="center"/>
          </w:tcPr>
          <w:p w14:paraId="2369DF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断面</w:t>
            </w:r>
          </w:p>
        </w:tc>
        <w:tc>
          <w:tcPr>
            <w:tcW w:w="4751" w:type="pct"/>
            <w:gridSpan w:val="12"/>
            <w:shd w:val="clear" w:color="auto" w:fill="auto"/>
            <w:vAlign w:val="center"/>
          </w:tcPr>
          <w:p w14:paraId="5689AD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监测结果</w:t>
            </w:r>
          </w:p>
        </w:tc>
      </w:tr>
      <w:tr w14:paraId="5FC0A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90" w:hRule="atLeast"/>
        </w:trPr>
        <w:tc>
          <w:tcPr>
            <w:tcW w:w="248" w:type="pct"/>
            <w:vMerge w:val="restart"/>
            <w:vAlign w:val="center"/>
          </w:tcPr>
          <w:p w14:paraId="423510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S1</w:t>
            </w:r>
          </w:p>
        </w:tc>
        <w:tc>
          <w:tcPr>
            <w:tcW w:w="373" w:type="pct"/>
            <w:shd w:val="clear" w:color="auto" w:fill="auto"/>
            <w:vAlign w:val="center"/>
          </w:tcPr>
          <w:p w14:paraId="2985EA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215FB5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4C44A0E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42D540D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32738E2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29E49B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41D89AC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0D0AC8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6F5C10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332D2D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04A4F6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38D29B5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116F0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94" w:hRule="atLeast"/>
        </w:trPr>
        <w:tc>
          <w:tcPr>
            <w:tcW w:w="248" w:type="pct"/>
            <w:vMerge w:val="continue"/>
            <w:vAlign w:val="center"/>
          </w:tcPr>
          <w:p w14:paraId="6A9AF0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056550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7B59A9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3E3AAC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65CAA6B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3F9CDB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192528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3AF0A5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C6DB3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530BD6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0CAC09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2A1BAF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1C4F65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8CB4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46703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38EEFE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075997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0.1</w:t>
            </w:r>
          </w:p>
        </w:tc>
        <w:tc>
          <w:tcPr>
            <w:tcW w:w="433" w:type="pct"/>
            <w:shd w:val="clear" w:color="auto" w:fill="auto"/>
            <w:vAlign w:val="center"/>
          </w:tcPr>
          <w:p w14:paraId="5BF43B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w:t>
            </w:r>
          </w:p>
        </w:tc>
        <w:tc>
          <w:tcPr>
            <w:tcW w:w="359" w:type="pct"/>
            <w:shd w:val="clear" w:color="auto" w:fill="auto"/>
            <w:vAlign w:val="center"/>
          </w:tcPr>
          <w:p w14:paraId="0DBCD0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0.59</w:t>
            </w:r>
          </w:p>
        </w:tc>
        <w:tc>
          <w:tcPr>
            <w:tcW w:w="388" w:type="pct"/>
            <w:shd w:val="clear" w:color="auto" w:fill="auto"/>
            <w:vAlign w:val="center"/>
          </w:tcPr>
          <w:p w14:paraId="7866AC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w:t>
            </w:r>
          </w:p>
        </w:tc>
        <w:tc>
          <w:tcPr>
            <w:tcW w:w="405" w:type="pct"/>
            <w:shd w:val="clear" w:color="auto" w:fill="auto"/>
            <w:vAlign w:val="center"/>
          </w:tcPr>
          <w:p w14:paraId="719295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0.35</w:t>
            </w:r>
          </w:p>
        </w:tc>
        <w:tc>
          <w:tcPr>
            <w:tcW w:w="394" w:type="pct"/>
            <w:shd w:val="clear" w:color="auto" w:fill="auto"/>
            <w:vAlign w:val="center"/>
          </w:tcPr>
          <w:p w14:paraId="0F756F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AB7A2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2848940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21AF94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73D774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29518C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BB6DB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DE6B3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0DF2D2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52E39E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33" w:type="pct"/>
            <w:shd w:val="clear" w:color="auto" w:fill="auto"/>
            <w:vAlign w:val="center"/>
          </w:tcPr>
          <w:p w14:paraId="71EC56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w:t>
            </w:r>
          </w:p>
        </w:tc>
        <w:tc>
          <w:tcPr>
            <w:tcW w:w="359" w:type="pct"/>
            <w:shd w:val="clear" w:color="auto" w:fill="auto"/>
            <w:vAlign w:val="center"/>
          </w:tcPr>
          <w:p w14:paraId="2BC523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0.58</w:t>
            </w:r>
          </w:p>
        </w:tc>
        <w:tc>
          <w:tcPr>
            <w:tcW w:w="388" w:type="pct"/>
            <w:shd w:val="clear" w:color="auto" w:fill="auto"/>
            <w:vAlign w:val="center"/>
          </w:tcPr>
          <w:p w14:paraId="45CB1F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w:t>
            </w:r>
          </w:p>
        </w:tc>
        <w:tc>
          <w:tcPr>
            <w:tcW w:w="405" w:type="pct"/>
            <w:shd w:val="clear" w:color="auto" w:fill="auto"/>
            <w:vAlign w:val="center"/>
          </w:tcPr>
          <w:p w14:paraId="19ADF0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0.475</w:t>
            </w:r>
          </w:p>
        </w:tc>
        <w:tc>
          <w:tcPr>
            <w:tcW w:w="394" w:type="pct"/>
            <w:shd w:val="clear" w:color="auto" w:fill="auto"/>
            <w:vAlign w:val="center"/>
          </w:tcPr>
          <w:p w14:paraId="13EA92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2507D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51AE1A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152E00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2F9640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454A56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D65A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447C7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50D411D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EC5A8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w:t>
            </w:r>
          </w:p>
        </w:tc>
        <w:tc>
          <w:tcPr>
            <w:tcW w:w="433" w:type="pct"/>
            <w:shd w:val="clear" w:color="auto" w:fill="auto"/>
            <w:vAlign w:val="center"/>
          </w:tcPr>
          <w:p w14:paraId="63F9D7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0.45</w:t>
            </w:r>
          </w:p>
        </w:tc>
        <w:tc>
          <w:tcPr>
            <w:tcW w:w="359" w:type="pct"/>
            <w:shd w:val="clear" w:color="auto" w:fill="auto"/>
            <w:vAlign w:val="center"/>
          </w:tcPr>
          <w:p w14:paraId="1A9655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0.57</w:t>
            </w:r>
          </w:p>
        </w:tc>
        <w:tc>
          <w:tcPr>
            <w:tcW w:w="388" w:type="pct"/>
            <w:shd w:val="clear" w:color="auto" w:fill="auto"/>
            <w:vAlign w:val="center"/>
          </w:tcPr>
          <w:p w14:paraId="1C05CB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0.45</w:t>
            </w:r>
          </w:p>
        </w:tc>
        <w:tc>
          <w:tcPr>
            <w:tcW w:w="405" w:type="pct"/>
            <w:shd w:val="clear" w:color="auto" w:fill="auto"/>
            <w:vAlign w:val="center"/>
          </w:tcPr>
          <w:p w14:paraId="7F26FF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0.45</w:t>
            </w:r>
          </w:p>
        </w:tc>
        <w:tc>
          <w:tcPr>
            <w:tcW w:w="394" w:type="pct"/>
            <w:shd w:val="clear" w:color="auto" w:fill="auto"/>
            <w:vAlign w:val="center"/>
          </w:tcPr>
          <w:p w14:paraId="6E43935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05F54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4266B0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289F93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6D9EFB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5892EB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6DE6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0DC99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78617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43CA98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401C9F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5C3939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47C4455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1CB8CD6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6D925C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080D0C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7F45E3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2B3964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70CB53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11988D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022A5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9EED4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A6D5C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0962F2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08D6175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7FABE0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09FDB3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1F444C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4C0111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5A000FD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7E981B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6E06BC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4D1A09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0D78D6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025340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69164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14063A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66FC3A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7EAFF8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42B984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0D01039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6E9312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10C4E4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7FBA16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403" w:type="pct"/>
            <w:shd w:val="clear" w:color="auto" w:fill="auto"/>
            <w:vAlign w:val="center"/>
          </w:tcPr>
          <w:p w14:paraId="23F4BD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12.04</w:t>
            </w:r>
          </w:p>
        </w:tc>
        <w:tc>
          <w:tcPr>
            <w:tcW w:w="376" w:type="pct"/>
            <w:shd w:val="clear" w:color="auto" w:fill="auto"/>
            <w:vAlign w:val="center"/>
          </w:tcPr>
          <w:p w14:paraId="2EC896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23167C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0.33</w:t>
            </w:r>
          </w:p>
        </w:tc>
        <w:tc>
          <w:tcPr>
            <w:tcW w:w="471" w:type="pct"/>
            <w:shd w:val="clear" w:color="auto" w:fill="auto"/>
            <w:vAlign w:val="center"/>
          </w:tcPr>
          <w:p w14:paraId="36AF07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19DCE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CFAF8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4ACA5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2BDEB7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5A39B4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6A4663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0F7A36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77802C4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19D7F8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53136A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403" w:type="pct"/>
            <w:shd w:val="clear" w:color="auto" w:fill="auto"/>
            <w:vAlign w:val="center"/>
          </w:tcPr>
          <w:p w14:paraId="62E8CC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10.78</w:t>
            </w:r>
          </w:p>
        </w:tc>
        <w:tc>
          <w:tcPr>
            <w:tcW w:w="376" w:type="pct"/>
            <w:shd w:val="clear" w:color="auto" w:fill="auto"/>
            <w:vAlign w:val="center"/>
          </w:tcPr>
          <w:p w14:paraId="4D3C6B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6765A8E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0.35</w:t>
            </w:r>
          </w:p>
        </w:tc>
        <w:tc>
          <w:tcPr>
            <w:tcW w:w="471" w:type="pct"/>
            <w:shd w:val="clear" w:color="auto" w:fill="auto"/>
            <w:vAlign w:val="center"/>
          </w:tcPr>
          <w:p w14:paraId="337D17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7207D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789CC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4C092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AA4E6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583D32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39BB62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2AB1B1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64384C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609273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3A1601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403" w:type="pct"/>
            <w:shd w:val="clear" w:color="auto" w:fill="auto"/>
            <w:vAlign w:val="center"/>
          </w:tcPr>
          <w:p w14:paraId="2F5605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11.12</w:t>
            </w:r>
          </w:p>
        </w:tc>
        <w:tc>
          <w:tcPr>
            <w:tcW w:w="376" w:type="pct"/>
            <w:shd w:val="clear" w:color="auto" w:fill="auto"/>
            <w:vAlign w:val="center"/>
          </w:tcPr>
          <w:p w14:paraId="3BCFA66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3CCF8D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0.34</w:t>
            </w:r>
          </w:p>
        </w:tc>
        <w:tc>
          <w:tcPr>
            <w:tcW w:w="471" w:type="pct"/>
            <w:shd w:val="clear" w:color="auto" w:fill="auto"/>
            <w:vAlign w:val="center"/>
          </w:tcPr>
          <w:p w14:paraId="1CB10D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765232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8" w:type="pct"/>
            <w:vMerge w:val="continue"/>
            <w:vAlign w:val="center"/>
          </w:tcPr>
          <w:p w14:paraId="3A1931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3731BA4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466C9B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7F69E9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51F5A7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5DCB28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518345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EFAEB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C5A3E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0868B06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8B340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A554A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37927D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B473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0BAA1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A123C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01418A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10298CE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50E187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021B21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2D2048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68593D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C62C2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08CBA5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2B4D91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F4ACE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125055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ADB0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4A5A4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783F9D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24C5A30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56CE84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1015" w:type="dxa"/>
            <w:shd w:val="clear" w:color="auto" w:fill="auto"/>
            <w:vAlign w:val="center"/>
          </w:tcPr>
          <w:p w14:paraId="02A81E6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39930C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7B9424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737F0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C0F887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1BC0F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069A1E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739F1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101831A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555A1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98BE2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3EE84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28D891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2D10AA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1015" w:type="dxa"/>
            <w:shd w:val="clear" w:color="auto" w:fill="auto"/>
            <w:vAlign w:val="center"/>
          </w:tcPr>
          <w:p w14:paraId="3391C4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0EB3EB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279B85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979C36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87A854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FB266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2B0070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B12D0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0D52C3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DBC42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6F46B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AE393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E5367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59A370E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1015" w:type="dxa"/>
            <w:shd w:val="clear" w:color="auto" w:fill="auto"/>
            <w:vAlign w:val="center"/>
          </w:tcPr>
          <w:p w14:paraId="2FF38C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021CBB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071C9D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2B51D8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3B490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8284C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282322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E5BD2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0668C8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346F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restart"/>
            <w:vAlign w:val="center"/>
          </w:tcPr>
          <w:p w14:paraId="514780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S2</w:t>
            </w:r>
          </w:p>
        </w:tc>
        <w:tc>
          <w:tcPr>
            <w:tcW w:w="373" w:type="pct"/>
            <w:shd w:val="clear" w:color="auto" w:fill="auto"/>
            <w:vAlign w:val="center"/>
          </w:tcPr>
          <w:p w14:paraId="769897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666369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6942D9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3BDEB2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674344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466CB5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w:t>
            </w:r>
            <w:r>
              <w:rPr>
                <w:rFonts w:hint="default"/>
                <w:color w:val="auto"/>
                <w:highlight w:val="none"/>
                <w:vertAlign w:val="subscript"/>
                <w:lang w:val="en-US" w:eastAsia="zh-CN"/>
              </w:rPr>
              <w:t>5</w:t>
            </w:r>
          </w:p>
        </w:tc>
        <w:tc>
          <w:tcPr>
            <w:tcW w:w="394" w:type="pct"/>
            <w:shd w:val="clear" w:color="auto" w:fill="auto"/>
            <w:vAlign w:val="center"/>
          </w:tcPr>
          <w:p w14:paraId="54A514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2EB272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09AA54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6F61045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21C5BC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73FFF3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2064B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0C8CE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19CDEB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3C66FE7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3E372F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3EF90A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32B175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0A791F4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3C6987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1ED50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6FF955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5C9B228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23385D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000768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86B7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70B64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735DC0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2C2BCE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0.1</w:t>
            </w:r>
          </w:p>
        </w:tc>
        <w:tc>
          <w:tcPr>
            <w:tcW w:w="433" w:type="pct"/>
            <w:shd w:val="clear" w:color="auto" w:fill="auto"/>
            <w:vAlign w:val="center"/>
          </w:tcPr>
          <w:p w14:paraId="104763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w:t>
            </w:r>
          </w:p>
        </w:tc>
        <w:tc>
          <w:tcPr>
            <w:tcW w:w="359" w:type="pct"/>
            <w:shd w:val="clear" w:color="auto" w:fill="auto"/>
            <w:vAlign w:val="center"/>
          </w:tcPr>
          <w:p w14:paraId="569D29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0.94</w:t>
            </w:r>
          </w:p>
        </w:tc>
        <w:tc>
          <w:tcPr>
            <w:tcW w:w="388" w:type="pct"/>
            <w:shd w:val="clear" w:color="auto" w:fill="auto"/>
            <w:vAlign w:val="center"/>
          </w:tcPr>
          <w:p w14:paraId="34EFEDF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w:t>
            </w:r>
          </w:p>
        </w:tc>
        <w:tc>
          <w:tcPr>
            <w:tcW w:w="405" w:type="pct"/>
            <w:shd w:val="clear" w:color="auto" w:fill="auto"/>
            <w:vAlign w:val="center"/>
          </w:tcPr>
          <w:p w14:paraId="6AC365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0.575</w:t>
            </w:r>
          </w:p>
        </w:tc>
        <w:tc>
          <w:tcPr>
            <w:tcW w:w="394" w:type="pct"/>
            <w:shd w:val="clear" w:color="auto" w:fill="auto"/>
            <w:vAlign w:val="center"/>
          </w:tcPr>
          <w:p w14:paraId="0C34BC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23652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59BC96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4C80EE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61D4E9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64DFCE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0EEAC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99" w:hRule="atLeast"/>
        </w:trPr>
        <w:tc>
          <w:tcPr>
            <w:tcW w:w="248" w:type="pct"/>
            <w:vMerge w:val="continue"/>
            <w:vAlign w:val="center"/>
          </w:tcPr>
          <w:p w14:paraId="11A511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490C39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0DF8B1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33" w:type="pct"/>
            <w:shd w:val="clear" w:color="auto" w:fill="auto"/>
            <w:vAlign w:val="center"/>
          </w:tcPr>
          <w:p w14:paraId="09ED9C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w:t>
            </w:r>
          </w:p>
        </w:tc>
        <w:tc>
          <w:tcPr>
            <w:tcW w:w="359" w:type="pct"/>
            <w:shd w:val="clear" w:color="auto" w:fill="auto"/>
            <w:vAlign w:val="center"/>
          </w:tcPr>
          <w:p w14:paraId="72ACAF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0.95</w:t>
            </w:r>
          </w:p>
        </w:tc>
        <w:tc>
          <w:tcPr>
            <w:tcW w:w="388" w:type="pct"/>
            <w:shd w:val="clear" w:color="auto" w:fill="auto"/>
            <w:vAlign w:val="center"/>
          </w:tcPr>
          <w:p w14:paraId="5614A0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0.55</w:t>
            </w:r>
          </w:p>
        </w:tc>
        <w:tc>
          <w:tcPr>
            <w:tcW w:w="405" w:type="pct"/>
            <w:shd w:val="clear" w:color="auto" w:fill="auto"/>
            <w:vAlign w:val="center"/>
          </w:tcPr>
          <w:p w14:paraId="0EC117A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0.625</w:t>
            </w:r>
          </w:p>
        </w:tc>
        <w:tc>
          <w:tcPr>
            <w:tcW w:w="394" w:type="pct"/>
            <w:shd w:val="clear" w:color="auto" w:fill="auto"/>
            <w:vAlign w:val="center"/>
          </w:tcPr>
          <w:p w14:paraId="53ABC3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F59E0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12602F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23946A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51FF22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648B71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ABAC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53E8A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249588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238716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w:t>
            </w:r>
          </w:p>
        </w:tc>
        <w:tc>
          <w:tcPr>
            <w:tcW w:w="433" w:type="pct"/>
            <w:shd w:val="clear" w:color="auto" w:fill="auto"/>
            <w:vAlign w:val="center"/>
          </w:tcPr>
          <w:p w14:paraId="240104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w:t>
            </w:r>
          </w:p>
        </w:tc>
        <w:tc>
          <w:tcPr>
            <w:tcW w:w="359" w:type="pct"/>
            <w:shd w:val="clear" w:color="auto" w:fill="auto"/>
            <w:vAlign w:val="center"/>
          </w:tcPr>
          <w:p w14:paraId="539C69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0.97</w:t>
            </w:r>
          </w:p>
        </w:tc>
        <w:tc>
          <w:tcPr>
            <w:tcW w:w="388" w:type="pct"/>
            <w:shd w:val="clear" w:color="auto" w:fill="auto"/>
            <w:vAlign w:val="center"/>
          </w:tcPr>
          <w:p w14:paraId="3FE783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0.65</w:t>
            </w:r>
          </w:p>
        </w:tc>
        <w:tc>
          <w:tcPr>
            <w:tcW w:w="405" w:type="pct"/>
            <w:shd w:val="clear" w:color="auto" w:fill="auto"/>
            <w:vAlign w:val="center"/>
          </w:tcPr>
          <w:p w14:paraId="2D1F42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0.525</w:t>
            </w:r>
          </w:p>
        </w:tc>
        <w:tc>
          <w:tcPr>
            <w:tcW w:w="394" w:type="pct"/>
            <w:shd w:val="clear" w:color="auto" w:fill="auto"/>
            <w:vAlign w:val="center"/>
          </w:tcPr>
          <w:p w14:paraId="1C12D6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28F01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7AD76D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5F75F9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384335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433A5B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54A7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380F8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54C1C8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1982A1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5A09BC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44BF13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7B4B89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2A0E2C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7C93CE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7ACFD3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1EAD7B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097315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3614C9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60605B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57462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44AA2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2F94CA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291E43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7D4426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3A2D9C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33CD1E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1196594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284A8E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7DA7CE1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659F84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74B279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06B82A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219876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60CBF0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90" w:hRule="atLeast"/>
        </w:trPr>
        <w:tc>
          <w:tcPr>
            <w:tcW w:w="248" w:type="pct"/>
            <w:vMerge w:val="continue"/>
            <w:vAlign w:val="center"/>
          </w:tcPr>
          <w:p w14:paraId="72CD44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7C5B58C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6FD9E7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2146FC6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4921C4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6E2F81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0A2D7A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474FDE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28F99D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0.048</w:t>
            </w:r>
          </w:p>
        </w:tc>
        <w:tc>
          <w:tcPr>
            <w:tcW w:w="403" w:type="pct"/>
            <w:shd w:val="clear" w:color="auto" w:fill="auto"/>
            <w:vAlign w:val="center"/>
          </w:tcPr>
          <w:p w14:paraId="018A99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40</w:t>
            </w:r>
          </w:p>
        </w:tc>
        <w:tc>
          <w:tcPr>
            <w:tcW w:w="376" w:type="pct"/>
            <w:shd w:val="clear" w:color="auto" w:fill="auto"/>
            <w:vAlign w:val="center"/>
          </w:tcPr>
          <w:p w14:paraId="7523E5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539040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0.48</w:t>
            </w:r>
          </w:p>
        </w:tc>
        <w:tc>
          <w:tcPr>
            <w:tcW w:w="471" w:type="pct"/>
            <w:shd w:val="clear" w:color="auto" w:fill="auto"/>
            <w:vAlign w:val="center"/>
          </w:tcPr>
          <w:p w14:paraId="377176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09402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23AC3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07238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16E16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61F04C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3E9F82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2753B6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04F748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5A7DA8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52A192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0.04</w:t>
            </w:r>
          </w:p>
        </w:tc>
        <w:tc>
          <w:tcPr>
            <w:tcW w:w="403" w:type="pct"/>
            <w:shd w:val="clear" w:color="auto" w:fill="auto"/>
            <w:vAlign w:val="center"/>
          </w:tcPr>
          <w:p w14:paraId="05BE34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38.2</w:t>
            </w:r>
          </w:p>
        </w:tc>
        <w:tc>
          <w:tcPr>
            <w:tcW w:w="376" w:type="pct"/>
            <w:shd w:val="clear" w:color="auto" w:fill="auto"/>
            <w:vAlign w:val="center"/>
          </w:tcPr>
          <w:p w14:paraId="395FE2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29E7F5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0.47</w:t>
            </w:r>
          </w:p>
        </w:tc>
        <w:tc>
          <w:tcPr>
            <w:tcW w:w="471" w:type="pct"/>
            <w:shd w:val="clear" w:color="auto" w:fill="auto"/>
            <w:vAlign w:val="center"/>
          </w:tcPr>
          <w:p w14:paraId="72B113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4AF93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B2429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694289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44D938E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7F2266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0A7E09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6ABF05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083C7F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5B2FB6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0E2D0F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0.038</w:t>
            </w:r>
          </w:p>
        </w:tc>
        <w:tc>
          <w:tcPr>
            <w:tcW w:w="403" w:type="pct"/>
            <w:shd w:val="clear" w:color="auto" w:fill="auto"/>
            <w:vAlign w:val="center"/>
          </w:tcPr>
          <w:p w14:paraId="523D8E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39.2</w:t>
            </w:r>
          </w:p>
        </w:tc>
        <w:tc>
          <w:tcPr>
            <w:tcW w:w="376" w:type="pct"/>
            <w:shd w:val="clear" w:color="auto" w:fill="auto"/>
            <w:vAlign w:val="center"/>
          </w:tcPr>
          <w:p w14:paraId="6253421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019415A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0.48</w:t>
            </w:r>
          </w:p>
        </w:tc>
        <w:tc>
          <w:tcPr>
            <w:tcW w:w="471" w:type="pct"/>
            <w:shd w:val="clear" w:color="auto" w:fill="auto"/>
            <w:vAlign w:val="center"/>
          </w:tcPr>
          <w:p w14:paraId="64107ED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65C01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8" w:type="pct"/>
            <w:vMerge w:val="continue"/>
            <w:vAlign w:val="center"/>
          </w:tcPr>
          <w:p w14:paraId="3520AC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7E65F8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4D15A1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16569F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175DA8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3696531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48ED7C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2B85A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002B2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23D96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7014D5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8615E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6D59AD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2432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01A98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76C54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3035DA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0DD916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607B02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3E78C9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647EE5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EA958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08649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D6BE9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32F80B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72ACC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68C93A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9BFA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6067A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15648C5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6A8286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211E64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1015" w:type="dxa"/>
            <w:shd w:val="clear" w:color="auto" w:fill="auto"/>
            <w:vAlign w:val="center"/>
          </w:tcPr>
          <w:p w14:paraId="4F40BC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4205C3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67C1B1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C593D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368F1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A690B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C5190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F8985F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C535E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E073D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FF3A0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A59FB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02158E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1F570A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1015" w:type="dxa"/>
            <w:shd w:val="clear" w:color="auto" w:fill="auto"/>
            <w:vAlign w:val="center"/>
          </w:tcPr>
          <w:p w14:paraId="24EEDC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296FA8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2EB55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8AC5B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C0619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27D2A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2E00B1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FD2A0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3D5AE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769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C74C9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A3C5E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2DDC4B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19B52F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1015" w:type="dxa"/>
            <w:shd w:val="clear" w:color="auto" w:fill="auto"/>
            <w:vAlign w:val="center"/>
          </w:tcPr>
          <w:p w14:paraId="3002D6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5CA7BA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27BA3A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8B912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8AEB4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393B3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1019E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713D8F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9D5C3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41E6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592" w:hRule="atLeast"/>
        </w:trPr>
        <w:tc>
          <w:tcPr>
            <w:tcW w:w="248" w:type="pct"/>
            <w:vMerge w:val="restart"/>
            <w:vAlign w:val="center"/>
          </w:tcPr>
          <w:p w14:paraId="4D90D6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S3</w:t>
            </w:r>
          </w:p>
        </w:tc>
        <w:tc>
          <w:tcPr>
            <w:tcW w:w="373" w:type="pct"/>
            <w:shd w:val="clear" w:color="auto" w:fill="auto"/>
            <w:vAlign w:val="center"/>
          </w:tcPr>
          <w:p w14:paraId="0E54E6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0998B3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4512F9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1D9827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74D708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27D75B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w:t>
            </w:r>
            <w:r>
              <w:rPr>
                <w:rFonts w:hint="default"/>
                <w:color w:val="auto"/>
                <w:highlight w:val="none"/>
                <w:vertAlign w:val="subscript"/>
                <w:lang w:val="en-US" w:eastAsia="zh-CN"/>
              </w:rPr>
              <w:t>5</w:t>
            </w:r>
          </w:p>
        </w:tc>
        <w:tc>
          <w:tcPr>
            <w:tcW w:w="394" w:type="pct"/>
            <w:shd w:val="clear" w:color="auto" w:fill="auto"/>
            <w:vAlign w:val="center"/>
          </w:tcPr>
          <w:p w14:paraId="64E7D0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7A35498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71FDA6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5F8A19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1E09BD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04C466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48E81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220" w:hRule="atLeast"/>
        </w:trPr>
        <w:tc>
          <w:tcPr>
            <w:tcW w:w="248" w:type="pct"/>
            <w:vMerge w:val="continue"/>
            <w:vAlign w:val="center"/>
          </w:tcPr>
          <w:p w14:paraId="0D4EDF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38640E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722E2E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160C2D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793AC5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75C965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431055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294151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FAE1F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4671DE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30A63F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4F3F44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4A2770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564E4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D2AEC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0E365C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0C4801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0.1</w:t>
            </w:r>
            <w:r>
              <w:rPr>
                <w:rFonts w:hint="eastAsia"/>
                <w:color w:val="auto"/>
                <w:highlight w:val="none"/>
                <w:lang w:val="en-US" w:eastAsia="zh-CN"/>
              </w:rPr>
              <w:t>5</w:t>
            </w:r>
          </w:p>
        </w:tc>
        <w:tc>
          <w:tcPr>
            <w:tcW w:w="433" w:type="pct"/>
            <w:shd w:val="clear" w:color="auto" w:fill="auto"/>
            <w:vAlign w:val="center"/>
          </w:tcPr>
          <w:p w14:paraId="58C923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0.45</w:t>
            </w:r>
          </w:p>
        </w:tc>
        <w:tc>
          <w:tcPr>
            <w:tcW w:w="359" w:type="pct"/>
            <w:shd w:val="clear" w:color="auto" w:fill="auto"/>
            <w:vAlign w:val="center"/>
          </w:tcPr>
          <w:p w14:paraId="6B7832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0.64</w:t>
            </w:r>
          </w:p>
        </w:tc>
        <w:tc>
          <w:tcPr>
            <w:tcW w:w="388" w:type="pct"/>
            <w:shd w:val="clear" w:color="auto" w:fill="auto"/>
            <w:vAlign w:val="center"/>
          </w:tcPr>
          <w:p w14:paraId="20EB51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w:t>
            </w:r>
          </w:p>
        </w:tc>
        <w:tc>
          <w:tcPr>
            <w:tcW w:w="405" w:type="pct"/>
            <w:shd w:val="clear" w:color="auto" w:fill="auto"/>
            <w:vAlign w:val="center"/>
          </w:tcPr>
          <w:p w14:paraId="2B85FA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0.475</w:t>
            </w:r>
          </w:p>
        </w:tc>
        <w:tc>
          <w:tcPr>
            <w:tcW w:w="394" w:type="pct"/>
            <w:shd w:val="clear" w:color="auto" w:fill="auto"/>
            <w:vAlign w:val="center"/>
          </w:tcPr>
          <w:p w14:paraId="36CC63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CFA2F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2D4395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1EC157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7AE0F84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6B5B2B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124F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06B0E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74E986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56C1C4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33" w:type="pct"/>
            <w:shd w:val="clear" w:color="auto" w:fill="auto"/>
            <w:vAlign w:val="center"/>
          </w:tcPr>
          <w:p w14:paraId="3C86FB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0.45</w:t>
            </w:r>
          </w:p>
        </w:tc>
        <w:tc>
          <w:tcPr>
            <w:tcW w:w="359" w:type="pct"/>
            <w:shd w:val="clear" w:color="auto" w:fill="auto"/>
            <w:vAlign w:val="center"/>
          </w:tcPr>
          <w:p w14:paraId="323E95A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0.66</w:t>
            </w:r>
          </w:p>
        </w:tc>
        <w:tc>
          <w:tcPr>
            <w:tcW w:w="388" w:type="pct"/>
            <w:shd w:val="clear" w:color="auto" w:fill="auto"/>
            <w:vAlign w:val="center"/>
          </w:tcPr>
          <w:p w14:paraId="1919DB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w:t>
            </w:r>
          </w:p>
        </w:tc>
        <w:tc>
          <w:tcPr>
            <w:tcW w:w="405" w:type="pct"/>
            <w:shd w:val="clear" w:color="auto" w:fill="auto"/>
            <w:vAlign w:val="center"/>
          </w:tcPr>
          <w:p w14:paraId="51C735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0.425</w:t>
            </w:r>
          </w:p>
        </w:tc>
        <w:tc>
          <w:tcPr>
            <w:tcW w:w="394" w:type="pct"/>
            <w:shd w:val="clear" w:color="auto" w:fill="auto"/>
            <w:vAlign w:val="center"/>
          </w:tcPr>
          <w:p w14:paraId="6ADF0D8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0A16F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3CF50B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345BE1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0F325D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6D78DC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45CB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95365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72EF2C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4FDDCE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33" w:type="pct"/>
            <w:shd w:val="clear" w:color="auto" w:fill="auto"/>
            <w:vAlign w:val="center"/>
          </w:tcPr>
          <w:p w14:paraId="530DCE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w:t>
            </w:r>
          </w:p>
        </w:tc>
        <w:tc>
          <w:tcPr>
            <w:tcW w:w="359" w:type="pct"/>
            <w:shd w:val="clear" w:color="auto" w:fill="auto"/>
            <w:vAlign w:val="center"/>
          </w:tcPr>
          <w:p w14:paraId="3AF6A4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0.66</w:t>
            </w:r>
          </w:p>
        </w:tc>
        <w:tc>
          <w:tcPr>
            <w:tcW w:w="388" w:type="pct"/>
            <w:shd w:val="clear" w:color="auto" w:fill="auto"/>
            <w:vAlign w:val="center"/>
          </w:tcPr>
          <w:p w14:paraId="56CA48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0.35</w:t>
            </w:r>
          </w:p>
        </w:tc>
        <w:tc>
          <w:tcPr>
            <w:tcW w:w="405" w:type="pct"/>
            <w:shd w:val="clear" w:color="auto" w:fill="auto"/>
            <w:vAlign w:val="center"/>
          </w:tcPr>
          <w:p w14:paraId="47A3E8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0.375</w:t>
            </w:r>
          </w:p>
        </w:tc>
        <w:tc>
          <w:tcPr>
            <w:tcW w:w="394" w:type="pct"/>
            <w:shd w:val="clear" w:color="auto" w:fill="auto"/>
            <w:vAlign w:val="center"/>
          </w:tcPr>
          <w:p w14:paraId="7D3667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3F37C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50197CD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1667FA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13ACFE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22E354B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7647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85FD9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2E7C8B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3478F3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075A74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3CD459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4F1DC6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0B99B9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19F79A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7FD706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07D842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638243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38C7DC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69ADEA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6A865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9DD3F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68819B5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67291B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72B2D3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3C7EEE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33463C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28725D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4CE1FC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706DEDD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51A2BC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1FC146A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05AB12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40FCF5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53629A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5612C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308576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20BC135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75903A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223B8B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47DFA4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2DB1AA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22643C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11C00A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403" w:type="pct"/>
            <w:shd w:val="clear" w:color="auto" w:fill="auto"/>
            <w:vAlign w:val="center"/>
          </w:tcPr>
          <w:p w14:paraId="6A7E85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2.56</w:t>
            </w:r>
          </w:p>
        </w:tc>
        <w:tc>
          <w:tcPr>
            <w:tcW w:w="376" w:type="pct"/>
            <w:shd w:val="clear" w:color="auto" w:fill="auto"/>
            <w:vAlign w:val="center"/>
          </w:tcPr>
          <w:p w14:paraId="62C898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792A74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0.24</w:t>
            </w:r>
          </w:p>
        </w:tc>
        <w:tc>
          <w:tcPr>
            <w:tcW w:w="471" w:type="pct"/>
            <w:shd w:val="clear" w:color="auto" w:fill="auto"/>
            <w:vAlign w:val="center"/>
          </w:tcPr>
          <w:p w14:paraId="585FAD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38577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533AB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19AE6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208B43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021A18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656DDA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4760CF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119BB5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6ED7A1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1F2BBB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403" w:type="pct"/>
            <w:shd w:val="clear" w:color="auto" w:fill="auto"/>
            <w:vAlign w:val="center"/>
          </w:tcPr>
          <w:p w14:paraId="0A138E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2.34</w:t>
            </w:r>
          </w:p>
        </w:tc>
        <w:tc>
          <w:tcPr>
            <w:tcW w:w="376" w:type="pct"/>
            <w:shd w:val="clear" w:color="auto" w:fill="auto"/>
            <w:vAlign w:val="center"/>
          </w:tcPr>
          <w:p w14:paraId="01BD7C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0CAE46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0.26</w:t>
            </w:r>
          </w:p>
        </w:tc>
        <w:tc>
          <w:tcPr>
            <w:tcW w:w="471" w:type="pct"/>
            <w:shd w:val="clear" w:color="auto" w:fill="auto"/>
            <w:vAlign w:val="center"/>
          </w:tcPr>
          <w:p w14:paraId="7890B4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075F8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8732F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AB473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7672D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6DB951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7F2C79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137A31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3F9B48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275ABF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1BE353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403" w:type="pct"/>
            <w:shd w:val="clear" w:color="auto" w:fill="auto"/>
            <w:vAlign w:val="center"/>
          </w:tcPr>
          <w:p w14:paraId="3F15CA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2.32</w:t>
            </w:r>
          </w:p>
        </w:tc>
        <w:tc>
          <w:tcPr>
            <w:tcW w:w="376" w:type="pct"/>
            <w:shd w:val="clear" w:color="auto" w:fill="auto"/>
            <w:vAlign w:val="center"/>
          </w:tcPr>
          <w:p w14:paraId="3BAD6C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3A35CE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0.25</w:t>
            </w:r>
          </w:p>
        </w:tc>
        <w:tc>
          <w:tcPr>
            <w:tcW w:w="471" w:type="pct"/>
            <w:shd w:val="clear" w:color="auto" w:fill="auto"/>
            <w:vAlign w:val="center"/>
          </w:tcPr>
          <w:p w14:paraId="4F99DE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22573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8" w:type="pct"/>
            <w:vMerge w:val="continue"/>
            <w:vAlign w:val="center"/>
          </w:tcPr>
          <w:p w14:paraId="4A6A3D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1178E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41B006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1AAE0B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2C4B98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76850C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6117AA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D8F86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88A98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B8B44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764A5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D495D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26CA9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6C96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5A03B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B0D75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3AD94C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582C5F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193C81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5DCC374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691AB1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F094B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634BE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D8DB18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0BF9AD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2BFE1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A4F11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8745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ABF97B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55AF21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205E605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446ED9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0.0048</w:t>
            </w:r>
          </w:p>
        </w:tc>
        <w:tc>
          <w:tcPr>
            <w:tcW w:w="1015" w:type="dxa"/>
            <w:shd w:val="clear" w:color="auto" w:fill="auto"/>
            <w:vAlign w:val="center"/>
          </w:tcPr>
          <w:p w14:paraId="688DC9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49AB5F7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590155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ADB97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153D1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6769C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3D2F4F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ACCA5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A8D4D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7BF3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230" w:hRule="atLeast"/>
        </w:trPr>
        <w:tc>
          <w:tcPr>
            <w:tcW w:w="248" w:type="pct"/>
            <w:vMerge w:val="continue"/>
            <w:vAlign w:val="center"/>
          </w:tcPr>
          <w:p w14:paraId="63F20BD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39FFA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64904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1C5511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0.0054</w:t>
            </w:r>
          </w:p>
        </w:tc>
        <w:tc>
          <w:tcPr>
            <w:tcW w:w="1015" w:type="dxa"/>
            <w:shd w:val="clear" w:color="auto" w:fill="auto"/>
            <w:vAlign w:val="center"/>
          </w:tcPr>
          <w:p w14:paraId="6AD8A0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1CEA47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72885C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3CC3C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5B0BA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980F9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476B1F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76044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9FD33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F2E1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ECAC4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E5D7C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32C514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7E5373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0.0032</w:t>
            </w:r>
          </w:p>
        </w:tc>
        <w:tc>
          <w:tcPr>
            <w:tcW w:w="1015" w:type="dxa"/>
            <w:shd w:val="clear" w:color="auto" w:fill="auto"/>
            <w:vAlign w:val="center"/>
          </w:tcPr>
          <w:p w14:paraId="63ADF7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3DACD8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0B7842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4DBA8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CD878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122C1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4E030B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B7B9B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3D2CAB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4A08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restart"/>
            <w:vAlign w:val="center"/>
          </w:tcPr>
          <w:p w14:paraId="1BD808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S4</w:t>
            </w:r>
          </w:p>
        </w:tc>
        <w:tc>
          <w:tcPr>
            <w:tcW w:w="373" w:type="pct"/>
            <w:shd w:val="clear" w:color="auto" w:fill="auto"/>
            <w:vAlign w:val="center"/>
          </w:tcPr>
          <w:p w14:paraId="51EFC3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36F86A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086297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63DC4C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1A4789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76E596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w:t>
            </w:r>
            <w:r>
              <w:rPr>
                <w:rFonts w:hint="default"/>
                <w:color w:val="auto"/>
                <w:highlight w:val="none"/>
                <w:vertAlign w:val="subscript"/>
                <w:lang w:val="en-US" w:eastAsia="zh-CN"/>
              </w:rPr>
              <w:t>5</w:t>
            </w:r>
          </w:p>
        </w:tc>
        <w:tc>
          <w:tcPr>
            <w:tcW w:w="394" w:type="pct"/>
            <w:shd w:val="clear" w:color="auto" w:fill="auto"/>
            <w:vAlign w:val="center"/>
          </w:tcPr>
          <w:p w14:paraId="44BA97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66D219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3DAB4B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5686E3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4CE2B6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6EDC44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7B114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7C525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14F376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2F0EA7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11A7BD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3EB755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58B144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65E76F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2CE930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3BB64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6C083C9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21337F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73F280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2F3C8E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2886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D283B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27C2BF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1C3EF7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05</w:t>
            </w:r>
          </w:p>
        </w:tc>
        <w:tc>
          <w:tcPr>
            <w:tcW w:w="433" w:type="pct"/>
            <w:shd w:val="clear" w:color="auto" w:fill="auto"/>
            <w:vAlign w:val="center"/>
          </w:tcPr>
          <w:p w14:paraId="1DEFF5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w:t>
            </w:r>
          </w:p>
        </w:tc>
        <w:tc>
          <w:tcPr>
            <w:tcW w:w="359" w:type="pct"/>
            <w:shd w:val="clear" w:color="auto" w:fill="auto"/>
            <w:vAlign w:val="center"/>
          </w:tcPr>
          <w:p w14:paraId="47565F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0.92</w:t>
            </w:r>
          </w:p>
        </w:tc>
        <w:tc>
          <w:tcPr>
            <w:tcW w:w="388" w:type="pct"/>
            <w:shd w:val="clear" w:color="auto" w:fill="auto"/>
            <w:vAlign w:val="center"/>
          </w:tcPr>
          <w:p w14:paraId="0894F0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0.55</w:t>
            </w:r>
          </w:p>
        </w:tc>
        <w:tc>
          <w:tcPr>
            <w:tcW w:w="405" w:type="pct"/>
            <w:shd w:val="clear" w:color="auto" w:fill="auto"/>
            <w:vAlign w:val="center"/>
          </w:tcPr>
          <w:p w14:paraId="116DDA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0.725</w:t>
            </w:r>
          </w:p>
        </w:tc>
        <w:tc>
          <w:tcPr>
            <w:tcW w:w="394" w:type="pct"/>
            <w:shd w:val="clear" w:color="auto" w:fill="auto"/>
            <w:vAlign w:val="center"/>
          </w:tcPr>
          <w:p w14:paraId="2A7F3F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4A444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w:t>
            </w:r>
          </w:p>
        </w:tc>
        <w:tc>
          <w:tcPr>
            <w:tcW w:w="403" w:type="pct"/>
            <w:shd w:val="clear" w:color="auto" w:fill="auto"/>
            <w:vAlign w:val="center"/>
          </w:tcPr>
          <w:p w14:paraId="08E13A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232E17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03164E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2D8A26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95F1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5BA0F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244D18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3A4AE1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05</w:t>
            </w:r>
          </w:p>
        </w:tc>
        <w:tc>
          <w:tcPr>
            <w:tcW w:w="433" w:type="pct"/>
            <w:shd w:val="clear" w:color="auto" w:fill="auto"/>
            <w:vAlign w:val="center"/>
          </w:tcPr>
          <w:p w14:paraId="4318C6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w:t>
            </w:r>
          </w:p>
        </w:tc>
        <w:tc>
          <w:tcPr>
            <w:tcW w:w="359" w:type="pct"/>
            <w:shd w:val="clear" w:color="auto" w:fill="auto"/>
            <w:vAlign w:val="center"/>
          </w:tcPr>
          <w:p w14:paraId="235472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0.91</w:t>
            </w:r>
          </w:p>
        </w:tc>
        <w:tc>
          <w:tcPr>
            <w:tcW w:w="388" w:type="pct"/>
            <w:shd w:val="clear" w:color="auto" w:fill="auto"/>
            <w:vAlign w:val="center"/>
          </w:tcPr>
          <w:p w14:paraId="604F11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w:t>
            </w:r>
          </w:p>
        </w:tc>
        <w:tc>
          <w:tcPr>
            <w:tcW w:w="405" w:type="pct"/>
            <w:shd w:val="clear" w:color="auto" w:fill="auto"/>
            <w:vAlign w:val="center"/>
          </w:tcPr>
          <w:p w14:paraId="3B0AE05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0.675</w:t>
            </w:r>
          </w:p>
        </w:tc>
        <w:tc>
          <w:tcPr>
            <w:tcW w:w="394" w:type="pct"/>
            <w:shd w:val="clear" w:color="auto" w:fill="auto"/>
            <w:vAlign w:val="center"/>
          </w:tcPr>
          <w:p w14:paraId="67C915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DA69A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3" w:type="pct"/>
            <w:shd w:val="clear" w:color="auto" w:fill="auto"/>
            <w:vAlign w:val="center"/>
          </w:tcPr>
          <w:p w14:paraId="0AE4EE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264F9D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035F79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1D9BB9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46E4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343CE0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6334BE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6A764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p>
        </w:tc>
        <w:tc>
          <w:tcPr>
            <w:tcW w:w="433" w:type="pct"/>
            <w:shd w:val="clear" w:color="auto" w:fill="auto"/>
            <w:vAlign w:val="center"/>
          </w:tcPr>
          <w:p w14:paraId="6BABC26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0.65</w:t>
            </w:r>
          </w:p>
        </w:tc>
        <w:tc>
          <w:tcPr>
            <w:tcW w:w="359" w:type="pct"/>
            <w:shd w:val="clear" w:color="auto" w:fill="auto"/>
            <w:vAlign w:val="center"/>
          </w:tcPr>
          <w:p w14:paraId="4B1031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0.93</w:t>
            </w:r>
          </w:p>
        </w:tc>
        <w:tc>
          <w:tcPr>
            <w:tcW w:w="388" w:type="pct"/>
            <w:shd w:val="clear" w:color="auto" w:fill="auto"/>
            <w:vAlign w:val="center"/>
          </w:tcPr>
          <w:p w14:paraId="62E1614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0.55</w:t>
            </w:r>
          </w:p>
        </w:tc>
        <w:tc>
          <w:tcPr>
            <w:tcW w:w="405" w:type="pct"/>
            <w:shd w:val="clear" w:color="auto" w:fill="auto"/>
            <w:vAlign w:val="center"/>
          </w:tcPr>
          <w:p w14:paraId="63424D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0.65</w:t>
            </w:r>
          </w:p>
        </w:tc>
        <w:tc>
          <w:tcPr>
            <w:tcW w:w="394" w:type="pct"/>
            <w:shd w:val="clear" w:color="auto" w:fill="auto"/>
            <w:vAlign w:val="center"/>
          </w:tcPr>
          <w:p w14:paraId="14345B8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7DB31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3" w:type="pct"/>
            <w:shd w:val="clear" w:color="auto" w:fill="auto"/>
            <w:vAlign w:val="center"/>
          </w:tcPr>
          <w:p w14:paraId="647CD3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43D6D7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7EAD77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1" w:type="pct"/>
            <w:shd w:val="clear" w:color="auto" w:fill="auto"/>
            <w:vAlign w:val="center"/>
          </w:tcPr>
          <w:p w14:paraId="3AC47C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5BE6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5EB35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49C9266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341D63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7CDD78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180D15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58813E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525424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5DAE90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136509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637D67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6784CD4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5FF791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4F7CC0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7EE21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DF4B5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2DE7B5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5275900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263860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06EF96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26976E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5C982D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7E51E6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63B57C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35992D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09E3AE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61BA58F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6935B3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6C9E00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F37E4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668A9E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785111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2F58EB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731876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67CD24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1520D9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0EFF03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0853E1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0.006</w:t>
            </w:r>
          </w:p>
        </w:tc>
        <w:tc>
          <w:tcPr>
            <w:tcW w:w="403" w:type="pct"/>
            <w:shd w:val="clear" w:color="auto" w:fill="auto"/>
            <w:vAlign w:val="center"/>
          </w:tcPr>
          <w:p w14:paraId="41C29F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17.9</w:t>
            </w:r>
          </w:p>
        </w:tc>
        <w:tc>
          <w:tcPr>
            <w:tcW w:w="376" w:type="pct"/>
            <w:shd w:val="clear" w:color="auto" w:fill="auto"/>
            <w:vAlign w:val="center"/>
          </w:tcPr>
          <w:p w14:paraId="0259A4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5A4499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0.44</w:t>
            </w:r>
          </w:p>
        </w:tc>
        <w:tc>
          <w:tcPr>
            <w:tcW w:w="471" w:type="pct"/>
            <w:shd w:val="clear" w:color="auto" w:fill="auto"/>
            <w:vAlign w:val="center"/>
          </w:tcPr>
          <w:p w14:paraId="49C561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3455E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7987A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27AC2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2098C0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4BC70E5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25EB3A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5FAC09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4241F9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08B835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0AD468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0.014</w:t>
            </w:r>
          </w:p>
        </w:tc>
        <w:tc>
          <w:tcPr>
            <w:tcW w:w="403" w:type="pct"/>
            <w:shd w:val="clear" w:color="auto" w:fill="auto"/>
            <w:vAlign w:val="center"/>
          </w:tcPr>
          <w:p w14:paraId="03F13D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19.12</w:t>
            </w:r>
          </w:p>
        </w:tc>
        <w:tc>
          <w:tcPr>
            <w:tcW w:w="376" w:type="pct"/>
            <w:shd w:val="clear" w:color="auto" w:fill="auto"/>
            <w:vAlign w:val="center"/>
          </w:tcPr>
          <w:p w14:paraId="1CD2C6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49BAFC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0.44</w:t>
            </w:r>
          </w:p>
        </w:tc>
        <w:tc>
          <w:tcPr>
            <w:tcW w:w="471" w:type="pct"/>
            <w:shd w:val="clear" w:color="auto" w:fill="auto"/>
            <w:vAlign w:val="center"/>
          </w:tcPr>
          <w:p w14:paraId="6FAC105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155B3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2537F4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6AA97D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0954F6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3D40C0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123B60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64A9F0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36FCEF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1ABBF3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449BD81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0.014</w:t>
            </w:r>
          </w:p>
        </w:tc>
        <w:tc>
          <w:tcPr>
            <w:tcW w:w="403" w:type="pct"/>
            <w:shd w:val="clear" w:color="auto" w:fill="auto"/>
            <w:vAlign w:val="center"/>
          </w:tcPr>
          <w:p w14:paraId="5E30EE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19.38</w:t>
            </w:r>
          </w:p>
        </w:tc>
        <w:tc>
          <w:tcPr>
            <w:tcW w:w="376" w:type="pct"/>
            <w:shd w:val="clear" w:color="auto" w:fill="auto"/>
            <w:vAlign w:val="center"/>
          </w:tcPr>
          <w:p w14:paraId="094ACD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2EFEC8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0.43</w:t>
            </w:r>
          </w:p>
        </w:tc>
        <w:tc>
          <w:tcPr>
            <w:tcW w:w="471" w:type="pct"/>
            <w:shd w:val="clear" w:color="auto" w:fill="auto"/>
            <w:vAlign w:val="center"/>
          </w:tcPr>
          <w:p w14:paraId="1C14EF9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1D6CB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8" w:type="pct"/>
            <w:vMerge w:val="continue"/>
            <w:vAlign w:val="center"/>
          </w:tcPr>
          <w:p w14:paraId="6F8A37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7B341B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09D375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2F1B4EA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5ACF2F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319268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261C68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80424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FCCF4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CD1D04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064FA9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E1381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607B5B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396F7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0F39F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18DA6B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57A7D0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1D861B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253442C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2031C0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4E163F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59A02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113C5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9E011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09EB9D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0E65D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10631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F58E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F4CDA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5F11B7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7AC5AC1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455EAF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0.0022</w:t>
            </w:r>
          </w:p>
        </w:tc>
        <w:tc>
          <w:tcPr>
            <w:tcW w:w="1015" w:type="dxa"/>
            <w:shd w:val="clear" w:color="auto" w:fill="auto"/>
            <w:vAlign w:val="center"/>
          </w:tcPr>
          <w:p w14:paraId="6A51BB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527819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5FA146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F98E0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95770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0EC121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7801DB5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65E52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22A514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115B6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00427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F95977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F9E8A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0A710A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1015" w:type="dxa"/>
            <w:shd w:val="clear" w:color="auto" w:fill="auto"/>
            <w:vAlign w:val="center"/>
          </w:tcPr>
          <w:p w14:paraId="14EB20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766B2A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4A40C8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74F9C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C041E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BD89F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2A5A8B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92001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1E2D36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C6DE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0422C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6A4C7A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7EB317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0F20A3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0.0018</w:t>
            </w:r>
          </w:p>
        </w:tc>
        <w:tc>
          <w:tcPr>
            <w:tcW w:w="1015" w:type="dxa"/>
            <w:shd w:val="clear" w:color="auto" w:fill="auto"/>
            <w:vAlign w:val="center"/>
          </w:tcPr>
          <w:p w14:paraId="7A7A48E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766BDE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4E9631F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80DA2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D6AEC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657F0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5577CF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7D9F68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3D4DF3D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737C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restart"/>
            <w:vAlign w:val="center"/>
          </w:tcPr>
          <w:p w14:paraId="185FE0D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S5</w:t>
            </w:r>
          </w:p>
        </w:tc>
        <w:tc>
          <w:tcPr>
            <w:tcW w:w="373" w:type="pct"/>
            <w:shd w:val="clear" w:color="auto" w:fill="auto"/>
            <w:vAlign w:val="center"/>
          </w:tcPr>
          <w:p w14:paraId="0D96B7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5CED30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6278C0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1A9089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364671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1F7176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w:t>
            </w:r>
            <w:r>
              <w:rPr>
                <w:rFonts w:hint="default"/>
                <w:color w:val="auto"/>
                <w:highlight w:val="none"/>
                <w:vertAlign w:val="subscript"/>
                <w:lang w:val="en-US" w:eastAsia="zh-CN"/>
              </w:rPr>
              <w:t>5</w:t>
            </w:r>
          </w:p>
        </w:tc>
        <w:tc>
          <w:tcPr>
            <w:tcW w:w="394" w:type="pct"/>
            <w:shd w:val="clear" w:color="auto" w:fill="auto"/>
            <w:vAlign w:val="center"/>
          </w:tcPr>
          <w:p w14:paraId="20223B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44D4BAA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79470D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3754E7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592BCE9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5A5AB0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7CA03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ED2D9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2CFBE4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35BBA95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5C8F9B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45A559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4FA25D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0753A1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7D5A8D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CB00A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0A5DDA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0933DA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3E6192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41581E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9C6F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D7FAD9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68F8C8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28D2B7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05</w:t>
            </w:r>
          </w:p>
        </w:tc>
        <w:tc>
          <w:tcPr>
            <w:tcW w:w="433" w:type="pct"/>
            <w:shd w:val="clear" w:color="auto" w:fill="auto"/>
            <w:vAlign w:val="center"/>
          </w:tcPr>
          <w:p w14:paraId="3AA411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0.55</w:t>
            </w:r>
          </w:p>
        </w:tc>
        <w:tc>
          <w:tcPr>
            <w:tcW w:w="359" w:type="pct"/>
            <w:shd w:val="clear" w:color="auto" w:fill="auto"/>
            <w:vAlign w:val="center"/>
          </w:tcPr>
          <w:p w14:paraId="0CE626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0.69</w:t>
            </w:r>
          </w:p>
        </w:tc>
        <w:tc>
          <w:tcPr>
            <w:tcW w:w="388" w:type="pct"/>
            <w:shd w:val="clear" w:color="auto" w:fill="auto"/>
            <w:vAlign w:val="center"/>
          </w:tcPr>
          <w:p w14:paraId="0B59F1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w:t>
            </w:r>
          </w:p>
        </w:tc>
        <w:tc>
          <w:tcPr>
            <w:tcW w:w="405" w:type="pct"/>
            <w:shd w:val="clear" w:color="auto" w:fill="auto"/>
            <w:vAlign w:val="center"/>
          </w:tcPr>
          <w:p w14:paraId="5DDDA8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0.55</w:t>
            </w:r>
          </w:p>
        </w:tc>
        <w:tc>
          <w:tcPr>
            <w:tcW w:w="394" w:type="pct"/>
            <w:shd w:val="clear" w:color="auto" w:fill="auto"/>
            <w:vAlign w:val="center"/>
          </w:tcPr>
          <w:p w14:paraId="53A7FC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A84D1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w:t>
            </w:r>
          </w:p>
        </w:tc>
        <w:tc>
          <w:tcPr>
            <w:tcW w:w="403" w:type="pct"/>
            <w:shd w:val="clear" w:color="auto" w:fill="auto"/>
            <w:vAlign w:val="center"/>
          </w:tcPr>
          <w:p w14:paraId="5D366D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7FA728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316657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71" w:type="pct"/>
            <w:shd w:val="clear" w:color="auto" w:fill="auto"/>
            <w:vAlign w:val="center"/>
          </w:tcPr>
          <w:p w14:paraId="5241CD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741AC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CB277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6198FAD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302ADF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05</w:t>
            </w:r>
          </w:p>
        </w:tc>
        <w:tc>
          <w:tcPr>
            <w:tcW w:w="433" w:type="pct"/>
            <w:shd w:val="clear" w:color="auto" w:fill="auto"/>
            <w:vAlign w:val="center"/>
          </w:tcPr>
          <w:p w14:paraId="15214A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0.65</w:t>
            </w:r>
          </w:p>
        </w:tc>
        <w:tc>
          <w:tcPr>
            <w:tcW w:w="359" w:type="pct"/>
            <w:shd w:val="clear" w:color="auto" w:fill="auto"/>
            <w:vAlign w:val="center"/>
          </w:tcPr>
          <w:p w14:paraId="3058C9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0.67</w:t>
            </w:r>
          </w:p>
        </w:tc>
        <w:tc>
          <w:tcPr>
            <w:tcW w:w="388" w:type="pct"/>
            <w:shd w:val="clear" w:color="auto" w:fill="auto"/>
            <w:vAlign w:val="center"/>
          </w:tcPr>
          <w:p w14:paraId="0191BE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w:t>
            </w:r>
          </w:p>
        </w:tc>
        <w:tc>
          <w:tcPr>
            <w:tcW w:w="405" w:type="pct"/>
            <w:shd w:val="clear" w:color="auto" w:fill="auto"/>
            <w:vAlign w:val="center"/>
          </w:tcPr>
          <w:p w14:paraId="63FCF9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w:t>
            </w:r>
          </w:p>
        </w:tc>
        <w:tc>
          <w:tcPr>
            <w:tcW w:w="394" w:type="pct"/>
            <w:shd w:val="clear" w:color="auto" w:fill="auto"/>
            <w:vAlign w:val="center"/>
          </w:tcPr>
          <w:p w14:paraId="088C2E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EE3700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3" w:type="pct"/>
            <w:shd w:val="clear" w:color="auto" w:fill="auto"/>
            <w:vAlign w:val="center"/>
          </w:tcPr>
          <w:p w14:paraId="3D63116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5D15C3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238D8D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0.22</w:t>
            </w:r>
          </w:p>
        </w:tc>
        <w:tc>
          <w:tcPr>
            <w:tcW w:w="471" w:type="pct"/>
            <w:shd w:val="clear" w:color="auto" w:fill="auto"/>
            <w:vAlign w:val="center"/>
          </w:tcPr>
          <w:p w14:paraId="490A10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88FAB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9FFE7E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477DAE9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392F4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p>
        </w:tc>
        <w:tc>
          <w:tcPr>
            <w:tcW w:w="433" w:type="pct"/>
            <w:shd w:val="clear" w:color="auto" w:fill="auto"/>
            <w:vAlign w:val="center"/>
          </w:tcPr>
          <w:p w14:paraId="358B42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w:t>
            </w:r>
          </w:p>
        </w:tc>
        <w:tc>
          <w:tcPr>
            <w:tcW w:w="359" w:type="pct"/>
            <w:shd w:val="clear" w:color="auto" w:fill="auto"/>
            <w:vAlign w:val="center"/>
          </w:tcPr>
          <w:p w14:paraId="11F72D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0.67</w:t>
            </w:r>
          </w:p>
        </w:tc>
        <w:tc>
          <w:tcPr>
            <w:tcW w:w="388" w:type="pct"/>
            <w:shd w:val="clear" w:color="auto" w:fill="auto"/>
            <w:vAlign w:val="center"/>
          </w:tcPr>
          <w:p w14:paraId="580DD7D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w:t>
            </w:r>
          </w:p>
        </w:tc>
        <w:tc>
          <w:tcPr>
            <w:tcW w:w="405" w:type="pct"/>
            <w:shd w:val="clear" w:color="auto" w:fill="auto"/>
            <w:vAlign w:val="center"/>
          </w:tcPr>
          <w:p w14:paraId="712027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0.575</w:t>
            </w:r>
          </w:p>
        </w:tc>
        <w:tc>
          <w:tcPr>
            <w:tcW w:w="394" w:type="pct"/>
            <w:shd w:val="clear" w:color="auto" w:fill="auto"/>
            <w:vAlign w:val="center"/>
          </w:tcPr>
          <w:p w14:paraId="1C20CA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A4BCA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3" w:type="pct"/>
            <w:shd w:val="clear" w:color="auto" w:fill="auto"/>
            <w:vAlign w:val="center"/>
          </w:tcPr>
          <w:p w14:paraId="1C25714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6" w:type="pct"/>
            <w:shd w:val="clear" w:color="auto" w:fill="auto"/>
            <w:vAlign w:val="center"/>
          </w:tcPr>
          <w:p w14:paraId="15FA75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32AC2E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0.22</w:t>
            </w:r>
          </w:p>
        </w:tc>
        <w:tc>
          <w:tcPr>
            <w:tcW w:w="471" w:type="pct"/>
            <w:shd w:val="clear" w:color="auto" w:fill="auto"/>
            <w:vAlign w:val="center"/>
          </w:tcPr>
          <w:p w14:paraId="31CB45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6C8F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B6F03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2FC9DC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309B41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19C25E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3296A6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30212F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7EC42C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312533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799261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79C5F3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621B67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3FF01BD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040C62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2F2EF6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76493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53EA66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6EF2EB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4FBE9AD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43C425C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52C425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6ED84E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66C5BF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13F0E1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7F27C5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40B364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4ED2631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7C4D5A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19DF88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9A02A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48DAB0D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6BA640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7BAB7B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709A6B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77B6AC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5E1B8A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535694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685738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403" w:type="pct"/>
            <w:shd w:val="clear" w:color="auto" w:fill="auto"/>
            <w:vAlign w:val="center"/>
          </w:tcPr>
          <w:p w14:paraId="045E35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19.78</w:t>
            </w:r>
          </w:p>
        </w:tc>
        <w:tc>
          <w:tcPr>
            <w:tcW w:w="376" w:type="pct"/>
            <w:shd w:val="clear" w:color="auto" w:fill="auto"/>
            <w:vAlign w:val="center"/>
          </w:tcPr>
          <w:p w14:paraId="6613FC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25C30D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0.44</w:t>
            </w:r>
          </w:p>
        </w:tc>
        <w:tc>
          <w:tcPr>
            <w:tcW w:w="471" w:type="pct"/>
            <w:shd w:val="clear" w:color="auto" w:fill="auto"/>
            <w:vAlign w:val="center"/>
          </w:tcPr>
          <w:p w14:paraId="2A6FC0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0EDBF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0F39A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D238E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553BFB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39CEAE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31E3B6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20EC55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365957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0A24AC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36BBDB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403" w:type="pct"/>
            <w:shd w:val="clear" w:color="auto" w:fill="auto"/>
            <w:vAlign w:val="center"/>
          </w:tcPr>
          <w:p w14:paraId="129F1F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19.62</w:t>
            </w:r>
          </w:p>
        </w:tc>
        <w:tc>
          <w:tcPr>
            <w:tcW w:w="376" w:type="pct"/>
            <w:shd w:val="clear" w:color="auto" w:fill="auto"/>
            <w:vAlign w:val="center"/>
          </w:tcPr>
          <w:p w14:paraId="293B04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568331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0.44</w:t>
            </w:r>
          </w:p>
        </w:tc>
        <w:tc>
          <w:tcPr>
            <w:tcW w:w="471" w:type="pct"/>
            <w:shd w:val="clear" w:color="auto" w:fill="auto"/>
            <w:vAlign w:val="center"/>
          </w:tcPr>
          <w:p w14:paraId="336124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0DCFA1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117A2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3DCEC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3BFC05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2C31D2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503E58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1529A3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405" w:type="pct"/>
            <w:shd w:val="clear" w:color="auto" w:fill="auto"/>
            <w:vAlign w:val="center"/>
          </w:tcPr>
          <w:p w14:paraId="4124F8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4" w:type="pct"/>
            <w:shd w:val="clear" w:color="auto" w:fill="auto"/>
            <w:vAlign w:val="center"/>
          </w:tcPr>
          <w:p w14:paraId="224B37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395" w:type="pct"/>
            <w:shd w:val="clear" w:color="auto" w:fill="auto"/>
            <w:vAlign w:val="center"/>
          </w:tcPr>
          <w:p w14:paraId="42A24E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403" w:type="pct"/>
            <w:shd w:val="clear" w:color="auto" w:fill="auto"/>
            <w:vAlign w:val="center"/>
          </w:tcPr>
          <w:p w14:paraId="473FE2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18.6</w:t>
            </w:r>
          </w:p>
        </w:tc>
        <w:tc>
          <w:tcPr>
            <w:tcW w:w="376" w:type="pct"/>
            <w:shd w:val="clear" w:color="auto" w:fill="auto"/>
            <w:vAlign w:val="center"/>
          </w:tcPr>
          <w:p w14:paraId="53DC1A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16" w:type="pct"/>
            <w:shd w:val="clear" w:color="auto" w:fill="auto"/>
            <w:vAlign w:val="center"/>
          </w:tcPr>
          <w:p w14:paraId="06F732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0.45</w:t>
            </w:r>
          </w:p>
        </w:tc>
        <w:tc>
          <w:tcPr>
            <w:tcW w:w="471" w:type="pct"/>
            <w:shd w:val="clear" w:color="auto" w:fill="auto"/>
            <w:vAlign w:val="center"/>
          </w:tcPr>
          <w:p w14:paraId="149DAED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281A0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8" w:type="pct"/>
            <w:vMerge w:val="continue"/>
            <w:vAlign w:val="center"/>
          </w:tcPr>
          <w:p w14:paraId="60DFDF0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09FB7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21AC16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0F81C8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1B8BC2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4D1159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612A50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A44BA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82F6A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223E0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50DAA3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CBBAF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190B4FC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F25B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0F6E6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0B3B17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65A6FD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3CB601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54F04A8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254B05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5633B5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E03344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D060E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7B840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03B3C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44CC68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0312CC9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C431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256" w:hRule="atLeast"/>
        </w:trPr>
        <w:tc>
          <w:tcPr>
            <w:tcW w:w="248" w:type="pct"/>
            <w:vMerge w:val="continue"/>
            <w:vAlign w:val="center"/>
          </w:tcPr>
          <w:p w14:paraId="20A369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196AFC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43D588A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314E4D0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1015" w:type="dxa"/>
            <w:shd w:val="clear" w:color="auto" w:fill="auto"/>
            <w:vAlign w:val="center"/>
          </w:tcPr>
          <w:p w14:paraId="7351C1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7FC30D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3CBBE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AF1D7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38403E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781F3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8D522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C4F01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E83952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8C03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3EBF1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35311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8E9DB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62626E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1015" w:type="dxa"/>
            <w:shd w:val="clear" w:color="auto" w:fill="auto"/>
            <w:vAlign w:val="center"/>
          </w:tcPr>
          <w:p w14:paraId="41B648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19AF79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74FF9F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DB3C5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BB6BD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1E95A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1F109C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E7089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45A37E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B453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1E0D7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B080C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6C8F8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53248B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0.002</w:t>
            </w:r>
          </w:p>
        </w:tc>
        <w:tc>
          <w:tcPr>
            <w:tcW w:w="1015" w:type="dxa"/>
            <w:shd w:val="clear" w:color="auto" w:fill="auto"/>
            <w:vAlign w:val="center"/>
          </w:tcPr>
          <w:p w14:paraId="30CFD1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52C48D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4EF2FB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C528F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C90E6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770BB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7ECFBC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D44E7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99FCA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B510C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restart"/>
            <w:vAlign w:val="center"/>
          </w:tcPr>
          <w:p w14:paraId="69737C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S6</w:t>
            </w:r>
          </w:p>
        </w:tc>
        <w:tc>
          <w:tcPr>
            <w:tcW w:w="373" w:type="pct"/>
            <w:shd w:val="clear" w:color="auto" w:fill="auto"/>
            <w:vAlign w:val="center"/>
          </w:tcPr>
          <w:p w14:paraId="12CC30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27158A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58786D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0A48B4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676338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02DD2B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w:t>
            </w:r>
            <w:r>
              <w:rPr>
                <w:rFonts w:hint="default"/>
                <w:color w:val="auto"/>
                <w:highlight w:val="none"/>
                <w:vertAlign w:val="subscript"/>
                <w:lang w:val="en-US" w:eastAsia="zh-CN"/>
              </w:rPr>
              <w:t>5</w:t>
            </w:r>
          </w:p>
        </w:tc>
        <w:tc>
          <w:tcPr>
            <w:tcW w:w="394" w:type="pct"/>
            <w:shd w:val="clear" w:color="auto" w:fill="auto"/>
            <w:vAlign w:val="center"/>
          </w:tcPr>
          <w:p w14:paraId="3715A8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2DC2E2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40591D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2435C07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59A2C81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2A37B2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08563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3A4A6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35EFAED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3E55E9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50E698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0A5C9A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62321F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6F8C6E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0AF97A5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5A34B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38BBEE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106F3F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2CF704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525E671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4E67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268" w:hRule="atLeast"/>
        </w:trPr>
        <w:tc>
          <w:tcPr>
            <w:tcW w:w="248" w:type="pct"/>
            <w:vMerge w:val="continue"/>
            <w:vAlign w:val="center"/>
          </w:tcPr>
          <w:p w14:paraId="3D8FCC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3842D4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3EF8DB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7AA7F9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5F27E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95517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2A9214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DCE51D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49BCCD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378FC3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2A2752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3799F1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5D3192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6EFC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4ACFEA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1278F9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93000E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0B4DEE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D85FA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C6ACB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41A53E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C7F5F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9845D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0D191D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3FC2CC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BEE38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67FB8D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5008E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248" w:type="pct"/>
            <w:vMerge w:val="continue"/>
            <w:vAlign w:val="center"/>
          </w:tcPr>
          <w:p w14:paraId="606D59C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1DF997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2F2251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1513B2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44F14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899BB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4AF179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2FC03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1751A4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7BF97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0A11D5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41D210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5D9CB6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1B38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4918C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2048CF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5F3A4D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6AE5CC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3240BD6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10B423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45649D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6EFEEC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4AECF1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41176A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3BE342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4B5E05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0D580C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1A152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9EA58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60D775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0B983B6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6930F47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20D864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42A24B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443B29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7EFBA2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3E5C92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5F74F6E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7264DA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61004D4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5E328E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0464CC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E65C3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551578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2FE870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2ECFB8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A4E21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1C60EB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26DD80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7E918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BEB0F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6ABFFB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6.54</w:t>
            </w:r>
          </w:p>
        </w:tc>
        <w:tc>
          <w:tcPr>
            <w:tcW w:w="376" w:type="pct"/>
            <w:shd w:val="clear" w:color="auto" w:fill="auto"/>
            <w:vAlign w:val="center"/>
          </w:tcPr>
          <w:p w14:paraId="22D404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1C62F5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069422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BCB8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E569D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DC81A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04CA42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163233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6A93D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DB896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7FE50C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113583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AE719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364F85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6.5</w:t>
            </w:r>
          </w:p>
        </w:tc>
        <w:tc>
          <w:tcPr>
            <w:tcW w:w="376" w:type="pct"/>
            <w:shd w:val="clear" w:color="auto" w:fill="auto"/>
            <w:vAlign w:val="center"/>
          </w:tcPr>
          <w:p w14:paraId="7D0EC66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65909C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399CA6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9FF3F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DBC4B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125E3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C028D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70EA76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8CEC4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8A1C3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4FED99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05D2B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128EB7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4051BE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6.74</w:t>
            </w:r>
          </w:p>
        </w:tc>
        <w:tc>
          <w:tcPr>
            <w:tcW w:w="376" w:type="pct"/>
            <w:shd w:val="clear" w:color="auto" w:fill="auto"/>
            <w:vAlign w:val="center"/>
          </w:tcPr>
          <w:p w14:paraId="43DC33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25940D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6C6602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5D229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8" w:type="pct"/>
            <w:vMerge w:val="continue"/>
            <w:vAlign w:val="center"/>
          </w:tcPr>
          <w:p w14:paraId="613097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7CBDA44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257E24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767ED4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303EE7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1D23A0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13931F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D3DEC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92870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029D3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3F89D1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961C8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9FFDE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BB99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6F726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72D35E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182473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16DE2D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0B67E6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256380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AE3B0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90970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E4D3E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C9AD74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383128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8FC81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12F912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F490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9AA17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2AD65C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3087E47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0526A7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04F183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088427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B3160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9115A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A5DA0D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F32D8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306E63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40AED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6DB463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7BCE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B2F070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E583A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493A72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39D32E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3ADAFC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4D873A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44B85E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A14B1B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939ED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6857A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01FA0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C9CD90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91CEC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3B7E5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399DF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067AE5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39EE78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598364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0A10AD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0E1809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55BFE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4BE44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057D73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42948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42A310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EB4B6E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D068C0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EE78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restart"/>
            <w:vAlign w:val="center"/>
          </w:tcPr>
          <w:p w14:paraId="340E71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S7</w:t>
            </w:r>
          </w:p>
        </w:tc>
        <w:tc>
          <w:tcPr>
            <w:tcW w:w="373" w:type="pct"/>
            <w:shd w:val="clear" w:color="auto" w:fill="auto"/>
            <w:vAlign w:val="center"/>
          </w:tcPr>
          <w:p w14:paraId="6262AE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7A168F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7B042E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7BB149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7C1754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74BDAC0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w:t>
            </w:r>
            <w:r>
              <w:rPr>
                <w:rFonts w:hint="default"/>
                <w:color w:val="auto"/>
                <w:highlight w:val="none"/>
                <w:vertAlign w:val="subscript"/>
                <w:lang w:val="en-US" w:eastAsia="zh-CN"/>
              </w:rPr>
              <w:t>5</w:t>
            </w:r>
          </w:p>
        </w:tc>
        <w:tc>
          <w:tcPr>
            <w:tcW w:w="394" w:type="pct"/>
            <w:shd w:val="clear" w:color="auto" w:fill="auto"/>
            <w:vAlign w:val="center"/>
          </w:tcPr>
          <w:p w14:paraId="0D78DFE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123A14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13081F6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400873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7FECC2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4EE5091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222008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24E1A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0D0EE8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437A83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1CCAD8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4240A3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61CCFC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4BF752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6AEE48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4DBB7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041F5E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499360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558E3E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38E5ED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1C14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F7481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162BEB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080357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3090D72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2475A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37EBF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38AF73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134082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C9254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5F06C8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2AC7F8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7988B7D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471095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1C18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DDAD0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2A2158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77475E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719A4C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9348D0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38D63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6FE385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5F7633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30936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D0368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5271A1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5347BF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40E2CD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9DC6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AB1B0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0FCAF7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73D81B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717F55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71ECA0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25CA7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476372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327A2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2733D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02E8ED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49484A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735406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33EB11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166E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18B25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1EC5BD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481043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3DD820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1A3A11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00120D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4848E1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50FCC8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27E7A6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4C56BA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2FC6B3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7A197E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51804A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4F04B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308D3D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428ACA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18EE77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6FF63ED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3A7CFBF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04D7BB4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78D11E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6451D1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541C30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117169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593156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5DCD8E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0D3EEA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48A68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F5ACF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7A1F43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289563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600BE9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5098F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732686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0EC8E1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B89B5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FB1AC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74EA4F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30.2</w:t>
            </w:r>
          </w:p>
        </w:tc>
        <w:tc>
          <w:tcPr>
            <w:tcW w:w="376" w:type="pct"/>
            <w:shd w:val="clear" w:color="auto" w:fill="auto"/>
            <w:vAlign w:val="center"/>
          </w:tcPr>
          <w:p w14:paraId="478FD1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7C5E5A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0F1F2D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1FE67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5B087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7F5E8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35C02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6D0A21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DFE76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24F1A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152D6F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5EC82E9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2BE9D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FA0D7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29</w:t>
            </w:r>
          </w:p>
        </w:tc>
        <w:tc>
          <w:tcPr>
            <w:tcW w:w="376" w:type="pct"/>
            <w:shd w:val="clear" w:color="auto" w:fill="auto"/>
            <w:vAlign w:val="center"/>
          </w:tcPr>
          <w:p w14:paraId="614F8A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3EEA93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7BE33D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B96A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653FC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DA107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8A616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4C4E45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19270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8F420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6FA694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ACE1B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DB482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4C6760C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31</w:t>
            </w:r>
          </w:p>
        </w:tc>
        <w:tc>
          <w:tcPr>
            <w:tcW w:w="376" w:type="pct"/>
            <w:shd w:val="clear" w:color="auto" w:fill="auto"/>
            <w:vAlign w:val="center"/>
          </w:tcPr>
          <w:p w14:paraId="37ABBA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237474E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705E48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35CB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90" w:hRule="atLeast"/>
        </w:trPr>
        <w:tc>
          <w:tcPr>
            <w:tcW w:w="248" w:type="pct"/>
            <w:vMerge w:val="continue"/>
            <w:vAlign w:val="center"/>
          </w:tcPr>
          <w:p w14:paraId="109E63A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7A5DB5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3F9F7D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1E8E0C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2702E2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0D3F7B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007B3D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30521B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F5D22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E34A5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49A1F6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3B378F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EAC450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ADA0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35119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1C55A7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3739FC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2BCA0E6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6796E4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33D826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CD612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826E6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F6FE8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0E1B1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4DAA2C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6245F1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1F5C52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9D78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ED1F5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18C66E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125380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49FC7A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20712D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5C79B5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25E657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2A10D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923D2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ECAF0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09883B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F57F4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03C647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8B9B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208F9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784CF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3DCBC3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7D7214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79C8F9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1DB857D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8DC14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4ABB4A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EF40B7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80228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5DC94F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DD95F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222052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BB00B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5C508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78009D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792A9A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513616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155437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09496C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0049F3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527E8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7C5CB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CD4A8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23DFDC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F6F6D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A49C5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C3D4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restart"/>
            <w:vAlign w:val="center"/>
          </w:tcPr>
          <w:p w14:paraId="780CDC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S8</w:t>
            </w:r>
          </w:p>
        </w:tc>
        <w:tc>
          <w:tcPr>
            <w:tcW w:w="373" w:type="pct"/>
            <w:shd w:val="clear" w:color="auto" w:fill="auto"/>
            <w:vAlign w:val="center"/>
          </w:tcPr>
          <w:p w14:paraId="4E207A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229E109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7DCC76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2420C7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1F8CE3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3C673F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w:t>
            </w:r>
            <w:r>
              <w:rPr>
                <w:rFonts w:hint="default"/>
                <w:color w:val="auto"/>
                <w:highlight w:val="none"/>
                <w:vertAlign w:val="subscript"/>
                <w:lang w:val="en-US" w:eastAsia="zh-CN"/>
              </w:rPr>
              <w:t>5</w:t>
            </w:r>
          </w:p>
        </w:tc>
        <w:tc>
          <w:tcPr>
            <w:tcW w:w="394" w:type="pct"/>
            <w:shd w:val="clear" w:color="auto" w:fill="auto"/>
            <w:vAlign w:val="center"/>
          </w:tcPr>
          <w:p w14:paraId="6D26B7E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76C41E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0B6E7B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2AD234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111CC6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56DE7E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7B1C9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3E45D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1E183E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07864F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3CF6B3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1E61F9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26C7BC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02AAA8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0ED45F5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D2C3B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1397A1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63D9B9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1825530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448A60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D69D2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90878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29E019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4F4389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19FCEA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E8167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84A06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7D4D25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37906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16A0D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6E5E32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6DE269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3FFC5E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0CE45A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5797A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C66835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7B54A9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7E3599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5BC437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3B7EE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11945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4E5336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9F997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AAE0E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30BCC9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5A99A0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C9D5B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38586C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E581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CA7C6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22679BC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4EB5CB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2BE643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EB7066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5C1D8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4B4F89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9E55F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250A1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7D4979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6B9E5E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50391C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120529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EC6C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D29A6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61D48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6552ED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3D18676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2DFAD4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257F55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763E64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666A18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66F5E9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20E198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534022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0379D1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77B849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1C78D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DA202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5EF0B7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289FB3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171CBD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21FC2C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4FCDE8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70BE92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23382B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30202C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09BF6C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3CB104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37F086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624FD4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7B80D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55" w:hRule="atLeast"/>
        </w:trPr>
        <w:tc>
          <w:tcPr>
            <w:tcW w:w="248" w:type="pct"/>
            <w:vMerge w:val="continue"/>
            <w:vAlign w:val="center"/>
          </w:tcPr>
          <w:p w14:paraId="1ED762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5B1EB2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3E9D6A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0343B3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67DCD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4D1A3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78D8BD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520FA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162032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336DD7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3.5</w:t>
            </w:r>
          </w:p>
        </w:tc>
        <w:tc>
          <w:tcPr>
            <w:tcW w:w="376" w:type="pct"/>
            <w:shd w:val="clear" w:color="auto" w:fill="auto"/>
            <w:vAlign w:val="center"/>
          </w:tcPr>
          <w:p w14:paraId="7513E9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67D43EE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492F55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1F0E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A967F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A570CF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58F581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64A315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7BCBD1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90E61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6BF415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45BC07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157B02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2F699F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3.4</w:t>
            </w:r>
          </w:p>
        </w:tc>
        <w:tc>
          <w:tcPr>
            <w:tcW w:w="376" w:type="pct"/>
            <w:shd w:val="clear" w:color="auto" w:fill="auto"/>
            <w:vAlign w:val="center"/>
          </w:tcPr>
          <w:p w14:paraId="19992F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16CE11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435439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19AAAC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DFAA6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95C9E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7E92BE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15ED556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3F273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795820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5DF5B2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3E117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5B174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3FEF82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3.28</w:t>
            </w:r>
          </w:p>
        </w:tc>
        <w:tc>
          <w:tcPr>
            <w:tcW w:w="376" w:type="pct"/>
            <w:shd w:val="clear" w:color="auto" w:fill="auto"/>
            <w:vAlign w:val="center"/>
          </w:tcPr>
          <w:p w14:paraId="3E14F5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66B67E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2F6946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A937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299" w:hRule="atLeast"/>
        </w:trPr>
        <w:tc>
          <w:tcPr>
            <w:tcW w:w="248" w:type="pct"/>
            <w:vMerge w:val="continue"/>
            <w:vAlign w:val="center"/>
          </w:tcPr>
          <w:p w14:paraId="671AE3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09E902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7E40CC5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4CFED3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2C054E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692C5D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5DA299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3F60A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5E11D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CB924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0716469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169C7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320CF2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6AB5E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91B06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48E8D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6B76F7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03A596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54CEAF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2E1B5B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149114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56B8E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5234FE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5A121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3D0F43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9014D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C4C41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929E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604BF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37A4BA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4BB7A1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62CA9D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459A33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2A35F8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182D06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E71F2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6C33F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48E17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215C73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0C515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313D53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768B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F2D50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D777A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E4530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66064E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12BB1D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2F71C7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245A40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2085A5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C01AE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34808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4D3221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CC877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4690BD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F31C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502AB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188A2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043FDF5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00CBC3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6ABA73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0E56AA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550F35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FBB92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C41A85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E895F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D5D24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3501E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48E541D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1929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restart"/>
            <w:vAlign w:val="center"/>
          </w:tcPr>
          <w:p w14:paraId="6CAA61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9</w:t>
            </w:r>
          </w:p>
        </w:tc>
        <w:tc>
          <w:tcPr>
            <w:tcW w:w="373" w:type="pct"/>
            <w:shd w:val="clear" w:color="auto" w:fill="auto"/>
            <w:noWrap/>
            <w:vAlign w:val="center"/>
          </w:tcPr>
          <w:p w14:paraId="14C78A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710DD1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12BA12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543B0A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2C30FA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48077D4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w:t>
            </w:r>
            <w:r>
              <w:rPr>
                <w:rFonts w:hint="default"/>
                <w:color w:val="auto"/>
                <w:highlight w:val="none"/>
                <w:vertAlign w:val="subscript"/>
                <w:lang w:val="en-US" w:eastAsia="zh-CN"/>
              </w:rPr>
              <w:t>5</w:t>
            </w:r>
          </w:p>
        </w:tc>
        <w:tc>
          <w:tcPr>
            <w:tcW w:w="394" w:type="pct"/>
            <w:shd w:val="clear" w:color="auto" w:fill="auto"/>
            <w:vAlign w:val="center"/>
          </w:tcPr>
          <w:p w14:paraId="6ABC42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0F6669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6EC443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130A1A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774A1A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49D5F3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63EDF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86DAA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17A452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3EC722A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4EF87B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78ECD6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0818AA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206D6C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3B0379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C2266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68C5E7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38CA18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484FDC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01C3C0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A994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3290EE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53D9A8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2DDF8DC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61E784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BCA58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923A5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3B5581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0E2244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F4891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C20B9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4C596D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98FDB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02F2A4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9AC8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8A34D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4EEF5F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1AEA5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1818265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6A01C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575B5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53AA76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0BE06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1A7F02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61EE8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65A121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46EE16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209C28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CFEC2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859C3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6A233C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020A6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5BB24D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F5703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DBB629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381984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1A464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EFED0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56652F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403DB1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38093A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15E859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A132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4E2BD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3F4133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46B726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08ED10D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5D7790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337EC8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3EA0A5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0EBCCA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0B5F12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2812556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73A076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6BC1D2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2CD846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718D9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27AED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763124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39BF33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35D76A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4F4F17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080F5D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5090D3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0D6862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738E36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69604C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7CE4C6D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39A437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6DC80B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1B836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C9182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0AA9FF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6387B3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11F297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7FC4C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36000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7AB8AC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9FF45B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311F9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55CD85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5.54</w:t>
            </w:r>
          </w:p>
        </w:tc>
        <w:tc>
          <w:tcPr>
            <w:tcW w:w="376" w:type="pct"/>
            <w:shd w:val="clear" w:color="auto" w:fill="auto"/>
            <w:vAlign w:val="center"/>
          </w:tcPr>
          <w:p w14:paraId="3F78E7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32D7E6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5FCC14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B161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BDB2D7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6A6A8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58FF24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11FBBC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31915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EB162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2C5FA6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7108A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7B8D6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0E70C2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5.84</w:t>
            </w:r>
          </w:p>
        </w:tc>
        <w:tc>
          <w:tcPr>
            <w:tcW w:w="376" w:type="pct"/>
            <w:shd w:val="clear" w:color="auto" w:fill="auto"/>
            <w:vAlign w:val="center"/>
          </w:tcPr>
          <w:p w14:paraId="31B002D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34886C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23733C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8062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F91BD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69592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6CFED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4E89FA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DADE1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5F1731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5F51A5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1DD388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36FB2D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3FD1E6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5.88</w:t>
            </w:r>
          </w:p>
        </w:tc>
        <w:tc>
          <w:tcPr>
            <w:tcW w:w="376" w:type="pct"/>
            <w:shd w:val="clear" w:color="auto" w:fill="auto"/>
            <w:vAlign w:val="center"/>
          </w:tcPr>
          <w:p w14:paraId="39741A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760FD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141957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E7FAF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C5F57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2BCFFE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19505F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438E8D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05A3755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257BF4D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E7B15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453FD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09F14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A24FB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30F818C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BE8158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2EFD856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7516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0CB0C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23BF45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68B29C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53DA83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583336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6A524C5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59419C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DCCC5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45D70D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0A7ED4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492427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9EC97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11FBA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6CA0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9191D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13A523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1DBBD2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539850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23F87C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54803E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240763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79595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DC127E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054B6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12BEC2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72C669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1C276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1F37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2F6D9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1D9EA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7BCE1C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283C55A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754B76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4DF628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11A17E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9410C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BBB42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17739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113E80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7701E0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E0CE23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A30A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3EE904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EC972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4A7F53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04063C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313BBE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7B3E56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7E6616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D445A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CD022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10090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0D2F744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3B190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2EE837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0F84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restart"/>
            <w:vAlign w:val="center"/>
          </w:tcPr>
          <w:p w14:paraId="7A8DB28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10</w:t>
            </w:r>
          </w:p>
        </w:tc>
        <w:tc>
          <w:tcPr>
            <w:tcW w:w="373" w:type="pct"/>
            <w:shd w:val="clear" w:color="auto" w:fill="auto"/>
            <w:noWrap/>
            <w:vAlign w:val="center"/>
          </w:tcPr>
          <w:p w14:paraId="7A408B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237FD7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4CDC92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45C5AD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6AA4005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66231E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20552D9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72B93C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34AA78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15E038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16342F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5BF9D3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40126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45751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2D25AA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5CA625D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3E96E8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4CBD1A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26DD4C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6EEE4F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4A0F5C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53D50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75CFA8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686013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3C25B0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63BC23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7870A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46EBE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316F19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2E4A02D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04D54B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7FC6B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1C20B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6923FA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1E049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4CFFB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6343B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54CE25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14B106F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4ED83D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584A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47087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88608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2219F0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75151B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3418D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34801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322E58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0899B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CDDED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DE4DF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2D6A5A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2BDFFF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38463A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26297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52365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1E321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0B7B9C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6E916A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707A6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9ED15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6438CF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255FD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55C53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6C2AAB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397CF0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492BA8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7D2C98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D5E7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D4189C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2F05B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59B0F7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1E1C32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572DD6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18419A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0D6B2C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01B651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56092D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1228C8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2443E8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7F996E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0FECA5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1DEA8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21E25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08145D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161FE5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4194E0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3A3149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69D326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6B6778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4DA7D9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3DFF4B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143590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54BF80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3BA819A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62ADE3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0A66C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CAFE4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1EACB5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76E346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3830D6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A62AB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8EA56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387AFB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5F02D9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9B135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66C035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0.86</w:t>
            </w:r>
          </w:p>
        </w:tc>
        <w:tc>
          <w:tcPr>
            <w:tcW w:w="376" w:type="pct"/>
            <w:shd w:val="clear" w:color="auto" w:fill="auto"/>
            <w:vAlign w:val="center"/>
          </w:tcPr>
          <w:p w14:paraId="5990D4D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639A30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1036C7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56D7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A305A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DD5859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C9693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0F4268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F7444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4E9B9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04AA46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E84BB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0889F7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34EC17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0.84</w:t>
            </w:r>
          </w:p>
        </w:tc>
        <w:tc>
          <w:tcPr>
            <w:tcW w:w="376" w:type="pct"/>
            <w:shd w:val="clear" w:color="auto" w:fill="auto"/>
            <w:vAlign w:val="center"/>
          </w:tcPr>
          <w:p w14:paraId="639E5C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16A288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2EDB29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57C72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CE359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2A0CE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7E45DB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1F789E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4A8BE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72806B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14D819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8E67D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3484E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570EA3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0.82</w:t>
            </w:r>
          </w:p>
        </w:tc>
        <w:tc>
          <w:tcPr>
            <w:tcW w:w="376" w:type="pct"/>
            <w:shd w:val="clear" w:color="auto" w:fill="auto"/>
            <w:vAlign w:val="center"/>
          </w:tcPr>
          <w:p w14:paraId="17F004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1AC1F6D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394808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B4BBE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DEAD2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EE505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3FADF9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48ED00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0463D7D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0BD4B4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5D65C2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2938FE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CA257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3D2F5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01CF24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7F114C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0E17AD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B466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CB6B6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072364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54A503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073D8EA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156ABC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33223D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1AB88B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15450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2953B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F8727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1F4617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38463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3A86C4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E0EA9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CDB76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675BF4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1E47E1C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1A611E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334AE0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3F5C6EE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A5D6C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879C3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70F81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7A482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5C8D97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B9D7F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3BCBFD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3BF7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693AE7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C50A1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221956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71C3D5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0446C9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4E2572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0D3F54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6ECD5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63D17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1B3A9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21F6A5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FC7F92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0CFC0E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9AFD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5BBF9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8C3A0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0F84D3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190397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071087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35D3F2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5C4073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639A5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FBEB7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847FC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107BF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D7F81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69F07A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733C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restart"/>
            <w:vAlign w:val="center"/>
          </w:tcPr>
          <w:p w14:paraId="40913A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11</w:t>
            </w:r>
          </w:p>
        </w:tc>
        <w:tc>
          <w:tcPr>
            <w:tcW w:w="373" w:type="pct"/>
            <w:shd w:val="clear" w:color="auto" w:fill="auto"/>
            <w:noWrap/>
            <w:vAlign w:val="center"/>
          </w:tcPr>
          <w:p w14:paraId="55291A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5B080D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135D9F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47E442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70DA9C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155771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10A77E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13FD407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1E8017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54D7299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633D75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06ED64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6379B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AF6AA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31D165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0F8479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72E3E6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4305D9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00A093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0B58607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600A75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3BF92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5FD866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31106B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29DD31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16EDDA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EF845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24284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0B7405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4D15AB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7F8B5F7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79B58D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9763E9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03ACFD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0BD75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2E089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05F955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6FD634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31430B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085B03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4059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4DD891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2A522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A5390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48C1E5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194660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5691B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3517A31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9D70B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3414B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3573BC7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3293FA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15D62D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66DAEE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5272C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3F68A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A764B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80607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702376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D2B5C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7E2EA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1C54C5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A491F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493D2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649FA5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592438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631932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7F1585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519B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27974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663453B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325150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31EE4E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08DFC0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62214B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1CB9C4C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0FAD89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35AC21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1F3839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744116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3EBB5E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436DE0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6A738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9DF97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19516F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2D2CF2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3BABF0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1E9FC09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021CC7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4F82D5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7D09BE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40174D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72BDD1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5FE006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511B1D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6FFDC0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28B46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7D183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0B5F2C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0D25302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3CDF85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BF4C4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C3F037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784560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9FDF5E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AD8AE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141666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0.74</w:t>
            </w:r>
          </w:p>
        </w:tc>
        <w:tc>
          <w:tcPr>
            <w:tcW w:w="376" w:type="pct"/>
            <w:shd w:val="clear" w:color="auto" w:fill="auto"/>
            <w:vAlign w:val="center"/>
          </w:tcPr>
          <w:p w14:paraId="7F77A7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436B4F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63F526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0047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9E804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C900A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4EA8A7E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1C0328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3F885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0B75A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5880D0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4AF36F9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B161F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3321B8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0.72</w:t>
            </w:r>
          </w:p>
        </w:tc>
        <w:tc>
          <w:tcPr>
            <w:tcW w:w="376" w:type="pct"/>
            <w:shd w:val="clear" w:color="auto" w:fill="auto"/>
            <w:vAlign w:val="center"/>
          </w:tcPr>
          <w:p w14:paraId="1421CE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99EB3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0A1D62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736A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C0399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5DBCE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55DE0B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659EFE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EFBBF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64AAF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62E9AF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86C89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DA29B9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61ADA30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0.72</w:t>
            </w:r>
          </w:p>
        </w:tc>
        <w:tc>
          <w:tcPr>
            <w:tcW w:w="376" w:type="pct"/>
            <w:shd w:val="clear" w:color="auto" w:fill="auto"/>
            <w:vAlign w:val="center"/>
          </w:tcPr>
          <w:p w14:paraId="14AC28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7128B5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237C32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FB3B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ADB7B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0D70E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151A17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4357CA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3C660E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691D1E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107904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3E1F6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F2B4C8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628C9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2C8B8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425EB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423A61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ED8A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156E77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1D4F7BF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1C15CC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2DA129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08E4ED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5683E2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7F064D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C9B16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F7BDA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3EA56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0684D7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0E37E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1F5049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3152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28850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631A81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08EAA4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78F0AB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3ED082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6C8F317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18A1B7D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B99A24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37330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A3D29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2BD17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4B1F2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50CBBB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C503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81F58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ED984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3D1CC8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5059B7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5374B6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61D823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09D2E7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F0747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8D2F5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E6D43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04FF56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D86AE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26C738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693B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3A2F3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084EC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E6B28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35D223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384A65D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4318C8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038ABE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BE237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3DF5A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D882E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42C15D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59741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1C15E6E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CDF8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restart"/>
            <w:vAlign w:val="center"/>
          </w:tcPr>
          <w:p w14:paraId="36CA4F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12</w:t>
            </w:r>
          </w:p>
        </w:tc>
        <w:tc>
          <w:tcPr>
            <w:tcW w:w="373" w:type="pct"/>
            <w:shd w:val="clear" w:color="auto" w:fill="auto"/>
            <w:noWrap/>
            <w:vAlign w:val="center"/>
          </w:tcPr>
          <w:p w14:paraId="425857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5B0DB0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3" w:type="pct"/>
            <w:shd w:val="clear" w:color="auto" w:fill="auto"/>
            <w:vAlign w:val="center"/>
          </w:tcPr>
          <w:p w14:paraId="2743B3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75E712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5B6BD5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405" w:type="pct"/>
            <w:shd w:val="clear" w:color="auto" w:fill="auto"/>
            <w:vAlign w:val="center"/>
          </w:tcPr>
          <w:p w14:paraId="35B8C0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2FEEDB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66D40F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0CC585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6" w:type="pct"/>
            <w:shd w:val="clear" w:color="auto" w:fill="auto"/>
            <w:vAlign w:val="center"/>
          </w:tcPr>
          <w:p w14:paraId="32C568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523B02A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471" w:type="pct"/>
            <w:shd w:val="clear" w:color="auto" w:fill="auto"/>
            <w:vAlign w:val="center"/>
          </w:tcPr>
          <w:p w14:paraId="1E4991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r>
      <w:tr w14:paraId="4260B9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630AC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FE174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225056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3" w:type="pct"/>
            <w:shd w:val="clear" w:color="auto" w:fill="auto"/>
            <w:vAlign w:val="center"/>
          </w:tcPr>
          <w:p w14:paraId="225AC8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22DF84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0FDDD2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5" w:type="pct"/>
            <w:shd w:val="clear" w:color="auto" w:fill="auto"/>
            <w:vAlign w:val="center"/>
          </w:tcPr>
          <w:p w14:paraId="14ED686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61B253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D6C2C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6832A5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715491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1941E4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1" w:type="pct"/>
            <w:shd w:val="clear" w:color="auto" w:fill="auto"/>
            <w:vAlign w:val="center"/>
          </w:tcPr>
          <w:p w14:paraId="683AE8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2CE89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B52CAA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1E67BE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6CA66B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382144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3E682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7BF30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0DBE42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1F19B1A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AB4A7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082DCC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3F8204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7DC7165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59DEE2B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6F7B3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DAB1B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A10D57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108024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6863CC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1B6AE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75DDD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248134C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4E827A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CB899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1B095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6BDD2A5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1E54031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69E30FC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7722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C5B7C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D1E2CD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7677F4C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6B2E2E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2E691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DA318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2221A2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1AF17F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FEEBA7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57EBA77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6" w:type="pct"/>
            <w:shd w:val="clear" w:color="auto" w:fill="auto"/>
            <w:vAlign w:val="center"/>
          </w:tcPr>
          <w:p w14:paraId="58F7F3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222760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52EB78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5803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202DC2C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708A19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2DF603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3" w:type="pct"/>
            <w:shd w:val="clear" w:color="auto" w:fill="auto"/>
            <w:vAlign w:val="center"/>
          </w:tcPr>
          <w:p w14:paraId="1CDB39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75E2BC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4DF4C14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405" w:type="pct"/>
            <w:shd w:val="clear" w:color="auto" w:fill="auto"/>
            <w:vAlign w:val="center"/>
          </w:tcPr>
          <w:p w14:paraId="3F848F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4" w:type="pct"/>
            <w:shd w:val="clear" w:color="auto" w:fill="auto"/>
            <w:vAlign w:val="center"/>
          </w:tcPr>
          <w:p w14:paraId="028FBD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395" w:type="pct"/>
            <w:shd w:val="clear" w:color="auto" w:fill="auto"/>
            <w:vAlign w:val="center"/>
          </w:tcPr>
          <w:p w14:paraId="7BE2E6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403" w:type="pct"/>
            <w:shd w:val="clear" w:color="auto" w:fill="auto"/>
            <w:vAlign w:val="center"/>
          </w:tcPr>
          <w:p w14:paraId="3514DA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376" w:type="pct"/>
            <w:shd w:val="clear" w:color="auto" w:fill="auto"/>
            <w:vAlign w:val="center"/>
          </w:tcPr>
          <w:p w14:paraId="25ED4C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16" w:type="pct"/>
            <w:shd w:val="clear" w:color="auto" w:fill="auto"/>
            <w:vAlign w:val="center"/>
          </w:tcPr>
          <w:p w14:paraId="1CCC80A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c>
          <w:tcPr>
            <w:tcW w:w="471" w:type="pct"/>
            <w:shd w:val="clear" w:color="auto" w:fill="auto"/>
            <w:vAlign w:val="center"/>
          </w:tcPr>
          <w:p w14:paraId="7F399D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r>
      <w:tr w14:paraId="101FDE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49832D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1DC0D3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45F4D6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433" w:type="pct"/>
            <w:shd w:val="clear" w:color="auto" w:fill="auto"/>
            <w:vAlign w:val="center"/>
          </w:tcPr>
          <w:p w14:paraId="5594F8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59" w:type="pct"/>
            <w:shd w:val="clear" w:color="auto" w:fill="auto"/>
            <w:vAlign w:val="center"/>
          </w:tcPr>
          <w:p w14:paraId="7F8CC24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3C28AE7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405" w:type="pct"/>
            <w:shd w:val="clear" w:color="auto" w:fill="auto"/>
            <w:vAlign w:val="center"/>
          </w:tcPr>
          <w:p w14:paraId="284D5E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94" w:type="pct"/>
            <w:shd w:val="clear" w:color="auto" w:fill="auto"/>
            <w:vAlign w:val="center"/>
          </w:tcPr>
          <w:p w14:paraId="6C3F46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95" w:type="pct"/>
            <w:shd w:val="clear" w:color="auto" w:fill="auto"/>
            <w:vAlign w:val="center"/>
          </w:tcPr>
          <w:p w14:paraId="27710A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60A5DD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6" w:type="pct"/>
            <w:shd w:val="clear" w:color="auto" w:fill="auto"/>
            <w:vAlign w:val="center"/>
          </w:tcPr>
          <w:p w14:paraId="254B05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416" w:type="pct"/>
            <w:shd w:val="clear" w:color="auto" w:fill="auto"/>
            <w:vAlign w:val="center"/>
          </w:tcPr>
          <w:p w14:paraId="616A85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471" w:type="pct"/>
            <w:shd w:val="clear" w:color="auto" w:fill="auto"/>
            <w:vAlign w:val="center"/>
          </w:tcPr>
          <w:p w14:paraId="52A03F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r>
      <w:tr w14:paraId="5B9F7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FB365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6D5BEE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460CBC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698F5A6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ACD6A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7F836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29671EF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19B8A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F9349F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161A65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0.68</w:t>
            </w:r>
          </w:p>
        </w:tc>
        <w:tc>
          <w:tcPr>
            <w:tcW w:w="376" w:type="pct"/>
            <w:shd w:val="clear" w:color="auto" w:fill="auto"/>
            <w:vAlign w:val="center"/>
          </w:tcPr>
          <w:p w14:paraId="72AB776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3DED92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782F23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1E0C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16C27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9A289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2F5B4E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57A68E1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CC9A3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43CFF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0CBCB7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9FEF1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E18FE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46070C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w:t>
            </w:r>
          </w:p>
        </w:tc>
        <w:tc>
          <w:tcPr>
            <w:tcW w:w="376" w:type="pct"/>
            <w:shd w:val="clear" w:color="auto" w:fill="auto"/>
            <w:vAlign w:val="center"/>
          </w:tcPr>
          <w:p w14:paraId="0B53D9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4256A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7414C8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E9B76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11D7F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029ED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75F030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3" w:type="pct"/>
            <w:shd w:val="clear" w:color="auto" w:fill="auto"/>
            <w:vAlign w:val="center"/>
          </w:tcPr>
          <w:p w14:paraId="29CEA7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601A1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393EE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5" w:type="pct"/>
            <w:shd w:val="clear" w:color="auto" w:fill="auto"/>
            <w:vAlign w:val="center"/>
          </w:tcPr>
          <w:p w14:paraId="178198E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5146D5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D3EC8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138" w:type="dxa"/>
            <w:shd w:val="clear" w:color="auto" w:fill="auto"/>
            <w:vAlign w:val="center"/>
          </w:tcPr>
          <w:p w14:paraId="026575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w:t>
            </w:r>
          </w:p>
        </w:tc>
        <w:tc>
          <w:tcPr>
            <w:tcW w:w="376" w:type="pct"/>
            <w:shd w:val="clear" w:color="auto" w:fill="auto"/>
            <w:vAlign w:val="center"/>
          </w:tcPr>
          <w:p w14:paraId="12DE8A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2E94FF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1" w:type="pct"/>
            <w:shd w:val="clear" w:color="auto" w:fill="auto"/>
            <w:vAlign w:val="center"/>
          </w:tcPr>
          <w:p w14:paraId="3F3910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18A7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3EB50A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DF5E6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5" w:type="pct"/>
            <w:shd w:val="clear" w:color="auto" w:fill="auto"/>
            <w:vAlign w:val="center"/>
          </w:tcPr>
          <w:p w14:paraId="2838E3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433" w:type="pct"/>
            <w:shd w:val="clear" w:color="auto" w:fill="auto"/>
            <w:vAlign w:val="center"/>
          </w:tcPr>
          <w:p w14:paraId="3C6C2D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1015" w:type="dxa"/>
            <w:shd w:val="clear" w:color="auto" w:fill="auto"/>
            <w:vAlign w:val="center"/>
          </w:tcPr>
          <w:p w14:paraId="2FD0CD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1A6904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52F93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70C3A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6E92B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E70EF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21846F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8C8EDB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42602F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7DB5B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640CFAA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F0440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5" w:type="pct"/>
            <w:shd w:val="clear" w:color="auto" w:fill="auto"/>
            <w:vAlign w:val="center"/>
          </w:tcPr>
          <w:p w14:paraId="262950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33" w:type="pct"/>
            <w:shd w:val="clear" w:color="auto" w:fill="auto"/>
            <w:vAlign w:val="center"/>
          </w:tcPr>
          <w:p w14:paraId="12996F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1015" w:type="dxa"/>
            <w:shd w:val="clear" w:color="auto" w:fill="auto"/>
            <w:vAlign w:val="center"/>
          </w:tcPr>
          <w:p w14:paraId="6A7009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0C38640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0E6053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281BE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C03FE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1F1EE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4FA294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7EE685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C4D0BE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7E835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005890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49D582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5" w:type="pct"/>
            <w:shd w:val="clear" w:color="auto" w:fill="auto"/>
            <w:vAlign w:val="center"/>
          </w:tcPr>
          <w:p w14:paraId="5293B2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1F6F3B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573354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675121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3E21BE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BBAE1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D5CC3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53D93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13A2E7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0C652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6B6F32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AC46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7FAC35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11518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60405E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5BEC61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429C61E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21942F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02CAF9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D1CE2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A1A8B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7D294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66C6971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C4561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2EE9FD4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10D4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8" w:type="pct"/>
            <w:vMerge w:val="continue"/>
            <w:vAlign w:val="center"/>
          </w:tcPr>
          <w:p w14:paraId="5C2E91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CFF7D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35" w:type="pct"/>
            <w:shd w:val="clear" w:color="auto" w:fill="auto"/>
            <w:vAlign w:val="center"/>
          </w:tcPr>
          <w:p w14:paraId="778C24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3" w:type="pct"/>
            <w:shd w:val="clear" w:color="auto" w:fill="auto"/>
            <w:vAlign w:val="center"/>
          </w:tcPr>
          <w:p w14:paraId="3B20B6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1015" w:type="dxa"/>
            <w:shd w:val="clear" w:color="auto" w:fill="auto"/>
            <w:vAlign w:val="center"/>
          </w:tcPr>
          <w:p w14:paraId="1C9EBE9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88" w:type="pct"/>
            <w:shd w:val="clear" w:color="auto" w:fill="auto"/>
            <w:vAlign w:val="center"/>
          </w:tcPr>
          <w:p w14:paraId="317389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5" w:type="pct"/>
            <w:shd w:val="clear" w:color="auto" w:fill="auto"/>
            <w:vAlign w:val="center"/>
          </w:tcPr>
          <w:p w14:paraId="77E1A3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0E4C1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3204C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27D00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6" w:type="pct"/>
            <w:shd w:val="clear" w:color="auto" w:fill="auto"/>
            <w:vAlign w:val="center"/>
          </w:tcPr>
          <w:p w14:paraId="2102C06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2B96A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1" w:type="pct"/>
            <w:shd w:val="clear" w:color="auto" w:fill="auto"/>
            <w:vAlign w:val="center"/>
          </w:tcPr>
          <w:p w14:paraId="7D8462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bl>
    <w:p w14:paraId="39830060">
      <w:pPr>
        <w:pStyle w:val="2"/>
        <w:bidi w:val="0"/>
        <w:rPr>
          <w:rFonts w:hint="default" w:ascii="Times New Roman" w:hAnsi="Times New Roman" w:cs="Times New Roman"/>
          <w:color w:val="auto"/>
          <w:highlight w:val="none"/>
          <w:lang w:val="en-US" w:eastAsia="zh-CN"/>
        </w:rPr>
      </w:pPr>
    </w:p>
    <w:p w14:paraId="5FB82944">
      <w:pPr>
        <w:rPr>
          <w:rFonts w:hint="default" w:ascii="Times New Roman" w:hAnsi="Times New Roman" w:cs="Times New Roman"/>
          <w:color w:val="auto"/>
          <w:highlight w:val="none"/>
        </w:rPr>
        <w:sectPr>
          <w:pgSz w:w="16838" w:h="11906" w:orient="landscape"/>
          <w:pgMar w:top="1440" w:right="1440" w:bottom="1236" w:left="1440" w:header="851" w:footer="992" w:gutter="0"/>
          <w:pgBorders>
            <w:top w:val="none" w:sz="0" w:space="0"/>
            <w:left w:val="none" w:sz="0" w:space="0"/>
            <w:bottom w:val="none" w:sz="0" w:space="0"/>
            <w:right w:val="none" w:sz="0" w:space="0"/>
          </w:pgBorders>
          <w:cols w:space="720" w:num="1"/>
          <w:docGrid w:type="lines" w:linePitch="312" w:charSpace="0"/>
        </w:sectPr>
      </w:pPr>
    </w:p>
    <w:p w14:paraId="156C5696">
      <w:pPr>
        <w:pStyle w:val="37"/>
        <w:tabs>
          <w:tab w:val="clear" w:pos="0"/>
          <w:tab w:val="clear" w:pos="862"/>
        </w:tabs>
        <w:rPr>
          <w:rFonts w:hint="eastAsia"/>
          <w:color w:val="auto"/>
          <w:highlight w:val="none"/>
          <w:lang w:val="en-US" w:eastAsia="zh-CN"/>
        </w:rPr>
      </w:pPr>
      <w:r>
        <w:rPr>
          <w:rFonts w:hint="eastAsia"/>
          <w:color w:val="auto"/>
          <w:highlight w:val="none"/>
          <w:lang w:val="en-US" w:eastAsia="zh-CN"/>
        </w:rPr>
        <w:t>平水期监测</w:t>
      </w:r>
    </w:p>
    <w:p w14:paraId="4269F45A">
      <w:pPr>
        <w:pStyle w:val="2"/>
        <w:bidi w:val="0"/>
        <w:rPr>
          <w:rFonts w:hint="default"/>
          <w:color w:val="auto"/>
          <w:highlight w:val="none"/>
          <w:lang w:val="en-US" w:eastAsia="zh-CN"/>
        </w:rPr>
      </w:pPr>
      <w:r>
        <w:rPr>
          <w:rFonts w:hint="eastAsia"/>
          <w:color w:val="auto"/>
          <w:highlight w:val="none"/>
          <w:lang w:val="en-US" w:eastAsia="zh-CN"/>
        </w:rPr>
        <w:t>2024年3</w:t>
      </w:r>
      <w:r>
        <w:rPr>
          <w:rFonts w:hint="default"/>
          <w:color w:val="auto"/>
          <w:highlight w:val="none"/>
          <w:lang w:val="en-US" w:eastAsia="zh-CN"/>
        </w:rPr>
        <w:t>月</w:t>
      </w:r>
      <w:r>
        <w:rPr>
          <w:rFonts w:hint="eastAsia"/>
          <w:color w:val="auto"/>
          <w:highlight w:val="none"/>
          <w:lang w:val="en-US" w:eastAsia="zh-CN"/>
        </w:rPr>
        <w:t>7</w:t>
      </w:r>
      <w:r>
        <w:rPr>
          <w:rFonts w:hint="default"/>
          <w:color w:val="auto"/>
          <w:highlight w:val="none"/>
          <w:lang w:val="en-US" w:eastAsia="zh-CN"/>
        </w:rPr>
        <w:t>日，</w:t>
      </w:r>
      <w:r>
        <w:rPr>
          <w:rFonts w:hint="eastAsia"/>
          <w:color w:val="auto"/>
          <w:highlight w:val="none"/>
          <w:lang w:val="en-US" w:eastAsia="zh-CN"/>
        </w:rPr>
        <w:t>为了解项目至白茅溪与奎溪汇入口段的污染源情况和地表水锑因子环境质量现状，</w:t>
      </w:r>
      <w:r>
        <w:rPr>
          <w:rFonts w:hint="default"/>
          <w:color w:val="auto"/>
          <w:highlight w:val="none"/>
          <w:lang w:val="en-US" w:eastAsia="zh-CN"/>
        </w:rPr>
        <w:t>委托湖南乾诚检测有限公司对区域地表水环境质量现状进行了监测，监测时段为区域的</w:t>
      </w:r>
      <w:r>
        <w:rPr>
          <w:rFonts w:hint="eastAsia"/>
          <w:color w:val="auto"/>
          <w:highlight w:val="none"/>
          <w:lang w:val="en-US" w:eastAsia="zh-CN"/>
        </w:rPr>
        <w:t>平</w:t>
      </w:r>
      <w:r>
        <w:rPr>
          <w:rFonts w:hint="default"/>
          <w:color w:val="auto"/>
          <w:highlight w:val="none"/>
          <w:lang w:val="en-US" w:eastAsia="zh-CN"/>
        </w:rPr>
        <w:t>水期。</w:t>
      </w:r>
    </w:p>
    <w:p w14:paraId="32AED070">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（1）监测断面：在周边水体共设置</w:t>
      </w:r>
      <w:r>
        <w:rPr>
          <w:rFonts w:hint="eastAsia" w:ascii="Times New Roman" w:hAnsi="Times New Roman" w:eastAsia="宋体" w:cs="Times New Roman"/>
          <w:color w:val="auto"/>
          <w:kern w:val="2"/>
          <w:sz w:val="24"/>
          <w:highlight w:val="none"/>
          <w:lang w:val="en-US" w:eastAsia="zh-CN" w:bidi="ar-SA"/>
        </w:rPr>
        <w:t>11</w:t>
      </w:r>
      <w:r>
        <w:rPr>
          <w:rFonts w:hint="default" w:ascii="Times New Roman" w:hAnsi="Times New Roman" w:eastAsia="宋体" w:cs="Times New Roman"/>
          <w:color w:val="auto"/>
          <w:kern w:val="2"/>
          <w:sz w:val="24"/>
          <w:highlight w:val="none"/>
          <w:lang w:val="en-US" w:eastAsia="zh-CN" w:bidi="ar-SA"/>
        </w:rPr>
        <w:t>个监测断面，见下表。</w:t>
      </w:r>
    </w:p>
    <w:p w14:paraId="49D7CC1D">
      <w:pPr>
        <w:pStyle w:val="28"/>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6</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地表水环境质量监测断面</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439"/>
        <w:gridCol w:w="1943"/>
        <w:gridCol w:w="4856"/>
      </w:tblGrid>
      <w:tr w14:paraId="13A7BC6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162545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1051" w:type="pct"/>
            <w:vAlign w:val="center"/>
          </w:tcPr>
          <w:p w14:paraId="1AE509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监测河流</w:t>
            </w:r>
          </w:p>
        </w:tc>
        <w:tc>
          <w:tcPr>
            <w:tcW w:w="2627" w:type="pct"/>
            <w:vAlign w:val="center"/>
          </w:tcPr>
          <w:p w14:paraId="50AB353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断面</w:t>
            </w:r>
            <w:r>
              <w:rPr>
                <w:rFonts w:hint="eastAsia"/>
                <w:color w:val="auto"/>
                <w:highlight w:val="none"/>
                <w:lang w:val="en-US" w:eastAsia="zh-CN"/>
              </w:rPr>
              <w:t>名称</w:t>
            </w:r>
          </w:p>
        </w:tc>
      </w:tr>
      <w:tr w14:paraId="08D09A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7EA585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S1</w:t>
            </w:r>
          </w:p>
        </w:tc>
        <w:tc>
          <w:tcPr>
            <w:tcW w:w="1986" w:type="dxa"/>
            <w:vAlign w:val="center"/>
          </w:tcPr>
          <w:p w14:paraId="449B4E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渣滓溪</w:t>
            </w:r>
          </w:p>
        </w:tc>
        <w:tc>
          <w:tcPr>
            <w:tcW w:w="2627" w:type="pct"/>
            <w:vAlign w:val="center"/>
          </w:tcPr>
          <w:p w14:paraId="5C07F3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渣滓溪矿区上游50m</w:t>
            </w:r>
          </w:p>
        </w:tc>
      </w:tr>
      <w:tr w14:paraId="6545A5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1FA3B3E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S2</w:t>
            </w:r>
          </w:p>
        </w:tc>
        <w:tc>
          <w:tcPr>
            <w:tcW w:w="1986" w:type="dxa"/>
            <w:vAlign w:val="center"/>
          </w:tcPr>
          <w:p w14:paraId="41A3B0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渣滓溪</w:t>
            </w:r>
          </w:p>
        </w:tc>
        <w:tc>
          <w:tcPr>
            <w:tcW w:w="2627" w:type="pct"/>
            <w:vAlign w:val="center"/>
          </w:tcPr>
          <w:p w14:paraId="6AE852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渣滓溪污水处理下游100m</w:t>
            </w:r>
          </w:p>
        </w:tc>
      </w:tr>
      <w:tr w14:paraId="52F65F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77A2B2F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S3</w:t>
            </w:r>
          </w:p>
        </w:tc>
        <w:tc>
          <w:tcPr>
            <w:tcW w:w="1986" w:type="dxa"/>
            <w:vAlign w:val="center"/>
          </w:tcPr>
          <w:p w14:paraId="52A1110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白茅溪</w:t>
            </w:r>
          </w:p>
        </w:tc>
        <w:tc>
          <w:tcPr>
            <w:tcW w:w="2627" w:type="pct"/>
            <w:vAlign w:val="center"/>
          </w:tcPr>
          <w:p w14:paraId="12CFCA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白茅溪与渣滓溪汇入口上游100m</w:t>
            </w:r>
          </w:p>
        </w:tc>
      </w:tr>
      <w:tr w14:paraId="5B93E3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6C351B5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S4</w:t>
            </w:r>
          </w:p>
        </w:tc>
        <w:tc>
          <w:tcPr>
            <w:tcW w:w="1986" w:type="dxa"/>
            <w:vAlign w:val="center"/>
          </w:tcPr>
          <w:p w14:paraId="620175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白茅溪</w:t>
            </w:r>
          </w:p>
        </w:tc>
        <w:tc>
          <w:tcPr>
            <w:tcW w:w="2627" w:type="pct"/>
            <w:vAlign w:val="center"/>
          </w:tcPr>
          <w:p w14:paraId="52B43D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白茅溪与渣滓溪汇入口下游100m</w:t>
            </w:r>
          </w:p>
        </w:tc>
      </w:tr>
      <w:tr w14:paraId="1034E1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4DF6ED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S5</w:t>
            </w:r>
          </w:p>
        </w:tc>
        <w:tc>
          <w:tcPr>
            <w:tcW w:w="1986" w:type="dxa"/>
            <w:vAlign w:val="center"/>
          </w:tcPr>
          <w:p w14:paraId="068006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石板溪</w:t>
            </w:r>
          </w:p>
        </w:tc>
        <w:tc>
          <w:tcPr>
            <w:tcW w:w="2627" w:type="pct"/>
            <w:vAlign w:val="center"/>
          </w:tcPr>
          <w:p w14:paraId="1B5AF1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石板溪与白茅溪汇入口上游50m</w:t>
            </w:r>
          </w:p>
        </w:tc>
      </w:tr>
      <w:tr w14:paraId="68D79E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2AC5CE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S6</w:t>
            </w:r>
          </w:p>
        </w:tc>
        <w:tc>
          <w:tcPr>
            <w:tcW w:w="1986" w:type="dxa"/>
            <w:vAlign w:val="center"/>
          </w:tcPr>
          <w:p w14:paraId="74CE9B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w:t>
            </w:r>
          </w:p>
        </w:tc>
        <w:tc>
          <w:tcPr>
            <w:tcW w:w="2627" w:type="pct"/>
            <w:vAlign w:val="center"/>
          </w:tcPr>
          <w:p w14:paraId="5B6D515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奎溪与白茅溪汇入口上游50m</w:t>
            </w:r>
          </w:p>
        </w:tc>
      </w:tr>
      <w:tr w14:paraId="666802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1866DF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S奎锑上（St1）</w:t>
            </w:r>
          </w:p>
        </w:tc>
        <w:tc>
          <w:tcPr>
            <w:tcW w:w="1051" w:type="pct"/>
            <w:vAlign w:val="center"/>
          </w:tcPr>
          <w:p w14:paraId="1440E3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奎溪</w:t>
            </w:r>
          </w:p>
        </w:tc>
        <w:tc>
          <w:tcPr>
            <w:tcW w:w="2627" w:type="pct"/>
            <w:vAlign w:val="center"/>
          </w:tcPr>
          <w:p w14:paraId="0F459C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原奎溪锑业上游50m</w:t>
            </w:r>
          </w:p>
        </w:tc>
      </w:tr>
      <w:tr w14:paraId="05F1FA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71E533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S奎锑下（St2）</w:t>
            </w:r>
          </w:p>
        </w:tc>
        <w:tc>
          <w:tcPr>
            <w:tcW w:w="1051" w:type="pct"/>
            <w:vAlign w:val="center"/>
          </w:tcPr>
          <w:p w14:paraId="1E4CF2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奎溪</w:t>
            </w:r>
          </w:p>
        </w:tc>
        <w:tc>
          <w:tcPr>
            <w:tcW w:w="2627" w:type="pct"/>
            <w:vAlign w:val="center"/>
          </w:tcPr>
          <w:p w14:paraId="069D10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原奎溪锑业下游100m</w:t>
            </w:r>
          </w:p>
        </w:tc>
      </w:tr>
      <w:tr w14:paraId="1F2458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78BE4C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S沙-1（Ss1）</w:t>
            </w:r>
          </w:p>
        </w:tc>
        <w:tc>
          <w:tcPr>
            <w:tcW w:w="1051" w:type="pct"/>
            <w:vAlign w:val="center"/>
          </w:tcPr>
          <w:p w14:paraId="2156940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奎溪</w:t>
            </w:r>
          </w:p>
        </w:tc>
        <w:tc>
          <w:tcPr>
            <w:tcW w:w="2627" w:type="pct"/>
            <w:vAlign w:val="center"/>
          </w:tcPr>
          <w:p w14:paraId="6E146D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砂石堆场上游50m</w:t>
            </w:r>
          </w:p>
        </w:tc>
      </w:tr>
      <w:tr w14:paraId="605AAF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244A7B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S沙-2（Ss2）</w:t>
            </w:r>
          </w:p>
        </w:tc>
        <w:tc>
          <w:tcPr>
            <w:tcW w:w="1051" w:type="pct"/>
            <w:vAlign w:val="center"/>
          </w:tcPr>
          <w:p w14:paraId="66EDE03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奎溪</w:t>
            </w:r>
          </w:p>
        </w:tc>
        <w:tc>
          <w:tcPr>
            <w:tcW w:w="2627" w:type="pct"/>
            <w:vAlign w:val="center"/>
          </w:tcPr>
          <w:p w14:paraId="5BD32D8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砂石堆场下游100m</w:t>
            </w:r>
          </w:p>
        </w:tc>
      </w:tr>
      <w:tr w14:paraId="3CDB61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20" w:type="pct"/>
            <w:vAlign w:val="center"/>
          </w:tcPr>
          <w:p w14:paraId="3DBB45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S7</w:t>
            </w:r>
          </w:p>
        </w:tc>
        <w:tc>
          <w:tcPr>
            <w:tcW w:w="1051" w:type="pct"/>
            <w:vAlign w:val="center"/>
          </w:tcPr>
          <w:p w14:paraId="0049679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奎溪</w:t>
            </w:r>
          </w:p>
        </w:tc>
        <w:tc>
          <w:tcPr>
            <w:tcW w:w="2627" w:type="pct"/>
            <w:vAlign w:val="center"/>
          </w:tcPr>
          <w:p w14:paraId="652FF1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奎溪与白茅溪汇入口下游500m</w:t>
            </w:r>
          </w:p>
        </w:tc>
      </w:tr>
    </w:tbl>
    <w:p w14:paraId="77C50057">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（2）监测因子：锑。</w:t>
      </w:r>
    </w:p>
    <w:p w14:paraId="48E7E6B4">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（3）监测频次：202</w:t>
      </w:r>
      <w:r>
        <w:rPr>
          <w:rFonts w:hint="eastAsia" w:ascii="Times New Roman" w:hAnsi="Times New Roman" w:eastAsia="宋体" w:cs="Times New Roman"/>
          <w:color w:val="auto"/>
          <w:kern w:val="2"/>
          <w:sz w:val="24"/>
          <w:highlight w:val="none"/>
          <w:lang w:val="en-US" w:eastAsia="zh-CN" w:bidi="ar-SA"/>
        </w:rPr>
        <w:t>4</w:t>
      </w:r>
      <w:r>
        <w:rPr>
          <w:rFonts w:hint="default" w:ascii="Times New Roman" w:hAnsi="Times New Roman" w:eastAsia="宋体" w:cs="Times New Roman"/>
          <w:color w:val="auto"/>
          <w:kern w:val="2"/>
          <w:sz w:val="24"/>
          <w:highlight w:val="none"/>
          <w:lang w:val="en-US" w:eastAsia="zh-CN" w:bidi="ar-SA"/>
        </w:rPr>
        <w:t>年</w:t>
      </w:r>
      <w:r>
        <w:rPr>
          <w:rFonts w:hint="eastAsia" w:ascii="Times New Roman" w:hAnsi="Times New Roman" w:eastAsia="宋体" w:cs="Times New Roman"/>
          <w:color w:val="auto"/>
          <w:kern w:val="2"/>
          <w:sz w:val="24"/>
          <w:highlight w:val="none"/>
          <w:lang w:val="en-US" w:eastAsia="zh-CN" w:bidi="ar-SA"/>
        </w:rPr>
        <w:t>3</w:t>
      </w:r>
      <w:r>
        <w:rPr>
          <w:rFonts w:hint="default" w:ascii="Times New Roman" w:hAnsi="Times New Roman" w:eastAsia="宋体" w:cs="Times New Roman"/>
          <w:color w:val="auto"/>
          <w:kern w:val="2"/>
          <w:sz w:val="24"/>
          <w:highlight w:val="none"/>
          <w:lang w:val="en-US" w:eastAsia="zh-CN" w:bidi="ar-SA"/>
        </w:rPr>
        <w:t>月</w:t>
      </w:r>
      <w:r>
        <w:rPr>
          <w:rFonts w:hint="eastAsia" w:ascii="Times New Roman" w:hAnsi="Times New Roman" w:eastAsia="宋体" w:cs="Times New Roman"/>
          <w:color w:val="auto"/>
          <w:kern w:val="2"/>
          <w:sz w:val="24"/>
          <w:highlight w:val="none"/>
          <w:lang w:val="en-US" w:eastAsia="zh-CN" w:bidi="ar-SA"/>
        </w:rPr>
        <w:t>7</w:t>
      </w:r>
      <w:r>
        <w:rPr>
          <w:rFonts w:hint="default" w:ascii="Times New Roman" w:hAnsi="Times New Roman" w:eastAsia="宋体" w:cs="Times New Roman"/>
          <w:color w:val="auto"/>
          <w:kern w:val="2"/>
          <w:sz w:val="24"/>
          <w:highlight w:val="none"/>
          <w:lang w:val="en-US" w:eastAsia="zh-CN" w:bidi="ar-SA"/>
        </w:rPr>
        <w:t>日，每天一次。</w:t>
      </w:r>
    </w:p>
    <w:p w14:paraId="75A88755">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（4）执行标准：地表水体为Ⅲ类水域，执行《地表水环境质量标准》（GB3838-2002）中</w:t>
      </w:r>
      <w:r>
        <w:rPr>
          <w:rFonts w:hint="eastAsia" w:ascii="Times New Roman" w:hAnsi="Times New Roman" w:eastAsia="宋体" w:cs="Times New Roman"/>
          <w:color w:val="auto"/>
          <w:kern w:val="2"/>
          <w:sz w:val="24"/>
          <w:highlight w:val="none"/>
          <w:lang w:val="en-US" w:eastAsia="zh-CN" w:bidi="ar-SA"/>
        </w:rPr>
        <w:t>“集中式生活饮用水地表水源地标准限值”</w:t>
      </w:r>
      <w:r>
        <w:rPr>
          <w:rFonts w:hint="default" w:ascii="Times New Roman" w:hAnsi="Times New Roman" w:eastAsia="宋体" w:cs="Times New Roman"/>
          <w:color w:val="auto"/>
          <w:kern w:val="2"/>
          <w:sz w:val="24"/>
          <w:highlight w:val="none"/>
          <w:lang w:val="en-US" w:eastAsia="zh-CN" w:bidi="ar-SA"/>
        </w:rPr>
        <w:t>。</w:t>
      </w:r>
    </w:p>
    <w:p w14:paraId="53BB24F3">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（5）评价方法</w:t>
      </w:r>
    </w:p>
    <w:p w14:paraId="7A56767F">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采用</w:t>
      </w:r>
      <w:r>
        <w:rPr>
          <w:rFonts w:hint="eastAsia" w:ascii="Times New Roman" w:hAnsi="Times New Roman" w:eastAsia="宋体" w:cs="Times New Roman"/>
          <w:color w:val="auto"/>
          <w:kern w:val="2"/>
          <w:sz w:val="24"/>
          <w:highlight w:val="none"/>
          <w:lang w:val="en-US" w:eastAsia="zh-CN" w:bidi="ar-SA"/>
        </w:rPr>
        <w:t>水质指数法</w:t>
      </w:r>
      <w:r>
        <w:rPr>
          <w:rFonts w:hint="default" w:ascii="Times New Roman" w:hAnsi="Times New Roman" w:eastAsia="宋体" w:cs="Times New Roman"/>
          <w:color w:val="auto"/>
          <w:kern w:val="2"/>
          <w:sz w:val="24"/>
          <w:highlight w:val="none"/>
          <w:lang w:val="en-US" w:eastAsia="zh-CN" w:bidi="ar-SA"/>
        </w:rPr>
        <w:t>评价水环境现状质量。</w:t>
      </w:r>
    </w:p>
    <w:p w14:paraId="16FB5C6D">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（6）评价结果</w:t>
      </w:r>
    </w:p>
    <w:p w14:paraId="5B273A65">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S1渣滓溪矿区上游50m、S3白茅溪与渣滓溪汇入口上游100m、S6渣滓溪矿区上游50m的背景值较高</w:t>
      </w:r>
      <w:r>
        <w:rPr>
          <w:rFonts w:hint="eastAsia" w:cs="Times New Roman"/>
          <w:color w:val="auto"/>
          <w:kern w:val="2"/>
          <w:sz w:val="24"/>
          <w:highlight w:val="none"/>
          <w:lang w:val="en-US" w:eastAsia="zh-CN" w:bidi="ar-SA"/>
        </w:rPr>
        <w:t>，</w:t>
      </w:r>
      <w:r>
        <w:rPr>
          <w:rFonts w:hint="eastAsia" w:ascii="Times New Roman" w:hAnsi="Times New Roman" w:eastAsia="宋体" w:cs="Times New Roman"/>
          <w:color w:val="auto"/>
          <w:kern w:val="2"/>
          <w:sz w:val="24"/>
          <w:highlight w:val="none"/>
          <w:lang w:val="en-US" w:eastAsia="zh-CN" w:bidi="ar-SA"/>
        </w:rPr>
        <w:t>均未</w:t>
      </w:r>
      <w:r>
        <w:rPr>
          <w:rFonts w:hint="default" w:ascii="Times New Roman" w:hAnsi="Times New Roman" w:eastAsia="宋体" w:cs="Times New Roman"/>
          <w:color w:val="auto"/>
          <w:kern w:val="2"/>
          <w:sz w:val="24"/>
          <w:highlight w:val="none"/>
          <w:lang w:val="en-US" w:eastAsia="zh-CN" w:bidi="ar-SA"/>
        </w:rPr>
        <w:t>达到《地表水环境质量标准》（GB3838-2002）中</w:t>
      </w:r>
      <w:r>
        <w:rPr>
          <w:rFonts w:hint="eastAsia" w:ascii="Times New Roman" w:hAnsi="Times New Roman" w:eastAsia="宋体" w:cs="Times New Roman"/>
          <w:color w:val="auto"/>
          <w:kern w:val="2"/>
          <w:sz w:val="24"/>
          <w:highlight w:val="none"/>
          <w:lang w:val="en-US" w:eastAsia="zh-CN" w:bidi="ar-SA"/>
        </w:rPr>
        <w:t>集中式生活饮用水地表水源地标准限值。</w:t>
      </w:r>
    </w:p>
    <w:p w14:paraId="256E883D">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其他</w:t>
      </w:r>
      <w:r>
        <w:rPr>
          <w:rFonts w:hint="default" w:ascii="Times New Roman" w:hAnsi="Times New Roman" w:eastAsia="宋体" w:cs="Times New Roman"/>
          <w:color w:val="auto"/>
          <w:kern w:val="2"/>
          <w:sz w:val="24"/>
          <w:highlight w:val="none"/>
          <w:lang w:val="en-US" w:eastAsia="zh-CN" w:bidi="ar-SA"/>
        </w:rPr>
        <w:t>各监测断面</w:t>
      </w:r>
      <w:r>
        <w:rPr>
          <w:rFonts w:hint="eastAsia" w:ascii="Times New Roman" w:hAnsi="Times New Roman" w:eastAsia="宋体" w:cs="Times New Roman"/>
          <w:color w:val="auto"/>
          <w:kern w:val="2"/>
          <w:sz w:val="24"/>
          <w:highlight w:val="none"/>
          <w:lang w:val="en-US" w:eastAsia="zh-CN" w:bidi="ar-SA"/>
        </w:rPr>
        <w:t>锑因子均未</w:t>
      </w:r>
      <w:r>
        <w:rPr>
          <w:rFonts w:hint="default" w:ascii="Times New Roman" w:hAnsi="Times New Roman" w:eastAsia="宋体" w:cs="Times New Roman"/>
          <w:color w:val="auto"/>
          <w:kern w:val="2"/>
          <w:sz w:val="24"/>
          <w:highlight w:val="none"/>
          <w:lang w:val="en-US" w:eastAsia="zh-CN" w:bidi="ar-SA"/>
        </w:rPr>
        <w:t>达到《地表水环境质量标准》（GB3838-2002）中</w:t>
      </w:r>
      <w:r>
        <w:rPr>
          <w:rFonts w:hint="eastAsia" w:ascii="Times New Roman" w:hAnsi="Times New Roman" w:eastAsia="宋体" w:cs="Times New Roman"/>
          <w:color w:val="auto"/>
          <w:kern w:val="2"/>
          <w:sz w:val="24"/>
          <w:highlight w:val="none"/>
          <w:lang w:val="en-US" w:eastAsia="zh-CN" w:bidi="ar-SA"/>
        </w:rPr>
        <w:t>集中式生活饮用水地表水源地标准限值</w:t>
      </w:r>
      <w:r>
        <w:rPr>
          <w:rFonts w:hint="default" w:ascii="Times New Roman" w:hAnsi="Times New Roman" w:eastAsia="宋体" w:cs="Times New Roman"/>
          <w:color w:val="auto"/>
          <w:kern w:val="2"/>
          <w:sz w:val="24"/>
          <w:highlight w:val="none"/>
          <w:lang w:val="en-US" w:eastAsia="zh-CN" w:bidi="ar-SA"/>
        </w:rPr>
        <w:t>。</w:t>
      </w:r>
    </w:p>
    <w:p w14:paraId="43C63D27">
      <w:pPr>
        <w:widowControl w:val="0"/>
        <w:tabs>
          <w:tab w:val="left" w:pos="1021"/>
        </w:tabs>
        <w:bidi w:val="0"/>
        <w:spacing w:line="360" w:lineRule="auto"/>
        <w:ind w:firstLine="480" w:firstLineChars="200"/>
        <w:jc w:val="both"/>
        <w:rPr>
          <w:rFonts w:hint="eastAsia" w:cs="Times New Roman"/>
          <w:color w:val="auto"/>
          <w:kern w:val="2"/>
          <w:sz w:val="24"/>
          <w:highlight w:val="none"/>
          <w:u w:val="single"/>
          <w:lang w:val="en-US" w:eastAsia="zh-CN" w:bidi="ar-SA"/>
        </w:rPr>
      </w:pPr>
      <w:r>
        <w:rPr>
          <w:rFonts w:hint="eastAsia" w:cs="Times New Roman"/>
          <w:color w:val="auto"/>
          <w:kern w:val="2"/>
          <w:sz w:val="24"/>
          <w:highlight w:val="none"/>
          <w:u w:val="single"/>
          <w:lang w:val="en-US" w:eastAsia="zh-CN" w:bidi="ar-SA"/>
        </w:rPr>
        <w:t>根据现场调查，奎溪锑业（奎溪锑品厂）于2009年停产，2010年被县环保局关闭。华星锑业有限责任公司于2009年成立，2011年由原厂址搬迁至奎溪镇言槐村槐花坪，以奎溪锑品厂现有厂区作为华星锑业的新厂址。华星锑业现未生产。</w:t>
      </w:r>
    </w:p>
    <w:p w14:paraId="7EFE330A">
      <w:pPr>
        <w:pStyle w:val="28"/>
        <w:rPr>
          <w:rFonts w:hint="eastAsia"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7</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202</w:t>
      </w:r>
      <w:r>
        <w:rPr>
          <w:rFonts w:hint="eastAsia" w:ascii="Times New Roman" w:hAnsi="Times New Roman" w:eastAsia="黑体" w:cs="Times New Roman"/>
          <w:color w:val="auto"/>
          <w:kern w:val="2"/>
          <w:sz w:val="24"/>
          <w:highlight w:val="none"/>
          <w:lang w:val="en-US" w:eastAsia="zh-CN" w:bidi="ar-SA"/>
        </w:rPr>
        <w:t>4</w:t>
      </w:r>
      <w:r>
        <w:rPr>
          <w:rFonts w:hint="default" w:ascii="Times New Roman" w:hAnsi="Times New Roman" w:eastAsia="黑体" w:cs="Times New Roman"/>
          <w:color w:val="auto"/>
          <w:kern w:val="2"/>
          <w:sz w:val="24"/>
          <w:highlight w:val="none"/>
          <w:lang w:val="en-US" w:eastAsia="zh-CN" w:bidi="ar-SA"/>
        </w:rPr>
        <w:t>年</w:t>
      </w:r>
      <w:r>
        <w:rPr>
          <w:rFonts w:hint="eastAsia" w:ascii="Times New Roman" w:hAnsi="Times New Roman" w:eastAsia="黑体" w:cs="Times New Roman"/>
          <w:color w:val="auto"/>
          <w:kern w:val="2"/>
          <w:sz w:val="24"/>
          <w:highlight w:val="none"/>
          <w:lang w:val="en-US" w:eastAsia="zh-CN" w:bidi="ar-SA"/>
        </w:rPr>
        <w:t>3</w:t>
      </w:r>
      <w:r>
        <w:rPr>
          <w:rFonts w:hint="default" w:ascii="Times New Roman" w:hAnsi="Times New Roman" w:eastAsia="黑体" w:cs="Times New Roman"/>
          <w:color w:val="auto"/>
          <w:kern w:val="2"/>
          <w:sz w:val="24"/>
          <w:highlight w:val="none"/>
          <w:lang w:val="en-US" w:eastAsia="zh-CN" w:bidi="ar-SA"/>
        </w:rPr>
        <w:t>月地表水</w:t>
      </w:r>
      <w:r>
        <w:rPr>
          <w:rFonts w:hint="eastAsia" w:ascii="Times New Roman" w:hAnsi="Times New Roman" w:eastAsia="黑体" w:cs="Times New Roman"/>
          <w:color w:val="auto"/>
          <w:kern w:val="2"/>
          <w:sz w:val="24"/>
          <w:highlight w:val="none"/>
          <w:lang w:val="en-US" w:eastAsia="zh-CN" w:bidi="ar-SA"/>
        </w:rPr>
        <w:t>锑因子</w:t>
      </w:r>
      <w:r>
        <w:rPr>
          <w:rFonts w:hint="default" w:ascii="Times New Roman" w:hAnsi="Times New Roman" w:eastAsia="黑体" w:cs="Times New Roman"/>
          <w:color w:val="auto"/>
          <w:kern w:val="2"/>
          <w:sz w:val="24"/>
          <w:highlight w:val="none"/>
          <w:lang w:val="en-US" w:eastAsia="zh-CN" w:bidi="ar-SA"/>
        </w:rPr>
        <w:t>环境质量补充检测结果</w:t>
      </w:r>
      <w:r>
        <w:rPr>
          <w:rFonts w:hint="eastAsia" w:ascii="Times New Roman" w:hAnsi="Times New Roman" w:eastAsia="黑体" w:cs="Times New Roman"/>
          <w:color w:val="auto"/>
          <w:kern w:val="2"/>
          <w:sz w:val="24"/>
          <w:highlight w:val="none"/>
          <w:lang w:val="en-US" w:eastAsia="zh-CN" w:bidi="ar-SA"/>
        </w:rPr>
        <w:t>及评价结果（单位：mg/L）</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241"/>
        <w:gridCol w:w="2331"/>
        <w:gridCol w:w="2333"/>
        <w:gridCol w:w="2333"/>
      </w:tblGrid>
      <w:tr w14:paraId="353998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3" w:type="pct"/>
            <w:vAlign w:val="center"/>
          </w:tcPr>
          <w:p w14:paraId="599613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1261" w:type="pct"/>
            <w:vAlign w:val="center"/>
          </w:tcPr>
          <w:p w14:paraId="1415444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监测因子</w:t>
            </w:r>
          </w:p>
        </w:tc>
        <w:tc>
          <w:tcPr>
            <w:tcW w:w="1262" w:type="pct"/>
            <w:vAlign w:val="center"/>
          </w:tcPr>
          <w:p w14:paraId="522974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检测结果</w:t>
            </w:r>
          </w:p>
        </w:tc>
        <w:tc>
          <w:tcPr>
            <w:tcW w:w="1262" w:type="pct"/>
            <w:vAlign w:val="center"/>
          </w:tcPr>
          <w:p w14:paraId="251EBE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水质指数</w:t>
            </w:r>
          </w:p>
        </w:tc>
      </w:tr>
      <w:tr w14:paraId="3C9CB8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3" w:type="pct"/>
            <w:vAlign w:val="center"/>
          </w:tcPr>
          <w:p w14:paraId="78BD4E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S1</w:t>
            </w:r>
          </w:p>
        </w:tc>
        <w:tc>
          <w:tcPr>
            <w:tcW w:w="1261" w:type="pct"/>
            <w:vAlign w:val="center"/>
          </w:tcPr>
          <w:p w14:paraId="49F0E5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1262" w:type="pct"/>
            <w:vAlign w:val="center"/>
          </w:tcPr>
          <w:p w14:paraId="4D4B2966">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360</w:t>
            </w:r>
          </w:p>
        </w:tc>
        <w:tc>
          <w:tcPr>
            <w:tcW w:w="2333" w:type="dxa"/>
            <w:vAlign w:val="center"/>
          </w:tcPr>
          <w:p w14:paraId="3046A6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7.2</w:t>
            </w:r>
          </w:p>
        </w:tc>
      </w:tr>
      <w:tr w14:paraId="7726F2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3" w:type="pct"/>
            <w:vAlign w:val="center"/>
          </w:tcPr>
          <w:p w14:paraId="21996F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S2</w:t>
            </w:r>
          </w:p>
        </w:tc>
        <w:tc>
          <w:tcPr>
            <w:tcW w:w="1261" w:type="pct"/>
            <w:vAlign w:val="center"/>
          </w:tcPr>
          <w:p w14:paraId="58DCCF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1262" w:type="pct"/>
            <w:vAlign w:val="center"/>
          </w:tcPr>
          <w:p w14:paraId="19CD7D5E">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0.128</w:t>
            </w:r>
          </w:p>
        </w:tc>
        <w:tc>
          <w:tcPr>
            <w:tcW w:w="2333" w:type="dxa"/>
            <w:vAlign w:val="center"/>
          </w:tcPr>
          <w:p w14:paraId="07A7F6A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25.6</w:t>
            </w:r>
          </w:p>
        </w:tc>
      </w:tr>
      <w:tr w14:paraId="4A049B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3" w:type="pct"/>
            <w:vAlign w:val="center"/>
          </w:tcPr>
          <w:p w14:paraId="2B98D8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S3</w:t>
            </w:r>
          </w:p>
        </w:tc>
        <w:tc>
          <w:tcPr>
            <w:tcW w:w="1261" w:type="pct"/>
            <w:vAlign w:val="center"/>
          </w:tcPr>
          <w:p w14:paraId="1587D26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1262" w:type="pct"/>
            <w:vAlign w:val="center"/>
          </w:tcPr>
          <w:p w14:paraId="7CAD1840">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216</w:t>
            </w:r>
          </w:p>
        </w:tc>
        <w:tc>
          <w:tcPr>
            <w:tcW w:w="2333" w:type="dxa"/>
            <w:vAlign w:val="center"/>
          </w:tcPr>
          <w:p w14:paraId="185DCB3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4.32</w:t>
            </w:r>
          </w:p>
        </w:tc>
      </w:tr>
      <w:tr w14:paraId="4B7703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3" w:type="pct"/>
            <w:vAlign w:val="center"/>
          </w:tcPr>
          <w:p w14:paraId="48F4AEA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S4</w:t>
            </w:r>
          </w:p>
        </w:tc>
        <w:tc>
          <w:tcPr>
            <w:tcW w:w="1261" w:type="pct"/>
            <w:vAlign w:val="center"/>
          </w:tcPr>
          <w:p w14:paraId="247A876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1262" w:type="pct"/>
            <w:vAlign w:val="center"/>
          </w:tcPr>
          <w:p w14:paraId="27399DB2">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w:t>
            </w:r>
            <w:r>
              <w:rPr>
                <w:rFonts w:hint="eastAsia"/>
                <w:b/>
                <w:bCs/>
                <w:color w:val="auto"/>
                <w:highlight w:val="none"/>
                <w:lang w:val="en-US" w:eastAsia="zh-CN"/>
              </w:rPr>
              <w:t>118</w:t>
            </w:r>
          </w:p>
        </w:tc>
        <w:tc>
          <w:tcPr>
            <w:tcW w:w="2333" w:type="dxa"/>
            <w:vAlign w:val="center"/>
          </w:tcPr>
          <w:p w14:paraId="284ACA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23.6</w:t>
            </w:r>
          </w:p>
        </w:tc>
      </w:tr>
      <w:tr w14:paraId="0253DF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3" w:type="pct"/>
            <w:vAlign w:val="center"/>
          </w:tcPr>
          <w:p w14:paraId="4F437D8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S5</w:t>
            </w:r>
          </w:p>
        </w:tc>
        <w:tc>
          <w:tcPr>
            <w:tcW w:w="1261" w:type="pct"/>
            <w:vAlign w:val="center"/>
          </w:tcPr>
          <w:p w14:paraId="021D5F8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1262" w:type="pct"/>
            <w:vAlign w:val="center"/>
          </w:tcPr>
          <w:p w14:paraId="14CB1E7E">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w:t>
            </w:r>
            <w:r>
              <w:rPr>
                <w:rFonts w:hint="eastAsia"/>
                <w:b/>
                <w:bCs/>
                <w:color w:val="auto"/>
                <w:highlight w:val="none"/>
                <w:lang w:val="en-US" w:eastAsia="zh-CN"/>
              </w:rPr>
              <w:t>112</w:t>
            </w:r>
          </w:p>
        </w:tc>
        <w:tc>
          <w:tcPr>
            <w:tcW w:w="2333" w:type="dxa"/>
            <w:vAlign w:val="center"/>
          </w:tcPr>
          <w:p w14:paraId="24A02C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22.4</w:t>
            </w:r>
          </w:p>
        </w:tc>
      </w:tr>
      <w:tr w14:paraId="2A2E40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3" w:type="pct"/>
            <w:vAlign w:val="center"/>
          </w:tcPr>
          <w:p w14:paraId="026ACEA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S6</w:t>
            </w:r>
          </w:p>
        </w:tc>
        <w:tc>
          <w:tcPr>
            <w:tcW w:w="1261" w:type="pct"/>
            <w:vAlign w:val="center"/>
          </w:tcPr>
          <w:p w14:paraId="424CE59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1262" w:type="pct"/>
            <w:vAlign w:val="center"/>
          </w:tcPr>
          <w:p w14:paraId="6026E395">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444</w:t>
            </w:r>
          </w:p>
        </w:tc>
        <w:tc>
          <w:tcPr>
            <w:tcW w:w="2333" w:type="dxa"/>
            <w:vAlign w:val="center"/>
          </w:tcPr>
          <w:p w14:paraId="08F1C54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8.88</w:t>
            </w:r>
          </w:p>
        </w:tc>
      </w:tr>
      <w:tr w14:paraId="2A77B1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241" w:type="dxa"/>
            <w:vAlign w:val="center"/>
          </w:tcPr>
          <w:p w14:paraId="0FC804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S奎锑上（St1）</w:t>
            </w:r>
          </w:p>
        </w:tc>
        <w:tc>
          <w:tcPr>
            <w:tcW w:w="1261" w:type="pct"/>
            <w:vAlign w:val="center"/>
          </w:tcPr>
          <w:p w14:paraId="726AB771">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锑</w:t>
            </w:r>
          </w:p>
        </w:tc>
        <w:tc>
          <w:tcPr>
            <w:tcW w:w="1262" w:type="pct"/>
            <w:vAlign w:val="center"/>
          </w:tcPr>
          <w:p w14:paraId="575D1901">
            <w:pPr>
              <w:pStyle w:val="26"/>
              <w:keepNext w:val="0"/>
              <w:keepLines w:val="0"/>
              <w:suppressLineNumbers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0.173</w:t>
            </w:r>
          </w:p>
        </w:tc>
        <w:tc>
          <w:tcPr>
            <w:tcW w:w="2333" w:type="dxa"/>
            <w:vAlign w:val="center"/>
          </w:tcPr>
          <w:p w14:paraId="2C0C2846">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34.6</w:t>
            </w:r>
          </w:p>
        </w:tc>
      </w:tr>
      <w:tr w14:paraId="3BB45E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241" w:type="dxa"/>
            <w:vAlign w:val="center"/>
          </w:tcPr>
          <w:p w14:paraId="619C9D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S奎锑下（St2）</w:t>
            </w:r>
          </w:p>
        </w:tc>
        <w:tc>
          <w:tcPr>
            <w:tcW w:w="1261" w:type="pct"/>
            <w:vAlign w:val="center"/>
          </w:tcPr>
          <w:p w14:paraId="09BBC39C">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锑</w:t>
            </w:r>
          </w:p>
        </w:tc>
        <w:tc>
          <w:tcPr>
            <w:tcW w:w="1262" w:type="pct"/>
            <w:vAlign w:val="center"/>
          </w:tcPr>
          <w:p w14:paraId="4B64FF72">
            <w:pPr>
              <w:pStyle w:val="26"/>
              <w:keepNext w:val="0"/>
              <w:keepLines w:val="0"/>
              <w:suppressLineNumbers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0.243</w:t>
            </w:r>
          </w:p>
        </w:tc>
        <w:tc>
          <w:tcPr>
            <w:tcW w:w="2333" w:type="dxa"/>
            <w:vAlign w:val="center"/>
          </w:tcPr>
          <w:p w14:paraId="4E58C965">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48.6</w:t>
            </w:r>
          </w:p>
        </w:tc>
      </w:tr>
      <w:tr w14:paraId="47635A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241" w:type="dxa"/>
            <w:vAlign w:val="center"/>
          </w:tcPr>
          <w:p w14:paraId="0B34EB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S沙-1（Ss1）</w:t>
            </w:r>
          </w:p>
        </w:tc>
        <w:tc>
          <w:tcPr>
            <w:tcW w:w="1261" w:type="pct"/>
            <w:vAlign w:val="center"/>
          </w:tcPr>
          <w:p w14:paraId="40F9416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锑</w:t>
            </w:r>
          </w:p>
        </w:tc>
        <w:tc>
          <w:tcPr>
            <w:tcW w:w="1262" w:type="pct"/>
            <w:vAlign w:val="center"/>
          </w:tcPr>
          <w:p w14:paraId="20FA237D">
            <w:pPr>
              <w:pStyle w:val="26"/>
              <w:keepNext w:val="0"/>
              <w:keepLines w:val="0"/>
              <w:suppressLineNumbers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0.246</w:t>
            </w:r>
          </w:p>
        </w:tc>
        <w:tc>
          <w:tcPr>
            <w:tcW w:w="2333" w:type="dxa"/>
            <w:vAlign w:val="center"/>
          </w:tcPr>
          <w:p w14:paraId="5498B91D">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49.2</w:t>
            </w:r>
          </w:p>
        </w:tc>
      </w:tr>
      <w:tr w14:paraId="078C9A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241" w:type="dxa"/>
            <w:vAlign w:val="center"/>
          </w:tcPr>
          <w:p w14:paraId="2CC500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S沙-2（Ss2）</w:t>
            </w:r>
          </w:p>
        </w:tc>
        <w:tc>
          <w:tcPr>
            <w:tcW w:w="1261" w:type="pct"/>
            <w:vAlign w:val="center"/>
          </w:tcPr>
          <w:p w14:paraId="7E5D519F">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锑</w:t>
            </w:r>
          </w:p>
        </w:tc>
        <w:tc>
          <w:tcPr>
            <w:tcW w:w="1262" w:type="pct"/>
            <w:vAlign w:val="center"/>
          </w:tcPr>
          <w:p w14:paraId="23481A22">
            <w:pPr>
              <w:pStyle w:val="26"/>
              <w:keepNext w:val="0"/>
              <w:keepLines w:val="0"/>
              <w:suppressLineNumbers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0.255</w:t>
            </w:r>
          </w:p>
        </w:tc>
        <w:tc>
          <w:tcPr>
            <w:tcW w:w="2333" w:type="dxa"/>
            <w:vAlign w:val="center"/>
          </w:tcPr>
          <w:p w14:paraId="24AE80C7">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51</w:t>
            </w:r>
          </w:p>
        </w:tc>
      </w:tr>
      <w:tr w14:paraId="6F0DC5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3" w:type="pct"/>
            <w:vAlign w:val="center"/>
          </w:tcPr>
          <w:p w14:paraId="05F86B2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S7</w:t>
            </w:r>
          </w:p>
        </w:tc>
        <w:tc>
          <w:tcPr>
            <w:tcW w:w="1261" w:type="pct"/>
            <w:vAlign w:val="center"/>
          </w:tcPr>
          <w:p w14:paraId="4A9D334A">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锑</w:t>
            </w:r>
          </w:p>
        </w:tc>
        <w:tc>
          <w:tcPr>
            <w:tcW w:w="1262" w:type="pct"/>
            <w:vAlign w:val="center"/>
          </w:tcPr>
          <w:p w14:paraId="65DAFECE">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0.1</w:t>
            </w:r>
            <w:r>
              <w:rPr>
                <w:rFonts w:hint="eastAsia"/>
                <w:b/>
                <w:bCs/>
                <w:color w:val="auto"/>
                <w:highlight w:val="none"/>
                <w:lang w:val="en-US" w:eastAsia="zh-CN"/>
              </w:rPr>
              <w:t>14</w:t>
            </w:r>
          </w:p>
        </w:tc>
        <w:tc>
          <w:tcPr>
            <w:tcW w:w="2333" w:type="dxa"/>
            <w:vAlign w:val="center"/>
          </w:tcPr>
          <w:p w14:paraId="1F4C31B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22.8</w:t>
            </w:r>
          </w:p>
        </w:tc>
      </w:tr>
    </w:tbl>
    <w:p w14:paraId="2BE84AD0">
      <w:pPr>
        <w:pStyle w:val="37"/>
        <w:tabs>
          <w:tab w:val="clear" w:pos="0"/>
          <w:tab w:val="clear" w:pos="862"/>
        </w:tabs>
        <w:rPr>
          <w:rFonts w:hint="eastAsia"/>
          <w:color w:val="auto"/>
          <w:highlight w:val="none"/>
          <w:lang w:val="en-US" w:eastAsia="zh-CN"/>
        </w:rPr>
      </w:pPr>
      <w:r>
        <w:rPr>
          <w:rFonts w:hint="eastAsia"/>
          <w:color w:val="auto"/>
          <w:highlight w:val="none"/>
          <w:lang w:val="en-US" w:eastAsia="zh-CN"/>
        </w:rPr>
        <w:t>丰水期监测</w:t>
      </w:r>
    </w:p>
    <w:p w14:paraId="695B149A">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2024年5</w:t>
      </w:r>
      <w:r>
        <w:rPr>
          <w:rFonts w:hint="default" w:ascii="Times New Roman" w:hAnsi="Times New Roman" w:eastAsia="宋体" w:cs="Times New Roman"/>
          <w:color w:val="auto"/>
          <w:kern w:val="2"/>
          <w:sz w:val="24"/>
          <w:highlight w:val="none"/>
          <w:lang w:val="en-US" w:eastAsia="zh-CN" w:bidi="ar-SA"/>
        </w:rPr>
        <w:t>月</w:t>
      </w:r>
      <w:r>
        <w:rPr>
          <w:rFonts w:hint="eastAsia" w:ascii="Times New Roman" w:hAnsi="Times New Roman" w:eastAsia="宋体" w:cs="Times New Roman"/>
          <w:color w:val="auto"/>
          <w:kern w:val="2"/>
          <w:sz w:val="24"/>
          <w:highlight w:val="none"/>
          <w:lang w:val="en-US" w:eastAsia="zh-CN" w:bidi="ar-SA"/>
        </w:rPr>
        <w:t>7</w:t>
      </w:r>
      <w:r>
        <w:rPr>
          <w:rFonts w:hint="default" w:ascii="Times New Roman" w:hAnsi="Times New Roman" w:eastAsia="宋体" w:cs="Times New Roman"/>
          <w:color w:val="auto"/>
          <w:kern w:val="2"/>
          <w:sz w:val="24"/>
          <w:highlight w:val="none"/>
          <w:lang w:val="en-US" w:eastAsia="zh-CN" w:bidi="ar-SA"/>
        </w:rPr>
        <w:t>日~</w:t>
      </w:r>
      <w:r>
        <w:rPr>
          <w:rFonts w:hint="eastAsia" w:ascii="Times New Roman" w:hAnsi="Times New Roman" w:eastAsia="宋体" w:cs="Times New Roman"/>
          <w:color w:val="auto"/>
          <w:kern w:val="2"/>
          <w:sz w:val="24"/>
          <w:highlight w:val="none"/>
          <w:lang w:val="en-US" w:eastAsia="zh-CN" w:bidi="ar-SA"/>
        </w:rPr>
        <w:t>9</w:t>
      </w:r>
      <w:r>
        <w:rPr>
          <w:rFonts w:hint="default" w:ascii="Times New Roman" w:hAnsi="Times New Roman" w:eastAsia="宋体" w:cs="Times New Roman"/>
          <w:color w:val="auto"/>
          <w:kern w:val="2"/>
          <w:sz w:val="24"/>
          <w:highlight w:val="none"/>
          <w:lang w:val="en-US" w:eastAsia="zh-CN" w:bidi="ar-SA"/>
        </w:rPr>
        <w:t>日，</w:t>
      </w:r>
      <w:r>
        <w:rPr>
          <w:rFonts w:hint="eastAsia" w:cs="Times New Roman"/>
          <w:color w:val="auto"/>
          <w:kern w:val="2"/>
          <w:sz w:val="24"/>
          <w:highlight w:val="none"/>
          <w:lang w:val="en-US" w:eastAsia="zh-CN" w:bidi="ar-SA"/>
        </w:rPr>
        <w:t>锑矿升级改造环评</w:t>
      </w:r>
      <w:r>
        <w:rPr>
          <w:rFonts w:hint="default" w:ascii="Times New Roman" w:hAnsi="Times New Roman" w:eastAsia="宋体" w:cs="Times New Roman"/>
          <w:color w:val="auto"/>
          <w:kern w:val="2"/>
          <w:sz w:val="24"/>
          <w:highlight w:val="none"/>
          <w:lang w:val="en-US" w:eastAsia="zh-CN" w:bidi="ar-SA"/>
        </w:rPr>
        <w:t>委托湖南乾诚检测有限公司对区域地表水环境质量现状进行了监测，监测时段为区域的</w:t>
      </w:r>
      <w:r>
        <w:rPr>
          <w:rFonts w:hint="eastAsia" w:ascii="Times New Roman" w:hAnsi="Times New Roman" w:eastAsia="宋体" w:cs="Times New Roman"/>
          <w:color w:val="auto"/>
          <w:kern w:val="2"/>
          <w:sz w:val="24"/>
          <w:highlight w:val="none"/>
          <w:lang w:val="en-US" w:eastAsia="zh-CN" w:bidi="ar-SA"/>
        </w:rPr>
        <w:t>丰</w:t>
      </w:r>
      <w:r>
        <w:rPr>
          <w:rFonts w:hint="default" w:ascii="Times New Roman" w:hAnsi="Times New Roman" w:eastAsia="宋体" w:cs="Times New Roman"/>
          <w:color w:val="auto"/>
          <w:kern w:val="2"/>
          <w:sz w:val="24"/>
          <w:highlight w:val="none"/>
          <w:lang w:val="en-US" w:eastAsia="zh-CN" w:bidi="ar-SA"/>
        </w:rPr>
        <w:t>水期。</w:t>
      </w:r>
    </w:p>
    <w:p w14:paraId="2A20C12D">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（1）监测断面：在周边水体共设置</w:t>
      </w:r>
      <w:r>
        <w:rPr>
          <w:rFonts w:hint="eastAsia" w:ascii="Times New Roman" w:hAnsi="Times New Roman" w:eastAsia="宋体" w:cs="Times New Roman"/>
          <w:color w:val="auto"/>
          <w:kern w:val="2"/>
          <w:sz w:val="24"/>
          <w:highlight w:val="none"/>
          <w:lang w:val="en-US" w:eastAsia="zh-CN" w:bidi="ar-SA"/>
        </w:rPr>
        <w:t>14</w:t>
      </w:r>
      <w:r>
        <w:rPr>
          <w:rFonts w:hint="default" w:ascii="Times New Roman" w:hAnsi="Times New Roman" w:eastAsia="宋体" w:cs="Times New Roman"/>
          <w:color w:val="auto"/>
          <w:kern w:val="2"/>
          <w:sz w:val="24"/>
          <w:highlight w:val="none"/>
          <w:lang w:val="en-US" w:eastAsia="zh-CN" w:bidi="ar-SA"/>
        </w:rPr>
        <w:t>个监测断面，见下表。</w:t>
      </w:r>
    </w:p>
    <w:p w14:paraId="109EC4E1">
      <w:pPr>
        <w:pStyle w:val="28"/>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8</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地表水环境质量监测断面</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779"/>
        <w:gridCol w:w="1558"/>
        <w:gridCol w:w="4901"/>
      </w:tblGrid>
      <w:tr w14:paraId="5D9866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3C8CBD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1558" w:type="dxa"/>
            <w:vAlign w:val="center"/>
          </w:tcPr>
          <w:p w14:paraId="196F4E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监测河流</w:t>
            </w:r>
          </w:p>
        </w:tc>
        <w:tc>
          <w:tcPr>
            <w:tcW w:w="4901" w:type="dxa"/>
            <w:vAlign w:val="center"/>
          </w:tcPr>
          <w:p w14:paraId="40B5B1F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断面</w:t>
            </w:r>
            <w:r>
              <w:rPr>
                <w:rFonts w:hint="eastAsia"/>
                <w:color w:val="auto"/>
                <w:highlight w:val="none"/>
                <w:lang w:val="en-US" w:eastAsia="zh-CN"/>
              </w:rPr>
              <w:t>名称</w:t>
            </w:r>
          </w:p>
        </w:tc>
      </w:tr>
      <w:tr w14:paraId="7589B4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68E25A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S1</w:t>
            </w:r>
          </w:p>
        </w:tc>
        <w:tc>
          <w:tcPr>
            <w:tcW w:w="1558" w:type="dxa"/>
            <w:vAlign w:val="center"/>
          </w:tcPr>
          <w:p w14:paraId="7693008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渣滓溪</w:t>
            </w:r>
          </w:p>
        </w:tc>
        <w:tc>
          <w:tcPr>
            <w:tcW w:w="2652" w:type="pct"/>
            <w:vAlign w:val="center"/>
          </w:tcPr>
          <w:p w14:paraId="3AFB9E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渣滓溪矿区上游50m</w:t>
            </w:r>
          </w:p>
        </w:tc>
      </w:tr>
      <w:tr w14:paraId="286910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2754C3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S2</w:t>
            </w:r>
          </w:p>
        </w:tc>
        <w:tc>
          <w:tcPr>
            <w:tcW w:w="1558" w:type="dxa"/>
            <w:vAlign w:val="center"/>
          </w:tcPr>
          <w:p w14:paraId="387FAD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渣滓溪</w:t>
            </w:r>
          </w:p>
        </w:tc>
        <w:tc>
          <w:tcPr>
            <w:tcW w:w="2652" w:type="pct"/>
            <w:vAlign w:val="center"/>
          </w:tcPr>
          <w:p w14:paraId="2FE965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渣滓溪污水处理下游100m</w:t>
            </w:r>
          </w:p>
        </w:tc>
      </w:tr>
      <w:tr w14:paraId="53BAE5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22700B5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S3</w:t>
            </w:r>
          </w:p>
        </w:tc>
        <w:tc>
          <w:tcPr>
            <w:tcW w:w="1558" w:type="dxa"/>
            <w:vAlign w:val="center"/>
          </w:tcPr>
          <w:p w14:paraId="623BA98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白茅溪</w:t>
            </w:r>
          </w:p>
        </w:tc>
        <w:tc>
          <w:tcPr>
            <w:tcW w:w="2652" w:type="pct"/>
            <w:vAlign w:val="center"/>
          </w:tcPr>
          <w:p w14:paraId="5E245E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白茅溪与渣滓溪汇入口上游100m</w:t>
            </w:r>
          </w:p>
        </w:tc>
      </w:tr>
      <w:tr w14:paraId="60BA1A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48006F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S4</w:t>
            </w:r>
          </w:p>
        </w:tc>
        <w:tc>
          <w:tcPr>
            <w:tcW w:w="1558" w:type="dxa"/>
            <w:vAlign w:val="center"/>
          </w:tcPr>
          <w:p w14:paraId="6F9AE7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白茅溪</w:t>
            </w:r>
          </w:p>
        </w:tc>
        <w:tc>
          <w:tcPr>
            <w:tcW w:w="2652" w:type="pct"/>
            <w:vAlign w:val="center"/>
          </w:tcPr>
          <w:p w14:paraId="1026AB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白茅溪与渣滓溪汇入口下游100m</w:t>
            </w:r>
          </w:p>
        </w:tc>
      </w:tr>
      <w:tr w14:paraId="65742E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59C890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S5</w:t>
            </w:r>
          </w:p>
        </w:tc>
        <w:tc>
          <w:tcPr>
            <w:tcW w:w="1558" w:type="dxa"/>
            <w:vAlign w:val="center"/>
          </w:tcPr>
          <w:p w14:paraId="465EB4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石板溪</w:t>
            </w:r>
          </w:p>
        </w:tc>
        <w:tc>
          <w:tcPr>
            <w:tcW w:w="2652" w:type="pct"/>
            <w:vAlign w:val="center"/>
          </w:tcPr>
          <w:p w14:paraId="04EA64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石板溪与白茅溪汇入口上游50m</w:t>
            </w:r>
          </w:p>
        </w:tc>
      </w:tr>
      <w:tr w14:paraId="6487A3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4FBBB8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S6</w:t>
            </w:r>
          </w:p>
        </w:tc>
        <w:tc>
          <w:tcPr>
            <w:tcW w:w="1558" w:type="dxa"/>
            <w:vAlign w:val="center"/>
          </w:tcPr>
          <w:p w14:paraId="5A51EC6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w:t>
            </w:r>
          </w:p>
        </w:tc>
        <w:tc>
          <w:tcPr>
            <w:tcW w:w="2652" w:type="pct"/>
            <w:vAlign w:val="center"/>
          </w:tcPr>
          <w:p w14:paraId="2732E9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奎溪与白茅溪汇入口上游50m</w:t>
            </w:r>
          </w:p>
        </w:tc>
      </w:tr>
      <w:tr w14:paraId="3CE988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57E351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S7</w:t>
            </w:r>
          </w:p>
        </w:tc>
        <w:tc>
          <w:tcPr>
            <w:tcW w:w="1558" w:type="dxa"/>
            <w:vAlign w:val="center"/>
          </w:tcPr>
          <w:p w14:paraId="16EB869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奎溪</w:t>
            </w:r>
          </w:p>
        </w:tc>
        <w:tc>
          <w:tcPr>
            <w:tcW w:w="2652" w:type="pct"/>
            <w:vAlign w:val="center"/>
          </w:tcPr>
          <w:p w14:paraId="7DA290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奎溪与白茅溪汇入口下游500m</w:t>
            </w:r>
          </w:p>
        </w:tc>
      </w:tr>
      <w:tr w14:paraId="41C9ED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3477BD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S8</w:t>
            </w:r>
          </w:p>
        </w:tc>
        <w:tc>
          <w:tcPr>
            <w:tcW w:w="1558" w:type="dxa"/>
            <w:vAlign w:val="center"/>
          </w:tcPr>
          <w:p w14:paraId="2A10275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洋溪</w:t>
            </w:r>
          </w:p>
        </w:tc>
        <w:tc>
          <w:tcPr>
            <w:tcW w:w="2652" w:type="pct"/>
            <w:vAlign w:val="center"/>
          </w:tcPr>
          <w:p w14:paraId="6A0B8A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洋溪与奎溪汇入口上游200m</w:t>
            </w:r>
          </w:p>
        </w:tc>
      </w:tr>
      <w:tr w14:paraId="435BF8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625D625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S9</w:t>
            </w:r>
          </w:p>
        </w:tc>
        <w:tc>
          <w:tcPr>
            <w:tcW w:w="1558" w:type="dxa"/>
            <w:vAlign w:val="center"/>
          </w:tcPr>
          <w:p w14:paraId="1EA82B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洋溪</w:t>
            </w:r>
          </w:p>
        </w:tc>
        <w:tc>
          <w:tcPr>
            <w:tcW w:w="2652" w:type="pct"/>
            <w:vAlign w:val="center"/>
          </w:tcPr>
          <w:p w14:paraId="1F772C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洋溪与奎溪汇入口下游500m</w:t>
            </w:r>
          </w:p>
        </w:tc>
      </w:tr>
      <w:tr w14:paraId="154ACF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60089B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S10</w:t>
            </w:r>
          </w:p>
        </w:tc>
        <w:tc>
          <w:tcPr>
            <w:tcW w:w="1558" w:type="dxa"/>
            <w:vAlign w:val="center"/>
          </w:tcPr>
          <w:p w14:paraId="302F641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洋溪</w:t>
            </w:r>
          </w:p>
        </w:tc>
        <w:tc>
          <w:tcPr>
            <w:tcW w:w="2652" w:type="pct"/>
            <w:vAlign w:val="center"/>
          </w:tcPr>
          <w:p w14:paraId="32C6651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洋溪与资水汇入口上游500m</w:t>
            </w:r>
          </w:p>
        </w:tc>
      </w:tr>
      <w:tr w14:paraId="009803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01B120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S11</w:t>
            </w:r>
          </w:p>
        </w:tc>
        <w:tc>
          <w:tcPr>
            <w:tcW w:w="1558" w:type="dxa"/>
            <w:vAlign w:val="center"/>
          </w:tcPr>
          <w:p w14:paraId="41CFFF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资水</w:t>
            </w:r>
          </w:p>
        </w:tc>
        <w:tc>
          <w:tcPr>
            <w:tcW w:w="2652" w:type="pct"/>
            <w:vAlign w:val="center"/>
          </w:tcPr>
          <w:p w14:paraId="38F0D3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资水与洋溪汇入口上游500m</w:t>
            </w:r>
          </w:p>
        </w:tc>
      </w:tr>
      <w:tr w14:paraId="0D9BDB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0B1D251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S12</w:t>
            </w:r>
          </w:p>
        </w:tc>
        <w:tc>
          <w:tcPr>
            <w:tcW w:w="1558" w:type="dxa"/>
            <w:vAlign w:val="center"/>
          </w:tcPr>
          <w:p w14:paraId="7E8044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资水</w:t>
            </w:r>
          </w:p>
        </w:tc>
        <w:tc>
          <w:tcPr>
            <w:tcW w:w="2652" w:type="pct"/>
            <w:vAlign w:val="center"/>
          </w:tcPr>
          <w:p w14:paraId="590C459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资水与洋溪汇入口下游1000m</w:t>
            </w:r>
          </w:p>
        </w:tc>
      </w:tr>
      <w:tr w14:paraId="37EF09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1504" w:type="pct"/>
            <w:vAlign w:val="center"/>
          </w:tcPr>
          <w:p w14:paraId="5D1F9D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S13</w:t>
            </w:r>
          </w:p>
        </w:tc>
        <w:tc>
          <w:tcPr>
            <w:tcW w:w="843" w:type="pct"/>
            <w:vAlign w:val="center"/>
          </w:tcPr>
          <w:p w14:paraId="0C407A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w:t>
            </w:r>
          </w:p>
        </w:tc>
        <w:tc>
          <w:tcPr>
            <w:tcW w:w="2652" w:type="pct"/>
            <w:vAlign w:val="center"/>
          </w:tcPr>
          <w:p w14:paraId="0F14B3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奎溪（与白茅溪）汇入口下游100m</w:t>
            </w:r>
          </w:p>
        </w:tc>
      </w:tr>
      <w:tr w14:paraId="5028CC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04" w:type="pct"/>
            <w:vAlign w:val="center"/>
          </w:tcPr>
          <w:p w14:paraId="53983F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S14</w:t>
            </w:r>
          </w:p>
        </w:tc>
        <w:tc>
          <w:tcPr>
            <w:tcW w:w="843" w:type="pct"/>
            <w:vAlign w:val="center"/>
          </w:tcPr>
          <w:p w14:paraId="2CE9DE6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白茅溪</w:t>
            </w:r>
          </w:p>
        </w:tc>
        <w:tc>
          <w:tcPr>
            <w:tcW w:w="2652" w:type="pct"/>
            <w:vAlign w:val="center"/>
          </w:tcPr>
          <w:p w14:paraId="31883D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白茅溪（与渣滓溪）汇入口下游250m</w:t>
            </w:r>
          </w:p>
        </w:tc>
      </w:tr>
    </w:tbl>
    <w:p w14:paraId="5567FC9F">
      <w:pPr>
        <w:pStyle w:val="2"/>
        <w:rPr>
          <w:rFonts w:hint="default"/>
          <w:color w:val="auto"/>
          <w:highlight w:val="none"/>
          <w:lang w:val="en-US" w:eastAsia="zh-CN"/>
        </w:rPr>
      </w:pPr>
      <w:r>
        <w:rPr>
          <w:rFonts w:hint="default"/>
          <w:color w:val="auto"/>
          <w:highlight w:val="none"/>
          <w:lang w:val="en-US" w:eastAsia="zh-CN"/>
        </w:rPr>
        <w:t>（2）监测因子：</w:t>
      </w:r>
      <w:r>
        <w:rPr>
          <w:rFonts w:hint="eastAsia"/>
          <w:color w:val="auto"/>
          <w:highlight w:val="none"/>
          <w:lang w:val="en-US" w:eastAsia="zh-CN"/>
        </w:rPr>
        <w:t>S1~S5采用A方案，为pH值、氨氮、化学需氧量、五日生化需氧量、总磷、流量、悬浮物、石油类、挥发酚、铅、镉、总铬、铊、锌、铜、铍、镍、银、钒、六价铬、汞、砷、锑、硒、氟化物、硫化物；S6~S13采用B方案，为</w:t>
      </w:r>
      <w:r>
        <w:rPr>
          <w:rFonts w:hint="default"/>
          <w:color w:val="auto"/>
          <w:highlight w:val="none"/>
          <w:lang w:val="en-US" w:eastAsia="zh-CN"/>
        </w:rPr>
        <w:t>锑、铊、流量</w:t>
      </w:r>
      <w:r>
        <w:rPr>
          <w:rFonts w:hint="eastAsia"/>
          <w:color w:val="auto"/>
          <w:highlight w:val="none"/>
          <w:lang w:val="en-US" w:eastAsia="zh-CN"/>
        </w:rPr>
        <w:t>；S14采用C方案，为</w:t>
      </w:r>
      <w:r>
        <w:rPr>
          <w:rFonts w:hint="default"/>
          <w:color w:val="auto"/>
          <w:highlight w:val="none"/>
          <w:lang w:val="en-US" w:eastAsia="zh-CN"/>
        </w:rPr>
        <w:t>pH值、化学需氧量、五日生化需氧量、氨氮、总磷、流量、悬浮物、石油类、锑。</w:t>
      </w:r>
    </w:p>
    <w:p w14:paraId="53DA35E7">
      <w:pPr>
        <w:pStyle w:val="2"/>
        <w:rPr>
          <w:rFonts w:hint="default"/>
          <w:color w:val="auto"/>
          <w:highlight w:val="none"/>
          <w:lang w:val="en-US" w:eastAsia="zh-CN"/>
        </w:rPr>
      </w:pPr>
      <w:r>
        <w:rPr>
          <w:rFonts w:hint="default"/>
          <w:color w:val="auto"/>
          <w:highlight w:val="none"/>
          <w:lang w:val="en-US" w:eastAsia="zh-CN"/>
        </w:rPr>
        <w:t>（3）监测频次：202</w:t>
      </w:r>
      <w:r>
        <w:rPr>
          <w:rFonts w:hint="eastAsia"/>
          <w:color w:val="auto"/>
          <w:highlight w:val="none"/>
          <w:lang w:val="en-US" w:eastAsia="zh-CN"/>
        </w:rPr>
        <w:t>4</w:t>
      </w:r>
      <w:r>
        <w:rPr>
          <w:rFonts w:hint="default"/>
          <w:color w:val="auto"/>
          <w:highlight w:val="none"/>
          <w:lang w:val="en-US" w:eastAsia="zh-CN"/>
        </w:rPr>
        <w:t>年</w:t>
      </w:r>
      <w:r>
        <w:rPr>
          <w:rFonts w:hint="eastAsia"/>
          <w:color w:val="auto"/>
          <w:highlight w:val="none"/>
          <w:lang w:val="en-US" w:eastAsia="zh-CN"/>
        </w:rPr>
        <w:t>5</w:t>
      </w:r>
      <w:r>
        <w:rPr>
          <w:rFonts w:hint="default"/>
          <w:color w:val="auto"/>
          <w:highlight w:val="none"/>
          <w:lang w:val="en-US" w:eastAsia="zh-CN"/>
        </w:rPr>
        <w:t>月</w:t>
      </w:r>
      <w:r>
        <w:rPr>
          <w:rFonts w:hint="eastAsia"/>
          <w:color w:val="auto"/>
          <w:highlight w:val="none"/>
          <w:lang w:val="en-US" w:eastAsia="zh-CN"/>
        </w:rPr>
        <w:t>7</w:t>
      </w:r>
      <w:r>
        <w:rPr>
          <w:rFonts w:hint="default"/>
          <w:color w:val="auto"/>
          <w:highlight w:val="none"/>
          <w:lang w:val="en-US" w:eastAsia="zh-CN"/>
        </w:rPr>
        <w:t>日~</w:t>
      </w:r>
      <w:r>
        <w:rPr>
          <w:rFonts w:hint="eastAsia"/>
          <w:color w:val="auto"/>
          <w:highlight w:val="none"/>
          <w:lang w:val="en-US" w:eastAsia="zh-CN"/>
        </w:rPr>
        <w:t>9</w:t>
      </w:r>
      <w:r>
        <w:rPr>
          <w:rFonts w:hint="default"/>
          <w:color w:val="auto"/>
          <w:highlight w:val="none"/>
          <w:lang w:val="en-US" w:eastAsia="zh-CN"/>
        </w:rPr>
        <w:t>日，连续监测3天，每天一次。</w:t>
      </w:r>
    </w:p>
    <w:p w14:paraId="0DB0012F">
      <w:pPr>
        <w:pStyle w:val="2"/>
        <w:rPr>
          <w:rFonts w:hint="default"/>
          <w:color w:val="auto"/>
          <w:highlight w:val="none"/>
          <w:lang w:val="en-US" w:eastAsia="zh-CN"/>
        </w:rPr>
      </w:pPr>
      <w:r>
        <w:rPr>
          <w:rFonts w:hint="default"/>
          <w:color w:val="auto"/>
          <w:highlight w:val="none"/>
          <w:lang w:val="en-US" w:eastAsia="zh-CN"/>
        </w:rPr>
        <w:t>（4）执行标准：地表水体为Ⅲ类水域，执行《地表水环境质量标准》（GB3838-2002）中Ⅲ类标准。</w:t>
      </w:r>
    </w:p>
    <w:p w14:paraId="364E83CA">
      <w:pPr>
        <w:pStyle w:val="2"/>
        <w:rPr>
          <w:rFonts w:hint="default"/>
          <w:color w:val="auto"/>
          <w:highlight w:val="none"/>
          <w:lang w:val="en-US" w:eastAsia="zh-CN"/>
        </w:rPr>
      </w:pPr>
      <w:r>
        <w:rPr>
          <w:rFonts w:hint="default"/>
          <w:color w:val="auto"/>
          <w:highlight w:val="none"/>
          <w:lang w:val="en-US" w:eastAsia="zh-CN"/>
        </w:rPr>
        <w:t>（5）评价方法</w:t>
      </w:r>
    </w:p>
    <w:p w14:paraId="57A08283">
      <w:pPr>
        <w:pStyle w:val="2"/>
        <w:rPr>
          <w:rFonts w:hint="default"/>
          <w:color w:val="auto"/>
          <w:highlight w:val="none"/>
          <w:lang w:val="en-US" w:eastAsia="zh-CN"/>
        </w:rPr>
      </w:pPr>
      <w:r>
        <w:rPr>
          <w:rFonts w:hint="default"/>
          <w:color w:val="auto"/>
          <w:highlight w:val="none"/>
          <w:lang w:val="en-US" w:eastAsia="zh-CN"/>
        </w:rPr>
        <w:t>采用</w:t>
      </w:r>
      <w:r>
        <w:rPr>
          <w:rFonts w:hint="eastAsia"/>
          <w:color w:val="auto"/>
          <w:highlight w:val="none"/>
          <w:lang w:val="en-US" w:eastAsia="zh-CN"/>
        </w:rPr>
        <w:t>水质指数法</w:t>
      </w:r>
      <w:r>
        <w:rPr>
          <w:rFonts w:hint="default"/>
          <w:color w:val="auto"/>
          <w:highlight w:val="none"/>
          <w:lang w:val="en-US" w:eastAsia="zh-CN"/>
        </w:rPr>
        <w:t>评价水环境现状质量。</w:t>
      </w:r>
    </w:p>
    <w:p w14:paraId="07B17CE8">
      <w:pPr>
        <w:pStyle w:val="2"/>
        <w:rPr>
          <w:rFonts w:hint="default"/>
          <w:color w:val="auto"/>
          <w:highlight w:val="none"/>
          <w:lang w:val="en-US" w:eastAsia="zh-CN"/>
        </w:rPr>
      </w:pPr>
      <w:r>
        <w:rPr>
          <w:rFonts w:hint="default"/>
          <w:color w:val="auto"/>
          <w:highlight w:val="none"/>
          <w:lang w:val="en-US" w:eastAsia="zh-CN"/>
        </w:rPr>
        <w:t>（6）评价结果</w:t>
      </w:r>
    </w:p>
    <w:p w14:paraId="5E203630">
      <w:pPr>
        <w:pStyle w:val="2"/>
        <w:rPr>
          <w:rFonts w:hint="default"/>
          <w:color w:val="auto"/>
          <w:highlight w:val="none"/>
          <w:lang w:val="en-US" w:eastAsia="zh-CN"/>
        </w:rPr>
      </w:pPr>
      <w:r>
        <w:rPr>
          <w:rFonts w:hint="eastAsia"/>
          <w:color w:val="auto"/>
          <w:highlight w:val="none"/>
          <w:lang w:val="en-US" w:eastAsia="zh-CN"/>
        </w:rPr>
        <w:t>S10、S11、S12</w:t>
      </w:r>
      <w:r>
        <w:rPr>
          <w:rFonts w:hint="default"/>
          <w:color w:val="auto"/>
          <w:highlight w:val="none"/>
          <w:lang w:val="en-US" w:eastAsia="zh-CN"/>
        </w:rPr>
        <w:t>各监测断面各检测因子均达到《地表水环境质量标准》（GB3838-2002）中Ⅲ类标准。</w:t>
      </w:r>
    </w:p>
    <w:p w14:paraId="76F39F71">
      <w:pPr>
        <w:pStyle w:val="2"/>
        <w:rPr>
          <w:rFonts w:hint="default"/>
          <w:color w:val="auto"/>
          <w:highlight w:val="none"/>
          <w:lang w:val="en-US" w:eastAsia="zh-CN"/>
        </w:rPr>
      </w:pPr>
      <w:r>
        <w:rPr>
          <w:rFonts w:hint="eastAsia"/>
          <w:color w:val="auto"/>
          <w:highlight w:val="none"/>
          <w:lang w:val="en-US" w:eastAsia="zh-CN"/>
        </w:rPr>
        <w:t>其他</w:t>
      </w:r>
      <w:r>
        <w:rPr>
          <w:rFonts w:hint="default"/>
          <w:color w:val="auto"/>
          <w:highlight w:val="none"/>
          <w:lang w:val="en-US" w:eastAsia="zh-CN"/>
        </w:rPr>
        <w:t>各监测断面各检测因子，</w:t>
      </w:r>
      <w:r>
        <w:rPr>
          <w:rFonts w:hint="eastAsia"/>
          <w:color w:val="auto"/>
          <w:highlight w:val="none"/>
          <w:lang w:val="en-US" w:eastAsia="zh-CN"/>
        </w:rPr>
        <w:t>除锑超标外，其他因子</w:t>
      </w:r>
      <w:r>
        <w:rPr>
          <w:rFonts w:hint="default"/>
          <w:color w:val="auto"/>
          <w:highlight w:val="none"/>
          <w:lang w:val="en-US" w:eastAsia="zh-CN"/>
        </w:rPr>
        <w:t>均达到《地表水环境质量标准》（GB3838-2002）中Ⅲ类标准。</w:t>
      </w:r>
    </w:p>
    <w:p w14:paraId="65FBCE74">
      <w:pPr>
        <w:pStyle w:val="2"/>
        <w:spacing w:line="360" w:lineRule="auto"/>
        <w:ind w:firstLine="480" w:firstLineChars="200"/>
        <w:rPr>
          <w:rFonts w:hint="default"/>
          <w:color w:val="auto"/>
          <w:highlight w:val="none"/>
        </w:rPr>
        <w:sectPr>
          <w:pgSz w:w="11906" w:h="16838"/>
          <w:pgMar w:top="1440" w:right="1440" w:bottom="1236" w:left="1440" w:header="851" w:footer="992" w:gutter="0"/>
          <w:pgBorders>
            <w:top w:val="none" w:sz="0" w:space="0"/>
            <w:left w:val="none" w:sz="0" w:space="0"/>
            <w:bottom w:val="none" w:sz="0" w:space="0"/>
            <w:right w:val="none" w:sz="0" w:space="0"/>
          </w:pgBorders>
          <w:cols w:space="720" w:num="1"/>
          <w:docGrid w:type="lines" w:linePitch="312" w:charSpace="0"/>
        </w:sectPr>
      </w:pPr>
    </w:p>
    <w:p w14:paraId="6E167E98">
      <w:pPr>
        <w:pStyle w:val="28"/>
        <w:rPr>
          <w:rFonts w:hint="eastAsia"/>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4.1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9</w:t>
      </w:r>
      <w:r>
        <w:rPr>
          <w:rFonts w:hint="default"/>
          <w:color w:val="auto"/>
          <w:highlight w:val="none"/>
          <w:lang w:val="en-US" w:eastAsia="zh-CN"/>
        </w:rPr>
        <w:fldChar w:fldCharType="end"/>
      </w:r>
      <w:r>
        <w:rPr>
          <w:rFonts w:hint="default"/>
          <w:color w:val="auto"/>
          <w:highlight w:val="none"/>
          <w:lang w:val="en-US" w:eastAsia="zh-CN"/>
        </w:rPr>
        <w:t xml:space="preserve">  202</w:t>
      </w:r>
      <w:r>
        <w:rPr>
          <w:rFonts w:hint="eastAsia"/>
          <w:color w:val="auto"/>
          <w:highlight w:val="none"/>
          <w:lang w:val="en-US" w:eastAsia="zh-CN"/>
        </w:rPr>
        <w:t>4</w:t>
      </w:r>
      <w:r>
        <w:rPr>
          <w:rFonts w:hint="default"/>
          <w:color w:val="auto"/>
          <w:highlight w:val="none"/>
          <w:lang w:val="en-US" w:eastAsia="zh-CN"/>
        </w:rPr>
        <w:t>年</w:t>
      </w:r>
      <w:r>
        <w:rPr>
          <w:rFonts w:hint="eastAsia"/>
          <w:color w:val="auto"/>
          <w:highlight w:val="none"/>
          <w:lang w:val="en-US" w:eastAsia="zh-CN"/>
        </w:rPr>
        <w:t>5</w:t>
      </w:r>
      <w:r>
        <w:rPr>
          <w:rFonts w:hint="default"/>
          <w:color w:val="auto"/>
          <w:highlight w:val="none"/>
          <w:lang w:val="en-US" w:eastAsia="zh-CN"/>
        </w:rPr>
        <w:t>月地表水环境质量补充检测结果</w:t>
      </w:r>
      <w:r>
        <w:rPr>
          <w:rFonts w:hint="eastAsia"/>
          <w:color w:val="auto"/>
          <w:highlight w:val="none"/>
          <w:lang w:val="en-US" w:eastAsia="zh-CN"/>
        </w:rPr>
        <w:t>（单位：mg/L，pH除外）</w:t>
      </w:r>
    </w:p>
    <w:tbl>
      <w:tblPr>
        <w:tblStyle w:val="21"/>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1" w:type="dxa"/>
          <w:bottom w:w="0" w:type="dxa"/>
          <w:right w:w="11" w:type="dxa"/>
        </w:tblCellMar>
      </w:tblPr>
      <w:tblGrid>
        <w:gridCol w:w="795"/>
        <w:gridCol w:w="672"/>
        <w:gridCol w:w="1019"/>
        <w:gridCol w:w="871"/>
        <w:gridCol w:w="1019"/>
        <w:gridCol w:w="1019"/>
        <w:gridCol w:w="1022"/>
        <w:gridCol w:w="885"/>
        <w:gridCol w:w="874"/>
        <w:gridCol w:w="1022"/>
        <w:gridCol w:w="1047"/>
        <w:gridCol w:w="896"/>
        <w:gridCol w:w="1050"/>
        <w:gridCol w:w="896"/>
        <w:gridCol w:w="896"/>
      </w:tblGrid>
      <w:tr w14:paraId="341A40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524" w:type="pct"/>
            <w:gridSpan w:val="2"/>
            <w:tcBorders>
              <w:tl2br w:val="nil"/>
              <w:tr2bl w:val="nil"/>
            </w:tcBorders>
            <w:shd w:val="clear" w:color="auto" w:fill="auto"/>
            <w:tcMar>
              <w:top w:w="0" w:type="dxa"/>
              <w:left w:w="17" w:type="dxa"/>
              <w:bottom w:w="0" w:type="dxa"/>
              <w:right w:w="17" w:type="dxa"/>
            </w:tcMar>
            <w:vAlign w:val="center"/>
          </w:tcPr>
          <w:p w14:paraId="2769F4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p w14:paraId="1ACA73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断面</w:t>
            </w:r>
          </w:p>
        </w:tc>
        <w:tc>
          <w:tcPr>
            <w:tcW w:w="364" w:type="pct"/>
            <w:tcBorders>
              <w:tl2br w:val="nil"/>
              <w:tr2bl w:val="nil"/>
            </w:tcBorders>
            <w:shd w:val="clear" w:color="auto" w:fill="auto"/>
            <w:tcMar>
              <w:top w:w="0" w:type="dxa"/>
              <w:left w:w="17" w:type="dxa"/>
              <w:bottom w:w="0" w:type="dxa"/>
              <w:right w:w="17" w:type="dxa"/>
            </w:tcMar>
            <w:vAlign w:val="center"/>
          </w:tcPr>
          <w:p w14:paraId="1C8F7C8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311" w:type="pct"/>
            <w:tcBorders>
              <w:tl2br w:val="nil"/>
              <w:tr2bl w:val="nil"/>
            </w:tcBorders>
            <w:shd w:val="clear" w:color="auto" w:fill="auto"/>
            <w:tcMar>
              <w:top w:w="0" w:type="dxa"/>
              <w:left w:w="17" w:type="dxa"/>
              <w:bottom w:w="0" w:type="dxa"/>
              <w:right w:w="17" w:type="dxa"/>
            </w:tcMar>
            <w:vAlign w:val="center"/>
          </w:tcPr>
          <w:p w14:paraId="6FEBB4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64" w:type="pct"/>
            <w:tcBorders>
              <w:tl2br w:val="nil"/>
              <w:tr2bl w:val="nil"/>
            </w:tcBorders>
            <w:shd w:val="clear" w:color="auto" w:fill="auto"/>
            <w:tcMar>
              <w:top w:w="0" w:type="dxa"/>
              <w:left w:w="17" w:type="dxa"/>
              <w:bottom w:w="0" w:type="dxa"/>
              <w:right w:w="17" w:type="dxa"/>
            </w:tcMar>
            <w:vAlign w:val="center"/>
          </w:tcPr>
          <w:p w14:paraId="2DB8D5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64" w:type="pct"/>
            <w:tcBorders>
              <w:tl2br w:val="nil"/>
              <w:tr2bl w:val="nil"/>
            </w:tcBorders>
            <w:shd w:val="clear" w:color="auto" w:fill="auto"/>
            <w:tcMar>
              <w:top w:w="0" w:type="dxa"/>
              <w:left w:w="17" w:type="dxa"/>
              <w:bottom w:w="0" w:type="dxa"/>
              <w:right w:w="17" w:type="dxa"/>
            </w:tcMar>
            <w:vAlign w:val="center"/>
          </w:tcPr>
          <w:p w14:paraId="252353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总磷</w:t>
            </w:r>
          </w:p>
        </w:tc>
        <w:tc>
          <w:tcPr>
            <w:tcW w:w="365" w:type="pct"/>
            <w:tcBorders>
              <w:tl2br w:val="nil"/>
              <w:tr2bl w:val="nil"/>
            </w:tcBorders>
            <w:shd w:val="clear" w:color="auto" w:fill="auto"/>
            <w:tcMar>
              <w:top w:w="0" w:type="dxa"/>
              <w:left w:w="17" w:type="dxa"/>
              <w:bottom w:w="0" w:type="dxa"/>
              <w:right w:w="17" w:type="dxa"/>
            </w:tcMar>
            <w:vAlign w:val="center"/>
          </w:tcPr>
          <w:p w14:paraId="375F32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16" w:type="pct"/>
            <w:tcBorders>
              <w:tl2br w:val="nil"/>
              <w:tr2bl w:val="nil"/>
            </w:tcBorders>
            <w:shd w:val="clear" w:color="auto" w:fill="auto"/>
            <w:tcMar>
              <w:top w:w="0" w:type="dxa"/>
              <w:left w:w="17" w:type="dxa"/>
              <w:bottom w:w="0" w:type="dxa"/>
              <w:right w:w="17" w:type="dxa"/>
            </w:tcMar>
            <w:vAlign w:val="center"/>
          </w:tcPr>
          <w:p w14:paraId="692D45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12" w:type="pct"/>
            <w:tcBorders>
              <w:tl2br w:val="nil"/>
              <w:tr2bl w:val="nil"/>
            </w:tcBorders>
            <w:shd w:val="clear" w:color="auto" w:fill="auto"/>
            <w:tcMar>
              <w:top w:w="0" w:type="dxa"/>
              <w:left w:w="17" w:type="dxa"/>
              <w:bottom w:w="0" w:type="dxa"/>
              <w:right w:w="17" w:type="dxa"/>
            </w:tcMar>
            <w:vAlign w:val="center"/>
          </w:tcPr>
          <w:p w14:paraId="5ABB69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365" w:type="pct"/>
            <w:tcBorders>
              <w:tl2br w:val="nil"/>
              <w:tr2bl w:val="nil"/>
            </w:tcBorders>
            <w:shd w:val="clear" w:color="auto" w:fill="auto"/>
            <w:tcMar>
              <w:top w:w="0" w:type="dxa"/>
              <w:left w:w="17" w:type="dxa"/>
              <w:bottom w:w="0" w:type="dxa"/>
              <w:right w:w="17" w:type="dxa"/>
            </w:tcMar>
            <w:vAlign w:val="center"/>
          </w:tcPr>
          <w:p w14:paraId="7D9B13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4" w:type="pct"/>
            <w:tcBorders>
              <w:tl2br w:val="nil"/>
              <w:tr2bl w:val="nil"/>
            </w:tcBorders>
            <w:shd w:val="clear" w:color="auto" w:fill="auto"/>
            <w:tcMar>
              <w:top w:w="0" w:type="dxa"/>
              <w:left w:w="17" w:type="dxa"/>
              <w:bottom w:w="0" w:type="dxa"/>
              <w:right w:w="17" w:type="dxa"/>
            </w:tcMar>
            <w:vAlign w:val="center"/>
          </w:tcPr>
          <w:p w14:paraId="43B940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320" w:type="pct"/>
            <w:tcBorders>
              <w:tl2br w:val="nil"/>
              <w:tr2bl w:val="nil"/>
            </w:tcBorders>
            <w:shd w:val="clear" w:color="auto" w:fill="auto"/>
            <w:tcMar>
              <w:top w:w="0" w:type="dxa"/>
              <w:left w:w="17" w:type="dxa"/>
              <w:bottom w:w="0" w:type="dxa"/>
              <w:right w:w="17" w:type="dxa"/>
            </w:tcMar>
            <w:vAlign w:val="center"/>
          </w:tcPr>
          <w:p w14:paraId="2463CE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镉</w:t>
            </w:r>
          </w:p>
        </w:tc>
        <w:tc>
          <w:tcPr>
            <w:tcW w:w="375" w:type="pct"/>
            <w:tcBorders>
              <w:tl2br w:val="nil"/>
              <w:tr2bl w:val="nil"/>
            </w:tcBorders>
            <w:shd w:val="clear" w:color="auto" w:fill="auto"/>
            <w:tcMar>
              <w:top w:w="0" w:type="dxa"/>
              <w:left w:w="17" w:type="dxa"/>
              <w:bottom w:w="0" w:type="dxa"/>
              <w:right w:w="17" w:type="dxa"/>
            </w:tcMar>
            <w:vAlign w:val="center"/>
          </w:tcPr>
          <w:p w14:paraId="128C6D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铬</w:t>
            </w:r>
          </w:p>
        </w:tc>
        <w:tc>
          <w:tcPr>
            <w:tcW w:w="320" w:type="pct"/>
            <w:tcBorders>
              <w:tl2br w:val="nil"/>
              <w:tr2bl w:val="nil"/>
            </w:tcBorders>
            <w:shd w:val="clear" w:color="auto" w:fill="auto"/>
            <w:tcMar>
              <w:top w:w="0" w:type="dxa"/>
              <w:left w:w="17" w:type="dxa"/>
              <w:bottom w:w="0" w:type="dxa"/>
              <w:right w:w="17" w:type="dxa"/>
            </w:tcMar>
            <w:vAlign w:val="center"/>
          </w:tcPr>
          <w:p w14:paraId="2F8B83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320" w:type="pct"/>
            <w:tcBorders>
              <w:tl2br w:val="nil"/>
              <w:tr2bl w:val="nil"/>
            </w:tcBorders>
            <w:shd w:val="clear" w:color="auto" w:fill="auto"/>
            <w:tcMar>
              <w:top w:w="0" w:type="dxa"/>
              <w:left w:w="17" w:type="dxa"/>
              <w:bottom w:w="0" w:type="dxa"/>
              <w:right w:w="17" w:type="dxa"/>
            </w:tcMar>
            <w:vAlign w:val="center"/>
          </w:tcPr>
          <w:p w14:paraId="692294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钒</w:t>
            </w:r>
          </w:p>
        </w:tc>
      </w:tr>
      <w:tr w14:paraId="3D6C65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258" w:hRule="atLeast"/>
          <w:jc w:val="center"/>
        </w:trPr>
        <w:tc>
          <w:tcPr>
            <w:tcW w:w="284" w:type="pct"/>
            <w:vMerge w:val="restart"/>
            <w:tcBorders>
              <w:tl2br w:val="nil"/>
              <w:tr2bl w:val="nil"/>
            </w:tcBorders>
            <w:shd w:val="clear" w:color="auto" w:fill="auto"/>
            <w:tcMar>
              <w:top w:w="0" w:type="dxa"/>
              <w:left w:w="17" w:type="dxa"/>
              <w:bottom w:w="0" w:type="dxa"/>
              <w:right w:w="17" w:type="dxa"/>
            </w:tcMar>
            <w:vAlign w:val="center"/>
          </w:tcPr>
          <w:p w14:paraId="2CF0B4F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第一天</w:t>
            </w:r>
          </w:p>
        </w:tc>
        <w:tc>
          <w:tcPr>
            <w:tcW w:w="240" w:type="pct"/>
            <w:tcBorders>
              <w:tl2br w:val="nil"/>
              <w:tr2bl w:val="nil"/>
            </w:tcBorders>
            <w:shd w:val="clear" w:color="auto" w:fill="auto"/>
            <w:tcMar>
              <w:top w:w="0" w:type="dxa"/>
              <w:left w:w="17" w:type="dxa"/>
              <w:bottom w:w="0" w:type="dxa"/>
              <w:right w:w="17" w:type="dxa"/>
            </w:tcMar>
            <w:vAlign w:val="center"/>
          </w:tcPr>
          <w:p w14:paraId="20FA75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341953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486925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8</w:t>
            </w:r>
          </w:p>
        </w:tc>
        <w:tc>
          <w:tcPr>
            <w:tcW w:w="364" w:type="pct"/>
            <w:tcBorders>
              <w:tl2br w:val="nil"/>
              <w:tr2bl w:val="nil"/>
            </w:tcBorders>
            <w:shd w:val="clear" w:color="auto" w:fill="auto"/>
            <w:tcMar>
              <w:top w:w="0" w:type="dxa"/>
              <w:left w:w="17" w:type="dxa"/>
              <w:bottom w:w="0" w:type="dxa"/>
              <w:right w:w="17" w:type="dxa"/>
            </w:tcMar>
            <w:vAlign w:val="center"/>
          </w:tcPr>
          <w:p w14:paraId="64C8F2F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0.025L</w:t>
            </w:r>
          </w:p>
        </w:tc>
        <w:tc>
          <w:tcPr>
            <w:tcW w:w="364" w:type="pct"/>
            <w:tcBorders>
              <w:tl2br w:val="nil"/>
              <w:tr2bl w:val="nil"/>
            </w:tcBorders>
            <w:shd w:val="clear" w:color="auto" w:fill="auto"/>
            <w:tcMar>
              <w:top w:w="0" w:type="dxa"/>
              <w:left w:w="17" w:type="dxa"/>
              <w:bottom w:w="0" w:type="dxa"/>
              <w:right w:w="17" w:type="dxa"/>
            </w:tcMar>
            <w:vAlign w:val="center"/>
          </w:tcPr>
          <w:p w14:paraId="678D461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65" w:type="pct"/>
            <w:tcBorders>
              <w:tl2br w:val="nil"/>
              <w:tr2bl w:val="nil"/>
            </w:tcBorders>
            <w:shd w:val="clear" w:color="auto" w:fill="auto"/>
            <w:tcMar>
              <w:top w:w="0" w:type="dxa"/>
              <w:left w:w="17" w:type="dxa"/>
              <w:bottom w:w="0" w:type="dxa"/>
              <w:right w:w="17" w:type="dxa"/>
            </w:tcMar>
            <w:vAlign w:val="center"/>
          </w:tcPr>
          <w:p w14:paraId="2CD206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2.1</w:t>
            </w:r>
          </w:p>
        </w:tc>
        <w:tc>
          <w:tcPr>
            <w:tcW w:w="316" w:type="pct"/>
            <w:tcBorders>
              <w:tl2br w:val="nil"/>
              <w:tr2bl w:val="nil"/>
            </w:tcBorders>
            <w:shd w:val="clear" w:color="auto" w:fill="auto"/>
            <w:tcMar>
              <w:top w:w="0" w:type="dxa"/>
              <w:left w:w="17" w:type="dxa"/>
              <w:bottom w:w="0" w:type="dxa"/>
              <w:right w:w="17" w:type="dxa"/>
            </w:tcMar>
            <w:vAlign w:val="center"/>
          </w:tcPr>
          <w:p w14:paraId="3D1DAC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11</w:t>
            </w:r>
          </w:p>
        </w:tc>
        <w:tc>
          <w:tcPr>
            <w:tcW w:w="312" w:type="pct"/>
            <w:tcBorders>
              <w:tl2br w:val="nil"/>
              <w:tr2bl w:val="nil"/>
            </w:tcBorders>
            <w:shd w:val="clear" w:color="auto" w:fill="auto"/>
            <w:tcMar>
              <w:top w:w="0" w:type="dxa"/>
              <w:left w:w="17" w:type="dxa"/>
              <w:bottom w:w="0" w:type="dxa"/>
              <w:right w:w="17" w:type="dxa"/>
            </w:tcMar>
            <w:vAlign w:val="center"/>
          </w:tcPr>
          <w:p w14:paraId="6783A4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3B826CE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5F4931A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1FD9B0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7B5552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59DC7C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03A375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0.00008L</w:t>
            </w:r>
          </w:p>
        </w:tc>
      </w:tr>
      <w:tr w14:paraId="7552F9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17DDA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C805E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6A23C6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1BA7F1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8</w:t>
            </w:r>
          </w:p>
        </w:tc>
        <w:tc>
          <w:tcPr>
            <w:tcW w:w="364" w:type="pct"/>
            <w:tcBorders>
              <w:tl2br w:val="nil"/>
              <w:tr2bl w:val="nil"/>
            </w:tcBorders>
            <w:shd w:val="clear" w:color="auto" w:fill="auto"/>
            <w:tcMar>
              <w:top w:w="0" w:type="dxa"/>
              <w:left w:w="17" w:type="dxa"/>
              <w:bottom w:w="0" w:type="dxa"/>
              <w:right w:w="17" w:type="dxa"/>
            </w:tcMar>
            <w:vAlign w:val="center"/>
          </w:tcPr>
          <w:p w14:paraId="10578F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0.025L</w:t>
            </w:r>
          </w:p>
        </w:tc>
        <w:tc>
          <w:tcPr>
            <w:tcW w:w="364" w:type="pct"/>
            <w:tcBorders>
              <w:tl2br w:val="nil"/>
              <w:tr2bl w:val="nil"/>
            </w:tcBorders>
            <w:shd w:val="clear" w:color="auto" w:fill="auto"/>
            <w:tcMar>
              <w:top w:w="0" w:type="dxa"/>
              <w:left w:w="17" w:type="dxa"/>
              <w:bottom w:w="0" w:type="dxa"/>
              <w:right w:w="17" w:type="dxa"/>
            </w:tcMar>
            <w:vAlign w:val="center"/>
          </w:tcPr>
          <w:p w14:paraId="76A22F9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65" w:type="pct"/>
            <w:tcBorders>
              <w:tl2br w:val="nil"/>
              <w:tr2bl w:val="nil"/>
            </w:tcBorders>
            <w:shd w:val="clear" w:color="auto" w:fill="auto"/>
            <w:tcMar>
              <w:top w:w="0" w:type="dxa"/>
              <w:left w:w="17" w:type="dxa"/>
              <w:bottom w:w="0" w:type="dxa"/>
              <w:right w:w="17" w:type="dxa"/>
            </w:tcMar>
            <w:vAlign w:val="center"/>
          </w:tcPr>
          <w:p w14:paraId="046A66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w:t>
            </w:r>
          </w:p>
        </w:tc>
        <w:tc>
          <w:tcPr>
            <w:tcW w:w="316" w:type="pct"/>
            <w:tcBorders>
              <w:tl2br w:val="nil"/>
              <w:tr2bl w:val="nil"/>
            </w:tcBorders>
            <w:shd w:val="clear" w:color="auto" w:fill="auto"/>
            <w:tcMar>
              <w:top w:w="0" w:type="dxa"/>
              <w:left w:w="17" w:type="dxa"/>
              <w:bottom w:w="0" w:type="dxa"/>
              <w:right w:w="17" w:type="dxa"/>
            </w:tcMar>
            <w:vAlign w:val="center"/>
          </w:tcPr>
          <w:p w14:paraId="6147F4F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14</w:t>
            </w:r>
          </w:p>
        </w:tc>
        <w:tc>
          <w:tcPr>
            <w:tcW w:w="312" w:type="pct"/>
            <w:tcBorders>
              <w:tl2br w:val="nil"/>
              <w:tr2bl w:val="nil"/>
            </w:tcBorders>
            <w:shd w:val="clear" w:color="auto" w:fill="auto"/>
            <w:tcMar>
              <w:top w:w="0" w:type="dxa"/>
              <w:left w:w="17" w:type="dxa"/>
              <w:bottom w:w="0" w:type="dxa"/>
              <w:right w:w="17" w:type="dxa"/>
            </w:tcMar>
            <w:vAlign w:val="center"/>
          </w:tcPr>
          <w:p w14:paraId="63A9FC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7755EDC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582762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1739AF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674C1E3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1D5E4A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69BC54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0.00008L</w:t>
            </w:r>
          </w:p>
        </w:tc>
      </w:tr>
      <w:tr w14:paraId="195928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45EAC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6A823A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22BE38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2AA2868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9</w:t>
            </w:r>
          </w:p>
        </w:tc>
        <w:tc>
          <w:tcPr>
            <w:tcW w:w="364" w:type="pct"/>
            <w:tcBorders>
              <w:tl2br w:val="nil"/>
              <w:tr2bl w:val="nil"/>
            </w:tcBorders>
            <w:shd w:val="clear" w:color="auto" w:fill="auto"/>
            <w:tcMar>
              <w:top w:w="0" w:type="dxa"/>
              <w:left w:w="17" w:type="dxa"/>
              <w:bottom w:w="0" w:type="dxa"/>
              <w:right w:w="17" w:type="dxa"/>
            </w:tcMar>
            <w:vAlign w:val="center"/>
          </w:tcPr>
          <w:p w14:paraId="18ED82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0.025L</w:t>
            </w:r>
          </w:p>
        </w:tc>
        <w:tc>
          <w:tcPr>
            <w:tcW w:w="364" w:type="pct"/>
            <w:tcBorders>
              <w:tl2br w:val="nil"/>
              <w:tr2bl w:val="nil"/>
            </w:tcBorders>
            <w:shd w:val="clear" w:color="auto" w:fill="auto"/>
            <w:tcMar>
              <w:top w:w="0" w:type="dxa"/>
              <w:left w:w="17" w:type="dxa"/>
              <w:bottom w:w="0" w:type="dxa"/>
              <w:right w:w="17" w:type="dxa"/>
            </w:tcMar>
            <w:vAlign w:val="center"/>
          </w:tcPr>
          <w:p w14:paraId="67B64F1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0.03</w:t>
            </w:r>
          </w:p>
        </w:tc>
        <w:tc>
          <w:tcPr>
            <w:tcW w:w="365" w:type="pct"/>
            <w:tcBorders>
              <w:tl2br w:val="nil"/>
              <w:tr2bl w:val="nil"/>
            </w:tcBorders>
            <w:shd w:val="clear" w:color="auto" w:fill="auto"/>
            <w:tcMar>
              <w:top w:w="0" w:type="dxa"/>
              <w:left w:w="17" w:type="dxa"/>
              <w:bottom w:w="0" w:type="dxa"/>
              <w:right w:w="17" w:type="dxa"/>
            </w:tcMar>
            <w:vAlign w:val="center"/>
          </w:tcPr>
          <w:p w14:paraId="311EC5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2.4</w:t>
            </w:r>
          </w:p>
        </w:tc>
        <w:tc>
          <w:tcPr>
            <w:tcW w:w="316" w:type="pct"/>
            <w:tcBorders>
              <w:tl2br w:val="nil"/>
              <w:tr2bl w:val="nil"/>
            </w:tcBorders>
            <w:shd w:val="clear" w:color="auto" w:fill="auto"/>
            <w:tcMar>
              <w:top w:w="0" w:type="dxa"/>
              <w:left w:w="17" w:type="dxa"/>
              <w:bottom w:w="0" w:type="dxa"/>
              <w:right w:w="17" w:type="dxa"/>
            </w:tcMar>
            <w:vAlign w:val="center"/>
          </w:tcPr>
          <w:p w14:paraId="61B8A0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9</w:t>
            </w:r>
          </w:p>
        </w:tc>
        <w:tc>
          <w:tcPr>
            <w:tcW w:w="312" w:type="pct"/>
            <w:tcBorders>
              <w:tl2br w:val="nil"/>
              <w:tr2bl w:val="nil"/>
            </w:tcBorders>
            <w:shd w:val="clear" w:color="auto" w:fill="auto"/>
            <w:tcMar>
              <w:top w:w="0" w:type="dxa"/>
              <w:left w:w="17" w:type="dxa"/>
              <w:bottom w:w="0" w:type="dxa"/>
              <w:right w:w="17" w:type="dxa"/>
            </w:tcMar>
            <w:vAlign w:val="center"/>
          </w:tcPr>
          <w:p w14:paraId="3F954C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54D09B7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66D588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20AF8DE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3C5ECF7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084C4F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57DCA1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0.00008L</w:t>
            </w:r>
          </w:p>
        </w:tc>
      </w:tr>
      <w:tr w14:paraId="31D140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5EEF1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6FC3B6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5C5BC0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245730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11</w:t>
            </w:r>
          </w:p>
        </w:tc>
        <w:tc>
          <w:tcPr>
            <w:tcW w:w="364" w:type="pct"/>
            <w:tcBorders>
              <w:tl2br w:val="nil"/>
              <w:tr2bl w:val="nil"/>
            </w:tcBorders>
            <w:shd w:val="clear" w:color="auto" w:fill="auto"/>
            <w:tcMar>
              <w:top w:w="0" w:type="dxa"/>
              <w:left w:w="17" w:type="dxa"/>
              <w:bottom w:w="0" w:type="dxa"/>
              <w:right w:w="17" w:type="dxa"/>
            </w:tcMar>
            <w:vAlign w:val="center"/>
          </w:tcPr>
          <w:p w14:paraId="0F41A0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0.27</w:t>
            </w:r>
          </w:p>
        </w:tc>
        <w:tc>
          <w:tcPr>
            <w:tcW w:w="364" w:type="pct"/>
            <w:tcBorders>
              <w:tl2br w:val="nil"/>
              <w:tr2bl w:val="nil"/>
            </w:tcBorders>
            <w:shd w:val="clear" w:color="auto" w:fill="auto"/>
            <w:tcMar>
              <w:top w:w="0" w:type="dxa"/>
              <w:left w:w="17" w:type="dxa"/>
              <w:bottom w:w="0" w:type="dxa"/>
              <w:right w:w="17" w:type="dxa"/>
            </w:tcMar>
            <w:vAlign w:val="center"/>
          </w:tcPr>
          <w:p w14:paraId="53C00E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0.06</w:t>
            </w:r>
          </w:p>
        </w:tc>
        <w:tc>
          <w:tcPr>
            <w:tcW w:w="365" w:type="pct"/>
            <w:tcBorders>
              <w:tl2br w:val="nil"/>
              <w:tr2bl w:val="nil"/>
            </w:tcBorders>
            <w:shd w:val="clear" w:color="auto" w:fill="auto"/>
            <w:tcMar>
              <w:top w:w="0" w:type="dxa"/>
              <w:left w:w="17" w:type="dxa"/>
              <w:bottom w:w="0" w:type="dxa"/>
              <w:right w:w="17" w:type="dxa"/>
            </w:tcMar>
            <w:vAlign w:val="center"/>
          </w:tcPr>
          <w:p w14:paraId="2EC52C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2.7</w:t>
            </w:r>
          </w:p>
        </w:tc>
        <w:tc>
          <w:tcPr>
            <w:tcW w:w="316" w:type="pct"/>
            <w:tcBorders>
              <w:tl2br w:val="nil"/>
              <w:tr2bl w:val="nil"/>
            </w:tcBorders>
            <w:shd w:val="clear" w:color="auto" w:fill="auto"/>
            <w:tcMar>
              <w:top w:w="0" w:type="dxa"/>
              <w:left w:w="17" w:type="dxa"/>
              <w:bottom w:w="0" w:type="dxa"/>
              <w:right w:w="17" w:type="dxa"/>
            </w:tcMar>
            <w:vAlign w:val="center"/>
          </w:tcPr>
          <w:p w14:paraId="3CCD3D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8</w:t>
            </w:r>
          </w:p>
        </w:tc>
        <w:tc>
          <w:tcPr>
            <w:tcW w:w="312" w:type="pct"/>
            <w:tcBorders>
              <w:tl2br w:val="nil"/>
              <w:tr2bl w:val="nil"/>
            </w:tcBorders>
            <w:shd w:val="clear" w:color="auto" w:fill="auto"/>
            <w:tcMar>
              <w:top w:w="0" w:type="dxa"/>
              <w:left w:w="17" w:type="dxa"/>
              <w:bottom w:w="0" w:type="dxa"/>
              <w:right w:w="17" w:type="dxa"/>
            </w:tcMar>
            <w:vAlign w:val="center"/>
          </w:tcPr>
          <w:p w14:paraId="470327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6F1225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15E4CD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47F5DB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w:t>
            </w:r>
          </w:p>
        </w:tc>
        <w:tc>
          <w:tcPr>
            <w:tcW w:w="375" w:type="pct"/>
            <w:tcBorders>
              <w:tl2br w:val="nil"/>
              <w:tr2bl w:val="nil"/>
            </w:tcBorders>
            <w:shd w:val="clear" w:color="auto" w:fill="auto"/>
            <w:tcMar>
              <w:top w:w="0" w:type="dxa"/>
              <w:left w:w="17" w:type="dxa"/>
              <w:bottom w:w="0" w:type="dxa"/>
              <w:right w:w="17" w:type="dxa"/>
            </w:tcMar>
            <w:vAlign w:val="center"/>
          </w:tcPr>
          <w:p w14:paraId="0EB3EE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2A009BA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701F5D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0.00008L</w:t>
            </w:r>
          </w:p>
        </w:tc>
      </w:tr>
      <w:tr w14:paraId="1CD3B7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4887D5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FFBA7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6D8B2A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645F1A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11</w:t>
            </w:r>
          </w:p>
        </w:tc>
        <w:tc>
          <w:tcPr>
            <w:tcW w:w="364" w:type="pct"/>
            <w:tcBorders>
              <w:tl2br w:val="nil"/>
              <w:tr2bl w:val="nil"/>
            </w:tcBorders>
            <w:shd w:val="clear" w:color="auto" w:fill="auto"/>
            <w:tcMar>
              <w:top w:w="0" w:type="dxa"/>
              <w:left w:w="17" w:type="dxa"/>
              <w:bottom w:w="0" w:type="dxa"/>
              <w:right w:w="17" w:type="dxa"/>
            </w:tcMar>
            <w:vAlign w:val="center"/>
          </w:tcPr>
          <w:p w14:paraId="79DF35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0.06</w:t>
            </w:r>
          </w:p>
        </w:tc>
        <w:tc>
          <w:tcPr>
            <w:tcW w:w="364" w:type="pct"/>
            <w:tcBorders>
              <w:tl2br w:val="nil"/>
              <w:tr2bl w:val="nil"/>
            </w:tcBorders>
            <w:shd w:val="clear" w:color="auto" w:fill="auto"/>
            <w:tcMar>
              <w:top w:w="0" w:type="dxa"/>
              <w:left w:w="17" w:type="dxa"/>
              <w:bottom w:w="0" w:type="dxa"/>
              <w:right w:w="17" w:type="dxa"/>
            </w:tcMar>
            <w:vAlign w:val="center"/>
          </w:tcPr>
          <w:p w14:paraId="76F58A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0.04</w:t>
            </w:r>
          </w:p>
        </w:tc>
        <w:tc>
          <w:tcPr>
            <w:tcW w:w="365" w:type="pct"/>
            <w:tcBorders>
              <w:tl2br w:val="nil"/>
              <w:tr2bl w:val="nil"/>
            </w:tcBorders>
            <w:shd w:val="clear" w:color="auto" w:fill="auto"/>
            <w:tcMar>
              <w:top w:w="0" w:type="dxa"/>
              <w:left w:w="17" w:type="dxa"/>
              <w:bottom w:w="0" w:type="dxa"/>
              <w:right w:w="17" w:type="dxa"/>
            </w:tcMar>
            <w:vAlign w:val="center"/>
          </w:tcPr>
          <w:p w14:paraId="4374C0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2.8</w:t>
            </w:r>
          </w:p>
        </w:tc>
        <w:tc>
          <w:tcPr>
            <w:tcW w:w="316" w:type="pct"/>
            <w:tcBorders>
              <w:tl2br w:val="nil"/>
              <w:tr2bl w:val="nil"/>
            </w:tcBorders>
            <w:shd w:val="clear" w:color="auto" w:fill="auto"/>
            <w:tcMar>
              <w:top w:w="0" w:type="dxa"/>
              <w:left w:w="17" w:type="dxa"/>
              <w:bottom w:w="0" w:type="dxa"/>
              <w:right w:w="17" w:type="dxa"/>
            </w:tcMar>
            <w:vAlign w:val="center"/>
          </w:tcPr>
          <w:p w14:paraId="3134B23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17</w:t>
            </w:r>
          </w:p>
        </w:tc>
        <w:tc>
          <w:tcPr>
            <w:tcW w:w="312" w:type="pct"/>
            <w:tcBorders>
              <w:tl2br w:val="nil"/>
              <w:tr2bl w:val="nil"/>
            </w:tcBorders>
            <w:shd w:val="clear" w:color="auto" w:fill="auto"/>
            <w:tcMar>
              <w:top w:w="0" w:type="dxa"/>
              <w:left w:w="17" w:type="dxa"/>
              <w:bottom w:w="0" w:type="dxa"/>
              <w:right w:w="17" w:type="dxa"/>
            </w:tcMar>
            <w:vAlign w:val="center"/>
          </w:tcPr>
          <w:p w14:paraId="53264B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02BEB6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0422B7D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6793F9F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0.0096</w:t>
            </w:r>
          </w:p>
        </w:tc>
        <w:tc>
          <w:tcPr>
            <w:tcW w:w="375" w:type="pct"/>
            <w:tcBorders>
              <w:tl2br w:val="nil"/>
              <w:tr2bl w:val="nil"/>
            </w:tcBorders>
            <w:shd w:val="clear" w:color="auto" w:fill="auto"/>
            <w:tcMar>
              <w:top w:w="0" w:type="dxa"/>
              <w:left w:w="17" w:type="dxa"/>
              <w:bottom w:w="0" w:type="dxa"/>
              <w:right w:w="17" w:type="dxa"/>
            </w:tcMar>
            <w:vAlign w:val="center"/>
          </w:tcPr>
          <w:p w14:paraId="40AEA5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1FBDFE6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9331D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0.00008L</w:t>
            </w:r>
          </w:p>
        </w:tc>
      </w:tr>
      <w:tr w14:paraId="6E67C2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5AD60AD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43712DF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5567AAE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122CF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2C8CA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3EBBF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699617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7FA76B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E30C1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1A83DD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7A7D7E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C11735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71DE0D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9F615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565F74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375A58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6B1581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3968E4D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25A124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BD338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662D21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CEDA9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9C2AB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10092A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7CD0744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E4DD7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596D8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BD26C9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39737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F83F7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5804940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1B7E67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09658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2F3C1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1BFBCF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E396B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83EC0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9A3EA0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6154BC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E82945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8ABC95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248C12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391CBE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1A414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1AB5A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39C9CE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75FDE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592477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42FF65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99AC4A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39276B5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2959EF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F66DAC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35BBE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6F6B4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A6B59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046E24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1F0456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70BDE7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463082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C5723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1A4672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3909AB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22DEED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220EA07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208A59D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3A547E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13CBD32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258D4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023AD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83C3B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EEBEE4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157E44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4DA4B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3DD2B4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D112CF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3D5365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EA8EBE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4037B1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41A691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158" w:hRule="atLeast"/>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B62B6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192A5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6AC447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FE999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721EA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49B7AD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A0011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A7D8EE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69D2C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F13459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3A26E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2283A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E8E5D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F28212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F545DA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62AC0E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90" w:hRule="atLeast"/>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D9266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13603A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59994F6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F1D65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56D9D5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C4913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5760AE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8BCBF8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4267E8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68FDDC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3F49E4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3C956B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35E7EF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57B059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E77C0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226EB0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CDB254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18446A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S13</w:t>
            </w:r>
          </w:p>
        </w:tc>
        <w:tc>
          <w:tcPr>
            <w:tcW w:w="364" w:type="pct"/>
            <w:tcBorders>
              <w:tl2br w:val="nil"/>
              <w:tr2bl w:val="nil"/>
            </w:tcBorders>
            <w:shd w:val="clear" w:color="auto" w:fill="auto"/>
            <w:tcMar>
              <w:top w:w="0" w:type="dxa"/>
              <w:left w:w="17" w:type="dxa"/>
              <w:bottom w:w="0" w:type="dxa"/>
              <w:right w:w="17" w:type="dxa"/>
            </w:tcMar>
            <w:vAlign w:val="center"/>
          </w:tcPr>
          <w:p w14:paraId="4643EC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7D6C2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3F01D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DA38B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36A50A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5B237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3BB6497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853F51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6EFF81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E6802C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426EF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2EFCD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3641AD4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2AAA6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5E6898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F63DF6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S14</w:t>
            </w:r>
          </w:p>
        </w:tc>
        <w:tc>
          <w:tcPr>
            <w:tcW w:w="364" w:type="pct"/>
            <w:tcBorders>
              <w:tl2br w:val="nil"/>
              <w:tr2bl w:val="nil"/>
            </w:tcBorders>
            <w:shd w:val="clear" w:color="auto" w:fill="auto"/>
            <w:tcMar>
              <w:top w:w="0" w:type="dxa"/>
              <w:left w:w="17" w:type="dxa"/>
              <w:bottom w:w="0" w:type="dxa"/>
              <w:right w:w="17" w:type="dxa"/>
            </w:tcMar>
            <w:vAlign w:val="center"/>
          </w:tcPr>
          <w:p w14:paraId="718B8A3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307DCED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13</w:t>
            </w:r>
          </w:p>
        </w:tc>
        <w:tc>
          <w:tcPr>
            <w:tcW w:w="364" w:type="pct"/>
            <w:tcBorders>
              <w:tl2br w:val="nil"/>
              <w:tr2bl w:val="nil"/>
            </w:tcBorders>
            <w:shd w:val="clear" w:color="auto" w:fill="auto"/>
            <w:tcMar>
              <w:top w:w="0" w:type="dxa"/>
              <w:left w:w="17" w:type="dxa"/>
              <w:bottom w:w="0" w:type="dxa"/>
              <w:right w:w="17" w:type="dxa"/>
            </w:tcMar>
            <w:vAlign w:val="center"/>
          </w:tcPr>
          <w:p w14:paraId="1DCC24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0.42</w:t>
            </w:r>
          </w:p>
        </w:tc>
        <w:tc>
          <w:tcPr>
            <w:tcW w:w="364" w:type="pct"/>
            <w:tcBorders>
              <w:tl2br w:val="nil"/>
              <w:tr2bl w:val="nil"/>
            </w:tcBorders>
            <w:shd w:val="clear" w:color="auto" w:fill="auto"/>
            <w:tcMar>
              <w:top w:w="0" w:type="dxa"/>
              <w:left w:w="17" w:type="dxa"/>
              <w:bottom w:w="0" w:type="dxa"/>
              <w:right w:w="17" w:type="dxa"/>
            </w:tcMar>
            <w:vAlign w:val="center"/>
          </w:tcPr>
          <w:p w14:paraId="125379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0.12</w:t>
            </w:r>
          </w:p>
        </w:tc>
        <w:tc>
          <w:tcPr>
            <w:tcW w:w="365" w:type="pct"/>
            <w:tcBorders>
              <w:tl2br w:val="nil"/>
              <w:tr2bl w:val="nil"/>
            </w:tcBorders>
            <w:shd w:val="clear" w:color="auto" w:fill="auto"/>
            <w:tcMar>
              <w:top w:w="0" w:type="dxa"/>
              <w:left w:w="17" w:type="dxa"/>
              <w:bottom w:w="0" w:type="dxa"/>
              <w:right w:w="17" w:type="dxa"/>
            </w:tcMar>
            <w:vAlign w:val="center"/>
          </w:tcPr>
          <w:p w14:paraId="32CFB2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3.3</w:t>
            </w:r>
          </w:p>
        </w:tc>
        <w:tc>
          <w:tcPr>
            <w:tcW w:w="316" w:type="pct"/>
            <w:tcBorders>
              <w:tl2br w:val="nil"/>
              <w:tr2bl w:val="nil"/>
            </w:tcBorders>
            <w:shd w:val="clear" w:color="auto" w:fill="auto"/>
            <w:tcMar>
              <w:top w:w="0" w:type="dxa"/>
              <w:left w:w="17" w:type="dxa"/>
              <w:bottom w:w="0" w:type="dxa"/>
              <w:right w:w="17" w:type="dxa"/>
            </w:tcMar>
            <w:vAlign w:val="center"/>
          </w:tcPr>
          <w:p w14:paraId="1BA8A8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14</w:t>
            </w:r>
          </w:p>
        </w:tc>
        <w:tc>
          <w:tcPr>
            <w:tcW w:w="312" w:type="pct"/>
            <w:tcBorders>
              <w:tl2br w:val="nil"/>
              <w:tr2bl w:val="nil"/>
            </w:tcBorders>
            <w:shd w:val="clear" w:color="auto" w:fill="auto"/>
            <w:tcMar>
              <w:top w:w="0" w:type="dxa"/>
              <w:left w:w="17" w:type="dxa"/>
              <w:bottom w:w="0" w:type="dxa"/>
              <w:right w:w="17" w:type="dxa"/>
            </w:tcMar>
            <w:vAlign w:val="center"/>
          </w:tcPr>
          <w:p w14:paraId="616F5FF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3D746F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624E3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182CD0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4D87B6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A4E5D8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2A523A7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395E4A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4A0115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3C0F943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3BD38F3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311" w:type="pct"/>
            <w:tcBorders>
              <w:tl2br w:val="nil"/>
              <w:tr2bl w:val="nil"/>
            </w:tcBorders>
            <w:shd w:val="clear" w:color="auto" w:fill="auto"/>
            <w:tcMar>
              <w:top w:w="0" w:type="dxa"/>
              <w:left w:w="17" w:type="dxa"/>
              <w:bottom w:w="0" w:type="dxa"/>
              <w:right w:w="17" w:type="dxa"/>
            </w:tcMar>
            <w:vAlign w:val="center"/>
          </w:tcPr>
          <w:p w14:paraId="13A24E8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w:t>
            </w:r>
          </w:p>
        </w:tc>
        <w:tc>
          <w:tcPr>
            <w:tcW w:w="364" w:type="pct"/>
            <w:tcBorders>
              <w:tl2br w:val="nil"/>
              <w:tr2bl w:val="nil"/>
            </w:tcBorders>
            <w:shd w:val="clear" w:color="auto" w:fill="auto"/>
            <w:tcMar>
              <w:top w:w="0" w:type="dxa"/>
              <w:left w:w="17" w:type="dxa"/>
              <w:bottom w:w="0" w:type="dxa"/>
              <w:right w:w="17" w:type="dxa"/>
            </w:tcMar>
            <w:vAlign w:val="center"/>
          </w:tcPr>
          <w:p w14:paraId="318F53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2BC775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365" w:type="pct"/>
            <w:tcBorders>
              <w:tl2br w:val="nil"/>
              <w:tr2bl w:val="nil"/>
            </w:tcBorders>
            <w:shd w:val="clear" w:color="auto" w:fill="auto"/>
            <w:tcMar>
              <w:top w:w="0" w:type="dxa"/>
              <w:left w:w="17" w:type="dxa"/>
              <w:bottom w:w="0" w:type="dxa"/>
              <w:right w:w="17" w:type="dxa"/>
            </w:tcMar>
            <w:vAlign w:val="center"/>
          </w:tcPr>
          <w:p w14:paraId="1F09AE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16" w:type="pct"/>
            <w:tcBorders>
              <w:tl2br w:val="nil"/>
              <w:tr2bl w:val="nil"/>
            </w:tcBorders>
            <w:shd w:val="clear" w:color="auto" w:fill="auto"/>
            <w:tcMar>
              <w:top w:w="0" w:type="dxa"/>
              <w:left w:w="17" w:type="dxa"/>
              <w:bottom w:w="0" w:type="dxa"/>
              <w:right w:w="17" w:type="dxa"/>
            </w:tcMar>
            <w:vAlign w:val="center"/>
          </w:tcPr>
          <w:p w14:paraId="4CB0ED6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12" w:type="pct"/>
            <w:tcBorders>
              <w:tl2br w:val="nil"/>
              <w:tr2bl w:val="nil"/>
            </w:tcBorders>
            <w:shd w:val="clear" w:color="auto" w:fill="auto"/>
            <w:tcMar>
              <w:top w:w="0" w:type="dxa"/>
              <w:left w:w="17" w:type="dxa"/>
              <w:bottom w:w="0" w:type="dxa"/>
              <w:right w:w="17" w:type="dxa"/>
            </w:tcMar>
            <w:vAlign w:val="center"/>
          </w:tcPr>
          <w:p w14:paraId="0C3390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65" w:type="pct"/>
            <w:tcBorders>
              <w:tl2br w:val="nil"/>
              <w:tr2bl w:val="nil"/>
            </w:tcBorders>
            <w:shd w:val="clear" w:color="auto" w:fill="auto"/>
            <w:tcMar>
              <w:top w:w="0" w:type="dxa"/>
              <w:left w:w="17" w:type="dxa"/>
              <w:bottom w:w="0" w:type="dxa"/>
              <w:right w:w="17" w:type="dxa"/>
            </w:tcMar>
            <w:vAlign w:val="center"/>
          </w:tcPr>
          <w:p w14:paraId="6D7CB4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4" w:type="pct"/>
            <w:tcBorders>
              <w:tl2br w:val="nil"/>
              <w:tr2bl w:val="nil"/>
            </w:tcBorders>
            <w:shd w:val="clear" w:color="auto" w:fill="auto"/>
            <w:tcMar>
              <w:top w:w="0" w:type="dxa"/>
              <w:left w:w="17" w:type="dxa"/>
              <w:bottom w:w="0" w:type="dxa"/>
              <w:right w:w="17" w:type="dxa"/>
            </w:tcMar>
            <w:vAlign w:val="center"/>
          </w:tcPr>
          <w:p w14:paraId="1CD7909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20" w:type="pct"/>
            <w:tcBorders>
              <w:tl2br w:val="nil"/>
              <w:tr2bl w:val="nil"/>
            </w:tcBorders>
            <w:shd w:val="clear" w:color="auto" w:fill="auto"/>
            <w:tcMar>
              <w:top w:w="0" w:type="dxa"/>
              <w:left w:w="17" w:type="dxa"/>
              <w:bottom w:w="0" w:type="dxa"/>
              <w:right w:w="17" w:type="dxa"/>
            </w:tcMar>
            <w:vAlign w:val="center"/>
          </w:tcPr>
          <w:p w14:paraId="53BB2A4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tcBorders>
              <w:tl2br w:val="nil"/>
              <w:tr2bl w:val="nil"/>
            </w:tcBorders>
            <w:shd w:val="clear" w:color="auto" w:fill="auto"/>
            <w:tcMar>
              <w:top w:w="0" w:type="dxa"/>
              <w:left w:w="17" w:type="dxa"/>
              <w:bottom w:w="0" w:type="dxa"/>
              <w:right w:w="17" w:type="dxa"/>
            </w:tcMar>
            <w:vAlign w:val="center"/>
          </w:tcPr>
          <w:p w14:paraId="67E588B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20" w:type="pct"/>
            <w:tcBorders>
              <w:tl2br w:val="nil"/>
              <w:tr2bl w:val="nil"/>
            </w:tcBorders>
            <w:shd w:val="clear" w:color="auto" w:fill="auto"/>
            <w:tcMar>
              <w:top w:w="0" w:type="dxa"/>
              <w:left w:w="17" w:type="dxa"/>
              <w:bottom w:w="0" w:type="dxa"/>
              <w:right w:w="17" w:type="dxa"/>
            </w:tcMar>
            <w:vAlign w:val="center"/>
          </w:tcPr>
          <w:p w14:paraId="7E8A26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0.0001</w:t>
            </w:r>
          </w:p>
        </w:tc>
        <w:tc>
          <w:tcPr>
            <w:tcW w:w="320" w:type="pct"/>
            <w:tcBorders>
              <w:tl2br w:val="nil"/>
              <w:tr2bl w:val="nil"/>
            </w:tcBorders>
            <w:shd w:val="clear" w:color="auto" w:fill="auto"/>
            <w:tcMar>
              <w:top w:w="0" w:type="dxa"/>
              <w:left w:w="17" w:type="dxa"/>
              <w:bottom w:w="0" w:type="dxa"/>
              <w:right w:w="17" w:type="dxa"/>
            </w:tcMar>
            <w:vAlign w:val="center"/>
          </w:tcPr>
          <w:p w14:paraId="45D03CD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r>
      <w:tr w14:paraId="74AE9E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5BEB1F8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173D99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因子</w:t>
            </w:r>
          </w:p>
        </w:tc>
        <w:tc>
          <w:tcPr>
            <w:tcW w:w="364" w:type="pct"/>
            <w:tcBorders>
              <w:tl2br w:val="nil"/>
              <w:tr2bl w:val="nil"/>
            </w:tcBorders>
            <w:shd w:val="clear" w:color="auto" w:fill="auto"/>
            <w:tcMar>
              <w:top w:w="0" w:type="dxa"/>
              <w:left w:w="17" w:type="dxa"/>
              <w:bottom w:w="0" w:type="dxa"/>
              <w:right w:w="17" w:type="dxa"/>
            </w:tcMar>
            <w:vAlign w:val="center"/>
          </w:tcPr>
          <w:p w14:paraId="69CB4BA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锌</w:t>
            </w:r>
          </w:p>
        </w:tc>
        <w:tc>
          <w:tcPr>
            <w:tcW w:w="311" w:type="pct"/>
            <w:tcBorders>
              <w:tl2br w:val="nil"/>
              <w:tr2bl w:val="nil"/>
            </w:tcBorders>
            <w:shd w:val="clear" w:color="auto" w:fill="auto"/>
            <w:tcMar>
              <w:top w:w="0" w:type="dxa"/>
              <w:left w:w="17" w:type="dxa"/>
              <w:bottom w:w="0" w:type="dxa"/>
              <w:right w:w="17" w:type="dxa"/>
            </w:tcMar>
            <w:vAlign w:val="center"/>
          </w:tcPr>
          <w:p w14:paraId="3AB3397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铜</w:t>
            </w:r>
          </w:p>
        </w:tc>
        <w:tc>
          <w:tcPr>
            <w:tcW w:w="364" w:type="pct"/>
            <w:tcBorders>
              <w:tl2br w:val="nil"/>
              <w:tr2bl w:val="nil"/>
            </w:tcBorders>
            <w:shd w:val="clear" w:color="auto" w:fill="auto"/>
            <w:tcMar>
              <w:top w:w="0" w:type="dxa"/>
              <w:left w:w="17" w:type="dxa"/>
              <w:bottom w:w="0" w:type="dxa"/>
              <w:right w:w="17" w:type="dxa"/>
            </w:tcMar>
            <w:vAlign w:val="center"/>
          </w:tcPr>
          <w:p w14:paraId="6FA9110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364" w:type="pct"/>
            <w:tcBorders>
              <w:tl2br w:val="nil"/>
              <w:tr2bl w:val="nil"/>
            </w:tcBorders>
            <w:shd w:val="clear" w:color="auto" w:fill="auto"/>
            <w:tcMar>
              <w:top w:w="0" w:type="dxa"/>
              <w:left w:w="17" w:type="dxa"/>
              <w:bottom w:w="0" w:type="dxa"/>
              <w:right w:w="17" w:type="dxa"/>
            </w:tcMar>
            <w:vAlign w:val="center"/>
          </w:tcPr>
          <w:p w14:paraId="6CC6B9E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镍</w:t>
            </w:r>
          </w:p>
        </w:tc>
        <w:tc>
          <w:tcPr>
            <w:tcW w:w="365" w:type="pct"/>
            <w:tcBorders>
              <w:tl2br w:val="nil"/>
              <w:tr2bl w:val="nil"/>
            </w:tcBorders>
            <w:shd w:val="clear" w:color="auto" w:fill="auto"/>
            <w:tcMar>
              <w:top w:w="0" w:type="dxa"/>
              <w:left w:w="17" w:type="dxa"/>
              <w:bottom w:w="0" w:type="dxa"/>
              <w:right w:w="17" w:type="dxa"/>
            </w:tcMar>
            <w:vAlign w:val="center"/>
          </w:tcPr>
          <w:p w14:paraId="769687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六价铬</w:t>
            </w:r>
          </w:p>
        </w:tc>
        <w:tc>
          <w:tcPr>
            <w:tcW w:w="316" w:type="pct"/>
            <w:tcBorders>
              <w:tl2br w:val="nil"/>
              <w:tr2bl w:val="nil"/>
            </w:tcBorders>
            <w:shd w:val="clear" w:color="auto" w:fill="auto"/>
            <w:tcMar>
              <w:top w:w="0" w:type="dxa"/>
              <w:left w:w="17" w:type="dxa"/>
              <w:bottom w:w="0" w:type="dxa"/>
              <w:right w:w="17" w:type="dxa"/>
            </w:tcMar>
            <w:vAlign w:val="center"/>
          </w:tcPr>
          <w:p w14:paraId="35489FE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汞</w:t>
            </w:r>
          </w:p>
        </w:tc>
        <w:tc>
          <w:tcPr>
            <w:tcW w:w="312" w:type="pct"/>
            <w:tcBorders>
              <w:tl2br w:val="nil"/>
              <w:tr2bl w:val="nil"/>
            </w:tcBorders>
            <w:shd w:val="clear" w:color="auto" w:fill="auto"/>
            <w:tcMar>
              <w:top w:w="0" w:type="dxa"/>
              <w:left w:w="17" w:type="dxa"/>
              <w:bottom w:w="0" w:type="dxa"/>
              <w:right w:w="17" w:type="dxa"/>
            </w:tcMar>
            <w:vAlign w:val="center"/>
          </w:tcPr>
          <w:p w14:paraId="5369EE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砷</w:t>
            </w:r>
          </w:p>
        </w:tc>
        <w:tc>
          <w:tcPr>
            <w:tcW w:w="365" w:type="pct"/>
            <w:tcBorders>
              <w:tl2br w:val="nil"/>
              <w:tr2bl w:val="nil"/>
            </w:tcBorders>
            <w:shd w:val="clear" w:color="auto" w:fill="auto"/>
            <w:tcMar>
              <w:top w:w="0" w:type="dxa"/>
              <w:left w:w="17" w:type="dxa"/>
              <w:bottom w:w="0" w:type="dxa"/>
              <w:right w:w="17" w:type="dxa"/>
            </w:tcMar>
            <w:vAlign w:val="center"/>
          </w:tcPr>
          <w:p w14:paraId="69804C04">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锑</w:t>
            </w:r>
          </w:p>
        </w:tc>
        <w:tc>
          <w:tcPr>
            <w:tcW w:w="374" w:type="pct"/>
            <w:tcBorders>
              <w:tl2br w:val="nil"/>
              <w:tr2bl w:val="nil"/>
            </w:tcBorders>
            <w:shd w:val="clear" w:color="auto" w:fill="auto"/>
            <w:tcMar>
              <w:top w:w="0" w:type="dxa"/>
              <w:left w:w="17" w:type="dxa"/>
              <w:bottom w:w="0" w:type="dxa"/>
              <w:right w:w="17" w:type="dxa"/>
            </w:tcMar>
            <w:vAlign w:val="center"/>
          </w:tcPr>
          <w:p w14:paraId="7B1EB87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320" w:type="pct"/>
            <w:tcBorders>
              <w:tl2br w:val="nil"/>
              <w:tr2bl w:val="nil"/>
            </w:tcBorders>
            <w:shd w:val="clear" w:color="auto" w:fill="auto"/>
            <w:tcMar>
              <w:top w:w="0" w:type="dxa"/>
              <w:left w:w="17" w:type="dxa"/>
              <w:bottom w:w="0" w:type="dxa"/>
              <w:right w:w="17" w:type="dxa"/>
            </w:tcMar>
            <w:vAlign w:val="center"/>
          </w:tcPr>
          <w:p w14:paraId="484CAA1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氟化物</w:t>
            </w:r>
          </w:p>
        </w:tc>
        <w:tc>
          <w:tcPr>
            <w:tcW w:w="375" w:type="pct"/>
            <w:tcBorders>
              <w:tl2br w:val="nil"/>
              <w:tr2bl w:val="nil"/>
            </w:tcBorders>
            <w:shd w:val="clear" w:color="auto" w:fill="auto"/>
            <w:tcMar>
              <w:top w:w="0" w:type="dxa"/>
              <w:left w:w="17" w:type="dxa"/>
              <w:bottom w:w="0" w:type="dxa"/>
              <w:right w:w="17" w:type="dxa"/>
            </w:tcMar>
            <w:vAlign w:val="center"/>
          </w:tcPr>
          <w:p w14:paraId="691C10F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硫化物</w:t>
            </w:r>
          </w:p>
        </w:tc>
        <w:tc>
          <w:tcPr>
            <w:tcW w:w="320" w:type="pct"/>
            <w:tcBorders>
              <w:tl2br w:val="nil"/>
              <w:tr2bl w:val="nil"/>
            </w:tcBorders>
            <w:shd w:val="clear" w:color="auto" w:fill="auto"/>
            <w:tcMar>
              <w:top w:w="0" w:type="dxa"/>
              <w:left w:w="17" w:type="dxa"/>
              <w:bottom w:w="0" w:type="dxa"/>
              <w:right w:w="17" w:type="dxa"/>
            </w:tcMar>
            <w:vAlign w:val="center"/>
          </w:tcPr>
          <w:p w14:paraId="1B1DF8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20" w:type="pct"/>
            <w:tcBorders>
              <w:tl2br w:val="nil"/>
              <w:tr2bl w:val="nil"/>
            </w:tcBorders>
            <w:shd w:val="clear" w:color="auto" w:fill="auto"/>
            <w:tcMar>
              <w:top w:w="0" w:type="dxa"/>
              <w:left w:w="17" w:type="dxa"/>
              <w:bottom w:w="0" w:type="dxa"/>
              <w:right w:w="17" w:type="dxa"/>
            </w:tcMar>
            <w:vAlign w:val="center"/>
          </w:tcPr>
          <w:p w14:paraId="6EC6AE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07DB3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08318B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2F771C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1807CE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017145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4B5E49B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34E8C0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1E8390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2FFBCA0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339CDD6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65" w:type="pct"/>
            <w:tcBorders>
              <w:tl2br w:val="nil"/>
              <w:tr2bl w:val="nil"/>
            </w:tcBorders>
            <w:shd w:val="clear" w:color="auto" w:fill="auto"/>
            <w:tcMar>
              <w:top w:w="0" w:type="dxa"/>
              <w:left w:w="17" w:type="dxa"/>
              <w:bottom w:w="0" w:type="dxa"/>
              <w:right w:w="17" w:type="dxa"/>
            </w:tcMar>
            <w:vAlign w:val="center"/>
          </w:tcPr>
          <w:p w14:paraId="34BE8A78">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598</w:t>
            </w:r>
          </w:p>
        </w:tc>
        <w:tc>
          <w:tcPr>
            <w:tcW w:w="374" w:type="pct"/>
            <w:tcBorders>
              <w:tl2br w:val="nil"/>
              <w:tr2bl w:val="nil"/>
            </w:tcBorders>
            <w:shd w:val="clear" w:color="auto" w:fill="auto"/>
            <w:tcMar>
              <w:top w:w="0" w:type="dxa"/>
              <w:left w:w="17" w:type="dxa"/>
              <w:bottom w:w="0" w:type="dxa"/>
              <w:right w:w="17" w:type="dxa"/>
            </w:tcMar>
            <w:vAlign w:val="center"/>
          </w:tcPr>
          <w:p w14:paraId="43D3C11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581686B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3476EEE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64ADC1C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0.00004L</w:t>
            </w:r>
          </w:p>
        </w:tc>
        <w:tc>
          <w:tcPr>
            <w:tcW w:w="320" w:type="pct"/>
            <w:tcBorders>
              <w:tl2br w:val="nil"/>
              <w:tr2bl w:val="nil"/>
            </w:tcBorders>
            <w:shd w:val="clear" w:color="auto" w:fill="auto"/>
            <w:tcMar>
              <w:top w:w="0" w:type="dxa"/>
              <w:left w:w="17" w:type="dxa"/>
              <w:bottom w:w="0" w:type="dxa"/>
              <w:right w:w="17" w:type="dxa"/>
            </w:tcMar>
            <w:vAlign w:val="center"/>
          </w:tcPr>
          <w:p w14:paraId="31F512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63874F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9F258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1D53F5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6EB4A90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48453D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4291AE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4285D4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5F14F02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06C3F3D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66DE8E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0.0163</w:t>
            </w:r>
          </w:p>
        </w:tc>
        <w:tc>
          <w:tcPr>
            <w:tcW w:w="365" w:type="pct"/>
            <w:tcBorders>
              <w:tl2br w:val="nil"/>
              <w:tr2bl w:val="nil"/>
            </w:tcBorders>
            <w:shd w:val="clear" w:color="auto" w:fill="auto"/>
            <w:tcMar>
              <w:top w:w="0" w:type="dxa"/>
              <w:left w:w="17" w:type="dxa"/>
              <w:bottom w:w="0" w:type="dxa"/>
              <w:right w:w="17" w:type="dxa"/>
            </w:tcMar>
            <w:vAlign w:val="center"/>
          </w:tcPr>
          <w:p w14:paraId="023BDE75">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0.618</w:t>
            </w:r>
          </w:p>
        </w:tc>
        <w:tc>
          <w:tcPr>
            <w:tcW w:w="374" w:type="pct"/>
            <w:tcBorders>
              <w:tl2br w:val="nil"/>
              <w:tr2bl w:val="nil"/>
            </w:tcBorders>
            <w:shd w:val="clear" w:color="auto" w:fill="auto"/>
            <w:tcMar>
              <w:top w:w="0" w:type="dxa"/>
              <w:left w:w="17" w:type="dxa"/>
              <w:bottom w:w="0" w:type="dxa"/>
              <w:right w:w="17" w:type="dxa"/>
            </w:tcMar>
            <w:vAlign w:val="center"/>
          </w:tcPr>
          <w:p w14:paraId="011C352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4CA8AD4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w:t>
            </w:r>
          </w:p>
        </w:tc>
        <w:tc>
          <w:tcPr>
            <w:tcW w:w="375" w:type="pct"/>
            <w:tcBorders>
              <w:tl2br w:val="nil"/>
              <w:tr2bl w:val="nil"/>
            </w:tcBorders>
            <w:shd w:val="clear" w:color="auto" w:fill="auto"/>
            <w:tcMar>
              <w:top w:w="0" w:type="dxa"/>
              <w:left w:w="17" w:type="dxa"/>
              <w:bottom w:w="0" w:type="dxa"/>
              <w:right w:w="17" w:type="dxa"/>
            </w:tcMar>
            <w:vAlign w:val="center"/>
          </w:tcPr>
          <w:p w14:paraId="589FD3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404FFFA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0.00004L</w:t>
            </w:r>
          </w:p>
        </w:tc>
        <w:tc>
          <w:tcPr>
            <w:tcW w:w="320" w:type="pct"/>
            <w:tcBorders>
              <w:tl2br w:val="nil"/>
              <w:tr2bl w:val="nil"/>
            </w:tcBorders>
            <w:shd w:val="clear" w:color="auto" w:fill="auto"/>
            <w:tcMar>
              <w:top w:w="0" w:type="dxa"/>
              <w:left w:w="17" w:type="dxa"/>
              <w:bottom w:w="0" w:type="dxa"/>
              <w:right w:w="17" w:type="dxa"/>
            </w:tcMar>
            <w:vAlign w:val="center"/>
          </w:tcPr>
          <w:p w14:paraId="1C4984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2EA0E3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69DBC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470AD35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503CBE1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2643AB3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1CC152D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1DCF0BF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1234A0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604F66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0EED3C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65" w:type="pct"/>
            <w:tcBorders>
              <w:tl2br w:val="nil"/>
              <w:tr2bl w:val="nil"/>
            </w:tcBorders>
            <w:shd w:val="clear" w:color="auto" w:fill="auto"/>
            <w:tcMar>
              <w:top w:w="0" w:type="dxa"/>
              <w:left w:w="17" w:type="dxa"/>
              <w:bottom w:w="0" w:type="dxa"/>
              <w:right w:w="17" w:type="dxa"/>
            </w:tcMar>
            <w:vAlign w:val="center"/>
          </w:tcPr>
          <w:p w14:paraId="61615D91">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0.0148</w:t>
            </w:r>
          </w:p>
        </w:tc>
        <w:tc>
          <w:tcPr>
            <w:tcW w:w="374" w:type="pct"/>
            <w:tcBorders>
              <w:tl2br w:val="nil"/>
              <w:tr2bl w:val="nil"/>
            </w:tcBorders>
            <w:shd w:val="clear" w:color="auto" w:fill="auto"/>
            <w:tcMar>
              <w:top w:w="0" w:type="dxa"/>
              <w:left w:w="17" w:type="dxa"/>
              <w:bottom w:w="0" w:type="dxa"/>
              <w:right w:w="17" w:type="dxa"/>
            </w:tcMar>
            <w:vAlign w:val="center"/>
          </w:tcPr>
          <w:p w14:paraId="600CA05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46379E0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36E0CDC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6C309AF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0.00004L</w:t>
            </w:r>
          </w:p>
        </w:tc>
        <w:tc>
          <w:tcPr>
            <w:tcW w:w="320" w:type="pct"/>
            <w:tcBorders>
              <w:tl2br w:val="nil"/>
              <w:tr2bl w:val="nil"/>
            </w:tcBorders>
            <w:shd w:val="clear" w:color="auto" w:fill="auto"/>
            <w:tcMar>
              <w:top w:w="0" w:type="dxa"/>
              <w:left w:w="17" w:type="dxa"/>
              <w:bottom w:w="0" w:type="dxa"/>
              <w:right w:w="17" w:type="dxa"/>
            </w:tcMar>
            <w:vAlign w:val="center"/>
          </w:tcPr>
          <w:p w14:paraId="75E4F24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645ED4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1B4E14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C0DE8D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7AE9372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4C8428B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3092112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60D6A3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2B09A82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13D27DE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00AD255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65" w:type="pct"/>
            <w:tcBorders>
              <w:tl2br w:val="nil"/>
              <w:tr2bl w:val="nil"/>
            </w:tcBorders>
            <w:shd w:val="clear" w:color="auto" w:fill="auto"/>
            <w:tcMar>
              <w:top w:w="0" w:type="dxa"/>
              <w:left w:w="17" w:type="dxa"/>
              <w:bottom w:w="0" w:type="dxa"/>
              <w:right w:w="17" w:type="dxa"/>
            </w:tcMar>
            <w:vAlign w:val="center"/>
          </w:tcPr>
          <w:p w14:paraId="5FF51D08">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0.188</w:t>
            </w:r>
          </w:p>
        </w:tc>
        <w:tc>
          <w:tcPr>
            <w:tcW w:w="374" w:type="pct"/>
            <w:tcBorders>
              <w:tl2br w:val="nil"/>
              <w:tr2bl w:val="nil"/>
            </w:tcBorders>
            <w:shd w:val="clear" w:color="auto" w:fill="auto"/>
            <w:tcMar>
              <w:top w:w="0" w:type="dxa"/>
              <w:left w:w="17" w:type="dxa"/>
              <w:bottom w:w="0" w:type="dxa"/>
              <w:right w:w="17" w:type="dxa"/>
            </w:tcMar>
            <w:vAlign w:val="center"/>
          </w:tcPr>
          <w:p w14:paraId="61F20BD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515BAA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06DA28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2AFFB45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0.00004L</w:t>
            </w:r>
          </w:p>
        </w:tc>
        <w:tc>
          <w:tcPr>
            <w:tcW w:w="320" w:type="pct"/>
            <w:tcBorders>
              <w:tl2br w:val="nil"/>
              <w:tr2bl w:val="nil"/>
            </w:tcBorders>
            <w:shd w:val="clear" w:color="auto" w:fill="auto"/>
            <w:tcMar>
              <w:top w:w="0" w:type="dxa"/>
              <w:left w:w="17" w:type="dxa"/>
              <w:bottom w:w="0" w:type="dxa"/>
              <w:right w:w="17" w:type="dxa"/>
            </w:tcMar>
            <w:vAlign w:val="center"/>
          </w:tcPr>
          <w:p w14:paraId="22D9CA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0D6291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22DF0F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AA824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47BC93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49600DB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4C87CC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345253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7A5B6C0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6599D41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7EC83F4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0.0118</w:t>
            </w:r>
          </w:p>
        </w:tc>
        <w:tc>
          <w:tcPr>
            <w:tcW w:w="365" w:type="pct"/>
            <w:tcBorders>
              <w:tl2br w:val="nil"/>
              <w:tr2bl w:val="nil"/>
            </w:tcBorders>
            <w:shd w:val="clear" w:color="auto" w:fill="auto"/>
            <w:tcMar>
              <w:top w:w="0" w:type="dxa"/>
              <w:left w:w="17" w:type="dxa"/>
              <w:bottom w:w="0" w:type="dxa"/>
              <w:right w:w="17" w:type="dxa"/>
            </w:tcMar>
            <w:vAlign w:val="center"/>
          </w:tcPr>
          <w:p w14:paraId="47FE8BF4">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0.142</w:t>
            </w:r>
          </w:p>
        </w:tc>
        <w:tc>
          <w:tcPr>
            <w:tcW w:w="374" w:type="pct"/>
            <w:tcBorders>
              <w:tl2br w:val="nil"/>
              <w:tr2bl w:val="nil"/>
            </w:tcBorders>
            <w:shd w:val="clear" w:color="auto" w:fill="auto"/>
            <w:tcMar>
              <w:top w:w="0" w:type="dxa"/>
              <w:left w:w="17" w:type="dxa"/>
              <w:bottom w:w="0" w:type="dxa"/>
              <w:right w:w="17" w:type="dxa"/>
            </w:tcMar>
            <w:vAlign w:val="center"/>
          </w:tcPr>
          <w:p w14:paraId="19388AB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1B9E7CB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2E01BC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57B811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0.00004L</w:t>
            </w:r>
          </w:p>
        </w:tc>
        <w:tc>
          <w:tcPr>
            <w:tcW w:w="320" w:type="pct"/>
            <w:tcBorders>
              <w:tl2br w:val="nil"/>
              <w:tr2bl w:val="nil"/>
            </w:tcBorders>
            <w:shd w:val="clear" w:color="auto" w:fill="auto"/>
            <w:tcMar>
              <w:top w:w="0" w:type="dxa"/>
              <w:left w:w="17" w:type="dxa"/>
              <w:bottom w:w="0" w:type="dxa"/>
              <w:right w:w="17" w:type="dxa"/>
            </w:tcMar>
            <w:vAlign w:val="center"/>
          </w:tcPr>
          <w:p w14:paraId="31DCFD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63B7EF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463C8B4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B6573E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6351AC3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2DD80DF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58E93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061EB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C2208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38115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748925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3972C7F">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0.0110</w:t>
            </w:r>
          </w:p>
        </w:tc>
        <w:tc>
          <w:tcPr>
            <w:tcW w:w="374" w:type="pct"/>
            <w:tcBorders>
              <w:tl2br w:val="nil"/>
              <w:tr2bl w:val="nil"/>
            </w:tcBorders>
            <w:shd w:val="clear" w:color="auto" w:fill="auto"/>
            <w:tcMar>
              <w:top w:w="0" w:type="dxa"/>
              <w:left w:w="17" w:type="dxa"/>
              <w:bottom w:w="0" w:type="dxa"/>
              <w:right w:w="17" w:type="dxa"/>
            </w:tcMar>
            <w:vAlign w:val="center"/>
          </w:tcPr>
          <w:p w14:paraId="169362F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080228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0BE2FD0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9AB9F1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A33FFF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B7C4D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721C0EB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9AB11F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3FF5DE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3B5D2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5E879F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A5DE95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844EB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D28BB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B14C4C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2F36640">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0.0118</w:t>
            </w:r>
          </w:p>
        </w:tc>
        <w:tc>
          <w:tcPr>
            <w:tcW w:w="374" w:type="pct"/>
            <w:tcBorders>
              <w:tl2br w:val="nil"/>
              <w:tr2bl w:val="nil"/>
            </w:tcBorders>
            <w:shd w:val="clear" w:color="auto" w:fill="auto"/>
            <w:tcMar>
              <w:top w:w="0" w:type="dxa"/>
              <w:left w:w="17" w:type="dxa"/>
              <w:bottom w:w="0" w:type="dxa"/>
              <w:right w:w="17" w:type="dxa"/>
            </w:tcMar>
            <w:vAlign w:val="center"/>
          </w:tcPr>
          <w:p w14:paraId="2E07DFD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6A122D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957643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07A110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B327D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5DB8F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7D86C2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577E35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5CCE1AA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043B8F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98727D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BCB9FE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08EEE7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EC81F8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0168DD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80699DA">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198</w:t>
            </w:r>
          </w:p>
        </w:tc>
        <w:tc>
          <w:tcPr>
            <w:tcW w:w="374" w:type="pct"/>
            <w:tcBorders>
              <w:tl2br w:val="nil"/>
              <w:tr2bl w:val="nil"/>
            </w:tcBorders>
            <w:shd w:val="clear" w:color="auto" w:fill="auto"/>
            <w:tcMar>
              <w:top w:w="0" w:type="dxa"/>
              <w:left w:w="17" w:type="dxa"/>
              <w:bottom w:w="0" w:type="dxa"/>
              <w:right w:w="17" w:type="dxa"/>
            </w:tcMar>
            <w:vAlign w:val="center"/>
          </w:tcPr>
          <w:p w14:paraId="7B990DE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B89F41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00B01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76EDCE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AD5D8B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51EF0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C31B5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F8ED24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7BE9CC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AF4E4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D483ED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4B505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AD437A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7A4B2C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6065836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C27FA50">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0.0116</w:t>
            </w:r>
          </w:p>
        </w:tc>
        <w:tc>
          <w:tcPr>
            <w:tcW w:w="374" w:type="pct"/>
            <w:tcBorders>
              <w:tl2br w:val="nil"/>
              <w:tr2bl w:val="nil"/>
            </w:tcBorders>
            <w:shd w:val="clear" w:color="auto" w:fill="auto"/>
            <w:tcMar>
              <w:top w:w="0" w:type="dxa"/>
              <w:left w:w="17" w:type="dxa"/>
              <w:bottom w:w="0" w:type="dxa"/>
              <w:right w:w="17" w:type="dxa"/>
            </w:tcMar>
            <w:vAlign w:val="center"/>
          </w:tcPr>
          <w:p w14:paraId="0EE0677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A3C05C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CAAF93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8835B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FC4A6A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79E25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BBBB8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2A67367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1E6105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260FF2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DF7F4F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C11ADA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878DE5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4FD4ED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DD0EE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FE69AEA">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0.0012</w:t>
            </w:r>
          </w:p>
        </w:tc>
        <w:tc>
          <w:tcPr>
            <w:tcW w:w="374" w:type="pct"/>
            <w:tcBorders>
              <w:tl2br w:val="nil"/>
              <w:tr2bl w:val="nil"/>
            </w:tcBorders>
            <w:shd w:val="clear" w:color="auto" w:fill="auto"/>
            <w:tcMar>
              <w:top w:w="0" w:type="dxa"/>
              <w:left w:w="17" w:type="dxa"/>
              <w:bottom w:w="0" w:type="dxa"/>
              <w:right w:w="17" w:type="dxa"/>
            </w:tcMar>
            <w:vAlign w:val="center"/>
          </w:tcPr>
          <w:p w14:paraId="2444B71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DADABA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010C7A5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98FAB0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755F52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86DE8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B77A9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331343B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26D42C3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CFFC7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D8CFAC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4BB8A5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ED274C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1BD98A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0BDD33B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E341CBF">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0.0011</w:t>
            </w:r>
          </w:p>
        </w:tc>
        <w:tc>
          <w:tcPr>
            <w:tcW w:w="374" w:type="pct"/>
            <w:tcBorders>
              <w:tl2br w:val="nil"/>
              <w:tr2bl w:val="nil"/>
            </w:tcBorders>
            <w:shd w:val="clear" w:color="auto" w:fill="auto"/>
            <w:tcMar>
              <w:top w:w="0" w:type="dxa"/>
              <w:left w:w="17" w:type="dxa"/>
              <w:bottom w:w="0" w:type="dxa"/>
              <w:right w:w="17" w:type="dxa"/>
            </w:tcMar>
            <w:vAlign w:val="center"/>
          </w:tcPr>
          <w:p w14:paraId="4B3830A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A0D78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714467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93FAD8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38D877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C3991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201CC18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3CB361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4D5051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E46877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C01F2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B1FA96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8DFB08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F39343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0A3D10B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BDB660C">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0.0012</w:t>
            </w:r>
          </w:p>
        </w:tc>
        <w:tc>
          <w:tcPr>
            <w:tcW w:w="374" w:type="pct"/>
            <w:tcBorders>
              <w:tl2br w:val="nil"/>
              <w:tr2bl w:val="nil"/>
            </w:tcBorders>
            <w:shd w:val="clear" w:color="auto" w:fill="auto"/>
            <w:tcMar>
              <w:top w:w="0" w:type="dxa"/>
              <w:left w:w="17" w:type="dxa"/>
              <w:bottom w:w="0" w:type="dxa"/>
              <w:right w:w="17" w:type="dxa"/>
            </w:tcMar>
            <w:vAlign w:val="center"/>
          </w:tcPr>
          <w:p w14:paraId="0A03E70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D1BB7D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6EE0D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77386A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F7876D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E0EF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C0C79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1D3BD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S13</w:t>
            </w:r>
          </w:p>
        </w:tc>
        <w:tc>
          <w:tcPr>
            <w:tcW w:w="364" w:type="pct"/>
            <w:tcBorders>
              <w:tl2br w:val="nil"/>
              <w:tr2bl w:val="nil"/>
            </w:tcBorders>
            <w:shd w:val="clear" w:color="auto" w:fill="auto"/>
            <w:tcMar>
              <w:top w:w="0" w:type="dxa"/>
              <w:left w:w="17" w:type="dxa"/>
              <w:bottom w:w="0" w:type="dxa"/>
              <w:right w:w="17" w:type="dxa"/>
            </w:tcMar>
            <w:vAlign w:val="center"/>
          </w:tcPr>
          <w:p w14:paraId="7A20DA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2AEDDA2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7F4AC3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14EB2A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5A492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4F4609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7B11FA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4852DE1">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0.01</w:t>
            </w:r>
            <w:r>
              <w:rPr>
                <w:rFonts w:hint="eastAsia"/>
                <w:b/>
                <w:bCs/>
                <w:color w:val="auto"/>
                <w:highlight w:val="none"/>
                <w:lang w:val="en-US" w:eastAsia="zh-CN"/>
              </w:rPr>
              <w:t>32</w:t>
            </w:r>
          </w:p>
        </w:tc>
        <w:tc>
          <w:tcPr>
            <w:tcW w:w="374" w:type="pct"/>
            <w:tcBorders>
              <w:tl2br w:val="nil"/>
              <w:tr2bl w:val="nil"/>
            </w:tcBorders>
            <w:shd w:val="clear" w:color="auto" w:fill="auto"/>
            <w:tcMar>
              <w:top w:w="0" w:type="dxa"/>
              <w:left w:w="17" w:type="dxa"/>
              <w:bottom w:w="0" w:type="dxa"/>
              <w:right w:w="17" w:type="dxa"/>
            </w:tcMar>
            <w:vAlign w:val="center"/>
          </w:tcPr>
          <w:p w14:paraId="6EBD2A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025FD2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321386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CC4A7A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33EA01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2316C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278AC0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20121E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6A572D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11" w:type="pct"/>
            <w:tcBorders>
              <w:tl2br w:val="nil"/>
              <w:tr2bl w:val="nil"/>
            </w:tcBorders>
            <w:shd w:val="clear" w:color="auto" w:fill="auto"/>
            <w:tcMar>
              <w:top w:w="0" w:type="dxa"/>
              <w:left w:w="17" w:type="dxa"/>
              <w:bottom w:w="0" w:type="dxa"/>
              <w:right w:w="17" w:type="dxa"/>
            </w:tcMar>
            <w:vAlign w:val="center"/>
          </w:tcPr>
          <w:p w14:paraId="65867D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6269BB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0.002</w:t>
            </w:r>
          </w:p>
        </w:tc>
        <w:tc>
          <w:tcPr>
            <w:tcW w:w="364" w:type="pct"/>
            <w:tcBorders>
              <w:tl2br w:val="nil"/>
              <w:tr2bl w:val="nil"/>
            </w:tcBorders>
            <w:shd w:val="clear" w:color="auto" w:fill="auto"/>
            <w:tcMar>
              <w:top w:w="0" w:type="dxa"/>
              <w:left w:w="17" w:type="dxa"/>
              <w:bottom w:w="0" w:type="dxa"/>
              <w:right w:w="17" w:type="dxa"/>
            </w:tcMar>
            <w:vAlign w:val="center"/>
          </w:tcPr>
          <w:p w14:paraId="5034B7B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365" w:type="pct"/>
            <w:tcBorders>
              <w:tl2br w:val="nil"/>
              <w:tr2bl w:val="nil"/>
            </w:tcBorders>
            <w:shd w:val="clear" w:color="auto" w:fill="auto"/>
            <w:tcMar>
              <w:top w:w="0" w:type="dxa"/>
              <w:left w:w="17" w:type="dxa"/>
              <w:bottom w:w="0" w:type="dxa"/>
              <w:right w:w="17" w:type="dxa"/>
            </w:tcMar>
            <w:vAlign w:val="center"/>
          </w:tcPr>
          <w:p w14:paraId="42D50D6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16" w:type="pct"/>
            <w:tcBorders>
              <w:tl2br w:val="nil"/>
              <w:tr2bl w:val="nil"/>
            </w:tcBorders>
            <w:shd w:val="clear" w:color="auto" w:fill="auto"/>
            <w:tcMar>
              <w:top w:w="0" w:type="dxa"/>
              <w:left w:w="17" w:type="dxa"/>
              <w:bottom w:w="0" w:type="dxa"/>
              <w:right w:w="17" w:type="dxa"/>
            </w:tcMar>
            <w:vAlign w:val="center"/>
          </w:tcPr>
          <w:p w14:paraId="52E5875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312" w:type="pct"/>
            <w:tcBorders>
              <w:tl2br w:val="nil"/>
              <w:tr2bl w:val="nil"/>
            </w:tcBorders>
            <w:shd w:val="clear" w:color="auto" w:fill="auto"/>
            <w:tcMar>
              <w:top w:w="0" w:type="dxa"/>
              <w:left w:w="17" w:type="dxa"/>
              <w:bottom w:w="0" w:type="dxa"/>
              <w:right w:w="17" w:type="dxa"/>
            </w:tcMar>
            <w:vAlign w:val="center"/>
          </w:tcPr>
          <w:p w14:paraId="7D9C346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365" w:type="pct"/>
            <w:tcBorders>
              <w:tl2br w:val="nil"/>
              <w:tr2bl w:val="nil"/>
            </w:tcBorders>
            <w:shd w:val="clear" w:color="auto" w:fill="auto"/>
            <w:tcMar>
              <w:top w:w="0" w:type="dxa"/>
              <w:left w:w="17" w:type="dxa"/>
              <w:bottom w:w="0" w:type="dxa"/>
              <w:right w:w="17" w:type="dxa"/>
            </w:tcMar>
            <w:vAlign w:val="center"/>
          </w:tcPr>
          <w:p w14:paraId="043312F0">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0.005</w:t>
            </w:r>
          </w:p>
        </w:tc>
        <w:tc>
          <w:tcPr>
            <w:tcW w:w="374" w:type="pct"/>
            <w:tcBorders>
              <w:tl2br w:val="nil"/>
              <w:tr2bl w:val="nil"/>
            </w:tcBorders>
            <w:shd w:val="clear" w:color="auto" w:fill="auto"/>
            <w:tcMar>
              <w:top w:w="0" w:type="dxa"/>
              <w:left w:w="17" w:type="dxa"/>
              <w:bottom w:w="0" w:type="dxa"/>
              <w:right w:w="17" w:type="dxa"/>
            </w:tcMar>
            <w:vAlign w:val="center"/>
          </w:tcPr>
          <w:p w14:paraId="3747FAB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320" w:type="pct"/>
            <w:tcBorders>
              <w:tl2br w:val="nil"/>
              <w:tr2bl w:val="nil"/>
            </w:tcBorders>
            <w:shd w:val="clear" w:color="auto" w:fill="auto"/>
            <w:tcMar>
              <w:top w:w="0" w:type="dxa"/>
              <w:left w:w="17" w:type="dxa"/>
              <w:bottom w:w="0" w:type="dxa"/>
              <w:right w:w="17" w:type="dxa"/>
            </w:tcMar>
            <w:vAlign w:val="center"/>
          </w:tcPr>
          <w:p w14:paraId="1058208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75" w:type="pct"/>
            <w:tcBorders>
              <w:tl2br w:val="nil"/>
              <w:tr2bl w:val="nil"/>
            </w:tcBorders>
            <w:shd w:val="clear" w:color="auto" w:fill="auto"/>
            <w:tcMar>
              <w:top w:w="0" w:type="dxa"/>
              <w:left w:w="17" w:type="dxa"/>
              <w:bottom w:w="0" w:type="dxa"/>
              <w:right w:w="17" w:type="dxa"/>
            </w:tcMar>
            <w:vAlign w:val="center"/>
          </w:tcPr>
          <w:p w14:paraId="10DD10D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320" w:type="pct"/>
            <w:tcBorders>
              <w:tl2br w:val="nil"/>
              <w:tr2bl w:val="nil"/>
            </w:tcBorders>
            <w:shd w:val="clear" w:color="auto" w:fill="auto"/>
            <w:tcMar>
              <w:top w:w="0" w:type="dxa"/>
              <w:left w:w="17" w:type="dxa"/>
              <w:bottom w:w="0" w:type="dxa"/>
              <w:right w:w="17" w:type="dxa"/>
            </w:tcMar>
            <w:vAlign w:val="center"/>
          </w:tcPr>
          <w:p w14:paraId="6AF8A10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20" w:type="pct"/>
            <w:tcBorders>
              <w:tl2br w:val="nil"/>
              <w:tr2bl w:val="nil"/>
            </w:tcBorders>
            <w:shd w:val="clear" w:color="auto" w:fill="auto"/>
            <w:tcMar>
              <w:top w:w="0" w:type="dxa"/>
              <w:left w:w="17" w:type="dxa"/>
              <w:bottom w:w="0" w:type="dxa"/>
              <w:right w:w="17" w:type="dxa"/>
            </w:tcMar>
            <w:vAlign w:val="center"/>
          </w:tcPr>
          <w:p w14:paraId="3DF6810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472DCD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restart"/>
            <w:tcBorders>
              <w:tl2br w:val="nil"/>
              <w:tr2bl w:val="nil"/>
            </w:tcBorders>
            <w:shd w:val="clear" w:color="auto" w:fill="auto"/>
            <w:tcMar>
              <w:top w:w="0" w:type="dxa"/>
              <w:left w:w="17" w:type="dxa"/>
              <w:bottom w:w="0" w:type="dxa"/>
              <w:right w:w="17" w:type="dxa"/>
            </w:tcMar>
            <w:vAlign w:val="center"/>
          </w:tcPr>
          <w:p w14:paraId="75718DE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第</w:t>
            </w:r>
            <w:r>
              <w:rPr>
                <w:rFonts w:hint="eastAsia"/>
                <w:color w:val="auto"/>
                <w:highlight w:val="none"/>
                <w:lang w:val="en-US" w:eastAsia="zh-CN"/>
              </w:rPr>
              <w:t>二</w:t>
            </w:r>
            <w:r>
              <w:rPr>
                <w:rFonts w:hint="default"/>
                <w:color w:val="auto"/>
                <w:highlight w:val="none"/>
                <w:lang w:val="en-US" w:eastAsia="zh-CN"/>
              </w:rPr>
              <w:t>天</w:t>
            </w:r>
          </w:p>
        </w:tc>
        <w:tc>
          <w:tcPr>
            <w:tcW w:w="240" w:type="pct"/>
            <w:tcBorders>
              <w:tl2br w:val="nil"/>
              <w:tr2bl w:val="nil"/>
            </w:tcBorders>
            <w:shd w:val="clear" w:color="auto" w:fill="auto"/>
            <w:tcMar>
              <w:top w:w="0" w:type="dxa"/>
              <w:left w:w="17" w:type="dxa"/>
              <w:bottom w:w="0" w:type="dxa"/>
              <w:right w:w="17" w:type="dxa"/>
            </w:tcMar>
            <w:vAlign w:val="center"/>
          </w:tcPr>
          <w:p w14:paraId="5696C94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因子</w:t>
            </w:r>
          </w:p>
        </w:tc>
        <w:tc>
          <w:tcPr>
            <w:tcW w:w="364" w:type="pct"/>
            <w:tcBorders>
              <w:tl2br w:val="nil"/>
              <w:tr2bl w:val="nil"/>
            </w:tcBorders>
            <w:shd w:val="clear" w:color="auto" w:fill="auto"/>
            <w:tcMar>
              <w:top w:w="0" w:type="dxa"/>
              <w:left w:w="17" w:type="dxa"/>
              <w:bottom w:w="0" w:type="dxa"/>
              <w:right w:w="17" w:type="dxa"/>
            </w:tcMar>
            <w:vAlign w:val="center"/>
          </w:tcPr>
          <w:p w14:paraId="6749435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pH值</w:t>
            </w:r>
          </w:p>
        </w:tc>
        <w:tc>
          <w:tcPr>
            <w:tcW w:w="311" w:type="pct"/>
            <w:tcBorders>
              <w:tl2br w:val="nil"/>
              <w:tr2bl w:val="nil"/>
            </w:tcBorders>
            <w:shd w:val="clear" w:color="auto" w:fill="auto"/>
            <w:tcMar>
              <w:top w:w="0" w:type="dxa"/>
              <w:left w:w="17" w:type="dxa"/>
              <w:bottom w:w="0" w:type="dxa"/>
              <w:right w:w="17" w:type="dxa"/>
            </w:tcMar>
            <w:vAlign w:val="center"/>
          </w:tcPr>
          <w:p w14:paraId="1471AB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COD</w:t>
            </w:r>
            <w:r>
              <w:rPr>
                <w:rFonts w:hint="eastAsia"/>
                <w:color w:val="auto"/>
                <w:highlight w:val="none"/>
                <w:lang w:val="en-US" w:eastAsia="zh-CN"/>
              </w:rPr>
              <w:t>Cr</w:t>
            </w:r>
          </w:p>
        </w:tc>
        <w:tc>
          <w:tcPr>
            <w:tcW w:w="364" w:type="pct"/>
            <w:tcBorders>
              <w:tl2br w:val="nil"/>
              <w:tr2bl w:val="nil"/>
            </w:tcBorders>
            <w:shd w:val="clear" w:color="auto" w:fill="auto"/>
            <w:tcMar>
              <w:top w:w="0" w:type="dxa"/>
              <w:left w:w="17" w:type="dxa"/>
              <w:bottom w:w="0" w:type="dxa"/>
              <w:right w:w="17" w:type="dxa"/>
            </w:tcMar>
            <w:vAlign w:val="center"/>
          </w:tcPr>
          <w:p w14:paraId="26BD6C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氨氮</w:t>
            </w:r>
          </w:p>
        </w:tc>
        <w:tc>
          <w:tcPr>
            <w:tcW w:w="364" w:type="pct"/>
            <w:tcBorders>
              <w:tl2br w:val="nil"/>
              <w:tr2bl w:val="nil"/>
            </w:tcBorders>
            <w:shd w:val="clear" w:color="auto" w:fill="auto"/>
            <w:tcMar>
              <w:top w:w="0" w:type="dxa"/>
              <w:left w:w="17" w:type="dxa"/>
              <w:bottom w:w="0" w:type="dxa"/>
              <w:right w:w="17" w:type="dxa"/>
            </w:tcMar>
            <w:vAlign w:val="center"/>
          </w:tcPr>
          <w:p w14:paraId="11189C7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总磷</w:t>
            </w:r>
          </w:p>
        </w:tc>
        <w:tc>
          <w:tcPr>
            <w:tcW w:w="365" w:type="pct"/>
            <w:tcBorders>
              <w:tl2br w:val="nil"/>
              <w:tr2bl w:val="nil"/>
            </w:tcBorders>
            <w:shd w:val="clear" w:color="auto" w:fill="auto"/>
            <w:tcMar>
              <w:top w:w="0" w:type="dxa"/>
              <w:left w:w="17" w:type="dxa"/>
              <w:bottom w:w="0" w:type="dxa"/>
              <w:right w:w="17" w:type="dxa"/>
            </w:tcMar>
            <w:vAlign w:val="center"/>
          </w:tcPr>
          <w:p w14:paraId="56FC63E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BOD5</w:t>
            </w:r>
          </w:p>
        </w:tc>
        <w:tc>
          <w:tcPr>
            <w:tcW w:w="316" w:type="pct"/>
            <w:tcBorders>
              <w:tl2br w:val="nil"/>
              <w:tr2bl w:val="nil"/>
            </w:tcBorders>
            <w:shd w:val="clear" w:color="auto" w:fill="auto"/>
            <w:tcMar>
              <w:top w:w="0" w:type="dxa"/>
              <w:left w:w="17" w:type="dxa"/>
              <w:bottom w:w="0" w:type="dxa"/>
              <w:right w:w="17" w:type="dxa"/>
            </w:tcMar>
            <w:vAlign w:val="center"/>
          </w:tcPr>
          <w:p w14:paraId="65ACC4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悬浮物</w:t>
            </w:r>
          </w:p>
        </w:tc>
        <w:tc>
          <w:tcPr>
            <w:tcW w:w="312" w:type="pct"/>
            <w:tcBorders>
              <w:tl2br w:val="nil"/>
              <w:tr2bl w:val="nil"/>
            </w:tcBorders>
            <w:shd w:val="clear" w:color="auto" w:fill="auto"/>
            <w:tcMar>
              <w:top w:w="0" w:type="dxa"/>
              <w:left w:w="17" w:type="dxa"/>
              <w:bottom w:w="0" w:type="dxa"/>
              <w:right w:w="17" w:type="dxa"/>
            </w:tcMar>
            <w:vAlign w:val="center"/>
          </w:tcPr>
          <w:p w14:paraId="6F4D5CA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石油类</w:t>
            </w:r>
          </w:p>
        </w:tc>
        <w:tc>
          <w:tcPr>
            <w:tcW w:w="365" w:type="pct"/>
            <w:tcBorders>
              <w:tl2br w:val="nil"/>
              <w:tr2bl w:val="nil"/>
            </w:tcBorders>
            <w:shd w:val="clear" w:color="auto" w:fill="auto"/>
            <w:tcMar>
              <w:top w:w="0" w:type="dxa"/>
              <w:left w:w="17" w:type="dxa"/>
              <w:bottom w:w="0" w:type="dxa"/>
              <w:right w:w="17" w:type="dxa"/>
            </w:tcMar>
            <w:vAlign w:val="center"/>
          </w:tcPr>
          <w:p w14:paraId="1C0910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挥发酚</w:t>
            </w:r>
          </w:p>
        </w:tc>
        <w:tc>
          <w:tcPr>
            <w:tcW w:w="374" w:type="pct"/>
            <w:tcBorders>
              <w:tl2br w:val="nil"/>
              <w:tr2bl w:val="nil"/>
            </w:tcBorders>
            <w:shd w:val="clear" w:color="auto" w:fill="auto"/>
            <w:tcMar>
              <w:top w:w="0" w:type="dxa"/>
              <w:left w:w="17" w:type="dxa"/>
              <w:bottom w:w="0" w:type="dxa"/>
              <w:right w:w="17" w:type="dxa"/>
            </w:tcMar>
            <w:vAlign w:val="center"/>
          </w:tcPr>
          <w:p w14:paraId="6DF8B35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铅</w:t>
            </w:r>
          </w:p>
        </w:tc>
        <w:tc>
          <w:tcPr>
            <w:tcW w:w="320" w:type="pct"/>
            <w:tcBorders>
              <w:tl2br w:val="nil"/>
              <w:tr2bl w:val="nil"/>
            </w:tcBorders>
            <w:shd w:val="clear" w:color="auto" w:fill="auto"/>
            <w:tcMar>
              <w:top w:w="0" w:type="dxa"/>
              <w:left w:w="17" w:type="dxa"/>
              <w:bottom w:w="0" w:type="dxa"/>
              <w:right w:w="17" w:type="dxa"/>
            </w:tcMar>
            <w:vAlign w:val="center"/>
          </w:tcPr>
          <w:p w14:paraId="6FB1D4D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镉</w:t>
            </w:r>
          </w:p>
        </w:tc>
        <w:tc>
          <w:tcPr>
            <w:tcW w:w="375" w:type="pct"/>
            <w:tcBorders>
              <w:tl2br w:val="nil"/>
              <w:tr2bl w:val="nil"/>
            </w:tcBorders>
            <w:shd w:val="clear" w:color="auto" w:fill="auto"/>
            <w:tcMar>
              <w:top w:w="0" w:type="dxa"/>
              <w:left w:w="17" w:type="dxa"/>
              <w:bottom w:w="0" w:type="dxa"/>
              <w:right w:w="17" w:type="dxa"/>
            </w:tcMar>
            <w:vAlign w:val="center"/>
          </w:tcPr>
          <w:p w14:paraId="7A78DE0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铬</w:t>
            </w:r>
          </w:p>
        </w:tc>
        <w:tc>
          <w:tcPr>
            <w:tcW w:w="320" w:type="pct"/>
            <w:tcBorders>
              <w:tl2br w:val="nil"/>
              <w:tr2bl w:val="nil"/>
            </w:tcBorders>
            <w:shd w:val="clear" w:color="auto" w:fill="auto"/>
            <w:tcMar>
              <w:top w:w="0" w:type="dxa"/>
              <w:left w:w="17" w:type="dxa"/>
              <w:bottom w:w="0" w:type="dxa"/>
              <w:right w:w="17" w:type="dxa"/>
            </w:tcMar>
            <w:vAlign w:val="center"/>
          </w:tcPr>
          <w:p w14:paraId="216707C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铊</w:t>
            </w:r>
          </w:p>
        </w:tc>
        <w:tc>
          <w:tcPr>
            <w:tcW w:w="320" w:type="pct"/>
            <w:tcBorders>
              <w:tl2br w:val="nil"/>
              <w:tr2bl w:val="nil"/>
            </w:tcBorders>
            <w:shd w:val="clear" w:color="auto" w:fill="auto"/>
            <w:tcMar>
              <w:top w:w="0" w:type="dxa"/>
              <w:left w:w="17" w:type="dxa"/>
              <w:bottom w:w="0" w:type="dxa"/>
              <w:right w:w="17" w:type="dxa"/>
            </w:tcMar>
            <w:vAlign w:val="center"/>
          </w:tcPr>
          <w:p w14:paraId="59AEB59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钒</w:t>
            </w:r>
          </w:p>
        </w:tc>
      </w:tr>
      <w:tr w14:paraId="2B925F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48CC995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4551588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53C09AE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044F3E8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8</w:t>
            </w:r>
          </w:p>
        </w:tc>
        <w:tc>
          <w:tcPr>
            <w:tcW w:w="364" w:type="pct"/>
            <w:tcBorders>
              <w:tl2br w:val="nil"/>
              <w:tr2bl w:val="nil"/>
            </w:tcBorders>
            <w:shd w:val="clear" w:color="auto" w:fill="auto"/>
            <w:tcMar>
              <w:top w:w="0" w:type="dxa"/>
              <w:left w:w="17" w:type="dxa"/>
              <w:bottom w:w="0" w:type="dxa"/>
              <w:right w:w="17" w:type="dxa"/>
            </w:tcMar>
            <w:vAlign w:val="center"/>
          </w:tcPr>
          <w:p w14:paraId="7BF1462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0.025L</w:t>
            </w:r>
          </w:p>
        </w:tc>
        <w:tc>
          <w:tcPr>
            <w:tcW w:w="364" w:type="pct"/>
            <w:tcBorders>
              <w:tl2br w:val="nil"/>
              <w:tr2bl w:val="nil"/>
            </w:tcBorders>
            <w:shd w:val="clear" w:color="auto" w:fill="auto"/>
            <w:tcMar>
              <w:top w:w="0" w:type="dxa"/>
              <w:left w:w="17" w:type="dxa"/>
              <w:bottom w:w="0" w:type="dxa"/>
              <w:right w:w="17" w:type="dxa"/>
            </w:tcMar>
            <w:vAlign w:val="center"/>
          </w:tcPr>
          <w:p w14:paraId="6E519A4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0.03</w:t>
            </w:r>
          </w:p>
        </w:tc>
        <w:tc>
          <w:tcPr>
            <w:tcW w:w="365" w:type="pct"/>
            <w:tcBorders>
              <w:tl2br w:val="nil"/>
              <w:tr2bl w:val="nil"/>
            </w:tcBorders>
            <w:shd w:val="clear" w:color="auto" w:fill="auto"/>
            <w:tcMar>
              <w:top w:w="0" w:type="dxa"/>
              <w:left w:w="17" w:type="dxa"/>
              <w:bottom w:w="0" w:type="dxa"/>
              <w:right w:w="17" w:type="dxa"/>
            </w:tcMar>
            <w:vAlign w:val="center"/>
          </w:tcPr>
          <w:p w14:paraId="5555AF3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1.9</w:t>
            </w:r>
          </w:p>
        </w:tc>
        <w:tc>
          <w:tcPr>
            <w:tcW w:w="316" w:type="pct"/>
            <w:tcBorders>
              <w:tl2br w:val="nil"/>
              <w:tr2bl w:val="nil"/>
            </w:tcBorders>
            <w:shd w:val="clear" w:color="auto" w:fill="auto"/>
            <w:tcMar>
              <w:top w:w="0" w:type="dxa"/>
              <w:left w:w="17" w:type="dxa"/>
              <w:bottom w:w="0" w:type="dxa"/>
              <w:right w:w="17" w:type="dxa"/>
            </w:tcMar>
            <w:vAlign w:val="center"/>
          </w:tcPr>
          <w:p w14:paraId="67F5B2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13</w:t>
            </w:r>
          </w:p>
        </w:tc>
        <w:tc>
          <w:tcPr>
            <w:tcW w:w="312" w:type="pct"/>
            <w:tcBorders>
              <w:tl2br w:val="nil"/>
              <w:tr2bl w:val="nil"/>
            </w:tcBorders>
            <w:shd w:val="clear" w:color="auto" w:fill="auto"/>
            <w:tcMar>
              <w:top w:w="0" w:type="dxa"/>
              <w:left w:w="17" w:type="dxa"/>
              <w:bottom w:w="0" w:type="dxa"/>
              <w:right w:w="17" w:type="dxa"/>
            </w:tcMar>
            <w:vAlign w:val="center"/>
          </w:tcPr>
          <w:p w14:paraId="080E313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1CD35EC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69BB059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3840517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5EFA02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2795317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2BE8C3B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08190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2B367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47738F7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3EF0F83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w:t>
            </w:r>
          </w:p>
        </w:tc>
        <w:tc>
          <w:tcPr>
            <w:tcW w:w="311" w:type="pct"/>
            <w:tcBorders>
              <w:tl2br w:val="nil"/>
              <w:tr2bl w:val="nil"/>
            </w:tcBorders>
            <w:shd w:val="clear" w:color="auto" w:fill="auto"/>
            <w:tcMar>
              <w:top w:w="0" w:type="dxa"/>
              <w:left w:w="17" w:type="dxa"/>
              <w:bottom w:w="0" w:type="dxa"/>
              <w:right w:w="17" w:type="dxa"/>
            </w:tcMar>
            <w:vAlign w:val="center"/>
          </w:tcPr>
          <w:p w14:paraId="5AE6DD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w:t>
            </w:r>
          </w:p>
        </w:tc>
        <w:tc>
          <w:tcPr>
            <w:tcW w:w="364" w:type="pct"/>
            <w:tcBorders>
              <w:tl2br w:val="nil"/>
              <w:tr2bl w:val="nil"/>
            </w:tcBorders>
            <w:shd w:val="clear" w:color="auto" w:fill="auto"/>
            <w:tcMar>
              <w:top w:w="0" w:type="dxa"/>
              <w:left w:w="17" w:type="dxa"/>
              <w:bottom w:w="0" w:type="dxa"/>
              <w:right w:w="17" w:type="dxa"/>
            </w:tcMar>
            <w:vAlign w:val="center"/>
          </w:tcPr>
          <w:p w14:paraId="217F00C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0.025L</w:t>
            </w:r>
          </w:p>
        </w:tc>
        <w:tc>
          <w:tcPr>
            <w:tcW w:w="364" w:type="pct"/>
            <w:tcBorders>
              <w:tl2br w:val="nil"/>
              <w:tr2bl w:val="nil"/>
            </w:tcBorders>
            <w:shd w:val="clear" w:color="auto" w:fill="auto"/>
            <w:tcMar>
              <w:top w:w="0" w:type="dxa"/>
              <w:left w:w="17" w:type="dxa"/>
              <w:bottom w:w="0" w:type="dxa"/>
              <w:right w:w="17" w:type="dxa"/>
            </w:tcMar>
            <w:vAlign w:val="center"/>
          </w:tcPr>
          <w:p w14:paraId="038EF18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7C8686A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1.7</w:t>
            </w:r>
          </w:p>
        </w:tc>
        <w:tc>
          <w:tcPr>
            <w:tcW w:w="316" w:type="pct"/>
            <w:tcBorders>
              <w:tl2br w:val="nil"/>
              <w:tr2bl w:val="nil"/>
            </w:tcBorders>
            <w:shd w:val="clear" w:color="auto" w:fill="auto"/>
            <w:tcMar>
              <w:top w:w="0" w:type="dxa"/>
              <w:left w:w="17" w:type="dxa"/>
              <w:bottom w:w="0" w:type="dxa"/>
              <w:right w:w="17" w:type="dxa"/>
            </w:tcMar>
            <w:vAlign w:val="center"/>
          </w:tcPr>
          <w:p w14:paraId="6395A1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16</w:t>
            </w:r>
          </w:p>
        </w:tc>
        <w:tc>
          <w:tcPr>
            <w:tcW w:w="312" w:type="pct"/>
            <w:tcBorders>
              <w:tl2br w:val="nil"/>
              <w:tr2bl w:val="nil"/>
            </w:tcBorders>
            <w:shd w:val="clear" w:color="auto" w:fill="auto"/>
            <w:tcMar>
              <w:top w:w="0" w:type="dxa"/>
              <w:left w:w="17" w:type="dxa"/>
              <w:bottom w:w="0" w:type="dxa"/>
              <w:right w:w="17" w:type="dxa"/>
            </w:tcMar>
            <w:vAlign w:val="center"/>
          </w:tcPr>
          <w:p w14:paraId="559D1D3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1D9654E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7CDF35B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3CDCBB8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246A06D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153715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BFB25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E79A9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0FEE4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386948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149A97A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18B12C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w:t>
            </w:r>
          </w:p>
        </w:tc>
        <w:tc>
          <w:tcPr>
            <w:tcW w:w="364" w:type="pct"/>
            <w:tcBorders>
              <w:tl2br w:val="nil"/>
              <w:tr2bl w:val="nil"/>
            </w:tcBorders>
            <w:shd w:val="clear" w:color="auto" w:fill="auto"/>
            <w:tcMar>
              <w:top w:w="0" w:type="dxa"/>
              <w:left w:w="17" w:type="dxa"/>
              <w:bottom w:w="0" w:type="dxa"/>
              <w:right w:w="17" w:type="dxa"/>
            </w:tcMar>
            <w:vAlign w:val="center"/>
          </w:tcPr>
          <w:p w14:paraId="7AA572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0.025L</w:t>
            </w:r>
          </w:p>
        </w:tc>
        <w:tc>
          <w:tcPr>
            <w:tcW w:w="364" w:type="pct"/>
            <w:tcBorders>
              <w:tl2br w:val="nil"/>
              <w:tr2bl w:val="nil"/>
            </w:tcBorders>
            <w:shd w:val="clear" w:color="auto" w:fill="auto"/>
            <w:tcMar>
              <w:top w:w="0" w:type="dxa"/>
              <w:left w:w="17" w:type="dxa"/>
              <w:bottom w:w="0" w:type="dxa"/>
              <w:right w:w="17" w:type="dxa"/>
            </w:tcMar>
            <w:vAlign w:val="center"/>
          </w:tcPr>
          <w:p w14:paraId="06E855D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618256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1.8</w:t>
            </w:r>
          </w:p>
        </w:tc>
        <w:tc>
          <w:tcPr>
            <w:tcW w:w="316" w:type="pct"/>
            <w:tcBorders>
              <w:tl2br w:val="nil"/>
              <w:tr2bl w:val="nil"/>
            </w:tcBorders>
            <w:shd w:val="clear" w:color="auto" w:fill="auto"/>
            <w:tcMar>
              <w:top w:w="0" w:type="dxa"/>
              <w:left w:w="17" w:type="dxa"/>
              <w:bottom w:w="0" w:type="dxa"/>
              <w:right w:w="17" w:type="dxa"/>
            </w:tcMar>
            <w:vAlign w:val="center"/>
          </w:tcPr>
          <w:p w14:paraId="0F426E3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8</w:t>
            </w:r>
          </w:p>
        </w:tc>
        <w:tc>
          <w:tcPr>
            <w:tcW w:w="312" w:type="pct"/>
            <w:tcBorders>
              <w:tl2br w:val="nil"/>
              <w:tr2bl w:val="nil"/>
            </w:tcBorders>
            <w:shd w:val="clear" w:color="auto" w:fill="auto"/>
            <w:tcMar>
              <w:top w:w="0" w:type="dxa"/>
              <w:left w:w="17" w:type="dxa"/>
              <w:bottom w:w="0" w:type="dxa"/>
              <w:right w:w="17" w:type="dxa"/>
            </w:tcMar>
            <w:vAlign w:val="center"/>
          </w:tcPr>
          <w:p w14:paraId="01B93B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02CCDCA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649E5C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5369E1E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3BDA3F2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0E7F7D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B405C0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69722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2C024E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75432B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052770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w:t>
            </w:r>
          </w:p>
        </w:tc>
        <w:tc>
          <w:tcPr>
            <w:tcW w:w="311" w:type="pct"/>
            <w:tcBorders>
              <w:tl2br w:val="nil"/>
              <w:tr2bl w:val="nil"/>
            </w:tcBorders>
            <w:shd w:val="clear" w:color="auto" w:fill="auto"/>
            <w:tcMar>
              <w:top w:w="0" w:type="dxa"/>
              <w:left w:w="17" w:type="dxa"/>
              <w:bottom w:w="0" w:type="dxa"/>
              <w:right w:w="17" w:type="dxa"/>
            </w:tcMar>
            <w:vAlign w:val="center"/>
          </w:tcPr>
          <w:p w14:paraId="7B7A50E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12</w:t>
            </w:r>
          </w:p>
        </w:tc>
        <w:tc>
          <w:tcPr>
            <w:tcW w:w="364" w:type="pct"/>
            <w:tcBorders>
              <w:tl2br w:val="nil"/>
              <w:tr2bl w:val="nil"/>
            </w:tcBorders>
            <w:shd w:val="clear" w:color="auto" w:fill="auto"/>
            <w:tcMar>
              <w:top w:w="0" w:type="dxa"/>
              <w:left w:w="17" w:type="dxa"/>
              <w:bottom w:w="0" w:type="dxa"/>
              <w:right w:w="17" w:type="dxa"/>
            </w:tcMar>
            <w:vAlign w:val="center"/>
          </w:tcPr>
          <w:p w14:paraId="36BBD24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0.24</w:t>
            </w:r>
          </w:p>
        </w:tc>
        <w:tc>
          <w:tcPr>
            <w:tcW w:w="364" w:type="pct"/>
            <w:tcBorders>
              <w:tl2br w:val="nil"/>
              <w:tr2bl w:val="nil"/>
            </w:tcBorders>
            <w:shd w:val="clear" w:color="auto" w:fill="auto"/>
            <w:tcMar>
              <w:top w:w="0" w:type="dxa"/>
              <w:left w:w="17" w:type="dxa"/>
              <w:bottom w:w="0" w:type="dxa"/>
              <w:right w:w="17" w:type="dxa"/>
            </w:tcMar>
            <w:vAlign w:val="center"/>
          </w:tcPr>
          <w:p w14:paraId="0654CB7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w:t>
            </w:r>
          </w:p>
        </w:tc>
        <w:tc>
          <w:tcPr>
            <w:tcW w:w="365" w:type="pct"/>
            <w:tcBorders>
              <w:tl2br w:val="nil"/>
              <w:tr2bl w:val="nil"/>
            </w:tcBorders>
            <w:shd w:val="clear" w:color="auto" w:fill="auto"/>
            <w:tcMar>
              <w:top w:w="0" w:type="dxa"/>
              <w:left w:w="17" w:type="dxa"/>
              <w:bottom w:w="0" w:type="dxa"/>
              <w:right w:w="17" w:type="dxa"/>
            </w:tcMar>
            <w:vAlign w:val="center"/>
          </w:tcPr>
          <w:p w14:paraId="1B4725C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2.9</w:t>
            </w:r>
          </w:p>
        </w:tc>
        <w:tc>
          <w:tcPr>
            <w:tcW w:w="316" w:type="pct"/>
            <w:tcBorders>
              <w:tl2br w:val="nil"/>
              <w:tr2bl w:val="nil"/>
            </w:tcBorders>
            <w:shd w:val="clear" w:color="auto" w:fill="auto"/>
            <w:tcMar>
              <w:top w:w="0" w:type="dxa"/>
              <w:left w:w="17" w:type="dxa"/>
              <w:bottom w:w="0" w:type="dxa"/>
              <w:right w:w="17" w:type="dxa"/>
            </w:tcMar>
            <w:vAlign w:val="center"/>
          </w:tcPr>
          <w:p w14:paraId="2712BD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10</w:t>
            </w:r>
          </w:p>
        </w:tc>
        <w:tc>
          <w:tcPr>
            <w:tcW w:w="312" w:type="pct"/>
            <w:tcBorders>
              <w:tl2br w:val="nil"/>
              <w:tr2bl w:val="nil"/>
            </w:tcBorders>
            <w:shd w:val="clear" w:color="auto" w:fill="auto"/>
            <w:tcMar>
              <w:top w:w="0" w:type="dxa"/>
              <w:left w:w="17" w:type="dxa"/>
              <w:bottom w:w="0" w:type="dxa"/>
              <w:right w:w="17" w:type="dxa"/>
            </w:tcMar>
            <w:vAlign w:val="center"/>
          </w:tcPr>
          <w:p w14:paraId="3801D07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30673B5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2D072B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350BCA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w:t>
            </w:r>
          </w:p>
        </w:tc>
        <w:tc>
          <w:tcPr>
            <w:tcW w:w="375" w:type="pct"/>
            <w:tcBorders>
              <w:tl2br w:val="nil"/>
              <w:tr2bl w:val="nil"/>
            </w:tcBorders>
            <w:shd w:val="clear" w:color="auto" w:fill="auto"/>
            <w:tcMar>
              <w:top w:w="0" w:type="dxa"/>
              <w:left w:w="17" w:type="dxa"/>
              <w:bottom w:w="0" w:type="dxa"/>
              <w:right w:w="17" w:type="dxa"/>
            </w:tcMar>
            <w:vAlign w:val="center"/>
          </w:tcPr>
          <w:p w14:paraId="1D1A722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4AF20E8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61E59D2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0007D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BFBC8A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1C52FB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791AB45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w:t>
            </w:r>
          </w:p>
        </w:tc>
        <w:tc>
          <w:tcPr>
            <w:tcW w:w="311" w:type="pct"/>
            <w:tcBorders>
              <w:tl2br w:val="nil"/>
              <w:tr2bl w:val="nil"/>
            </w:tcBorders>
            <w:shd w:val="clear" w:color="auto" w:fill="auto"/>
            <w:tcMar>
              <w:top w:w="0" w:type="dxa"/>
              <w:left w:w="17" w:type="dxa"/>
              <w:bottom w:w="0" w:type="dxa"/>
              <w:right w:w="17" w:type="dxa"/>
            </w:tcMar>
            <w:vAlign w:val="center"/>
          </w:tcPr>
          <w:p w14:paraId="60F909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29756EB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0.08</w:t>
            </w:r>
          </w:p>
        </w:tc>
        <w:tc>
          <w:tcPr>
            <w:tcW w:w="364" w:type="pct"/>
            <w:tcBorders>
              <w:tl2br w:val="nil"/>
              <w:tr2bl w:val="nil"/>
            </w:tcBorders>
            <w:shd w:val="clear" w:color="auto" w:fill="auto"/>
            <w:tcMar>
              <w:top w:w="0" w:type="dxa"/>
              <w:left w:w="17" w:type="dxa"/>
              <w:bottom w:w="0" w:type="dxa"/>
              <w:right w:w="17" w:type="dxa"/>
            </w:tcMar>
            <w:vAlign w:val="center"/>
          </w:tcPr>
          <w:p w14:paraId="2A0BB21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0.03</w:t>
            </w:r>
          </w:p>
        </w:tc>
        <w:tc>
          <w:tcPr>
            <w:tcW w:w="365" w:type="pct"/>
            <w:tcBorders>
              <w:tl2br w:val="nil"/>
              <w:tr2bl w:val="nil"/>
            </w:tcBorders>
            <w:shd w:val="clear" w:color="auto" w:fill="auto"/>
            <w:tcMar>
              <w:top w:w="0" w:type="dxa"/>
              <w:left w:w="17" w:type="dxa"/>
              <w:bottom w:w="0" w:type="dxa"/>
              <w:right w:w="17" w:type="dxa"/>
            </w:tcMar>
            <w:vAlign w:val="center"/>
          </w:tcPr>
          <w:p w14:paraId="314D65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2.5</w:t>
            </w:r>
          </w:p>
        </w:tc>
        <w:tc>
          <w:tcPr>
            <w:tcW w:w="316" w:type="pct"/>
            <w:tcBorders>
              <w:tl2br w:val="nil"/>
              <w:tr2bl w:val="nil"/>
            </w:tcBorders>
            <w:shd w:val="clear" w:color="auto" w:fill="auto"/>
            <w:tcMar>
              <w:top w:w="0" w:type="dxa"/>
              <w:left w:w="17" w:type="dxa"/>
              <w:bottom w:w="0" w:type="dxa"/>
              <w:right w:w="17" w:type="dxa"/>
            </w:tcMar>
            <w:vAlign w:val="center"/>
          </w:tcPr>
          <w:p w14:paraId="58F9ED5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16</w:t>
            </w:r>
          </w:p>
        </w:tc>
        <w:tc>
          <w:tcPr>
            <w:tcW w:w="312" w:type="pct"/>
            <w:tcBorders>
              <w:tl2br w:val="nil"/>
              <w:tr2bl w:val="nil"/>
            </w:tcBorders>
            <w:shd w:val="clear" w:color="auto" w:fill="auto"/>
            <w:tcMar>
              <w:top w:w="0" w:type="dxa"/>
              <w:left w:w="17" w:type="dxa"/>
              <w:bottom w:w="0" w:type="dxa"/>
              <w:right w:w="17" w:type="dxa"/>
            </w:tcMar>
            <w:vAlign w:val="center"/>
          </w:tcPr>
          <w:p w14:paraId="5ECF2A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59CCFFA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4821479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614B0F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0.0099</w:t>
            </w:r>
          </w:p>
        </w:tc>
        <w:tc>
          <w:tcPr>
            <w:tcW w:w="375" w:type="pct"/>
            <w:tcBorders>
              <w:tl2br w:val="nil"/>
              <w:tr2bl w:val="nil"/>
            </w:tcBorders>
            <w:shd w:val="clear" w:color="auto" w:fill="auto"/>
            <w:tcMar>
              <w:top w:w="0" w:type="dxa"/>
              <w:left w:w="17" w:type="dxa"/>
              <w:bottom w:w="0" w:type="dxa"/>
              <w:right w:w="17" w:type="dxa"/>
            </w:tcMar>
            <w:vAlign w:val="center"/>
          </w:tcPr>
          <w:p w14:paraId="6D4DF79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563D8B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4A6527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4719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B3E7A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B58428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148DDEF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60694A0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50A3B5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C75F2F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AA6B0A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E22005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41D0AC6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4E477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45C67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1C653B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E38DB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39073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6AF7EFE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ED204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E07A83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B0F849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414A806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173186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A84618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16D33A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C0C10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0B055FC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48DF63E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EEA99B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18E7A32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E7DDB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607CE2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0655A2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480C8C0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9A6B6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4203479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A87D04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499CF97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613DA01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6AA6D3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B37B3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93E36A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05684B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7A8A17C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A041F4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6FD2C78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529EB9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1667C2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50CA95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ABEA14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ECB85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0BDB1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31EC26E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649ED5A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3E97A5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68C793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B14629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0F6F1E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49FC98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5FFD0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B539B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3174D7B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E316C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08DB757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4E8867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744A67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736DB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9419E4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9D7CFD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267793A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020C5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73A56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299129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CDA915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F937B1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EB746E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CD2CD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4D7671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02EE9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4526ECC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7ED460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577EDB6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6A43D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2E5B1B9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7BE648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756BA57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756D3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DA6FA0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792EB0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1A137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E32B9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09922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C5DA6A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1804241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1F2AE3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9CA110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C23369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58AB89A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D34E2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12F8A8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89846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0F677DE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0752D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0B261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9441B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636CDB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BF5E3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1035AF9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F14DA8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D40B62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F0D83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841F8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0C2E4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7C7F3C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F6888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37AD66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457CF3D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S13</w:t>
            </w:r>
          </w:p>
        </w:tc>
        <w:tc>
          <w:tcPr>
            <w:tcW w:w="364" w:type="pct"/>
            <w:tcBorders>
              <w:tl2br w:val="nil"/>
              <w:tr2bl w:val="nil"/>
            </w:tcBorders>
            <w:shd w:val="clear" w:color="auto" w:fill="auto"/>
            <w:tcMar>
              <w:top w:w="0" w:type="dxa"/>
              <w:left w:w="17" w:type="dxa"/>
              <w:bottom w:w="0" w:type="dxa"/>
              <w:right w:w="17" w:type="dxa"/>
            </w:tcMar>
            <w:vAlign w:val="center"/>
          </w:tcPr>
          <w:p w14:paraId="1F5D0AE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0D2A7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975C56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3605C2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989FCD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2FFFF0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4A440E5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E9E985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45783C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29A4B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627C66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D4895E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BBC517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D45E3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75BBA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F4056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S14</w:t>
            </w:r>
          </w:p>
        </w:tc>
        <w:tc>
          <w:tcPr>
            <w:tcW w:w="364" w:type="pct"/>
            <w:tcBorders>
              <w:tl2br w:val="nil"/>
              <w:tr2bl w:val="nil"/>
            </w:tcBorders>
            <w:shd w:val="clear" w:color="auto" w:fill="auto"/>
            <w:tcMar>
              <w:top w:w="0" w:type="dxa"/>
              <w:left w:w="17" w:type="dxa"/>
              <w:bottom w:w="0" w:type="dxa"/>
              <w:right w:w="17" w:type="dxa"/>
            </w:tcMar>
            <w:vAlign w:val="center"/>
          </w:tcPr>
          <w:p w14:paraId="65103E9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25CC4F5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12</w:t>
            </w:r>
          </w:p>
        </w:tc>
        <w:tc>
          <w:tcPr>
            <w:tcW w:w="364" w:type="pct"/>
            <w:tcBorders>
              <w:tl2br w:val="nil"/>
              <w:tr2bl w:val="nil"/>
            </w:tcBorders>
            <w:shd w:val="clear" w:color="auto" w:fill="auto"/>
            <w:tcMar>
              <w:top w:w="0" w:type="dxa"/>
              <w:left w:w="17" w:type="dxa"/>
              <w:bottom w:w="0" w:type="dxa"/>
              <w:right w:w="17" w:type="dxa"/>
            </w:tcMar>
            <w:vAlign w:val="center"/>
          </w:tcPr>
          <w:p w14:paraId="003023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0.45</w:t>
            </w:r>
          </w:p>
        </w:tc>
        <w:tc>
          <w:tcPr>
            <w:tcW w:w="364" w:type="pct"/>
            <w:tcBorders>
              <w:tl2br w:val="nil"/>
              <w:tr2bl w:val="nil"/>
            </w:tcBorders>
            <w:shd w:val="clear" w:color="auto" w:fill="auto"/>
            <w:tcMar>
              <w:top w:w="0" w:type="dxa"/>
              <w:left w:w="17" w:type="dxa"/>
              <w:bottom w:w="0" w:type="dxa"/>
              <w:right w:w="17" w:type="dxa"/>
            </w:tcMar>
            <w:vAlign w:val="center"/>
          </w:tcPr>
          <w:p w14:paraId="15A3538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0.10</w:t>
            </w:r>
          </w:p>
        </w:tc>
        <w:tc>
          <w:tcPr>
            <w:tcW w:w="365" w:type="pct"/>
            <w:tcBorders>
              <w:tl2br w:val="nil"/>
              <w:tr2bl w:val="nil"/>
            </w:tcBorders>
            <w:shd w:val="clear" w:color="auto" w:fill="auto"/>
            <w:tcMar>
              <w:top w:w="0" w:type="dxa"/>
              <w:left w:w="17" w:type="dxa"/>
              <w:bottom w:w="0" w:type="dxa"/>
              <w:right w:w="17" w:type="dxa"/>
            </w:tcMar>
            <w:vAlign w:val="center"/>
          </w:tcPr>
          <w:p w14:paraId="5E98F38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2.9</w:t>
            </w:r>
          </w:p>
        </w:tc>
        <w:tc>
          <w:tcPr>
            <w:tcW w:w="316" w:type="pct"/>
            <w:tcBorders>
              <w:tl2br w:val="nil"/>
              <w:tr2bl w:val="nil"/>
            </w:tcBorders>
            <w:shd w:val="clear" w:color="auto" w:fill="auto"/>
            <w:tcMar>
              <w:top w:w="0" w:type="dxa"/>
              <w:left w:w="17" w:type="dxa"/>
              <w:bottom w:w="0" w:type="dxa"/>
              <w:right w:w="17" w:type="dxa"/>
            </w:tcMar>
            <w:vAlign w:val="center"/>
          </w:tcPr>
          <w:p w14:paraId="5A239B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13</w:t>
            </w:r>
          </w:p>
        </w:tc>
        <w:tc>
          <w:tcPr>
            <w:tcW w:w="312" w:type="pct"/>
            <w:tcBorders>
              <w:tl2br w:val="nil"/>
              <w:tr2bl w:val="nil"/>
            </w:tcBorders>
            <w:shd w:val="clear" w:color="auto" w:fill="auto"/>
            <w:tcMar>
              <w:top w:w="0" w:type="dxa"/>
              <w:left w:w="17" w:type="dxa"/>
              <w:bottom w:w="0" w:type="dxa"/>
              <w:right w:w="17" w:type="dxa"/>
            </w:tcMar>
            <w:vAlign w:val="center"/>
          </w:tcPr>
          <w:p w14:paraId="1C5C42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2A7E0D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5BDFC4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B10E6B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7C6FC41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6BB605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376D57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6395A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2F1223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365163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7FEFFD6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6~9</w:t>
            </w:r>
          </w:p>
        </w:tc>
        <w:tc>
          <w:tcPr>
            <w:tcW w:w="311" w:type="pct"/>
            <w:tcBorders>
              <w:tl2br w:val="nil"/>
              <w:tr2bl w:val="nil"/>
            </w:tcBorders>
            <w:shd w:val="clear" w:color="auto" w:fill="auto"/>
            <w:tcMar>
              <w:top w:w="0" w:type="dxa"/>
              <w:left w:w="17" w:type="dxa"/>
              <w:bottom w:w="0" w:type="dxa"/>
              <w:right w:w="17" w:type="dxa"/>
            </w:tcMar>
            <w:vAlign w:val="center"/>
          </w:tcPr>
          <w:p w14:paraId="0601E2A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w:t>
            </w:r>
          </w:p>
        </w:tc>
        <w:tc>
          <w:tcPr>
            <w:tcW w:w="364" w:type="pct"/>
            <w:tcBorders>
              <w:tl2br w:val="nil"/>
              <w:tr2bl w:val="nil"/>
            </w:tcBorders>
            <w:shd w:val="clear" w:color="auto" w:fill="auto"/>
            <w:tcMar>
              <w:top w:w="0" w:type="dxa"/>
              <w:left w:w="17" w:type="dxa"/>
              <w:bottom w:w="0" w:type="dxa"/>
              <w:right w:w="17" w:type="dxa"/>
            </w:tcMar>
            <w:vAlign w:val="center"/>
          </w:tcPr>
          <w:p w14:paraId="6E261B3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423C81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w:t>
            </w:r>
          </w:p>
        </w:tc>
        <w:tc>
          <w:tcPr>
            <w:tcW w:w="365" w:type="pct"/>
            <w:tcBorders>
              <w:tl2br w:val="nil"/>
              <w:tr2bl w:val="nil"/>
            </w:tcBorders>
            <w:shd w:val="clear" w:color="auto" w:fill="auto"/>
            <w:tcMar>
              <w:top w:w="0" w:type="dxa"/>
              <w:left w:w="17" w:type="dxa"/>
              <w:bottom w:w="0" w:type="dxa"/>
              <w:right w:w="17" w:type="dxa"/>
            </w:tcMar>
            <w:vAlign w:val="center"/>
          </w:tcPr>
          <w:p w14:paraId="1F278D2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w:t>
            </w:r>
          </w:p>
        </w:tc>
        <w:tc>
          <w:tcPr>
            <w:tcW w:w="316" w:type="pct"/>
            <w:tcBorders>
              <w:tl2br w:val="nil"/>
              <w:tr2bl w:val="nil"/>
            </w:tcBorders>
            <w:shd w:val="clear" w:color="auto" w:fill="auto"/>
            <w:tcMar>
              <w:top w:w="0" w:type="dxa"/>
              <w:left w:w="17" w:type="dxa"/>
              <w:bottom w:w="0" w:type="dxa"/>
              <w:right w:w="17" w:type="dxa"/>
            </w:tcMar>
            <w:vAlign w:val="center"/>
          </w:tcPr>
          <w:p w14:paraId="6419093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12" w:type="pct"/>
            <w:tcBorders>
              <w:tl2br w:val="nil"/>
              <w:tr2bl w:val="nil"/>
            </w:tcBorders>
            <w:shd w:val="clear" w:color="auto" w:fill="auto"/>
            <w:tcMar>
              <w:top w:w="0" w:type="dxa"/>
              <w:left w:w="17" w:type="dxa"/>
              <w:bottom w:w="0" w:type="dxa"/>
              <w:right w:w="17" w:type="dxa"/>
            </w:tcMar>
            <w:vAlign w:val="center"/>
          </w:tcPr>
          <w:p w14:paraId="0688D79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65" w:type="pct"/>
            <w:tcBorders>
              <w:tl2br w:val="nil"/>
              <w:tr2bl w:val="nil"/>
            </w:tcBorders>
            <w:shd w:val="clear" w:color="auto" w:fill="auto"/>
            <w:tcMar>
              <w:top w:w="0" w:type="dxa"/>
              <w:left w:w="17" w:type="dxa"/>
              <w:bottom w:w="0" w:type="dxa"/>
              <w:right w:w="17" w:type="dxa"/>
            </w:tcMar>
            <w:vAlign w:val="center"/>
          </w:tcPr>
          <w:p w14:paraId="223D9E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0.005</w:t>
            </w:r>
          </w:p>
        </w:tc>
        <w:tc>
          <w:tcPr>
            <w:tcW w:w="374" w:type="pct"/>
            <w:tcBorders>
              <w:tl2br w:val="nil"/>
              <w:tr2bl w:val="nil"/>
            </w:tcBorders>
            <w:shd w:val="clear" w:color="auto" w:fill="auto"/>
            <w:tcMar>
              <w:top w:w="0" w:type="dxa"/>
              <w:left w:w="17" w:type="dxa"/>
              <w:bottom w:w="0" w:type="dxa"/>
              <w:right w:w="17" w:type="dxa"/>
            </w:tcMar>
            <w:vAlign w:val="center"/>
          </w:tcPr>
          <w:p w14:paraId="7CE47CB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20" w:type="pct"/>
            <w:tcBorders>
              <w:tl2br w:val="nil"/>
              <w:tr2bl w:val="nil"/>
            </w:tcBorders>
            <w:shd w:val="clear" w:color="auto" w:fill="auto"/>
            <w:tcMar>
              <w:top w:w="0" w:type="dxa"/>
              <w:left w:w="17" w:type="dxa"/>
              <w:bottom w:w="0" w:type="dxa"/>
              <w:right w:w="17" w:type="dxa"/>
            </w:tcMar>
            <w:vAlign w:val="center"/>
          </w:tcPr>
          <w:p w14:paraId="42AB64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0.005</w:t>
            </w:r>
          </w:p>
        </w:tc>
        <w:tc>
          <w:tcPr>
            <w:tcW w:w="375" w:type="pct"/>
            <w:tcBorders>
              <w:tl2br w:val="nil"/>
              <w:tr2bl w:val="nil"/>
            </w:tcBorders>
            <w:shd w:val="clear" w:color="auto" w:fill="auto"/>
            <w:tcMar>
              <w:top w:w="0" w:type="dxa"/>
              <w:left w:w="17" w:type="dxa"/>
              <w:bottom w:w="0" w:type="dxa"/>
              <w:right w:w="17" w:type="dxa"/>
            </w:tcMar>
            <w:vAlign w:val="center"/>
          </w:tcPr>
          <w:p w14:paraId="1ED47AB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20" w:type="pct"/>
            <w:tcBorders>
              <w:tl2br w:val="nil"/>
              <w:tr2bl w:val="nil"/>
            </w:tcBorders>
            <w:shd w:val="clear" w:color="auto" w:fill="auto"/>
            <w:tcMar>
              <w:top w:w="0" w:type="dxa"/>
              <w:left w:w="17" w:type="dxa"/>
              <w:bottom w:w="0" w:type="dxa"/>
              <w:right w:w="17" w:type="dxa"/>
            </w:tcMar>
            <w:vAlign w:val="center"/>
          </w:tcPr>
          <w:p w14:paraId="6FD964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0.0001</w:t>
            </w:r>
          </w:p>
        </w:tc>
        <w:tc>
          <w:tcPr>
            <w:tcW w:w="320" w:type="pct"/>
            <w:tcBorders>
              <w:tl2br w:val="nil"/>
              <w:tr2bl w:val="nil"/>
            </w:tcBorders>
            <w:shd w:val="clear" w:color="auto" w:fill="auto"/>
            <w:tcMar>
              <w:top w:w="0" w:type="dxa"/>
              <w:left w:w="17" w:type="dxa"/>
              <w:bottom w:w="0" w:type="dxa"/>
              <w:right w:w="17" w:type="dxa"/>
            </w:tcMar>
            <w:vAlign w:val="center"/>
          </w:tcPr>
          <w:p w14:paraId="1ED5BA8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r>
      <w:tr w14:paraId="7E45A3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24EC5ED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BE390B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因子</w:t>
            </w:r>
          </w:p>
        </w:tc>
        <w:tc>
          <w:tcPr>
            <w:tcW w:w="364" w:type="pct"/>
            <w:tcBorders>
              <w:tl2br w:val="nil"/>
              <w:tr2bl w:val="nil"/>
            </w:tcBorders>
            <w:shd w:val="clear" w:color="auto" w:fill="auto"/>
            <w:tcMar>
              <w:top w:w="0" w:type="dxa"/>
              <w:left w:w="17" w:type="dxa"/>
              <w:bottom w:w="0" w:type="dxa"/>
              <w:right w:w="17" w:type="dxa"/>
            </w:tcMar>
            <w:vAlign w:val="center"/>
          </w:tcPr>
          <w:p w14:paraId="5F3BF9B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锌</w:t>
            </w:r>
          </w:p>
        </w:tc>
        <w:tc>
          <w:tcPr>
            <w:tcW w:w="311" w:type="pct"/>
            <w:tcBorders>
              <w:tl2br w:val="nil"/>
              <w:tr2bl w:val="nil"/>
            </w:tcBorders>
            <w:shd w:val="clear" w:color="auto" w:fill="auto"/>
            <w:tcMar>
              <w:top w:w="0" w:type="dxa"/>
              <w:left w:w="17" w:type="dxa"/>
              <w:bottom w:w="0" w:type="dxa"/>
              <w:right w:w="17" w:type="dxa"/>
            </w:tcMar>
            <w:vAlign w:val="center"/>
          </w:tcPr>
          <w:p w14:paraId="42C4B6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铜</w:t>
            </w:r>
          </w:p>
        </w:tc>
        <w:tc>
          <w:tcPr>
            <w:tcW w:w="364" w:type="pct"/>
            <w:tcBorders>
              <w:tl2br w:val="nil"/>
              <w:tr2bl w:val="nil"/>
            </w:tcBorders>
            <w:shd w:val="clear" w:color="auto" w:fill="auto"/>
            <w:tcMar>
              <w:top w:w="0" w:type="dxa"/>
              <w:left w:w="17" w:type="dxa"/>
              <w:bottom w:w="0" w:type="dxa"/>
              <w:right w:w="17" w:type="dxa"/>
            </w:tcMar>
            <w:vAlign w:val="center"/>
          </w:tcPr>
          <w:p w14:paraId="5DB1BD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铍</w:t>
            </w:r>
          </w:p>
        </w:tc>
        <w:tc>
          <w:tcPr>
            <w:tcW w:w="364" w:type="pct"/>
            <w:tcBorders>
              <w:tl2br w:val="nil"/>
              <w:tr2bl w:val="nil"/>
            </w:tcBorders>
            <w:shd w:val="clear" w:color="auto" w:fill="auto"/>
            <w:tcMar>
              <w:top w:w="0" w:type="dxa"/>
              <w:left w:w="17" w:type="dxa"/>
              <w:bottom w:w="0" w:type="dxa"/>
              <w:right w:w="17" w:type="dxa"/>
            </w:tcMar>
            <w:vAlign w:val="center"/>
          </w:tcPr>
          <w:p w14:paraId="676F46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镍</w:t>
            </w:r>
          </w:p>
        </w:tc>
        <w:tc>
          <w:tcPr>
            <w:tcW w:w="365" w:type="pct"/>
            <w:tcBorders>
              <w:tl2br w:val="nil"/>
              <w:tr2bl w:val="nil"/>
            </w:tcBorders>
            <w:shd w:val="clear" w:color="auto" w:fill="auto"/>
            <w:tcMar>
              <w:top w:w="0" w:type="dxa"/>
              <w:left w:w="17" w:type="dxa"/>
              <w:bottom w:w="0" w:type="dxa"/>
              <w:right w:w="17" w:type="dxa"/>
            </w:tcMar>
            <w:vAlign w:val="center"/>
          </w:tcPr>
          <w:p w14:paraId="5721849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六价铬</w:t>
            </w:r>
          </w:p>
        </w:tc>
        <w:tc>
          <w:tcPr>
            <w:tcW w:w="316" w:type="pct"/>
            <w:tcBorders>
              <w:tl2br w:val="nil"/>
              <w:tr2bl w:val="nil"/>
            </w:tcBorders>
            <w:shd w:val="clear" w:color="auto" w:fill="auto"/>
            <w:tcMar>
              <w:top w:w="0" w:type="dxa"/>
              <w:left w:w="17" w:type="dxa"/>
              <w:bottom w:w="0" w:type="dxa"/>
              <w:right w:w="17" w:type="dxa"/>
            </w:tcMar>
            <w:vAlign w:val="center"/>
          </w:tcPr>
          <w:p w14:paraId="582075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汞</w:t>
            </w:r>
          </w:p>
        </w:tc>
        <w:tc>
          <w:tcPr>
            <w:tcW w:w="312" w:type="pct"/>
            <w:tcBorders>
              <w:tl2br w:val="nil"/>
              <w:tr2bl w:val="nil"/>
            </w:tcBorders>
            <w:shd w:val="clear" w:color="auto" w:fill="auto"/>
            <w:tcMar>
              <w:top w:w="0" w:type="dxa"/>
              <w:left w:w="17" w:type="dxa"/>
              <w:bottom w:w="0" w:type="dxa"/>
              <w:right w:w="17" w:type="dxa"/>
            </w:tcMar>
            <w:vAlign w:val="center"/>
          </w:tcPr>
          <w:p w14:paraId="32083D2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砷</w:t>
            </w:r>
          </w:p>
        </w:tc>
        <w:tc>
          <w:tcPr>
            <w:tcW w:w="365" w:type="pct"/>
            <w:tcBorders>
              <w:tl2br w:val="nil"/>
              <w:tr2bl w:val="nil"/>
            </w:tcBorders>
            <w:shd w:val="clear" w:color="auto" w:fill="auto"/>
            <w:tcMar>
              <w:top w:w="0" w:type="dxa"/>
              <w:left w:w="17" w:type="dxa"/>
              <w:bottom w:w="0" w:type="dxa"/>
              <w:right w:w="17" w:type="dxa"/>
            </w:tcMar>
            <w:vAlign w:val="center"/>
          </w:tcPr>
          <w:p w14:paraId="18D464B8">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锑</w:t>
            </w:r>
          </w:p>
        </w:tc>
        <w:tc>
          <w:tcPr>
            <w:tcW w:w="374" w:type="pct"/>
            <w:tcBorders>
              <w:tl2br w:val="nil"/>
              <w:tr2bl w:val="nil"/>
            </w:tcBorders>
            <w:shd w:val="clear" w:color="auto" w:fill="auto"/>
            <w:tcMar>
              <w:top w:w="0" w:type="dxa"/>
              <w:left w:w="17" w:type="dxa"/>
              <w:bottom w:w="0" w:type="dxa"/>
              <w:right w:w="17" w:type="dxa"/>
            </w:tcMar>
            <w:vAlign w:val="center"/>
          </w:tcPr>
          <w:p w14:paraId="38B63B5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硒</w:t>
            </w:r>
          </w:p>
        </w:tc>
        <w:tc>
          <w:tcPr>
            <w:tcW w:w="320" w:type="pct"/>
            <w:tcBorders>
              <w:tl2br w:val="nil"/>
              <w:tr2bl w:val="nil"/>
            </w:tcBorders>
            <w:shd w:val="clear" w:color="auto" w:fill="auto"/>
            <w:tcMar>
              <w:top w:w="0" w:type="dxa"/>
              <w:left w:w="17" w:type="dxa"/>
              <w:bottom w:w="0" w:type="dxa"/>
              <w:right w:w="17" w:type="dxa"/>
            </w:tcMar>
            <w:vAlign w:val="center"/>
          </w:tcPr>
          <w:p w14:paraId="1E5E509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氟化物</w:t>
            </w:r>
          </w:p>
        </w:tc>
        <w:tc>
          <w:tcPr>
            <w:tcW w:w="375" w:type="pct"/>
            <w:tcBorders>
              <w:tl2br w:val="nil"/>
              <w:tr2bl w:val="nil"/>
            </w:tcBorders>
            <w:shd w:val="clear" w:color="auto" w:fill="auto"/>
            <w:tcMar>
              <w:top w:w="0" w:type="dxa"/>
              <w:left w:w="17" w:type="dxa"/>
              <w:bottom w:w="0" w:type="dxa"/>
              <w:right w:w="17" w:type="dxa"/>
            </w:tcMar>
            <w:vAlign w:val="center"/>
          </w:tcPr>
          <w:p w14:paraId="16CD112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硫化物</w:t>
            </w:r>
          </w:p>
        </w:tc>
        <w:tc>
          <w:tcPr>
            <w:tcW w:w="320" w:type="pct"/>
            <w:tcBorders>
              <w:tl2br w:val="nil"/>
              <w:tr2bl w:val="nil"/>
            </w:tcBorders>
            <w:shd w:val="clear" w:color="auto" w:fill="auto"/>
            <w:tcMar>
              <w:top w:w="0" w:type="dxa"/>
              <w:left w:w="17" w:type="dxa"/>
              <w:bottom w:w="0" w:type="dxa"/>
              <w:right w:w="17" w:type="dxa"/>
            </w:tcMar>
            <w:vAlign w:val="center"/>
          </w:tcPr>
          <w:p w14:paraId="3E86806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银</w:t>
            </w:r>
          </w:p>
        </w:tc>
        <w:tc>
          <w:tcPr>
            <w:tcW w:w="320" w:type="pct"/>
            <w:tcBorders>
              <w:tl2br w:val="nil"/>
              <w:tr2bl w:val="nil"/>
            </w:tcBorders>
            <w:shd w:val="clear" w:color="auto" w:fill="auto"/>
            <w:tcMar>
              <w:top w:w="0" w:type="dxa"/>
              <w:left w:w="17" w:type="dxa"/>
              <w:bottom w:w="0" w:type="dxa"/>
              <w:right w:w="17" w:type="dxa"/>
            </w:tcMar>
            <w:vAlign w:val="center"/>
          </w:tcPr>
          <w:p w14:paraId="61F50D3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919C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7B053E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4D7534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26CD1DE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44ADB07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2E3CA95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3E155C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7E3211C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3E2A43B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025646E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65" w:type="pct"/>
            <w:tcBorders>
              <w:tl2br w:val="nil"/>
              <w:tr2bl w:val="nil"/>
            </w:tcBorders>
            <w:shd w:val="clear" w:color="auto" w:fill="auto"/>
            <w:tcMar>
              <w:top w:w="0" w:type="dxa"/>
              <w:left w:w="17" w:type="dxa"/>
              <w:bottom w:w="0" w:type="dxa"/>
              <w:right w:w="17" w:type="dxa"/>
            </w:tcMar>
            <w:vAlign w:val="center"/>
          </w:tcPr>
          <w:p w14:paraId="5F4C7F3A">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613</w:t>
            </w:r>
          </w:p>
        </w:tc>
        <w:tc>
          <w:tcPr>
            <w:tcW w:w="374" w:type="pct"/>
            <w:tcBorders>
              <w:tl2br w:val="nil"/>
              <w:tr2bl w:val="nil"/>
            </w:tcBorders>
            <w:shd w:val="clear" w:color="auto" w:fill="auto"/>
            <w:tcMar>
              <w:top w:w="0" w:type="dxa"/>
              <w:left w:w="17" w:type="dxa"/>
              <w:bottom w:w="0" w:type="dxa"/>
              <w:right w:w="17" w:type="dxa"/>
            </w:tcMar>
            <w:vAlign w:val="center"/>
          </w:tcPr>
          <w:p w14:paraId="1A1E41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7DAC49F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4140A8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5BAA879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4F67B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418C1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7E1471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981327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2AB01F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5EEBFA3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06EB6BD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642D634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0D3ACCB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42F4DE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4C3BF9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0.0147</w:t>
            </w:r>
          </w:p>
        </w:tc>
        <w:tc>
          <w:tcPr>
            <w:tcW w:w="365" w:type="pct"/>
            <w:tcBorders>
              <w:tl2br w:val="nil"/>
              <w:tr2bl w:val="nil"/>
            </w:tcBorders>
            <w:shd w:val="clear" w:color="auto" w:fill="auto"/>
            <w:tcMar>
              <w:top w:w="0" w:type="dxa"/>
              <w:left w:w="17" w:type="dxa"/>
              <w:bottom w:w="0" w:type="dxa"/>
              <w:right w:w="17" w:type="dxa"/>
            </w:tcMar>
            <w:vAlign w:val="center"/>
          </w:tcPr>
          <w:p w14:paraId="4941C6F4">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0.669</w:t>
            </w:r>
          </w:p>
        </w:tc>
        <w:tc>
          <w:tcPr>
            <w:tcW w:w="374" w:type="pct"/>
            <w:tcBorders>
              <w:tl2br w:val="nil"/>
              <w:tr2bl w:val="nil"/>
            </w:tcBorders>
            <w:shd w:val="clear" w:color="auto" w:fill="auto"/>
            <w:tcMar>
              <w:top w:w="0" w:type="dxa"/>
              <w:left w:w="17" w:type="dxa"/>
              <w:bottom w:w="0" w:type="dxa"/>
              <w:right w:w="17" w:type="dxa"/>
            </w:tcMar>
            <w:vAlign w:val="center"/>
          </w:tcPr>
          <w:p w14:paraId="26D42B6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216527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w:t>
            </w:r>
          </w:p>
        </w:tc>
        <w:tc>
          <w:tcPr>
            <w:tcW w:w="375" w:type="pct"/>
            <w:tcBorders>
              <w:tl2br w:val="nil"/>
              <w:tr2bl w:val="nil"/>
            </w:tcBorders>
            <w:shd w:val="clear" w:color="auto" w:fill="auto"/>
            <w:tcMar>
              <w:top w:w="0" w:type="dxa"/>
              <w:left w:w="17" w:type="dxa"/>
              <w:bottom w:w="0" w:type="dxa"/>
              <w:right w:w="17" w:type="dxa"/>
            </w:tcMar>
            <w:vAlign w:val="center"/>
          </w:tcPr>
          <w:p w14:paraId="118914B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54BA488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8EC035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24FB9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CD465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2C5F1AD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54372F2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08C759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1FA11DC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04A12C1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7B0B7D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356B43E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621AC18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65" w:type="pct"/>
            <w:tcBorders>
              <w:tl2br w:val="nil"/>
              <w:tr2bl w:val="nil"/>
            </w:tcBorders>
            <w:shd w:val="clear" w:color="auto" w:fill="auto"/>
            <w:tcMar>
              <w:top w:w="0" w:type="dxa"/>
              <w:left w:w="17" w:type="dxa"/>
              <w:bottom w:w="0" w:type="dxa"/>
              <w:right w:w="17" w:type="dxa"/>
            </w:tcMar>
            <w:vAlign w:val="center"/>
          </w:tcPr>
          <w:p w14:paraId="20A97D64">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0.01</w:t>
            </w:r>
          </w:p>
        </w:tc>
        <w:tc>
          <w:tcPr>
            <w:tcW w:w="374" w:type="pct"/>
            <w:tcBorders>
              <w:tl2br w:val="nil"/>
              <w:tr2bl w:val="nil"/>
            </w:tcBorders>
            <w:shd w:val="clear" w:color="auto" w:fill="auto"/>
            <w:tcMar>
              <w:top w:w="0" w:type="dxa"/>
              <w:left w:w="17" w:type="dxa"/>
              <w:bottom w:w="0" w:type="dxa"/>
              <w:right w:w="17" w:type="dxa"/>
            </w:tcMar>
            <w:vAlign w:val="center"/>
          </w:tcPr>
          <w:p w14:paraId="4CF54BB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10B79C3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1B3AD61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69A09F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9FA9AB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CF1A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9AD61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78CAAA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2070B8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46589C7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174C52A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08D8B8D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662F4D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382732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09270E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65" w:type="pct"/>
            <w:tcBorders>
              <w:tl2br w:val="nil"/>
              <w:tr2bl w:val="nil"/>
            </w:tcBorders>
            <w:shd w:val="clear" w:color="auto" w:fill="auto"/>
            <w:tcMar>
              <w:top w:w="0" w:type="dxa"/>
              <w:left w:w="17" w:type="dxa"/>
              <w:bottom w:w="0" w:type="dxa"/>
              <w:right w:w="17" w:type="dxa"/>
            </w:tcMar>
            <w:vAlign w:val="center"/>
          </w:tcPr>
          <w:p w14:paraId="13C5F7F6">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0.191</w:t>
            </w:r>
          </w:p>
        </w:tc>
        <w:tc>
          <w:tcPr>
            <w:tcW w:w="374" w:type="pct"/>
            <w:tcBorders>
              <w:tl2br w:val="nil"/>
              <w:tr2bl w:val="nil"/>
            </w:tcBorders>
            <w:shd w:val="clear" w:color="auto" w:fill="auto"/>
            <w:tcMar>
              <w:top w:w="0" w:type="dxa"/>
              <w:left w:w="17" w:type="dxa"/>
              <w:bottom w:w="0" w:type="dxa"/>
              <w:right w:w="17" w:type="dxa"/>
            </w:tcMar>
            <w:vAlign w:val="center"/>
          </w:tcPr>
          <w:p w14:paraId="140BC75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13D34A0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6467A8E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79669EE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ECBF4B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691C2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E2B188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14B7C6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34328B7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0DCF6E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19322B4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3ACC3D1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058F65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1C51DDA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3F1729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0.0119</w:t>
            </w:r>
          </w:p>
        </w:tc>
        <w:tc>
          <w:tcPr>
            <w:tcW w:w="365" w:type="pct"/>
            <w:tcBorders>
              <w:tl2br w:val="nil"/>
              <w:tr2bl w:val="nil"/>
            </w:tcBorders>
            <w:shd w:val="clear" w:color="auto" w:fill="auto"/>
            <w:tcMar>
              <w:top w:w="0" w:type="dxa"/>
              <w:left w:w="17" w:type="dxa"/>
              <w:bottom w:w="0" w:type="dxa"/>
              <w:right w:w="17" w:type="dxa"/>
            </w:tcMar>
            <w:vAlign w:val="center"/>
          </w:tcPr>
          <w:p w14:paraId="08077FE7">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0.147</w:t>
            </w:r>
          </w:p>
        </w:tc>
        <w:tc>
          <w:tcPr>
            <w:tcW w:w="374" w:type="pct"/>
            <w:tcBorders>
              <w:tl2br w:val="nil"/>
              <w:tr2bl w:val="nil"/>
            </w:tcBorders>
            <w:shd w:val="clear" w:color="auto" w:fill="auto"/>
            <w:tcMar>
              <w:top w:w="0" w:type="dxa"/>
              <w:left w:w="17" w:type="dxa"/>
              <w:bottom w:w="0" w:type="dxa"/>
              <w:right w:w="17" w:type="dxa"/>
            </w:tcMar>
            <w:vAlign w:val="center"/>
          </w:tcPr>
          <w:p w14:paraId="40DF43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0204AE8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430FAB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06DB6B5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96C66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690E7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6B03D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435B4BC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12D757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F0131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65A1B2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F7E18D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B076B7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6785CC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3506ACD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0D0D19A">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0.01</w:t>
            </w:r>
            <w:r>
              <w:rPr>
                <w:rFonts w:hint="eastAsia"/>
                <w:b/>
                <w:bCs/>
                <w:color w:val="auto"/>
                <w:highlight w:val="none"/>
                <w:lang w:val="en-US" w:eastAsia="zh-CN"/>
              </w:rPr>
              <w:t>13</w:t>
            </w:r>
          </w:p>
        </w:tc>
        <w:tc>
          <w:tcPr>
            <w:tcW w:w="374" w:type="pct"/>
            <w:tcBorders>
              <w:tl2br w:val="nil"/>
              <w:tr2bl w:val="nil"/>
            </w:tcBorders>
            <w:shd w:val="clear" w:color="auto" w:fill="auto"/>
            <w:tcMar>
              <w:top w:w="0" w:type="dxa"/>
              <w:left w:w="17" w:type="dxa"/>
              <w:bottom w:w="0" w:type="dxa"/>
              <w:right w:w="17" w:type="dxa"/>
            </w:tcMar>
            <w:vAlign w:val="center"/>
          </w:tcPr>
          <w:p w14:paraId="5A1BB35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97AB44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DD0742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B1EC1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BA3583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DB72B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73FCBA6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1A585B0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51A72D3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7ED862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0ED5E3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947F85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A9D97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1D9ADC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7718018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722E7E1">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0.0118</w:t>
            </w:r>
          </w:p>
        </w:tc>
        <w:tc>
          <w:tcPr>
            <w:tcW w:w="374" w:type="pct"/>
            <w:tcBorders>
              <w:tl2br w:val="nil"/>
              <w:tr2bl w:val="nil"/>
            </w:tcBorders>
            <w:shd w:val="clear" w:color="auto" w:fill="auto"/>
            <w:tcMar>
              <w:top w:w="0" w:type="dxa"/>
              <w:left w:w="17" w:type="dxa"/>
              <w:bottom w:w="0" w:type="dxa"/>
              <w:right w:w="17" w:type="dxa"/>
            </w:tcMar>
            <w:vAlign w:val="center"/>
          </w:tcPr>
          <w:p w14:paraId="0A8BEAF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B73A55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820221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E9F663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FFE385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368B1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3189C5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1DCC655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7CF7BCA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BAF987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60542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56D645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3C2DC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22B94DA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1D2D79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619E621">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189</w:t>
            </w:r>
          </w:p>
        </w:tc>
        <w:tc>
          <w:tcPr>
            <w:tcW w:w="374" w:type="pct"/>
            <w:tcBorders>
              <w:tl2br w:val="nil"/>
              <w:tr2bl w:val="nil"/>
            </w:tcBorders>
            <w:shd w:val="clear" w:color="auto" w:fill="auto"/>
            <w:tcMar>
              <w:top w:w="0" w:type="dxa"/>
              <w:left w:w="17" w:type="dxa"/>
              <w:bottom w:w="0" w:type="dxa"/>
              <w:right w:w="17" w:type="dxa"/>
            </w:tcMar>
            <w:vAlign w:val="center"/>
          </w:tcPr>
          <w:p w14:paraId="554083A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3D2AF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52A3C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13C7DE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44EE8F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D14D4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0BE28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5CF0D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5EC01B0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BD800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3FEBE7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06163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6DA9F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D3AE64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6214736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4F36309">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0.0105</w:t>
            </w:r>
          </w:p>
        </w:tc>
        <w:tc>
          <w:tcPr>
            <w:tcW w:w="374" w:type="pct"/>
            <w:tcBorders>
              <w:tl2br w:val="nil"/>
              <w:tr2bl w:val="nil"/>
            </w:tcBorders>
            <w:shd w:val="clear" w:color="auto" w:fill="auto"/>
            <w:tcMar>
              <w:top w:w="0" w:type="dxa"/>
              <w:left w:w="17" w:type="dxa"/>
              <w:bottom w:w="0" w:type="dxa"/>
              <w:right w:w="17" w:type="dxa"/>
            </w:tcMar>
            <w:vAlign w:val="center"/>
          </w:tcPr>
          <w:p w14:paraId="5EE237F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9A97F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10B67F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D3678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A70DE6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D6407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358617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3DEA73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335427D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4623E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200854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9AA8D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3C3117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1779D2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77F26C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65736FF">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0.0010</w:t>
            </w:r>
          </w:p>
        </w:tc>
        <w:tc>
          <w:tcPr>
            <w:tcW w:w="374" w:type="pct"/>
            <w:tcBorders>
              <w:tl2br w:val="nil"/>
              <w:tr2bl w:val="nil"/>
            </w:tcBorders>
            <w:shd w:val="clear" w:color="auto" w:fill="auto"/>
            <w:tcMar>
              <w:top w:w="0" w:type="dxa"/>
              <w:left w:w="17" w:type="dxa"/>
              <w:bottom w:w="0" w:type="dxa"/>
              <w:right w:w="17" w:type="dxa"/>
            </w:tcMar>
            <w:vAlign w:val="center"/>
          </w:tcPr>
          <w:p w14:paraId="51163EA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6DEC20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74896F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9E507A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03A7F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CBC15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28431AA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D57B75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57D201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A2C8B5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A22BB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B77BFC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3605A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A9F7C0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2437F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0D657F3">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0.0009</w:t>
            </w:r>
          </w:p>
        </w:tc>
        <w:tc>
          <w:tcPr>
            <w:tcW w:w="374" w:type="pct"/>
            <w:tcBorders>
              <w:tl2br w:val="nil"/>
              <w:tr2bl w:val="nil"/>
            </w:tcBorders>
            <w:shd w:val="clear" w:color="auto" w:fill="auto"/>
            <w:tcMar>
              <w:top w:w="0" w:type="dxa"/>
              <w:left w:w="17" w:type="dxa"/>
              <w:bottom w:w="0" w:type="dxa"/>
              <w:right w:w="17" w:type="dxa"/>
            </w:tcMar>
            <w:vAlign w:val="center"/>
          </w:tcPr>
          <w:p w14:paraId="1A160A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FEE9BD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BA889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2CA1BA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6D0BD9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78F76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54BBC2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36F94F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01B5424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FB318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8BED7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AC8CFB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3E247E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7E5ED1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7D1CB3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090BBF5">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0.0014</w:t>
            </w:r>
          </w:p>
        </w:tc>
        <w:tc>
          <w:tcPr>
            <w:tcW w:w="374" w:type="pct"/>
            <w:tcBorders>
              <w:tl2br w:val="nil"/>
              <w:tr2bl w:val="nil"/>
            </w:tcBorders>
            <w:shd w:val="clear" w:color="auto" w:fill="auto"/>
            <w:tcMar>
              <w:top w:w="0" w:type="dxa"/>
              <w:left w:w="17" w:type="dxa"/>
              <w:bottom w:w="0" w:type="dxa"/>
              <w:right w:w="17" w:type="dxa"/>
            </w:tcMar>
            <w:vAlign w:val="center"/>
          </w:tcPr>
          <w:p w14:paraId="66E3951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69E028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7C62D3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8E869C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04AC5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BEB4E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8D0DF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E16330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S13</w:t>
            </w:r>
          </w:p>
        </w:tc>
        <w:tc>
          <w:tcPr>
            <w:tcW w:w="364" w:type="pct"/>
            <w:tcBorders>
              <w:tl2br w:val="nil"/>
              <w:tr2bl w:val="nil"/>
            </w:tcBorders>
            <w:shd w:val="clear" w:color="auto" w:fill="auto"/>
            <w:tcMar>
              <w:top w:w="0" w:type="dxa"/>
              <w:left w:w="17" w:type="dxa"/>
              <w:bottom w:w="0" w:type="dxa"/>
              <w:right w:w="17" w:type="dxa"/>
            </w:tcMar>
            <w:vAlign w:val="center"/>
          </w:tcPr>
          <w:p w14:paraId="3EFEC84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8F77DB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903C13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B6F652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9833F6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077B47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379DAB7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D107809">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0.01</w:t>
            </w:r>
            <w:r>
              <w:rPr>
                <w:rFonts w:hint="eastAsia"/>
                <w:b/>
                <w:bCs/>
                <w:color w:val="auto"/>
                <w:highlight w:val="none"/>
                <w:lang w:val="en-US" w:eastAsia="zh-CN"/>
              </w:rPr>
              <w:t>30</w:t>
            </w:r>
          </w:p>
        </w:tc>
        <w:tc>
          <w:tcPr>
            <w:tcW w:w="374" w:type="pct"/>
            <w:tcBorders>
              <w:tl2br w:val="nil"/>
              <w:tr2bl w:val="nil"/>
            </w:tcBorders>
            <w:shd w:val="clear" w:color="auto" w:fill="auto"/>
            <w:tcMar>
              <w:top w:w="0" w:type="dxa"/>
              <w:left w:w="17" w:type="dxa"/>
              <w:bottom w:w="0" w:type="dxa"/>
              <w:right w:w="17" w:type="dxa"/>
            </w:tcMar>
            <w:vAlign w:val="center"/>
          </w:tcPr>
          <w:p w14:paraId="6412CAD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3F2B0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37BE27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02FB1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53EAF4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E32DA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F9CD93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9BCCBF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7D1AA9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11" w:type="pct"/>
            <w:tcBorders>
              <w:tl2br w:val="nil"/>
              <w:tr2bl w:val="nil"/>
            </w:tcBorders>
            <w:shd w:val="clear" w:color="auto" w:fill="auto"/>
            <w:tcMar>
              <w:top w:w="0" w:type="dxa"/>
              <w:left w:w="17" w:type="dxa"/>
              <w:bottom w:w="0" w:type="dxa"/>
              <w:right w:w="17" w:type="dxa"/>
            </w:tcMar>
            <w:vAlign w:val="center"/>
          </w:tcPr>
          <w:p w14:paraId="29D2EC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7F45941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0.002</w:t>
            </w:r>
          </w:p>
        </w:tc>
        <w:tc>
          <w:tcPr>
            <w:tcW w:w="364" w:type="pct"/>
            <w:tcBorders>
              <w:tl2br w:val="nil"/>
              <w:tr2bl w:val="nil"/>
            </w:tcBorders>
            <w:shd w:val="clear" w:color="auto" w:fill="auto"/>
            <w:tcMar>
              <w:top w:w="0" w:type="dxa"/>
              <w:left w:w="17" w:type="dxa"/>
              <w:bottom w:w="0" w:type="dxa"/>
              <w:right w:w="17" w:type="dxa"/>
            </w:tcMar>
            <w:vAlign w:val="center"/>
          </w:tcPr>
          <w:p w14:paraId="07E9E1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0.02</w:t>
            </w:r>
          </w:p>
        </w:tc>
        <w:tc>
          <w:tcPr>
            <w:tcW w:w="365" w:type="pct"/>
            <w:tcBorders>
              <w:tl2br w:val="nil"/>
              <w:tr2bl w:val="nil"/>
            </w:tcBorders>
            <w:shd w:val="clear" w:color="auto" w:fill="auto"/>
            <w:tcMar>
              <w:top w:w="0" w:type="dxa"/>
              <w:left w:w="17" w:type="dxa"/>
              <w:bottom w:w="0" w:type="dxa"/>
              <w:right w:w="17" w:type="dxa"/>
            </w:tcMar>
            <w:vAlign w:val="center"/>
          </w:tcPr>
          <w:p w14:paraId="72123D2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16" w:type="pct"/>
            <w:tcBorders>
              <w:tl2br w:val="nil"/>
              <w:tr2bl w:val="nil"/>
            </w:tcBorders>
            <w:shd w:val="clear" w:color="auto" w:fill="auto"/>
            <w:tcMar>
              <w:top w:w="0" w:type="dxa"/>
              <w:left w:w="17" w:type="dxa"/>
              <w:bottom w:w="0" w:type="dxa"/>
              <w:right w:w="17" w:type="dxa"/>
            </w:tcMar>
            <w:vAlign w:val="center"/>
          </w:tcPr>
          <w:p w14:paraId="3950062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0.0001</w:t>
            </w:r>
          </w:p>
        </w:tc>
        <w:tc>
          <w:tcPr>
            <w:tcW w:w="312" w:type="pct"/>
            <w:tcBorders>
              <w:tl2br w:val="nil"/>
              <w:tr2bl w:val="nil"/>
            </w:tcBorders>
            <w:shd w:val="clear" w:color="auto" w:fill="auto"/>
            <w:tcMar>
              <w:top w:w="0" w:type="dxa"/>
              <w:left w:w="17" w:type="dxa"/>
              <w:bottom w:w="0" w:type="dxa"/>
              <w:right w:w="17" w:type="dxa"/>
            </w:tcMar>
            <w:vAlign w:val="center"/>
          </w:tcPr>
          <w:p w14:paraId="7D69087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65" w:type="pct"/>
            <w:tcBorders>
              <w:tl2br w:val="nil"/>
              <w:tr2bl w:val="nil"/>
            </w:tcBorders>
            <w:shd w:val="clear" w:color="auto" w:fill="auto"/>
            <w:tcMar>
              <w:top w:w="0" w:type="dxa"/>
              <w:left w:w="17" w:type="dxa"/>
              <w:bottom w:w="0" w:type="dxa"/>
              <w:right w:w="17" w:type="dxa"/>
            </w:tcMar>
            <w:vAlign w:val="center"/>
          </w:tcPr>
          <w:p w14:paraId="341AF061">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0.005</w:t>
            </w:r>
          </w:p>
        </w:tc>
        <w:tc>
          <w:tcPr>
            <w:tcW w:w="374" w:type="pct"/>
            <w:tcBorders>
              <w:tl2br w:val="nil"/>
              <w:tr2bl w:val="nil"/>
            </w:tcBorders>
            <w:shd w:val="clear" w:color="auto" w:fill="auto"/>
            <w:tcMar>
              <w:top w:w="0" w:type="dxa"/>
              <w:left w:w="17" w:type="dxa"/>
              <w:bottom w:w="0" w:type="dxa"/>
              <w:right w:w="17" w:type="dxa"/>
            </w:tcMar>
            <w:vAlign w:val="center"/>
          </w:tcPr>
          <w:p w14:paraId="03ABC3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w:t>
            </w:r>
          </w:p>
        </w:tc>
        <w:tc>
          <w:tcPr>
            <w:tcW w:w="320" w:type="pct"/>
            <w:tcBorders>
              <w:tl2br w:val="nil"/>
              <w:tr2bl w:val="nil"/>
            </w:tcBorders>
            <w:shd w:val="clear" w:color="auto" w:fill="auto"/>
            <w:tcMar>
              <w:top w:w="0" w:type="dxa"/>
              <w:left w:w="17" w:type="dxa"/>
              <w:bottom w:w="0" w:type="dxa"/>
              <w:right w:w="17" w:type="dxa"/>
            </w:tcMar>
            <w:vAlign w:val="center"/>
          </w:tcPr>
          <w:p w14:paraId="765C832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75" w:type="pct"/>
            <w:tcBorders>
              <w:tl2br w:val="nil"/>
              <w:tr2bl w:val="nil"/>
            </w:tcBorders>
            <w:shd w:val="clear" w:color="auto" w:fill="auto"/>
            <w:tcMar>
              <w:top w:w="0" w:type="dxa"/>
              <w:left w:w="17" w:type="dxa"/>
              <w:bottom w:w="0" w:type="dxa"/>
              <w:right w:w="17" w:type="dxa"/>
            </w:tcMar>
            <w:vAlign w:val="center"/>
          </w:tcPr>
          <w:p w14:paraId="6115B8A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w:t>
            </w:r>
          </w:p>
        </w:tc>
        <w:tc>
          <w:tcPr>
            <w:tcW w:w="320" w:type="pct"/>
            <w:tcBorders>
              <w:tl2br w:val="nil"/>
              <w:tr2bl w:val="nil"/>
            </w:tcBorders>
            <w:shd w:val="clear" w:color="auto" w:fill="auto"/>
            <w:tcMar>
              <w:top w:w="0" w:type="dxa"/>
              <w:left w:w="17" w:type="dxa"/>
              <w:bottom w:w="0" w:type="dxa"/>
              <w:right w:w="17" w:type="dxa"/>
            </w:tcMar>
            <w:vAlign w:val="center"/>
          </w:tcPr>
          <w:p w14:paraId="500E490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20" w:type="pct"/>
            <w:tcBorders>
              <w:tl2br w:val="nil"/>
              <w:tr2bl w:val="nil"/>
            </w:tcBorders>
            <w:shd w:val="clear" w:color="auto" w:fill="auto"/>
            <w:tcMar>
              <w:top w:w="0" w:type="dxa"/>
              <w:left w:w="17" w:type="dxa"/>
              <w:bottom w:w="0" w:type="dxa"/>
              <w:right w:w="17" w:type="dxa"/>
            </w:tcMar>
            <w:vAlign w:val="center"/>
          </w:tcPr>
          <w:p w14:paraId="7433C99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CC2A0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restart"/>
            <w:tcBorders>
              <w:tl2br w:val="nil"/>
              <w:tr2bl w:val="nil"/>
            </w:tcBorders>
            <w:shd w:val="clear" w:color="auto" w:fill="auto"/>
            <w:tcMar>
              <w:top w:w="0" w:type="dxa"/>
              <w:left w:w="17" w:type="dxa"/>
              <w:bottom w:w="0" w:type="dxa"/>
              <w:right w:w="17" w:type="dxa"/>
            </w:tcMar>
            <w:vAlign w:val="center"/>
          </w:tcPr>
          <w:p w14:paraId="4FF1228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第</w:t>
            </w:r>
            <w:r>
              <w:rPr>
                <w:rFonts w:hint="eastAsia"/>
                <w:color w:val="auto"/>
                <w:highlight w:val="none"/>
                <w:lang w:val="en-US" w:eastAsia="zh-CN"/>
              </w:rPr>
              <w:t>三</w:t>
            </w:r>
            <w:r>
              <w:rPr>
                <w:rFonts w:hint="default"/>
                <w:color w:val="auto"/>
                <w:highlight w:val="none"/>
                <w:lang w:val="en-US" w:eastAsia="zh-CN"/>
              </w:rPr>
              <w:t>天</w:t>
            </w:r>
          </w:p>
        </w:tc>
        <w:tc>
          <w:tcPr>
            <w:tcW w:w="240" w:type="pct"/>
            <w:tcBorders>
              <w:tl2br w:val="nil"/>
              <w:tr2bl w:val="nil"/>
            </w:tcBorders>
            <w:shd w:val="clear" w:color="auto" w:fill="auto"/>
            <w:tcMar>
              <w:top w:w="0" w:type="dxa"/>
              <w:left w:w="17" w:type="dxa"/>
              <w:bottom w:w="0" w:type="dxa"/>
              <w:right w:w="17" w:type="dxa"/>
            </w:tcMar>
            <w:vAlign w:val="center"/>
          </w:tcPr>
          <w:p w14:paraId="27514A0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因子</w:t>
            </w:r>
          </w:p>
        </w:tc>
        <w:tc>
          <w:tcPr>
            <w:tcW w:w="364" w:type="pct"/>
            <w:tcBorders>
              <w:tl2br w:val="nil"/>
              <w:tr2bl w:val="nil"/>
            </w:tcBorders>
            <w:shd w:val="clear" w:color="auto" w:fill="auto"/>
            <w:tcMar>
              <w:top w:w="0" w:type="dxa"/>
              <w:left w:w="17" w:type="dxa"/>
              <w:bottom w:w="0" w:type="dxa"/>
              <w:right w:w="17" w:type="dxa"/>
            </w:tcMar>
            <w:vAlign w:val="center"/>
          </w:tcPr>
          <w:p w14:paraId="4EF755D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pH值</w:t>
            </w:r>
          </w:p>
        </w:tc>
        <w:tc>
          <w:tcPr>
            <w:tcW w:w="311" w:type="pct"/>
            <w:tcBorders>
              <w:tl2br w:val="nil"/>
              <w:tr2bl w:val="nil"/>
            </w:tcBorders>
            <w:shd w:val="clear" w:color="auto" w:fill="auto"/>
            <w:tcMar>
              <w:top w:w="0" w:type="dxa"/>
              <w:left w:w="17" w:type="dxa"/>
              <w:bottom w:w="0" w:type="dxa"/>
              <w:right w:w="17" w:type="dxa"/>
            </w:tcMar>
            <w:vAlign w:val="center"/>
          </w:tcPr>
          <w:p w14:paraId="1AC43F6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COD</w:t>
            </w:r>
            <w:r>
              <w:rPr>
                <w:rFonts w:hint="eastAsia"/>
                <w:color w:val="auto"/>
                <w:highlight w:val="none"/>
                <w:lang w:val="en-US" w:eastAsia="zh-CN"/>
              </w:rPr>
              <w:t>Cr</w:t>
            </w:r>
          </w:p>
        </w:tc>
        <w:tc>
          <w:tcPr>
            <w:tcW w:w="364" w:type="pct"/>
            <w:tcBorders>
              <w:tl2br w:val="nil"/>
              <w:tr2bl w:val="nil"/>
            </w:tcBorders>
            <w:shd w:val="clear" w:color="auto" w:fill="auto"/>
            <w:tcMar>
              <w:top w:w="0" w:type="dxa"/>
              <w:left w:w="17" w:type="dxa"/>
              <w:bottom w:w="0" w:type="dxa"/>
              <w:right w:w="17" w:type="dxa"/>
            </w:tcMar>
            <w:vAlign w:val="center"/>
          </w:tcPr>
          <w:p w14:paraId="7B1EAC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氨氮</w:t>
            </w:r>
          </w:p>
        </w:tc>
        <w:tc>
          <w:tcPr>
            <w:tcW w:w="364" w:type="pct"/>
            <w:tcBorders>
              <w:tl2br w:val="nil"/>
              <w:tr2bl w:val="nil"/>
            </w:tcBorders>
            <w:shd w:val="clear" w:color="auto" w:fill="auto"/>
            <w:tcMar>
              <w:top w:w="0" w:type="dxa"/>
              <w:left w:w="17" w:type="dxa"/>
              <w:bottom w:w="0" w:type="dxa"/>
              <w:right w:w="17" w:type="dxa"/>
            </w:tcMar>
            <w:vAlign w:val="center"/>
          </w:tcPr>
          <w:p w14:paraId="674496C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总磷</w:t>
            </w:r>
          </w:p>
        </w:tc>
        <w:tc>
          <w:tcPr>
            <w:tcW w:w="365" w:type="pct"/>
            <w:tcBorders>
              <w:tl2br w:val="nil"/>
              <w:tr2bl w:val="nil"/>
            </w:tcBorders>
            <w:shd w:val="clear" w:color="auto" w:fill="auto"/>
            <w:tcMar>
              <w:top w:w="0" w:type="dxa"/>
              <w:left w:w="17" w:type="dxa"/>
              <w:bottom w:w="0" w:type="dxa"/>
              <w:right w:w="17" w:type="dxa"/>
            </w:tcMar>
            <w:vAlign w:val="center"/>
          </w:tcPr>
          <w:p w14:paraId="265F0A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BOD5</w:t>
            </w:r>
          </w:p>
        </w:tc>
        <w:tc>
          <w:tcPr>
            <w:tcW w:w="316" w:type="pct"/>
            <w:tcBorders>
              <w:tl2br w:val="nil"/>
              <w:tr2bl w:val="nil"/>
            </w:tcBorders>
            <w:shd w:val="clear" w:color="auto" w:fill="auto"/>
            <w:tcMar>
              <w:top w:w="0" w:type="dxa"/>
              <w:left w:w="17" w:type="dxa"/>
              <w:bottom w:w="0" w:type="dxa"/>
              <w:right w:w="17" w:type="dxa"/>
            </w:tcMar>
            <w:vAlign w:val="center"/>
          </w:tcPr>
          <w:p w14:paraId="0EC429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悬浮物</w:t>
            </w:r>
          </w:p>
        </w:tc>
        <w:tc>
          <w:tcPr>
            <w:tcW w:w="312" w:type="pct"/>
            <w:tcBorders>
              <w:tl2br w:val="nil"/>
              <w:tr2bl w:val="nil"/>
            </w:tcBorders>
            <w:shd w:val="clear" w:color="auto" w:fill="auto"/>
            <w:tcMar>
              <w:top w:w="0" w:type="dxa"/>
              <w:left w:w="17" w:type="dxa"/>
              <w:bottom w:w="0" w:type="dxa"/>
              <w:right w:w="17" w:type="dxa"/>
            </w:tcMar>
            <w:vAlign w:val="center"/>
          </w:tcPr>
          <w:p w14:paraId="643F628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石油类</w:t>
            </w:r>
          </w:p>
        </w:tc>
        <w:tc>
          <w:tcPr>
            <w:tcW w:w="365" w:type="pct"/>
            <w:tcBorders>
              <w:tl2br w:val="nil"/>
              <w:tr2bl w:val="nil"/>
            </w:tcBorders>
            <w:shd w:val="clear" w:color="auto" w:fill="auto"/>
            <w:tcMar>
              <w:top w:w="0" w:type="dxa"/>
              <w:left w:w="17" w:type="dxa"/>
              <w:bottom w:w="0" w:type="dxa"/>
              <w:right w:w="17" w:type="dxa"/>
            </w:tcMar>
            <w:vAlign w:val="center"/>
          </w:tcPr>
          <w:p w14:paraId="15756E6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挥发酚</w:t>
            </w:r>
          </w:p>
        </w:tc>
        <w:tc>
          <w:tcPr>
            <w:tcW w:w="374" w:type="pct"/>
            <w:tcBorders>
              <w:tl2br w:val="nil"/>
              <w:tr2bl w:val="nil"/>
            </w:tcBorders>
            <w:shd w:val="clear" w:color="auto" w:fill="auto"/>
            <w:tcMar>
              <w:top w:w="0" w:type="dxa"/>
              <w:left w:w="17" w:type="dxa"/>
              <w:bottom w:w="0" w:type="dxa"/>
              <w:right w:w="17" w:type="dxa"/>
            </w:tcMar>
            <w:vAlign w:val="center"/>
          </w:tcPr>
          <w:p w14:paraId="49E68C2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铅</w:t>
            </w:r>
          </w:p>
        </w:tc>
        <w:tc>
          <w:tcPr>
            <w:tcW w:w="320" w:type="pct"/>
            <w:tcBorders>
              <w:tl2br w:val="nil"/>
              <w:tr2bl w:val="nil"/>
            </w:tcBorders>
            <w:shd w:val="clear" w:color="auto" w:fill="auto"/>
            <w:tcMar>
              <w:top w:w="0" w:type="dxa"/>
              <w:left w:w="17" w:type="dxa"/>
              <w:bottom w:w="0" w:type="dxa"/>
              <w:right w:w="17" w:type="dxa"/>
            </w:tcMar>
            <w:vAlign w:val="center"/>
          </w:tcPr>
          <w:p w14:paraId="46EF09F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镉</w:t>
            </w:r>
          </w:p>
        </w:tc>
        <w:tc>
          <w:tcPr>
            <w:tcW w:w="375" w:type="pct"/>
            <w:tcBorders>
              <w:tl2br w:val="nil"/>
              <w:tr2bl w:val="nil"/>
            </w:tcBorders>
            <w:shd w:val="clear" w:color="auto" w:fill="auto"/>
            <w:tcMar>
              <w:top w:w="0" w:type="dxa"/>
              <w:left w:w="17" w:type="dxa"/>
              <w:bottom w:w="0" w:type="dxa"/>
              <w:right w:w="17" w:type="dxa"/>
            </w:tcMar>
            <w:vAlign w:val="center"/>
          </w:tcPr>
          <w:p w14:paraId="2601D01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铬</w:t>
            </w:r>
          </w:p>
        </w:tc>
        <w:tc>
          <w:tcPr>
            <w:tcW w:w="320" w:type="pct"/>
            <w:tcBorders>
              <w:tl2br w:val="nil"/>
              <w:tr2bl w:val="nil"/>
            </w:tcBorders>
            <w:shd w:val="clear" w:color="auto" w:fill="auto"/>
            <w:tcMar>
              <w:top w:w="0" w:type="dxa"/>
              <w:left w:w="17" w:type="dxa"/>
              <w:bottom w:w="0" w:type="dxa"/>
              <w:right w:w="17" w:type="dxa"/>
            </w:tcMar>
            <w:vAlign w:val="center"/>
          </w:tcPr>
          <w:p w14:paraId="45FFF6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铊</w:t>
            </w:r>
          </w:p>
        </w:tc>
        <w:tc>
          <w:tcPr>
            <w:tcW w:w="320" w:type="pct"/>
            <w:tcBorders>
              <w:tl2br w:val="nil"/>
              <w:tr2bl w:val="nil"/>
            </w:tcBorders>
            <w:shd w:val="clear" w:color="auto" w:fill="auto"/>
            <w:tcMar>
              <w:top w:w="0" w:type="dxa"/>
              <w:left w:w="17" w:type="dxa"/>
              <w:bottom w:w="0" w:type="dxa"/>
              <w:right w:w="17" w:type="dxa"/>
            </w:tcMar>
            <w:vAlign w:val="center"/>
          </w:tcPr>
          <w:p w14:paraId="02D6E0E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钒</w:t>
            </w:r>
          </w:p>
        </w:tc>
      </w:tr>
      <w:tr w14:paraId="175F0C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036F0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063106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511932E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0040707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w:t>
            </w:r>
          </w:p>
        </w:tc>
        <w:tc>
          <w:tcPr>
            <w:tcW w:w="364" w:type="pct"/>
            <w:tcBorders>
              <w:tl2br w:val="nil"/>
              <w:tr2bl w:val="nil"/>
            </w:tcBorders>
            <w:shd w:val="clear" w:color="auto" w:fill="auto"/>
            <w:tcMar>
              <w:top w:w="0" w:type="dxa"/>
              <w:left w:w="17" w:type="dxa"/>
              <w:bottom w:w="0" w:type="dxa"/>
              <w:right w:w="17" w:type="dxa"/>
            </w:tcMar>
            <w:vAlign w:val="center"/>
          </w:tcPr>
          <w:p w14:paraId="24410B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0.025L</w:t>
            </w:r>
          </w:p>
        </w:tc>
        <w:tc>
          <w:tcPr>
            <w:tcW w:w="364" w:type="pct"/>
            <w:tcBorders>
              <w:tl2br w:val="nil"/>
              <w:tr2bl w:val="nil"/>
            </w:tcBorders>
            <w:shd w:val="clear" w:color="auto" w:fill="auto"/>
            <w:tcMar>
              <w:top w:w="0" w:type="dxa"/>
              <w:left w:w="17" w:type="dxa"/>
              <w:bottom w:w="0" w:type="dxa"/>
              <w:right w:w="17" w:type="dxa"/>
            </w:tcMar>
            <w:vAlign w:val="center"/>
          </w:tcPr>
          <w:p w14:paraId="5C901AB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36B6F47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1.7</w:t>
            </w:r>
          </w:p>
        </w:tc>
        <w:tc>
          <w:tcPr>
            <w:tcW w:w="316" w:type="pct"/>
            <w:tcBorders>
              <w:tl2br w:val="nil"/>
              <w:tr2bl w:val="nil"/>
            </w:tcBorders>
            <w:shd w:val="clear" w:color="auto" w:fill="auto"/>
            <w:tcMar>
              <w:top w:w="0" w:type="dxa"/>
              <w:left w:w="17" w:type="dxa"/>
              <w:bottom w:w="0" w:type="dxa"/>
              <w:right w:w="17" w:type="dxa"/>
            </w:tcMar>
            <w:vAlign w:val="center"/>
          </w:tcPr>
          <w:p w14:paraId="03DEBE5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11</w:t>
            </w:r>
          </w:p>
        </w:tc>
        <w:tc>
          <w:tcPr>
            <w:tcW w:w="312" w:type="pct"/>
            <w:tcBorders>
              <w:tl2br w:val="nil"/>
              <w:tr2bl w:val="nil"/>
            </w:tcBorders>
            <w:shd w:val="clear" w:color="auto" w:fill="auto"/>
            <w:tcMar>
              <w:top w:w="0" w:type="dxa"/>
              <w:left w:w="17" w:type="dxa"/>
              <w:bottom w:w="0" w:type="dxa"/>
              <w:right w:w="17" w:type="dxa"/>
            </w:tcMar>
            <w:vAlign w:val="center"/>
          </w:tcPr>
          <w:p w14:paraId="0DF58C0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4234223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5F2E658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2D9371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5A4EA2C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1B69EED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55DB643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4E6C8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44B1B5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1FC99A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46B604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61B9D8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9</w:t>
            </w:r>
          </w:p>
        </w:tc>
        <w:tc>
          <w:tcPr>
            <w:tcW w:w="364" w:type="pct"/>
            <w:tcBorders>
              <w:tl2br w:val="nil"/>
              <w:tr2bl w:val="nil"/>
            </w:tcBorders>
            <w:shd w:val="clear" w:color="auto" w:fill="auto"/>
            <w:tcMar>
              <w:top w:w="0" w:type="dxa"/>
              <w:left w:w="17" w:type="dxa"/>
              <w:bottom w:w="0" w:type="dxa"/>
              <w:right w:w="17" w:type="dxa"/>
            </w:tcMar>
            <w:vAlign w:val="center"/>
          </w:tcPr>
          <w:p w14:paraId="1B006D6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0.025L</w:t>
            </w:r>
          </w:p>
        </w:tc>
        <w:tc>
          <w:tcPr>
            <w:tcW w:w="364" w:type="pct"/>
            <w:tcBorders>
              <w:tl2br w:val="nil"/>
              <w:tr2bl w:val="nil"/>
            </w:tcBorders>
            <w:shd w:val="clear" w:color="auto" w:fill="auto"/>
            <w:tcMar>
              <w:top w:w="0" w:type="dxa"/>
              <w:left w:w="17" w:type="dxa"/>
              <w:bottom w:w="0" w:type="dxa"/>
              <w:right w:w="17" w:type="dxa"/>
            </w:tcMar>
            <w:vAlign w:val="center"/>
          </w:tcPr>
          <w:p w14:paraId="335BFF5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w:t>
            </w:r>
          </w:p>
        </w:tc>
        <w:tc>
          <w:tcPr>
            <w:tcW w:w="365" w:type="pct"/>
            <w:tcBorders>
              <w:tl2br w:val="nil"/>
              <w:tr2bl w:val="nil"/>
            </w:tcBorders>
            <w:shd w:val="clear" w:color="auto" w:fill="auto"/>
            <w:tcMar>
              <w:top w:w="0" w:type="dxa"/>
              <w:left w:w="17" w:type="dxa"/>
              <w:bottom w:w="0" w:type="dxa"/>
              <w:right w:w="17" w:type="dxa"/>
            </w:tcMar>
            <w:vAlign w:val="center"/>
          </w:tcPr>
          <w:p w14:paraId="2319893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2.3</w:t>
            </w:r>
          </w:p>
        </w:tc>
        <w:tc>
          <w:tcPr>
            <w:tcW w:w="316" w:type="pct"/>
            <w:tcBorders>
              <w:tl2br w:val="nil"/>
              <w:tr2bl w:val="nil"/>
            </w:tcBorders>
            <w:shd w:val="clear" w:color="auto" w:fill="auto"/>
            <w:tcMar>
              <w:top w:w="0" w:type="dxa"/>
              <w:left w:w="17" w:type="dxa"/>
              <w:bottom w:w="0" w:type="dxa"/>
              <w:right w:w="17" w:type="dxa"/>
            </w:tcMar>
            <w:vAlign w:val="center"/>
          </w:tcPr>
          <w:p w14:paraId="21F52A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15</w:t>
            </w:r>
          </w:p>
        </w:tc>
        <w:tc>
          <w:tcPr>
            <w:tcW w:w="312" w:type="pct"/>
            <w:tcBorders>
              <w:tl2br w:val="nil"/>
              <w:tr2bl w:val="nil"/>
            </w:tcBorders>
            <w:shd w:val="clear" w:color="auto" w:fill="auto"/>
            <w:tcMar>
              <w:top w:w="0" w:type="dxa"/>
              <w:left w:w="17" w:type="dxa"/>
              <w:bottom w:w="0" w:type="dxa"/>
              <w:right w:w="17" w:type="dxa"/>
            </w:tcMar>
            <w:vAlign w:val="center"/>
          </w:tcPr>
          <w:p w14:paraId="268BAA1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630673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69574A0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2FF6922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751ADBC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095218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47E4F4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4E0B5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707BFA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2999166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30D63F3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w:t>
            </w:r>
          </w:p>
        </w:tc>
        <w:tc>
          <w:tcPr>
            <w:tcW w:w="311" w:type="pct"/>
            <w:tcBorders>
              <w:tl2br w:val="nil"/>
              <w:tr2bl w:val="nil"/>
            </w:tcBorders>
            <w:shd w:val="clear" w:color="auto" w:fill="auto"/>
            <w:tcMar>
              <w:top w:w="0" w:type="dxa"/>
              <w:left w:w="17" w:type="dxa"/>
              <w:bottom w:w="0" w:type="dxa"/>
              <w:right w:w="17" w:type="dxa"/>
            </w:tcMar>
            <w:vAlign w:val="center"/>
          </w:tcPr>
          <w:p w14:paraId="56CB3F7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9</w:t>
            </w:r>
          </w:p>
        </w:tc>
        <w:tc>
          <w:tcPr>
            <w:tcW w:w="364" w:type="pct"/>
            <w:tcBorders>
              <w:tl2br w:val="nil"/>
              <w:tr2bl w:val="nil"/>
            </w:tcBorders>
            <w:shd w:val="clear" w:color="auto" w:fill="auto"/>
            <w:tcMar>
              <w:top w:w="0" w:type="dxa"/>
              <w:left w:w="17" w:type="dxa"/>
              <w:bottom w:w="0" w:type="dxa"/>
              <w:right w:w="17" w:type="dxa"/>
            </w:tcMar>
            <w:vAlign w:val="center"/>
          </w:tcPr>
          <w:p w14:paraId="7E26EEA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0.025L</w:t>
            </w:r>
          </w:p>
        </w:tc>
        <w:tc>
          <w:tcPr>
            <w:tcW w:w="364" w:type="pct"/>
            <w:tcBorders>
              <w:tl2br w:val="nil"/>
              <w:tr2bl w:val="nil"/>
            </w:tcBorders>
            <w:shd w:val="clear" w:color="auto" w:fill="auto"/>
            <w:tcMar>
              <w:top w:w="0" w:type="dxa"/>
              <w:left w:w="17" w:type="dxa"/>
              <w:bottom w:w="0" w:type="dxa"/>
              <w:right w:w="17" w:type="dxa"/>
            </w:tcMar>
            <w:vAlign w:val="center"/>
          </w:tcPr>
          <w:p w14:paraId="3D59ABF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0.03</w:t>
            </w:r>
          </w:p>
        </w:tc>
        <w:tc>
          <w:tcPr>
            <w:tcW w:w="365" w:type="pct"/>
            <w:tcBorders>
              <w:tl2br w:val="nil"/>
              <w:tr2bl w:val="nil"/>
            </w:tcBorders>
            <w:shd w:val="clear" w:color="auto" w:fill="auto"/>
            <w:tcMar>
              <w:top w:w="0" w:type="dxa"/>
              <w:left w:w="17" w:type="dxa"/>
              <w:bottom w:w="0" w:type="dxa"/>
              <w:right w:w="17" w:type="dxa"/>
            </w:tcMar>
            <w:vAlign w:val="center"/>
          </w:tcPr>
          <w:p w14:paraId="0680850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2.3</w:t>
            </w:r>
          </w:p>
        </w:tc>
        <w:tc>
          <w:tcPr>
            <w:tcW w:w="316" w:type="pct"/>
            <w:tcBorders>
              <w:tl2br w:val="nil"/>
              <w:tr2bl w:val="nil"/>
            </w:tcBorders>
            <w:shd w:val="clear" w:color="auto" w:fill="auto"/>
            <w:tcMar>
              <w:top w:w="0" w:type="dxa"/>
              <w:left w:w="17" w:type="dxa"/>
              <w:bottom w:w="0" w:type="dxa"/>
              <w:right w:w="17" w:type="dxa"/>
            </w:tcMar>
            <w:vAlign w:val="center"/>
          </w:tcPr>
          <w:p w14:paraId="4DA497A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9</w:t>
            </w:r>
          </w:p>
        </w:tc>
        <w:tc>
          <w:tcPr>
            <w:tcW w:w="312" w:type="pct"/>
            <w:tcBorders>
              <w:tl2br w:val="nil"/>
              <w:tr2bl w:val="nil"/>
            </w:tcBorders>
            <w:shd w:val="clear" w:color="auto" w:fill="auto"/>
            <w:tcMar>
              <w:top w:w="0" w:type="dxa"/>
              <w:left w:w="17" w:type="dxa"/>
              <w:bottom w:w="0" w:type="dxa"/>
              <w:right w:w="17" w:type="dxa"/>
            </w:tcMar>
            <w:vAlign w:val="center"/>
          </w:tcPr>
          <w:p w14:paraId="35DAA5E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182FC20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0BC589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489E2E5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0.0001L</w:t>
            </w:r>
          </w:p>
        </w:tc>
        <w:tc>
          <w:tcPr>
            <w:tcW w:w="375" w:type="pct"/>
            <w:tcBorders>
              <w:tl2br w:val="nil"/>
              <w:tr2bl w:val="nil"/>
            </w:tcBorders>
            <w:shd w:val="clear" w:color="auto" w:fill="auto"/>
            <w:tcMar>
              <w:top w:w="0" w:type="dxa"/>
              <w:left w:w="17" w:type="dxa"/>
              <w:bottom w:w="0" w:type="dxa"/>
              <w:right w:w="17" w:type="dxa"/>
            </w:tcMar>
            <w:vAlign w:val="center"/>
          </w:tcPr>
          <w:p w14:paraId="532DA2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70E3B27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765B052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1EE1D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5DEAFF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BAC3CE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7CD9F97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56CA55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13</w:t>
            </w:r>
          </w:p>
        </w:tc>
        <w:tc>
          <w:tcPr>
            <w:tcW w:w="364" w:type="pct"/>
            <w:tcBorders>
              <w:tl2br w:val="nil"/>
              <w:tr2bl w:val="nil"/>
            </w:tcBorders>
            <w:shd w:val="clear" w:color="auto" w:fill="auto"/>
            <w:tcMar>
              <w:top w:w="0" w:type="dxa"/>
              <w:left w:w="17" w:type="dxa"/>
              <w:bottom w:w="0" w:type="dxa"/>
              <w:right w:w="17" w:type="dxa"/>
            </w:tcMar>
            <w:vAlign w:val="center"/>
          </w:tcPr>
          <w:p w14:paraId="0484CA5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0.25</w:t>
            </w:r>
          </w:p>
        </w:tc>
        <w:tc>
          <w:tcPr>
            <w:tcW w:w="364" w:type="pct"/>
            <w:tcBorders>
              <w:tl2br w:val="nil"/>
              <w:tr2bl w:val="nil"/>
            </w:tcBorders>
            <w:shd w:val="clear" w:color="auto" w:fill="auto"/>
            <w:tcMar>
              <w:top w:w="0" w:type="dxa"/>
              <w:left w:w="17" w:type="dxa"/>
              <w:bottom w:w="0" w:type="dxa"/>
              <w:right w:w="17" w:type="dxa"/>
            </w:tcMar>
            <w:vAlign w:val="center"/>
          </w:tcPr>
          <w:p w14:paraId="4161518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0.06</w:t>
            </w:r>
          </w:p>
        </w:tc>
        <w:tc>
          <w:tcPr>
            <w:tcW w:w="365" w:type="pct"/>
            <w:tcBorders>
              <w:tl2br w:val="nil"/>
              <w:tr2bl w:val="nil"/>
            </w:tcBorders>
            <w:shd w:val="clear" w:color="auto" w:fill="auto"/>
            <w:tcMar>
              <w:top w:w="0" w:type="dxa"/>
              <w:left w:w="17" w:type="dxa"/>
              <w:bottom w:w="0" w:type="dxa"/>
              <w:right w:w="17" w:type="dxa"/>
            </w:tcMar>
            <w:vAlign w:val="center"/>
          </w:tcPr>
          <w:p w14:paraId="30381AB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3.2</w:t>
            </w:r>
          </w:p>
        </w:tc>
        <w:tc>
          <w:tcPr>
            <w:tcW w:w="316" w:type="pct"/>
            <w:tcBorders>
              <w:tl2br w:val="nil"/>
              <w:tr2bl w:val="nil"/>
            </w:tcBorders>
            <w:shd w:val="clear" w:color="auto" w:fill="auto"/>
            <w:tcMar>
              <w:top w:w="0" w:type="dxa"/>
              <w:left w:w="17" w:type="dxa"/>
              <w:bottom w:w="0" w:type="dxa"/>
              <w:right w:w="17" w:type="dxa"/>
            </w:tcMar>
            <w:vAlign w:val="center"/>
          </w:tcPr>
          <w:p w14:paraId="707C059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10</w:t>
            </w:r>
          </w:p>
        </w:tc>
        <w:tc>
          <w:tcPr>
            <w:tcW w:w="312" w:type="pct"/>
            <w:tcBorders>
              <w:tl2br w:val="nil"/>
              <w:tr2bl w:val="nil"/>
            </w:tcBorders>
            <w:shd w:val="clear" w:color="auto" w:fill="auto"/>
            <w:tcMar>
              <w:top w:w="0" w:type="dxa"/>
              <w:left w:w="17" w:type="dxa"/>
              <w:bottom w:w="0" w:type="dxa"/>
              <w:right w:w="17" w:type="dxa"/>
            </w:tcMar>
            <w:vAlign w:val="center"/>
          </w:tcPr>
          <w:p w14:paraId="127AE9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75545FA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035CD8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429C04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w:t>
            </w:r>
          </w:p>
        </w:tc>
        <w:tc>
          <w:tcPr>
            <w:tcW w:w="375" w:type="pct"/>
            <w:tcBorders>
              <w:tl2br w:val="nil"/>
              <w:tr2bl w:val="nil"/>
            </w:tcBorders>
            <w:shd w:val="clear" w:color="auto" w:fill="auto"/>
            <w:tcMar>
              <w:top w:w="0" w:type="dxa"/>
              <w:left w:w="17" w:type="dxa"/>
              <w:bottom w:w="0" w:type="dxa"/>
              <w:right w:w="17" w:type="dxa"/>
            </w:tcMar>
            <w:vAlign w:val="center"/>
          </w:tcPr>
          <w:p w14:paraId="2F2E288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533D3A2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32D9051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F30A0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B87F82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6A6F06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441641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w:t>
            </w:r>
          </w:p>
        </w:tc>
        <w:tc>
          <w:tcPr>
            <w:tcW w:w="311" w:type="pct"/>
            <w:tcBorders>
              <w:tl2br w:val="nil"/>
              <w:tr2bl w:val="nil"/>
            </w:tcBorders>
            <w:shd w:val="clear" w:color="auto" w:fill="auto"/>
            <w:tcMar>
              <w:top w:w="0" w:type="dxa"/>
              <w:left w:w="17" w:type="dxa"/>
              <w:bottom w:w="0" w:type="dxa"/>
              <w:right w:w="17" w:type="dxa"/>
            </w:tcMar>
            <w:vAlign w:val="center"/>
          </w:tcPr>
          <w:p w14:paraId="4C4C6A4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11</w:t>
            </w:r>
          </w:p>
        </w:tc>
        <w:tc>
          <w:tcPr>
            <w:tcW w:w="364" w:type="pct"/>
            <w:tcBorders>
              <w:tl2br w:val="nil"/>
              <w:tr2bl w:val="nil"/>
            </w:tcBorders>
            <w:shd w:val="clear" w:color="auto" w:fill="auto"/>
            <w:tcMar>
              <w:top w:w="0" w:type="dxa"/>
              <w:left w:w="17" w:type="dxa"/>
              <w:bottom w:w="0" w:type="dxa"/>
              <w:right w:w="17" w:type="dxa"/>
            </w:tcMar>
            <w:vAlign w:val="center"/>
          </w:tcPr>
          <w:p w14:paraId="5E22ED8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0.06</w:t>
            </w:r>
          </w:p>
        </w:tc>
        <w:tc>
          <w:tcPr>
            <w:tcW w:w="364" w:type="pct"/>
            <w:tcBorders>
              <w:tl2br w:val="nil"/>
              <w:tr2bl w:val="nil"/>
            </w:tcBorders>
            <w:shd w:val="clear" w:color="auto" w:fill="auto"/>
            <w:tcMar>
              <w:top w:w="0" w:type="dxa"/>
              <w:left w:w="17" w:type="dxa"/>
              <w:bottom w:w="0" w:type="dxa"/>
              <w:right w:w="17" w:type="dxa"/>
            </w:tcMar>
            <w:vAlign w:val="center"/>
          </w:tcPr>
          <w:p w14:paraId="489AEC2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0.04</w:t>
            </w:r>
          </w:p>
        </w:tc>
        <w:tc>
          <w:tcPr>
            <w:tcW w:w="365" w:type="pct"/>
            <w:tcBorders>
              <w:tl2br w:val="nil"/>
              <w:tr2bl w:val="nil"/>
            </w:tcBorders>
            <w:shd w:val="clear" w:color="auto" w:fill="auto"/>
            <w:tcMar>
              <w:top w:w="0" w:type="dxa"/>
              <w:left w:w="17" w:type="dxa"/>
              <w:bottom w:w="0" w:type="dxa"/>
              <w:right w:w="17" w:type="dxa"/>
            </w:tcMar>
            <w:vAlign w:val="center"/>
          </w:tcPr>
          <w:p w14:paraId="21AA8F8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2.7</w:t>
            </w:r>
          </w:p>
        </w:tc>
        <w:tc>
          <w:tcPr>
            <w:tcW w:w="316" w:type="pct"/>
            <w:tcBorders>
              <w:tl2br w:val="nil"/>
              <w:tr2bl w:val="nil"/>
            </w:tcBorders>
            <w:shd w:val="clear" w:color="auto" w:fill="auto"/>
            <w:tcMar>
              <w:top w:w="0" w:type="dxa"/>
              <w:left w:w="17" w:type="dxa"/>
              <w:bottom w:w="0" w:type="dxa"/>
              <w:right w:w="17" w:type="dxa"/>
            </w:tcMar>
            <w:vAlign w:val="center"/>
          </w:tcPr>
          <w:p w14:paraId="149633D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15</w:t>
            </w:r>
          </w:p>
        </w:tc>
        <w:tc>
          <w:tcPr>
            <w:tcW w:w="312" w:type="pct"/>
            <w:tcBorders>
              <w:tl2br w:val="nil"/>
              <w:tr2bl w:val="nil"/>
            </w:tcBorders>
            <w:shd w:val="clear" w:color="auto" w:fill="auto"/>
            <w:tcMar>
              <w:top w:w="0" w:type="dxa"/>
              <w:left w:w="17" w:type="dxa"/>
              <w:bottom w:w="0" w:type="dxa"/>
              <w:right w:w="17" w:type="dxa"/>
            </w:tcMar>
            <w:vAlign w:val="center"/>
          </w:tcPr>
          <w:p w14:paraId="38618B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29B819C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74" w:type="pct"/>
            <w:tcBorders>
              <w:tl2br w:val="nil"/>
              <w:tr2bl w:val="nil"/>
            </w:tcBorders>
            <w:shd w:val="clear" w:color="auto" w:fill="auto"/>
            <w:tcMar>
              <w:top w:w="0" w:type="dxa"/>
              <w:left w:w="17" w:type="dxa"/>
              <w:bottom w:w="0" w:type="dxa"/>
              <w:right w:w="17" w:type="dxa"/>
            </w:tcMar>
            <w:vAlign w:val="center"/>
          </w:tcPr>
          <w:p w14:paraId="0799D7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20" w:type="pct"/>
            <w:tcBorders>
              <w:tl2br w:val="nil"/>
              <w:tr2bl w:val="nil"/>
            </w:tcBorders>
            <w:shd w:val="clear" w:color="auto" w:fill="auto"/>
            <w:tcMar>
              <w:top w:w="0" w:type="dxa"/>
              <w:left w:w="17" w:type="dxa"/>
              <w:bottom w:w="0" w:type="dxa"/>
              <w:right w:w="17" w:type="dxa"/>
            </w:tcMar>
            <w:vAlign w:val="center"/>
          </w:tcPr>
          <w:p w14:paraId="4750FD8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0.0098</w:t>
            </w:r>
          </w:p>
        </w:tc>
        <w:tc>
          <w:tcPr>
            <w:tcW w:w="375" w:type="pct"/>
            <w:tcBorders>
              <w:tl2br w:val="nil"/>
              <w:tr2bl w:val="nil"/>
            </w:tcBorders>
            <w:shd w:val="clear" w:color="auto" w:fill="auto"/>
            <w:tcMar>
              <w:top w:w="0" w:type="dxa"/>
              <w:left w:w="17" w:type="dxa"/>
              <w:bottom w:w="0" w:type="dxa"/>
              <w:right w:w="17" w:type="dxa"/>
            </w:tcMar>
            <w:vAlign w:val="center"/>
          </w:tcPr>
          <w:p w14:paraId="6781A5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20" w:type="pct"/>
            <w:tcBorders>
              <w:tl2br w:val="nil"/>
              <w:tr2bl w:val="nil"/>
            </w:tcBorders>
            <w:shd w:val="clear" w:color="auto" w:fill="auto"/>
            <w:tcMar>
              <w:top w:w="0" w:type="dxa"/>
              <w:left w:w="17" w:type="dxa"/>
              <w:bottom w:w="0" w:type="dxa"/>
              <w:right w:w="17" w:type="dxa"/>
            </w:tcMar>
            <w:vAlign w:val="center"/>
          </w:tcPr>
          <w:p w14:paraId="410D035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6130B55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01CC4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60AB66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7B9BF3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23B80F7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06529C0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528167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51885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4944D3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1A5B7A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1C72B8C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0B88B8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BBF247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C59E5E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58FC08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3C5A18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65CB9B3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7855F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7FCD9ED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34433F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3F847EB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440859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97CEF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A8204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BF548A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212290A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DBACD6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F9C635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1EDDA42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986116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4ACFD32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81A50E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278CB06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E27D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4A64FE7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4921729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316A28E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257F07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7BF1B3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1FA801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35863D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4B76132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3CE5945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E38871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75D496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169112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735368C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871C81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2340A7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D6E00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A4B3E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867128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496B710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5E06D6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80184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4168C5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6BA6EF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3CB3A8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17BD4C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9A3398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75624B3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DCDDBD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830B87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C298E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7D266E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601FA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CCF4DC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6C765E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1EC954F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6C7A669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72019A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E87EA2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08232D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EE3B5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07BEA5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712669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633296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E19580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C7D82A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EA091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7BD56A7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6162E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F861E1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008FF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560642D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9E5030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56B9A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1422E2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DE1B77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701C380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740B2E2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24ABCD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6D630DF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D9F60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0BDF20D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4EE22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A29F9E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EA49F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319C62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2469A0D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6FA64D2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6EDB621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47F97C4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4A795A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4F79D1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7C8EAD7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0D6C929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9F1803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60C9C7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3EE08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046612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234BE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E7E766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95BC9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7BF035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3082C6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S13</w:t>
            </w:r>
          </w:p>
        </w:tc>
        <w:tc>
          <w:tcPr>
            <w:tcW w:w="364" w:type="pct"/>
            <w:tcBorders>
              <w:tl2br w:val="nil"/>
              <w:tr2bl w:val="nil"/>
            </w:tcBorders>
            <w:shd w:val="clear" w:color="auto" w:fill="auto"/>
            <w:tcMar>
              <w:top w:w="0" w:type="dxa"/>
              <w:left w:w="17" w:type="dxa"/>
              <w:bottom w:w="0" w:type="dxa"/>
              <w:right w:w="17" w:type="dxa"/>
            </w:tcMar>
            <w:vAlign w:val="center"/>
          </w:tcPr>
          <w:p w14:paraId="762203C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1AD835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4F176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C4763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E215D6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7E95BDA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5C1CC9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374F28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26E437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0E6A44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6F3491A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9A9C6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30A9EA9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54497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453E8F0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BEABAB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S14</w:t>
            </w:r>
          </w:p>
        </w:tc>
        <w:tc>
          <w:tcPr>
            <w:tcW w:w="364" w:type="pct"/>
            <w:tcBorders>
              <w:tl2br w:val="nil"/>
              <w:tr2bl w:val="nil"/>
            </w:tcBorders>
            <w:shd w:val="clear" w:color="auto" w:fill="auto"/>
            <w:tcMar>
              <w:top w:w="0" w:type="dxa"/>
              <w:left w:w="17" w:type="dxa"/>
              <w:bottom w:w="0" w:type="dxa"/>
              <w:right w:w="17" w:type="dxa"/>
            </w:tcMar>
            <w:vAlign w:val="center"/>
          </w:tcPr>
          <w:p w14:paraId="73FEA99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7.2</w:t>
            </w:r>
          </w:p>
        </w:tc>
        <w:tc>
          <w:tcPr>
            <w:tcW w:w="311" w:type="pct"/>
            <w:tcBorders>
              <w:tl2br w:val="nil"/>
              <w:tr2bl w:val="nil"/>
            </w:tcBorders>
            <w:shd w:val="clear" w:color="auto" w:fill="auto"/>
            <w:tcMar>
              <w:top w:w="0" w:type="dxa"/>
              <w:left w:w="17" w:type="dxa"/>
              <w:bottom w:w="0" w:type="dxa"/>
              <w:right w:w="17" w:type="dxa"/>
            </w:tcMar>
            <w:vAlign w:val="center"/>
          </w:tcPr>
          <w:p w14:paraId="3E03225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14</w:t>
            </w:r>
          </w:p>
        </w:tc>
        <w:tc>
          <w:tcPr>
            <w:tcW w:w="364" w:type="pct"/>
            <w:tcBorders>
              <w:tl2br w:val="nil"/>
              <w:tr2bl w:val="nil"/>
            </w:tcBorders>
            <w:shd w:val="clear" w:color="auto" w:fill="auto"/>
            <w:tcMar>
              <w:top w:w="0" w:type="dxa"/>
              <w:left w:w="17" w:type="dxa"/>
              <w:bottom w:w="0" w:type="dxa"/>
              <w:right w:w="17" w:type="dxa"/>
            </w:tcMar>
            <w:vAlign w:val="center"/>
          </w:tcPr>
          <w:p w14:paraId="22E4297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0.44</w:t>
            </w:r>
          </w:p>
        </w:tc>
        <w:tc>
          <w:tcPr>
            <w:tcW w:w="364" w:type="pct"/>
            <w:tcBorders>
              <w:tl2br w:val="nil"/>
              <w:tr2bl w:val="nil"/>
            </w:tcBorders>
            <w:shd w:val="clear" w:color="auto" w:fill="auto"/>
            <w:tcMar>
              <w:top w:w="0" w:type="dxa"/>
              <w:left w:w="17" w:type="dxa"/>
              <w:bottom w:w="0" w:type="dxa"/>
              <w:right w:w="17" w:type="dxa"/>
            </w:tcMar>
            <w:vAlign w:val="center"/>
          </w:tcPr>
          <w:p w14:paraId="400F6D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0.11</w:t>
            </w:r>
          </w:p>
        </w:tc>
        <w:tc>
          <w:tcPr>
            <w:tcW w:w="365" w:type="pct"/>
            <w:tcBorders>
              <w:tl2br w:val="nil"/>
              <w:tr2bl w:val="nil"/>
            </w:tcBorders>
            <w:shd w:val="clear" w:color="auto" w:fill="auto"/>
            <w:tcMar>
              <w:top w:w="0" w:type="dxa"/>
              <w:left w:w="17" w:type="dxa"/>
              <w:bottom w:w="0" w:type="dxa"/>
              <w:right w:w="17" w:type="dxa"/>
            </w:tcMar>
            <w:vAlign w:val="center"/>
          </w:tcPr>
          <w:p w14:paraId="456A45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3.6</w:t>
            </w:r>
          </w:p>
        </w:tc>
        <w:tc>
          <w:tcPr>
            <w:tcW w:w="316" w:type="pct"/>
            <w:tcBorders>
              <w:tl2br w:val="nil"/>
              <w:tr2bl w:val="nil"/>
            </w:tcBorders>
            <w:shd w:val="clear" w:color="auto" w:fill="auto"/>
            <w:tcMar>
              <w:top w:w="0" w:type="dxa"/>
              <w:left w:w="17" w:type="dxa"/>
              <w:bottom w:w="0" w:type="dxa"/>
              <w:right w:w="17" w:type="dxa"/>
            </w:tcMar>
            <w:vAlign w:val="center"/>
          </w:tcPr>
          <w:p w14:paraId="3F0947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12</w:t>
            </w:r>
          </w:p>
        </w:tc>
        <w:tc>
          <w:tcPr>
            <w:tcW w:w="312" w:type="pct"/>
            <w:tcBorders>
              <w:tl2br w:val="nil"/>
              <w:tr2bl w:val="nil"/>
            </w:tcBorders>
            <w:shd w:val="clear" w:color="auto" w:fill="auto"/>
            <w:tcMar>
              <w:top w:w="0" w:type="dxa"/>
              <w:left w:w="17" w:type="dxa"/>
              <w:bottom w:w="0" w:type="dxa"/>
              <w:right w:w="17" w:type="dxa"/>
            </w:tcMar>
            <w:vAlign w:val="center"/>
          </w:tcPr>
          <w:p w14:paraId="352960B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0.01L</w:t>
            </w:r>
          </w:p>
        </w:tc>
        <w:tc>
          <w:tcPr>
            <w:tcW w:w="365" w:type="pct"/>
            <w:tcBorders>
              <w:tl2br w:val="nil"/>
              <w:tr2bl w:val="nil"/>
            </w:tcBorders>
            <w:shd w:val="clear" w:color="auto" w:fill="auto"/>
            <w:tcMar>
              <w:top w:w="0" w:type="dxa"/>
              <w:left w:w="17" w:type="dxa"/>
              <w:bottom w:w="0" w:type="dxa"/>
              <w:right w:w="17" w:type="dxa"/>
            </w:tcMar>
            <w:vAlign w:val="center"/>
          </w:tcPr>
          <w:p w14:paraId="657DD5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4" w:type="pct"/>
            <w:tcBorders>
              <w:tl2br w:val="nil"/>
              <w:tr2bl w:val="nil"/>
            </w:tcBorders>
            <w:shd w:val="clear" w:color="auto" w:fill="auto"/>
            <w:tcMar>
              <w:top w:w="0" w:type="dxa"/>
              <w:left w:w="17" w:type="dxa"/>
              <w:bottom w:w="0" w:type="dxa"/>
              <w:right w:w="17" w:type="dxa"/>
            </w:tcMar>
            <w:vAlign w:val="center"/>
          </w:tcPr>
          <w:p w14:paraId="0E23104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4B801A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524F61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C7D644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0.00003L</w:t>
            </w:r>
          </w:p>
        </w:tc>
        <w:tc>
          <w:tcPr>
            <w:tcW w:w="320" w:type="pct"/>
            <w:tcBorders>
              <w:tl2br w:val="nil"/>
              <w:tr2bl w:val="nil"/>
            </w:tcBorders>
            <w:shd w:val="clear" w:color="auto" w:fill="auto"/>
            <w:tcMar>
              <w:top w:w="0" w:type="dxa"/>
              <w:left w:w="17" w:type="dxa"/>
              <w:bottom w:w="0" w:type="dxa"/>
              <w:right w:w="17" w:type="dxa"/>
            </w:tcMar>
            <w:vAlign w:val="center"/>
          </w:tcPr>
          <w:p w14:paraId="12D6511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98253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02DE8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9CD40C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76BDDA5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6~9</w:t>
            </w:r>
          </w:p>
        </w:tc>
        <w:tc>
          <w:tcPr>
            <w:tcW w:w="311" w:type="pct"/>
            <w:tcBorders>
              <w:tl2br w:val="nil"/>
              <w:tr2bl w:val="nil"/>
            </w:tcBorders>
            <w:shd w:val="clear" w:color="auto" w:fill="auto"/>
            <w:tcMar>
              <w:top w:w="0" w:type="dxa"/>
              <w:left w:w="17" w:type="dxa"/>
              <w:bottom w:w="0" w:type="dxa"/>
              <w:right w:w="17" w:type="dxa"/>
            </w:tcMar>
            <w:vAlign w:val="center"/>
          </w:tcPr>
          <w:p w14:paraId="631CCB8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w:t>
            </w:r>
          </w:p>
        </w:tc>
        <w:tc>
          <w:tcPr>
            <w:tcW w:w="364" w:type="pct"/>
            <w:tcBorders>
              <w:tl2br w:val="nil"/>
              <w:tr2bl w:val="nil"/>
            </w:tcBorders>
            <w:shd w:val="clear" w:color="auto" w:fill="auto"/>
            <w:tcMar>
              <w:top w:w="0" w:type="dxa"/>
              <w:left w:w="17" w:type="dxa"/>
              <w:bottom w:w="0" w:type="dxa"/>
              <w:right w:w="17" w:type="dxa"/>
            </w:tcMar>
            <w:vAlign w:val="center"/>
          </w:tcPr>
          <w:p w14:paraId="237AAF9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34D0E5F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w:t>
            </w:r>
          </w:p>
        </w:tc>
        <w:tc>
          <w:tcPr>
            <w:tcW w:w="365" w:type="pct"/>
            <w:tcBorders>
              <w:tl2br w:val="nil"/>
              <w:tr2bl w:val="nil"/>
            </w:tcBorders>
            <w:shd w:val="clear" w:color="auto" w:fill="auto"/>
            <w:tcMar>
              <w:top w:w="0" w:type="dxa"/>
              <w:left w:w="17" w:type="dxa"/>
              <w:bottom w:w="0" w:type="dxa"/>
              <w:right w:w="17" w:type="dxa"/>
            </w:tcMar>
            <w:vAlign w:val="center"/>
          </w:tcPr>
          <w:p w14:paraId="299F03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w:t>
            </w:r>
          </w:p>
        </w:tc>
        <w:tc>
          <w:tcPr>
            <w:tcW w:w="316" w:type="pct"/>
            <w:tcBorders>
              <w:tl2br w:val="nil"/>
              <w:tr2bl w:val="nil"/>
            </w:tcBorders>
            <w:shd w:val="clear" w:color="auto" w:fill="auto"/>
            <w:tcMar>
              <w:top w:w="0" w:type="dxa"/>
              <w:left w:w="17" w:type="dxa"/>
              <w:bottom w:w="0" w:type="dxa"/>
              <w:right w:w="17" w:type="dxa"/>
            </w:tcMar>
            <w:vAlign w:val="center"/>
          </w:tcPr>
          <w:p w14:paraId="263EAFE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12" w:type="pct"/>
            <w:tcBorders>
              <w:tl2br w:val="nil"/>
              <w:tr2bl w:val="nil"/>
            </w:tcBorders>
            <w:shd w:val="clear" w:color="auto" w:fill="auto"/>
            <w:tcMar>
              <w:top w:w="0" w:type="dxa"/>
              <w:left w:w="17" w:type="dxa"/>
              <w:bottom w:w="0" w:type="dxa"/>
              <w:right w:w="17" w:type="dxa"/>
            </w:tcMar>
            <w:vAlign w:val="center"/>
          </w:tcPr>
          <w:p w14:paraId="5462607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65" w:type="pct"/>
            <w:tcBorders>
              <w:tl2br w:val="nil"/>
              <w:tr2bl w:val="nil"/>
            </w:tcBorders>
            <w:shd w:val="clear" w:color="auto" w:fill="auto"/>
            <w:tcMar>
              <w:top w:w="0" w:type="dxa"/>
              <w:left w:w="17" w:type="dxa"/>
              <w:bottom w:w="0" w:type="dxa"/>
              <w:right w:w="17" w:type="dxa"/>
            </w:tcMar>
            <w:vAlign w:val="center"/>
          </w:tcPr>
          <w:p w14:paraId="28E76A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0.005</w:t>
            </w:r>
          </w:p>
        </w:tc>
        <w:tc>
          <w:tcPr>
            <w:tcW w:w="374" w:type="pct"/>
            <w:tcBorders>
              <w:tl2br w:val="nil"/>
              <w:tr2bl w:val="nil"/>
            </w:tcBorders>
            <w:shd w:val="clear" w:color="auto" w:fill="auto"/>
            <w:tcMar>
              <w:top w:w="0" w:type="dxa"/>
              <w:left w:w="17" w:type="dxa"/>
              <w:bottom w:w="0" w:type="dxa"/>
              <w:right w:w="17" w:type="dxa"/>
            </w:tcMar>
            <w:vAlign w:val="center"/>
          </w:tcPr>
          <w:p w14:paraId="08FBD8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20" w:type="pct"/>
            <w:tcBorders>
              <w:tl2br w:val="nil"/>
              <w:tr2bl w:val="nil"/>
            </w:tcBorders>
            <w:shd w:val="clear" w:color="auto" w:fill="auto"/>
            <w:tcMar>
              <w:top w:w="0" w:type="dxa"/>
              <w:left w:w="17" w:type="dxa"/>
              <w:bottom w:w="0" w:type="dxa"/>
              <w:right w:w="17" w:type="dxa"/>
            </w:tcMar>
            <w:vAlign w:val="center"/>
          </w:tcPr>
          <w:p w14:paraId="6022C54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0.005</w:t>
            </w:r>
          </w:p>
        </w:tc>
        <w:tc>
          <w:tcPr>
            <w:tcW w:w="375" w:type="pct"/>
            <w:tcBorders>
              <w:tl2br w:val="nil"/>
              <w:tr2bl w:val="nil"/>
            </w:tcBorders>
            <w:shd w:val="clear" w:color="auto" w:fill="auto"/>
            <w:tcMar>
              <w:top w:w="0" w:type="dxa"/>
              <w:left w:w="17" w:type="dxa"/>
              <w:bottom w:w="0" w:type="dxa"/>
              <w:right w:w="17" w:type="dxa"/>
            </w:tcMar>
            <w:vAlign w:val="center"/>
          </w:tcPr>
          <w:p w14:paraId="1F5D1E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20" w:type="pct"/>
            <w:tcBorders>
              <w:tl2br w:val="nil"/>
              <w:tr2bl w:val="nil"/>
            </w:tcBorders>
            <w:shd w:val="clear" w:color="auto" w:fill="auto"/>
            <w:tcMar>
              <w:top w:w="0" w:type="dxa"/>
              <w:left w:w="17" w:type="dxa"/>
              <w:bottom w:w="0" w:type="dxa"/>
              <w:right w:w="17" w:type="dxa"/>
            </w:tcMar>
            <w:vAlign w:val="center"/>
          </w:tcPr>
          <w:p w14:paraId="1146D1C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0.0001</w:t>
            </w:r>
          </w:p>
        </w:tc>
        <w:tc>
          <w:tcPr>
            <w:tcW w:w="320" w:type="pct"/>
            <w:tcBorders>
              <w:tl2br w:val="nil"/>
              <w:tr2bl w:val="nil"/>
            </w:tcBorders>
            <w:shd w:val="clear" w:color="auto" w:fill="auto"/>
            <w:tcMar>
              <w:top w:w="0" w:type="dxa"/>
              <w:left w:w="17" w:type="dxa"/>
              <w:bottom w:w="0" w:type="dxa"/>
              <w:right w:w="17" w:type="dxa"/>
            </w:tcMar>
            <w:vAlign w:val="center"/>
          </w:tcPr>
          <w:p w14:paraId="6B6C4E1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r>
      <w:tr w14:paraId="1EDD5B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41F60A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0408C7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因子</w:t>
            </w:r>
          </w:p>
        </w:tc>
        <w:tc>
          <w:tcPr>
            <w:tcW w:w="364" w:type="pct"/>
            <w:tcBorders>
              <w:tl2br w:val="nil"/>
              <w:tr2bl w:val="nil"/>
            </w:tcBorders>
            <w:shd w:val="clear" w:color="auto" w:fill="auto"/>
            <w:tcMar>
              <w:top w:w="0" w:type="dxa"/>
              <w:left w:w="17" w:type="dxa"/>
              <w:bottom w:w="0" w:type="dxa"/>
              <w:right w:w="17" w:type="dxa"/>
            </w:tcMar>
            <w:vAlign w:val="center"/>
          </w:tcPr>
          <w:p w14:paraId="7B9BC1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锌</w:t>
            </w:r>
          </w:p>
        </w:tc>
        <w:tc>
          <w:tcPr>
            <w:tcW w:w="311" w:type="pct"/>
            <w:tcBorders>
              <w:tl2br w:val="nil"/>
              <w:tr2bl w:val="nil"/>
            </w:tcBorders>
            <w:shd w:val="clear" w:color="auto" w:fill="auto"/>
            <w:tcMar>
              <w:top w:w="0" w:type="dxa"/>
              <w:left w:w="17" w:type="dxa"/>
              <w:bottom w:w="0" w:type="dxa"/>
              <w:right w:w="17" w:type="dxa"/>
            </w:tcMar>
            <w:vAlign w:val="center"/>
          </w:tcPr>
          <w:p w14:paraId="3D7BEC9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铜</w:t>
            </w:r>
          </w:p>
        </w:tc>
        <w:tc>
          <w:tcPr>
            <w:tcW w:w="364" w:type="pct"/>
            <w:tcBorders>
              <w:tl2br w:val="nil"/>
              <w:tr2bl w:val="nil"/>
            </w:tcBorders>
            <w:shd w:val="clear" w:color="auto" w:fill="auto"/>
            <w:tcMar>
              <w:top w:w="0" w:type="dxa"/>
              <w:left w:w="17" w:type="dxa"/>
              <w:bottom w:w="0" w:type="dxa"/>
              <w:right w:w="17" w:type="dxa"/>
            </w:tcMar>
            <w:vAlign w:val="center"/>
          </w:tcPr>
          <w:p w14:paraId="07AAE87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铍</w:t>
            </w:r>
          </w:p>
        </w:tc>
        <w:tc>
          <w:tcPr>
            <w:tcW w:w="364" w:type="pct"/>
            <w:tcBorders>
              <w:tl2br w:val="nil"/>
              <w:tr2bl w:val="nil"/>
            </w:tcBorders>
            <w:shd w:val="clear" w:color="auto" w:fill="auto"/>
            <w:tcMar>
              <w:top w:w="0" w:type="dxa"/>
              <w:left w:w="17" w:type="dxa"/>
              <w:bottom w:w="0" w:type="dxa"/>
              <w:right w:w="17" w:type="dxa"/>
            </w:tcMar>
            <w:vAlign w:val="center"/>
          </w:tcPr>
          <w:p w14:paraId="7888751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镍</w:t>
            </w:r>
          </w:p>
        </w:tc>
        <w:tc>
          <w:tcPr>
            <w:tcW w:w="365" w:type="pct"/>
            <w:tcBorders>
              <w:tl2br w:val="nil"/>
              <w:tr2bl w:val="nil"/>
            </w:tcBorders>
            <w:shd w:val="clear" w:color="auto" w:fill="auto"/>
            <w:tcMar>
              <w:top w:w="0" w:type="dxa"/>
              <w:left w:w="17" w:type="dxa"/>
              <w:bottom w:w="0" w:type="dxa"/>
              <w:right w:w="17" w:type="dxa"/>
            </w:tcMar>
            <w:vAlign w:val="center"/>
          </w:tcPr>
          <w:p w14:paraId="4EA601B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六价铬</w:t>
            </w:r>
          </w:p>
        </w:tc>
        <w:tc>
          <w:tcPr>
            <w:tcW w:w="316" w:type="pct"/>
            <w:tcBorders>
              <w:tl2br w:val="nil"/>
              <w:tr2bl w:val="nil"/>
            </w:tcBorders>
            <w:shd w:val="clear" w:color="auto" w:fill="auto"/>
            <w:tcMar>
              <w:top w:w="0" w:type="dxa"/>
              <w:left w:w="17" w:type="dxa"/>
              <w:bottom w:w="0" w:type="dxa"/>
              <w:right w:w="17" w:type="dxa"/>
            </w:tcMar>
            <w:vAlign w:val="center"/>
          </w:tcPr>
          <w:p w14:paraId="1B6E815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汞</w:t>
            </w:r>
          </w:p>
        </w:tc>
        <w:tc>
          <w:tcPr>
            <w:tcW w:w="312" w:type="pct"/>
            <w:tcBorders>
              <w:tl2br w:val="nil"/>
              <w:tr2bl w:val="nil"/>
            </w:tcBorders>
            <w:shd w:val="clear" w:color="auto" w:fill="auto"/>
            <w:tcMar>
              <w:top w:w="0" w:type="dxa"/>
              <w:left w:w="17" w:type="dxa"/>
              <w:bottom w:w="0" w:type="dxa"/>
              <w:right w:w="17" w:type="dxa"/>
            </w:tcMar>
            <w:vAlign w:val="center"/>
          </w:tcPr>
          <w:p w14:paraId="1724D91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砷</w:t>
            </w:r>
          </w:p>
        </w:tc>
        <w:tc>
          <w:tcPr>
            <w:tcW w:w="365" w:type="pct"/>
            <w:tcBorders>
              <w:tl2br w:val="nil"/>
              <w:tr2bl w:val="nil"/>
            </w:tcBorders>
            <w:shd w:val="clear" w:color="auto" w:fill="auto"/>
            <w:tcMar>
              <w:top w:w="0" w:type="dxa"/>
              <w:left w:w="17" w:type="dxa"/>
              <w:bottom w:w="0" w:type="dxa"/>
              <w:right w:w="17" w:type="dxa"/>
            </w:tcMar>
            <w:vAlign w:val="center"/>
          </w:tcPr>
          <w:p w14:paraId="55B2A609">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锑</w:t>
            </w:r>
          </w:p>
        </w:tc>
        <w:tc>
          <w:tcPr>
            <w:tcW w:w="374" w:type="pct"/>
            <w:tcBorders>
              <w:tl2br w:val="nil"/>
              <w:tr2bl w:val="nil"/>
            </w:tcBorders>
            <w:shd w:val="clear" w:color="auto" w:fill="auto"/>
            <w:tcMar>
              <w:top w:w="0" w:type="dxa"/>
              <w:left w:w="17" w:type="dxa"/>
              <w:bottom w:w="0" w:type="dxa"/>
              <w:right w:w="17" w:type="dxa"/>
            </w:tcMar>
            <w:vAlign w:val="center"/>
          </w:tcPr>
          <w:p w14:paraId="67D9A14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硒</w:t>
            </w:r>
          </w:p>
        </w:tc>
        <w:tc>
          <w:tcPr>
            <w:tcW w:w="320" w:type="pct"/>
            <w:tcBorders>
              <w:tl2br w:val="nil"/>
              <w:tr2bl w:val="nil"/>
            </w:tcBorders>
            <w:shd w:val="clear" w:color="auto" w:fill="auto"/>
            <w:tcMar>
              <w:top w:w="0" w:type="dxa"/>
              <w:left w:w="17" w:type="dxa"/>
              <w:bottom w:w="0" w:type="dxa"/>
              <w:right w:w="17" w:type="dxa"/>
            </w:tcMar>
            <w:vAlign w:val="center"/>
          </w:tcPr>
          <w:p w14:paraId="4E78B43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氟化物</w:t>
            </w:r>
          </w:p>
        </w:tc>
        <w:tc>
          <w:tcPr>
            <w:tcW w:w="375" w:type="pct"/>
            <w:tcBorders>
              <w:tl2br w:val="nil"/>
              <w:tr2bl w:val="nil"/>
            </w:tcBorders>
            <w:shd w:val="clear" w:color="auto" w:fill="auto"/>
            <w:tcMar>
              <w:top w:w="0" w:type="dxa"/>
              <w:left w:w="17" w:type="dxa"/>
              <w:bottom w:w="0" w:type="dxa"/>
              <w:right w:w="17" w:type="dxa"/>
            </w:tcMar>
            <w:vAlign w:val="center"/>
          </w:tcPr>
          <w:p w14:paraId="489709F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硫化物</w:t>
            </w:r>
          </w:p>
        </w:tc>
        <w:tc>
          <w:tcPr>
            <w:tcW w:w="320" w:type="pct"/>
            <w:tcBorders>
              <w:tl2br w:val="nil"/>
              <w:tr2bl w:val="nil"/>
            </w:tcBorders>
            <w:shd w:val="clear" w:color="auto" w:fill="auto"/>
            <w:tcMar>
              <w:top w:w="0" w:type="dxa"/>
              <w:left w:w="17" w:type="dxa"/>
              <w:bottom w:w="0" w:type="dxa"/>
              <w:right w:w="17" w:type="dxa"/>
            </w:tcMar>
            <w:vAlign w:val="center"/>
          </w:tcPr>
          <w:p w14:paraId="45DA52E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银</w:t>
            </w:r>
          </w:p>
        </w:tc>
        <w:tc>
          <w:tcPr>
            <w:tcW w:w="320" w:type="pct"/>
            <w:tcBorders>
              <w:tl2br w:val="nil"/>
              <w:tr2bl w:val="nil"/>
            </w:tcBorders>
            <w:shd w:val="clear" w:color="auto" w:fill="auto"/>
            <w:tcMar>
              <w:top w:w="0" w:type="dxa"/>
              <w:left w:w="17" w:type="dxa"/>
              <w:bottom w:w="0" w:type="dxa"/>
              <w:right w:w="17" w:type="dxa"/>
            </w:tcMar>
            <w:vAlign w:val="center"/>
          </w:tcPr>
          <w:p w14:paraId="350F4E6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E609C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25ED578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4F89959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S1</w:t>
            </w:r>
          </w:p>
        </w:tc>
        <w:tc>
          <w:tcPr>
            <w:tcW w:w="364" w:type="pct"/>
            <w:tcBorders>
              <w:tl2br w:val="nil"/>
              <w:tr2bl w:val="nil"/>
            </w:tcBorders>
            <w:shd w:val="clear" w:color="auto" w:fill="auto"/>
            <w:tcMar>
              <w:top w:w="0" w:type="dxa"/>
              <w:left w:w="17" w:type="dxa"/>
              <w:bottom w:w="0" w:type="dxa"/>
              <w:right w:w="17" w:type="dxa"/>
            </w:tcMar>
            <w:vAlign w:val="center"/>
          </w:tcPr>
          <w:p w14:paraId="6192DD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592AFE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51D478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66F0A88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6369F1F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5BAAD9F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510F210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65" w:type="pct"/>
            <w:tcBorders>
              <w:tl2br w:val="nil"/>
              <w:tr2bl w:val="nil"/>
            </w:tcBorders>
            <w:shd w:val="clear" w:color="auto" w:fill="auto"/>
            <w:tcMar>
              <w:top w:w="0" w:type="dxa"/>
              <w:left w:w="17" w:type="dxa"/>
              <w:bottom w:w="0" w:type="dxa"/>
              <w:right w:w="17" w:type="dxa"/>
            </w:tcMar>
            <w:vAlign w:val="center"/>
          </w:tcPr>
          <w:p w14:paraId="5116488A">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510</w:t>
            </w:r>
          </w:p>
        </w:tc>
        <w:tc>
          <w:tcPr>
            <w:tcW w:w="374" w:type="pct"/>
            <w:tcBorders>
              <w:tl2br w:val="nil"/>
              <w:tr2bl w:val="nil"/>
            </w:tcBorders>
            <w:shd w:val="clear" w:color="auto" w:fill="auto"/>
            <w:tcMar>
              <w:top w:w="0" w:type="dxa"/>
              <w:left w:w="17" w:type="dxa"/>
              <w:bottom w:w="0" w:type="dxa"/>
              <w:right w:w="17" w:type="dxa"/>
            </w:tcMar>
            <w:vAlign w:val="center"/>
          </w:tcPr>
          <w:p w14:paraId="4DB057C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7338A73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60FFAA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1DDA0F8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EE7468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7A93C9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24D16E3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39547B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S2</w:t>
            </w:r>
          </w:p>
        </w:tc>
        <w:tc>
          <w:tcPr>
            <w:tcW w:w="364" w:type="pct"/>
            <w:tcBorders>
              <w:tl2br w:val="nil"/>
              <w:tr2bl w:val="nil"/>
            </w:tcBorders>
            <w:shd w:val="clear" w:color="auto" w:fill="auto"/>
            <w:tcMar>
              <w:top w:w="0" w:type="dxa"/>
              <w:left w:w="17" w:type="dxa"/>
              <w:bottom w:w="0" w:type="dxa"/>
              <w:right w:w="17" w:type="dxa"/>
            </w:tcMar>
            <w:vAlign w:val="center"/>
          </w:tcPr>
          <w:p w14:paraId="10DD1D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0922651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594AB6A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15948C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1E2AB8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37CCA3B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5B8D5F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0.0121</w:t>
            </w:r>
          </w:p>
        </w:tc>
        <w:tc>
          <w:tcPr>
            <w:tcW w:w="365" w:type="pct"/>
            <w:tcBorders>
              <w:tl2br w:val="nil"/>
              <w:tr2bl w:val="nil"/>
            </w:tcBorders>
            <w:shd w:val="clear" w:color="auto" w:fill="auto"/>
            <w:tcMar>
              <w:top w:w="0" w:type="dxa"/>
              <w:left w:w="17" w:type="dxa"/>
              <w:bottom w:w="0" w:type="dxa"/>
              <w:right w:w="17" w:type="dxa"/>
            </w:tcMar>
            <w:vAlign w:val="center"/>
          </w:tcPr>
          <w:p w14:paraId="0D20B15C">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0.676</w:t>
            </w:r>
          </w:p>
        </w:tc>
        <w:tc>
          <w:tcPr>
            <w:tcW w:w="374" w:type="pct"/>
            <w:tcBorders>
              <w:tl2br w:val="nil"/>
              <w:tr2bl w:val="nil"/>
            </w:tcBorders>
            <w:shd w:val="clear" w:color="auto" w:fill="auto"/>
            <w:tcMar>
              <w:top w:w="0" w:type="dxa"/>
              <w:left w:w="17" w:type="dxa"/>
              <w:bottom w:w="0" w:type="dxa"/>
              <w:right w:w="17" w:type="dxa"/>
            </w:tcMar>
            <w:vAlign w:val="center"/>
          </w:tcPr>
          <w:p w14:paraId="5119E7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3D6618A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0.06</w:t>
            </w:r>
          </w:p>
        </w:tc>
        <w:tc>
          <w:tcPr>
            <w:tcW w:w="375" w:type="pct"/>
            <w:tcBorders>
              <w:tl2br w:val="nil"/>
              <w:tr2bl w:val="nil"/>
            </w:tcBorders>
            <w:shd w:val="clear" w:color="auto" w:fill="auto"/>
            <w:tcMar>
              <w:top w:w="0" w:type="dxa"/>
              <w:left w:w="17" w:type="dxa"/>
              <w:bottom w:w="0" w:type="dxa"/>
              <w:right w:w="17" w:type="dxa"/>
            </w:tcMar>
            <w:vAlign w:val="center"/>
          </w:tcPr>
          <w:p w14:paraId="24B8AC1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5DD97A4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AAC86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B5D47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938F12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41BF95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S3</w:t>
            </w:r>
          </w:p>
        </w:tc>
        <w:tc>
          <w:tcPr>
            <w:tcW w:w="364" w:type="pct"/>
            <w:tcBorders>
              <w:tl2br w:val="nil"/>
              <w:tr2bl w:val="nil"/>
            </w:tcBorders>
            <w:shd w:val="clear" w:color="auto" w:fill="auto"/>
            <w:tcMar>
              <w:top w:w="0" w:type="dxa"/>
              <w:left w:w="17" w:type="dxa"/>
              <w:bottom w:w="0" w:type="dxa"/>
              <w:right w:w="17" w:type="dxa"/>
            </w:tcMar>
            <w:vAlign w:val="center"/>
          </w:tcPr>
          <w:p w14:paraId="4B5F200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07B4A6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10DF3E4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151ABE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013F646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25C930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695649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65" w:type="pct"/>
            <w:tcBorders>
              <w:tl2br w:val="nil"/>
              <w:tr2bl w:val="nil"/>
            </w:tcBorders>
            <w:shd w:val="clear" w:color="auto" w:fill="auto"/>
            <w:tcMar>
              <w:top w:w="0" w:type="dxa"/>
              <w:left w:w="17" w:type="dxa"/>
              <w:bottom w:w="0" w:type="dxa"/>
              <w:right w:w="17" w:type="dxa"/>
            </w:tcMar>
            <w:vAlign w:val="center"/>
          </w:tcPr>
          <w:p w14:paraId="0B4001AC">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0.0096</w:t>
            </w:r>
          </w:p>
        </w:tc>
        <w:tc>
          <w:tcPr>
            <w:tcW w:w="374" w:type="pct"/>
            <w:tcBorders>
              <w:tl2br w:val="nil"/>
              <w:tr2bl w:val="nil"/>
            </w:tcBorders>
            <w:shd w:val="clear" w:color="auto" w:fill="auto"/>
            <w:tcMar>
              <w:top w:w="0" w:type="dxa"/>
              <w:left w:w="17" w:type="dxa"/>
              <w:bottom w:w="0" w:type="dxa"/>
              <w:right w:w="17" w:type="dxa"/>
            </w:tcMar>
            <w:vAlign w:val="center"/>
          </w:tcPr>
          <w:p w14:paraId="361B692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5CBF981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10CEF0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167704F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92BE02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5BAAC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2CE3B4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2B9A5B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S4</w:t>
            </w:r>
          </w:p>
        </w:tc>
        <w:tc>
          <w:tcPr>
            <w:tcW w:w="364" w:type="pct"/>
            <w:tcBorders>
              <w:tl2br w:val="nil"/>
              <w:tr2bl w:val="nil"/>
            </w:tcBorders>
            <w:shd w:val="clear" w:color="auto" w:fill="auto"/>
            <w:tcMar>
              <w:top w:w="0" w:type="dxa"/>
              <w:left w:w="17" w:type="dxa"/>
              <w:bottom w:w="0" w:type="dxa"/>
              <w:right w:w="17" w:type="dxa"/>
            </w:tcMar>
            <w:vAlign w:val="center"/>
          </w:tcPr>
          <w:p w14:paraId="53B626A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0BBC52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6A8DC84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645C786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3B4CD3B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2CCFC41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001481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0.0003L</w:t>
            </w:r>
          </w:p>
        </w:tc>
        <w:tc>
          <w:tcPr>
            <w:tcW w:w="365" w:type="pct"/>
            <w:tcBorders>
              <w:tl2br w:val="nil"/>
              <w:tr2bl w:val="nil"/>
            </w:tcBorders>
            <w:shd w:val="clear" w:color="auto" w:fill="auto"/>
            <w:tcMar>
              <w:top w:w="0" w:type="dxa"/>
              <w:left w:w="17" w:type="dxa"/>
              <w:bottom w:w="0" w:type="dxa"/>
              <w:right w:w="17" w:type="dxa"/>
            </w:tcMar>
            <w:vAlign w:val="center"/>
          </w:tcPr>
          <w:p w14:paraId="7EA233F8">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0.19</w:t>
            </w:r>
          </w:p>
        </w:tc>
        <w:tc>
          <w:tcPr>
            <w:tcW w:w="374" w:type="pct"/>
            <w:tcBorders>
              <w:tl2br w:val="nil"/>
              <w:tr2bl w:val="nil"/>
            </w:tcBorders>
            <w:shd w:val="clear" w:color="auto" w:fill="auto"/>
            <w:tcMar>
              <w:top w:w="0" w:type="dxa"/>
              <w:left w:w="17" w:type="dxa"/>
              <w:bottom w:w="0" w:type="dxa"/>
              <w:right w:w="17" w:type="dxa"/>
            </w:tcMar>
            <w:vAlign w:val="center"/>
          </w:tcPr>
          <w:p w14:paraId="4E7D1EC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28335B2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13479E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135AF8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C085D6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EA92A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509A42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15AE680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S5</w:t>
            </w:r>
          </w:p>
        </w:tc>
        <w:tc>
          <w:tcPr>
            <w:tcW w:w="364" w:type="pct"/>
            <w:tcBorders>
              <w:tl2br w:val="nil"/>
              <w:tr2bl w:val="nil"/>
            </w:tcBorders>
            <w:shd w:val="clear" w:color="auto" w:fill="auto"/>
            <w:tcMar>
              <w:top w:w="0" w:type="dxa"/>
              <w:left w:w="17" w:type="dxa"/>
              <w:bottom w:w="0" w:type="dxa"/>
              <w:right w:w="17" w:type="dxa"/>
            </w:tcMar>
            <w:vAlign w:val="center"/>
          </w:tcPr>
          <w:p w14:paraId="29735D3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11" w:type="pct"/>
            <w:tcBorders>
              <w:tl2br w:val="nil"/>
              <w:tr2bl w:val="nil"/>
            </w:tcBorders>
            <w:shd w:val="clear" w:color="auto" w:fill="auto"/>
            <w:tcMar>
              <w:top w:w="0" w:type="dxa"/>
              <w:left w:w="17" w:type="dxa"/>
              <w:bottom w:w="0" w:type="dxa"/>
              <w:right w:w="17" w:type="dxa"/>
            </w:tcMar>
            <w:vAlign w:val="center"/>
          </w:tcPr>
          <w:p w14:paraId="4B875E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0.001L</w:t>
            </w:r>
          </w:p>
        </w:tc>
        <w:tc>
          <w:tcPr>
            <w:tcW w:w="364" w:type="pct"/>
            <w:tcBorders>
              <w:tl2br w:val="nil"/>
              <w:tr2bl w:val="nil"/>
            </w:tcBorders>
            <w:shd w:val="clear" w:color="auto" w:fill="auto"/>
            <w:tcMar>
              <w:top w:w="0" w:type="dxa"/>
              <w:left w:w="17" w:type="dxa"/>
              <w:bottom w:w="0" w:type="dxa"/>
              <w:right w:w="17" w:type="dxa"/>
            </w:tcMar>
            <w:vAlign w:val="center"/>
          </w:tcPr>
          <w:p w14:paraId="5C4BD51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0.0002L</w:t>
            </w:r>
          </w:p>
        </w:tc>
        <w:tc>
          <w:tcPr>
            <w:tcW w:w="364" w:type="pct"/>
            <w:tcBorders>
              <w:tl2br w:val="nil"/>
              <w:tr2bl w:val="nil"/>
            </w:tcBorders>
            <w:shd w:val="clear" w:color="auto" w:fill="auto"/>
            <w:tcMar>
              <w:top w:w="0" w:type="dxa"/>
              <w:left w:w="17" w:type="dxa"/>
              <w:bottom w:w="0" w:type="dxa"/>
              <w:right w:w="17" w:type="dxa"/>
            </w:tcMar>
            <w:vAlign w:val="center"/>
          </w:tcPr>
          <w:p w14:paraId="7D3EFCF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0.005L</w:t>
            </w:r>
          </w:p>
        </w:tc>
        <w:tc>
          <w:tcPr>
            <w:tcW w:w="365" w:type="pct"/>
            <w:tcBorders>
              <w:tl2br w:val="nil"/>
              <w:tr2bl w:val="nil"/>
            </w:tcBorders>
            <w:shd w:val="clear" w:color="auto" w:fill="auto"/>
            <w:tcMar>
              <w:top w:w="0" w:type="dxa"/>
              <w:left w:w="17" w:type="dxa"/>
              <w:bottom w:w="0" w:type="dxa"/>
              <w:right w:w="17" w:type="dxa"/>
            </w:tcMar>
            <w:vAlign w:val="center"/>
          </w:tcPr>
          <w:p w14:paraId="69896F0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0.004L</w:t>
            </w:r>
          </w:p>
        </w:tc>
        <w:tc>
          <w:tcPr>
            <w:tcW w:w="316" w:type="pct"/>
            <w:tcBorders>
              <w:tl2br w:val="nil"/>
              <w:tr2bl w:val="nil"/>
            </w:tcBorders>
            <w:shd w:val="clear" w:color="auto" w:fill="auto"/>
            <w:tcMar>
              <w:top w:w="0" w:type="dxa"/>
              <w:left w:w="17" w:type="dxa"/>
              <w:bottom w:w="0" w:type="dxa"/>
              <w:right w:w="17" w:type="dxa"/>
            </w:tcMar>
            <w:vAlign w:val="center"/>
          </w:tcPr>
          <w:p w14:paraId="1B5A3A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0.00004L</w:t>
            </w:r>
          </w:p>
        </w:tc>
        <w:tc>
          <w:tcPr>
            <w:tcW w:w="312" w:type="pct"/>
            <w:tcBorders>
              <w:tl2br w:val="nil"/>
              <w:tr2bl w:val="nil"/>
            </w:tcBorders>
            <w:shd w:val="clear" w:color="auto" w:fill="auto"/>
            <w:tcMar>
              <w:top w:w="0" w:type="dxa"/>
              <w:left w:w="17" w:type="dxa"/>
              <w:bottom w:w="0" w:type="dxa"/>
              <w:right w:w="17" w:type="dxa"/>
            </w:tcMar>
            <w:vAlign w:val="center"/>
          </w:tcPr>
          <w:p w14:paraId="687C3EC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0.0118</w:t>
            </w:r>
          </w:p>
        </w:tc>
        <w:tc>
          <w:tcPr>
            <w:tcW w:w="365" w:type="pct"/>
            <w:tcBorders>
              <w:tl2br w:val="nil"/>
              <w:tr2bl w:val="nil"/>
            </w:tcBorders>
            <w:shd w:val="clear" w:color="auto" w:fill="auto"/>
            <w:tcMar>
              <w:top w:w="0" w:type="dxa"/>
              <w:left w:w="17" w:type="dxa"/>
              <w:bottom w:w="0" w:type="dxa"/>
              <w:right w:w="17" w:type="dxa"/>
            </w:tcMar>
            <w:vAlign w:val="center"/>
          </w:tcPr>
          <w:p w14:paraId="6CFE575D">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0.142</w:t>
            </w:r>
          </w:p>
        </w:tc>
        <w:tc>
          <w:tcPr>
            <w:tcW w:w="374" w:type="pct"/>
            <w:tcBorders>
              <w:tl2br w:val="nil"/>
              <w:tr2bl w:val="nil"/>
            </w:tcBorders>
            <w:shd w:val="clear" w:color="auto" w:fill="auto"/>
            <w:tcMar>
              <w:top w:w="0" w:type="dxa"/>
              <w:left w:w="17" w:type="dxa"/>
              <w:bottom w:w="0" w:type="dxa"/>
              <w:right w:w="17" w:type="dxa"/>
            </w:tcMar>
            <w:vAlign w:val="center"/>
          </w:tcPr>
          <w:p w14:paraId="284ADFE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0.0004L</w:t>
            </w:r>
          </w:p>
        </w:tc>
        <w:tc>
          <w:tcPr>
            <w:tcW w:w="320" w:type="pct"/>
            <w:tcBorders>
              <w:tl2br w:val="nil"/>
              <w:tr2bl w:val="nil"/>
            </w:tcBorders>
            <w:shd w:val="clear" w:color="auto" w:fill="auto"/>
            <w:tcMar>
              <w:top w:w="0" w:type="dxa"/>
              <w:left w:w="17" w:type="dxa"/>
              <w:bottom w:w="0" w:type="dxa"/>
              <w:right w:w="17" w:type="dxa"/>
            </w:tcMar>
            <w:vAlign w:val="center"/>
          </w:tcPr>
          <w:p w14:paraId="6EF3CB7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0.05L</w:t>
            </w:r>
          </w:p>
        </w:tc>
        <w:tc>
          <w:tcPr>
            <w:tcW w:w="375" w:type="pct"/>
            <w:tcBorders>
              <w:tl2br w:val="nil"/>
              <w:tr2bl w:val="nil"/>
            </w:tcBorders>
            <w:shd w:val="clear" w:color="auto" w:fill="auto"/>
            <w:tcMar>
              <w:top w:w="0" w:type="dxa"/>
              <w:left w:w="17" w:type="dxa"/>
              <w:bottom w:w="0" w:type="dxa"/>
              <w:right w:w="17" w:type="dxa"/>
            </w:tcMar>
            <w:vAlign w:val="center"/>
          </w:tcPr>
          <w:p w14:paraId="5A1AAD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0.01L</w:t>
            </w:r>
          </w:p>
        </w:tc>
        <w:tc>
          <w:tcPr>
            <w:tcW w:w="320" w:type="pct"/>
            <w:tcBorders>
              <w:tl2br w:val="nil"/>
              <w:tr2bl w:val="nil"/>
            </w:tcBorders>
            <w:shd w:val="clear" w:color="auto" w:fill="auto"/>
            <w:tcMar>
              <w:top w:w="0" w:type="dxa"/>
              <w:left w:w="17" w:type="dxa"/>
              <w:bottom w:w="0" w:type="dxa"/>
              <w:right w:w="17" w:type="dxa"/>
            </w:tcMar>
            <w:vAlign w:val="center"/>
          </w:tcPr>
          <w:p w14:paraId="08AF891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B6A955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D37DA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4BC095D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1C52BB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S6</w:t>
            </w:r>
          </w:p>
        </w:tc>
        <w:tc>
          <w:tcPr>
            <w:tcW w:w="364" w:type="pct"/>
            <w:tcBorders>
              <w:tl2br w:val="nil"/>
              <w:tr2bl w:val="nil"/>
            </w:tcBorders>
            <w:shd w:val="clear" w:color="auto" w:fill="auto"/>
            <w:tcMar>
              <w:top w:w="0" w:type="dxa"/>
              <w:left w:w="17" w:type="dxa"/>
              <w:bottom w:w="0" w:type="dxa"/>
              <w:right w:w="17" w:type="dxa"/>
            </w:tcMar>
            <w:vAlign w:val="center"/>
          </w:tcPr>
          <w:p w14:paraId="4B8663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572490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BF2C5B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0CC1992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9EA0AF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09234D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8DE1F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5101B16">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0.01</w:t>
            </w:r>
            <w:r>
              <w:rPr>
                <w:rFonts w:hint="eastAsia"/>
                <w:b/>
                <w:bCs/>
                <w:color w:val="auto"/>
                <w:highlight w:val="none"/>
                <w:lang w:val="en-US" w:eastAsia="zh-CN"/>
              </w:rPr>
              <w:t>04</w:t>
            </w:r>
          </w:p>
        </w:tc>
        <w:tc>
          <w:tcPr>
            <w:tcW w:w="374" w:type="pct"/>
            <w:tcBorders>
              <w:tl2br w:val="nil"/>
              <w:tr2bl w:val="nil"/>
            </w:tcBorders>
            <w:shd w:val="clear" w:color="auto" w:fill="auto"/>
            <w:tcMar>
              <w:top w:w="0" w:type="dxa"/>
              <w:left w:w="17" w:type="dxa"/>
              <w:bottom w:w="0" w:type="dxa"/>
              <w:right w:w="17" w:type="dxa"/>
            </w:tcMar>
            <w:vAlign w:val="center"/>
          </w:tcPr>
          <w:p w14:paraId="6FFB626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E4A769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0C07AE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6B5A1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05E9CA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3C0B5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7888A09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C54F00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S7</w:t>
            </w:r>
          </w:p>
        </w:tc>
        <w:tc>
          <w:tcPr>
            <w:tcW w:w="364" w:type="pct"/>
            <w:tcBorders>
              <w:tl2br w:val="nil"/>
              <w:tr2bl w:val="nil"/>
            </w:tcBorders>
            <w:shd w:val="clear" w:color="auto" w:fill="auto"/>
            <w:tcMar>
              <w:top w:w="0" w:type="dxa"/>
              <w:left w:w="17" w:type="dxa"/>
              <w:bottom w:w="0" w:type="dxa"/>
              <w:right w:w="17" w:type="dxa"/>
            </w:tcMar>
            <w:vAlign w:val="center"/>
          </w:tcPr>
          <w:p w14:paraId="704EF95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7DEF38F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8081FE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CEDD3D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A3DC33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ADA31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0331E57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AAAE63B">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0.0109</w:t>
            </w:r>
          </w:p>
        </w:tc>
        <w:tc>
          <w:tcPr>
            <w:tcW w:w="374" w:type="pct"/>
            <w:tcBorders>
              <w:tl2br w:val="nil"/>
              <w:tr2bl w:val="nil"/>
            </w:tcBorders>
            <w:shd w:val="clear" w:color="auto" w:fill="auto"/>
            <w:tcMar>
              <w:top w:w="0" w:type="dxa"/>
              <w:left w:w="17" w:type="dxa"/>
              <w:bottom w:w="0" w:type="dxa"/>
              <w:right w:w="17" w:type="dxa"/>
            </w:tcMar>
            <w:vAlign w:val="center"/>
          </w:tcPr>
          <w:p w14:paraId="187793F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35D0DF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5C84FA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BDB2D9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93E884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99002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5A5347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7ADEAA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S8</w:t>
            </w:r>
          </w:p>
        </w:tc>
        <w:tc>
          <w:tcPr>
            <w:tcW w:w="364" w:type="pct"/>
            <w:tcBorders>
              <w:tl2br w:val="nil"/>
              <w:tr2bl w:val="nil"/>
            </w:tcBorders>
            <w:shd w:val="clear" w:color="auto" w:fill="auto"/>
            <w:tcMar>
              <w:top w:w="0" w:type="dxa"/>
              <w:left w:w="17" w:type="dxa"/>
              <w:bottom w:w="0" w:type="dxa"/>
              <w:right w:w="17" w:type="dxa"/>
            </w:tcMar>
            <w:vAlign w:val="center"/>
          </w:tcPr>
          <w:p w14:paraId="47C277B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6CD9AF1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133568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0CA9D9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4E2C3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DC4E17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667D2D4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24AFABF">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w:t>
            </w:r>
            <w:r>
              <w:rPr>
                <w:rFonts w:hint="eastAsia"/>
                <w:b/>
                <w:bCs/>
                <w:color w:val="auto"/>
                <w:highlight w:val="none"/>
                <w:lang w:val="en-US" w:eastAsia="zh-CN"/>
              </w:rPr>
              <w:t>148</w:t>
            </w:r>
          </w:p>
        </w:tc>
        <w:tc>
          <w:tcPr>
            <w:tcW w:w="374" w:type="pct"/>
            <w:tcBorders>
              <w:tl2br w:val="nil"/>
              <w:tr2bl w:val="nil"/>
            </w:tcBorders>
            <w:shd w:val="clear" w:color="auto" w:fill="auto"/>
            <w:tcMar>
              <w:top w:w="0" w:type="dxa"/>
              <w:left w:w="17" w:type="dxa"/>
              <w:bottom w:w="0" w:type="dxa"/>
              <w:right w:w="17" w:type="dxa"/>
            </w:tcMar>
            <w:vAlign w:val="center"/>
          </w:tcPr>
          <w:p w14:paraId="6E6B7D6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457C4B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59D9F68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4A34DE6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B6D12A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0C73B6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3434D2F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5AB9860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S9</w:t>
            </w:r>
          </w:p>
        </w:tc>
        <w:tc>
          <w:tcPr>
            <w:tcW w:w="364" w:type="pct"/>
            <w:tcBorders>
              <w:tl2br w:val="nil"/>
              <w:tr2bl w:val="nil"/>
            </w:tcBorders>
            <w:shd w:val="clear" w:color="auto" w:fill="auto"/>
            <w:tcMar>
              <w:top w:w="0" w:type="dxa"/>
              <w:left w:w="17" w:type="dxa"/>
              <w:bottom w:w="0" w:type="dxa"/>
              <w:right w:w="17" w:type="dxa"/>
            </w:tcMar>
            <w:vAlign w:val="center"/>
          </w:tcPr>
          <w:p w14:paraId="2DDBDC0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DB34EE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E7DF6C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E93CC0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C41FA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55D7163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27CF54F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EC36E7D">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0.0097</w:t>
            </w:r>
          </w:p>
        </w:tc>
        <w:tc>
          <w:tcPr>
            <w:tcW w:w="374" w:type="pct"/>
            <w:tcBorders>
              <w:tl2br w:val="nil"/>
              <w:tr2bl w:val="nil"/>
            </w:tcBorders>
            <w:shd w:val="clear" w:color="auto" w:fill="auto"/>
            <w:tcMar>
              <w:top w:w="0" w:type="dxa"/>
              <w:left w:w="17" w:type="dxa"/>
              <w:bottom w:w="0" w:type="dxa"/>
              <w:right w:w="17" w:type="dxa"/>
            </w:tcMar>
            <w:vAlign w:val="center"/>
          </w:tcPr>
          <w:p w14:paraId="7A8DA73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56F372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1F881B8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B0EC35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38337FF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F5B65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0711EE1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5134C3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S10</w:t>
            </w:r>
          </w:p>
        </w:tc>
        <w:tc>
          <w:tcPr>
            <w:tcW w:w="364" w:type="pct"/>
            <w:tcBorders>
              <w:tl2br w:val="nil"/>
              <w:tr2bl w:val="nil"/>
            </w:tcBorders>
            <w:shd w:val="clear" w:color="auto" w:fill="auto"/>
            <w:tcMar>
              <w:top w:w="0" w:type="dxa"/>
              <w:left w:w="17" w:type="dxa"/>
              <w:bottom w:w="0" w:type="dxa"/>
              <w:right w:w="17" w:type="dxa"/>
            </w:tcMar>
            <w:vAlign w:val="center"/>
          </w:tcPr>
          <w:p w14:paraId="6050BF8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5D7FE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7098A3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3260950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D9B342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67A23E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6BE973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40E8610C">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0.0008</w:t>
            </w:r>
          </w:p>
        </w:tc>
        <w:tc>
          <w:tcPr>
            <w:tcW w:w="374" w:type="pct"/>
            <w:tcBorders>
              <w:tl2br w:val="nil"/>
              <w:tr2bl w:val="nil"/>
            </w:tcBorders>
            <w:shd w:val="clear" w:color="auto" w:fill="auto"/>
            <w:tcMar>
              <w:top w:w="0" w:type="dxa"/>
              <w:left w:w="17" w:type="dxa"/>
              <w:bottom w:w="0" w:type="dxa"/>
              <w:right w:w="17" w:type="dxa"/>
            </w:tcMar>
            <w:vAlign w:val="center"/>
          </w:tcPr>
          <w:p w14:paraId="508E1F4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C5A4D1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0306881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6334D6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183FFA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A9107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66AAA8B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7C0E326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S11</w:t>
            </w:r>
          </w:p>
        </w:tc>
        <w:tc>
          <w:tcPr>
            <w:tcW w:w="364" w:type="pct"/>
            <w:tcBorders>
              <w:tl2br w:val="nil"/>
              <w:tr2bl w:val="nil"/>
            </w:tcBorders>
            <w:shd w:val="clear" w:color="auto" w:fill="auto"/>
            <w:tcMar>
              <w:top w:w="0" w:type="dxa"/>
              <w:left w:w="17" w:type="dxa"/>
              <w:bottom w:w="0" w:type="dxa"/>
              <w:right w:w="17" w:type="dxa"/>
            </w:tcMar>
            <w:vAlign w:val="center"/>
          </w:tcPr>
          <w:p w14:paraId="6D047AB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5C5672C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53A7DCC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2138EDD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24B82B5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74D50E8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7D15013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61590E6E">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0.0008</w:t>
            </w:r>
          </w:p>
        </w:tc>
        <w:tc>
          <w:tcPr>
            <w:tcW w:w="374" w:type="pct"/>
            <w:tcBorders>
              <w:tl2br w:val="nil"/>
              <w:tr2bl w:val="nil"/>
            </w:tcBorders>
            <w:shd w:val="clear" w:color="auto" w:fill="auto"/>
            <w:tcMar>
              <w:top w:w="0" w:type="dxa"/>
              <w:left w:w="17" w:type="dxa"/>
              <w:bottom w:w="0" w:type="dxa"/>
              <w:right w:w="17" w:type="dxa"/>
            </w:tcMar>
            <w:vAlign w:val="center"/>
          </w:tcPr>
          <w:p w14:paraId="2F7723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92974B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7421D4E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1AE745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6FED628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3A3F2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EDF692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0932AE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S12</w:t>
            </w:r>
          </w:p>
        </w:tc>
        <w:tc>
          <w:tcPr>
            <w:tcW w:w="364" w:type="pct"/>
            <w:tcBorders>
              <w:tl2br w:val="nil"/>
              <w:tr2bl w:val="nil"/>
            </w:tcBorders>
            <w:shd w:val="clear" w:color="auto" w:fill="auto"/>
            <w:tcMar>
              <w:top w:w="0" w:type="dxa"/>
              <w:left w:w="17" w:type="dxa"/>
              <w:bottom w:w="0" w:type="dxa"/>
              <w:right w:w="17" w:type="dxa"/>
            </w:tcMar>
            <w:vAlign w:val="center"/>
          </w:tcPr>
          <w:p w14:paraId="65751F8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2FCC4E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806E7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B1012A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0E4E1D7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73585AA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680A279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736DD8FA">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default"/>
                <w:b/>
                <w:bCs/>
                <w:color w:val="auto"/>
                <w:highlight w:val="none"/>
                <w:lang w:val="en-US" w:eastAsia="zh-CN"/>
              </w:rPr>
              <w:t>0.0011</w:t>
            </w:r>
          </w:p>
        </w:tc>
        <w:tc>
          <w:tcPr>
            <w:tcW w:w="374" w:type="pct"/>
            <w:tcBorders>
              <w:tl2br w:val="nil"/>
              <w:tr2bl w:val="nil"/>
            </w:tcBorders>
            <w:shd w:val="clear" w:color="auto" w:fill="auto"/>
            <w:tcMar>
              <w:top w:w="0" w:type="dxa"/>
              <w:left w:w="17" w:type="dxa"/>
              <w:bottom w:w="0" w:type="dxa"/>
              <w:right w:w="17" w:type="dxa"/>
            </w:tcMar>
            <w:vAlign w:val="center"/>
          </w:tcPr>
          <w:p w14:paraId="486CED1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3AB65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CEF6D3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10B978C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588A7D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5DB65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10A4737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1EBE087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S13</w:t>
            </w:r>
          </w:p>
        </w:tc>
        <w:tc>
          <w:tcPr>
            <w:tcW w:w="364" w:type="pct"/>
            <w:tcBorders>
              <w:tl2br w:val="nil"/>
              <w:tr2bl w:val="nil"/>
            </w:tcBorders>
            <w:shd w:val="clear" w:color="auto" w:fill="auto"/>
            <w:tcMar>
              <w:top w:w="0" w:type="dxa"/>
              <w:left w:w="17" w:type="dxa"/>
              <w:bottom w:w="0" w:type="dxa"/>
              <w:right w:w="17" w:type="dxa"/>
            </w:tcMar>
            <w:vAlign w:val="center"/>
          </w:tcPr>
          <w:p w14:paraId="5E13B81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1" w:type="pct"/>
            <w:tcBorders>
              <w:tl2br w:val="nil"/>
              <w:tr2bl w:val="nil"/>
            </w:tcBorders>
            <w:shd w:val="clear" w:color="auto" w:fill="auto"/>
            <w:tcMar>
              <w:top w:w="0" w:type="dxa"/>
              <w:left w:w="17" w:type="dxa"/>
              <w:bottom w:w="0" w:type="dxa"/>
              <w:right w:w="17" w:type="dxa"/>
            </w:tcMar>
            <w:vAlign w:val="center"/>
          </w:tcPr>
          <w:p w14:paraId="3EBDEF2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636890E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4" w:type="pct"/>
            <w:tcBorders>
              <w:tl2br w:val="nil"/>
              <w:tr2bl w:val="nil"/>
            </w:tcBorders>
            <w:shd w:val="clear" w:color="auto" w:fill="auto"/>
            <w:tcMar>
              <w:top w:w="0" w:type="dxa"/>
              <w:left w:w="17" w:type="dxa"/>
              <w:bottom w:w="0" w:type="dxa"/>
              <w:right w:w="17" w:type="dxa"/>
            </w:tcMar>
            <w:vAlign w:val="center"/>
          </w:tcPr>
          <w:p w14:paraId="782764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55F77C6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6" w:type="pct"/>
            <w:tcBorders>
              <w:tl2br w:val="nil"/>
              <w:tr2bl w:val="nil"/>
            </w:tcBorders>
            <w:shd w:val="clear" w:color="auto" w:fill="auto"/>
            <w:tcMar>
              <w:top w:w="0" w:type="dxa"/>
              <w:left w:w="17" w:type="dxa"/>
              <w:bottom w:w="0" w:type="dxa"/>
              <w:right w:w="17" w:type="dxa"/>
            </w:tcMar>
            <w:vAlign w:val="center"/>
          </w:tcPr>
          <w:p w14:paraId="186518D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12" w:type="pct"/>
            <w:tcBorders>
              <w:tl2br w:val="nil"/>
              <w:tr2bl w:val="nil"/>
            </w:tcBorders>
            <w:shd w:val="clear" w:color="auto" w:fill="auto"/>
            <w:tcMar>
              <w:top w:w="0" w:type="dxa"/>
              <w:left w:w="17" w:type="dxa"/>
              <w:bottom w:w="0" w:type="dxa"/>
              <w:right w:w="17" w:type="dxa"/>
            </w:tcMar>
            <w:vAlign w:val="center"/>
          </w:tcPr>
          <w:p w14:paraId="57E090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65" w:type="pct"/>
            <w:tcBorders>
              <w:tl2br w:val="nil"/>
              <w:tr2bl w:val="nil"/>
            </w:tcBorders>
            <w:shd w:val="clear" w:color="auto" w:fill="auto"/>
            <w:tcMar>
              <w:top w:w="0" w:type="dxa"/>
              <w:left w:w="17" w:type="dxa"/>
              <w:bottom w:w="0" w:type="dxa"/>
              <w:right w:w="17" w:type="dxa"/>
            </w:tcMar>
            <w:vAlign w:val="center"/>
          </w:tcPr>
          <w:p w14:paraId="1CA7A5AD">
            <w:pPr>
              <w:pStyle w:val="2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0.01</w:t>
            </w:r>
            <w:r>
              <w:rPr>
                <w:rFonts w:hint="eastAsia"/>
                <w:b/>
                <w:bCs/>
                <w:color w:val="auto"/>
                <w:highlight w:val="none"/>
                <w:lang w:val="en-US" w:eastAsia="zh-CN"/>
              </w:rPr>
              <w:t>16</w:t>
            </w:r>
          </w:p>
        </w:tc>
        <w:tc>
          <w:tcPr>
            <w:tcW w:w="374" w:type="pct"/>
            <w:tcBorders>
              <w:tl2br w:val="nil"/>
              <w:tr2bl w:val="nil"/>
            </w:tcBorders>
            <w:shd w:val="clear" w:color="auto" w:fill="auto"/>
            <w:tcMar>
              <w:top w:w="0" w:type="dxa"/>
              <w:left w:w="17" w:type="dxa"/>
              <w:bottom w:w="0" w:type="dxa"/>
              <w:right w:w="17" w:type="dxa"/>
            </w:tcMar>
            <w:vAlign w:val="center"/>
          </w:tcPr>
          <w:p w14:paraId="1B9946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09A292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75" w:type="pct"/>
            <w:tcBorders>
              <w:tl2br w:val="nil"/>
              <w:tr2bl w:val="nil"/>
            </w:tcBorders>
            <w:shd w:val="clear" w:color="auto" w:fill="auto"/>
            <w:tcMar>
              <w:top w:w="0" w:type="dxa"/>
              <w:left w:w="17" w:type="dxa"/>
              <w:bottom w:w="0" w:type="dxa"/>
              <w:right w:w="17" w:type="dxa"/>
            </w:tcMar>
            <w:vAlign w:val="center"/>
          </w:tcPr>
          <w:p w14:paraId="2002AA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7AF563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20" w:type="pct"/>
            <w:tcBorders>
              <w:tl2br w:val="nil"/>
              <w:tr2bl w:val="nil"/>
            </w:tcBorders>
            <w:shd w:val="clear" w:color="auto" w:fill="auto"/>
            <w:tcMar>
              <w:top w:w="0" w:type="dxa"/>
              <w:left w:w="17" w:type="dxa"/>
              <w:bottom w:w="0" w:type="dxa"/>
              <w:right w:w="17" w:type="dxa"/>
            </w:tcMar>
            <w:vAlign w:val="center"/>
          </w:tcPr>
          <w:p w14:paraId="260CB5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80447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4" w:type="pct"/>
            <w:vMerge w:val="continue"/>
            <w:tcBorders>
              <w:tl2br w:val="nil"/>
              <w:tr2bl w:val="nil"/>
            </w:tcBorders>
            <w:shd w:val="clear" w:color="auto" w:fill="auto"/>
            <w:tcMar>
              <w:top w:w="0" w:type="dxa"/>
              <w:left w:w="17" w:type="dxa"/>
              <w:bottom w:w="0" w:type="dxa"/>
              <w:right w:w="17" w:type="dxa"/>
            </w:tcMar>
            <w:vAlign w:val="center"/>
          </w:tcPr>
          <w:p w14:paraId="593B16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40" w:type="pct"/>
            <w:tcBorders>
              <w:tl2br w:val="nil"/>
              <w:tr2bl w:val="nil"/>
            </w:tcBorders>
            <w:shd w:val="clear" w:color="auto" w:fill="auto"/>
            <w:tcMar>
              <w:top w:w="0" w:type="dxa"/>
              <w:left w:w="17" w:type="dxa"/>
              <w:bottom w:w="0" w:type="dxa"/>
              <w:right w:w="17" w:type="dxa"/>
            </w:tcMar>
            <w:vAlign w:val="center"/>
          </w:tcPr>
          <w:p w14:paraId="21E686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标准值</w:t>
            </w:r>
          </w:p>
        </w:tc>
        <w:tc>
          <w:tcPr>
            <w:tcW w:w="364" w:type="pct"/>
            <w:tcBorders>
              <w:tl2br w:val="nil"/>
              <w:tr2bl w:val="nil"/>
            </w:tcBorders>
            <w:shd w:val="clear" w:color="auto" w:fill="auto"/>
            <w:tcMar>
              <w:top w:w="0" w:type="dxa"/>
              <w:left w:w="17" w:type="dxa"/>
              <w:bottom w:w="0" w:type="dxa"/>
              <w:right w:w="17" w:type="dxa"/>
            </w:tcMar>
            <w:vAlign w:val="center"/>
          </w:tcPr>
          <w:p w14:paraId="4893390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11" w:type="pct"/>
            <w:tcBorders>
              <w:tl2br w:val="nil"/>
              <w:tr2bl w:val="nil"/>
            </w:tcBorders>
            <w:shd w:val="clear" w:color="auto" w:fill="auto"/>
            <w:tcMar>
              <w:top w:w="0" w:type="dxa"/>
              <w:left w:w="17" w:type="dxa"/>
              <w:bottom w:w="0" w:type="dxa"/>
              <w:right w:w="17" w:type="dxa"/>
            </w:tcMar>
            <w:vAlign w:val="center"/>
          </w:tcPr>
          <w:p w14:paraId="3C92A5D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64" w:type="pct"/>
            <w:tcBorders>
              <w:tl2br w:val="nil"/>
              <w:tr2bl w:val="nil"/>
            </w:tcBorders>
            <w:shd w:val="clear" w:color="auto" w:fill="auto"/>
            <w:tcMar>
              <w:top w:w="0" w:type="dxa"/>
              <w:left w:w="17" w:type="dxa"/>
              <w:bottom w:w="0" w:type="dxa"/>
              <w:right w:w="17" w:type="dxa"/>
            </w:tcMar>
            <w:vAlign w:val="center"/>
          </w:tcPr>
          <w:p w14:paraId="6179F85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0.002</w:t>
            </w:r>
          </w:p>
        </w:tc>
        <w:tc>
          <w:tcPr>
            <w:tcW w:w="364" w:type="pct"/>
            <w:tcBorders>
              <w:tl2br w:val="nil"/>
              <w:tr2bl w:val="nil"/>
            </w:tcBorders>
            <w:shd w:val="clear" w:color="auto" w:fill="auto"/>
            <w:tcMar>
              <w:top w:w="0" w:type="dxa"/>
              <w:left w:w="17" w:type="dxa"/>
              <w:bottom w:w="0" w:type="dxa"/>
              <w:right w:w="17" w:type="dxa"/>
            </w:tcMar>
            <w:vAlign w:val="center"/>
          </w:tcPr>
          <w:p w14:paraId="7CBE78B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0.02</w:t>
            </w:r>
          </w:p>
        </w:tc>
        <w:tc>
          <w:tcPr>
            <w:tcW w:w="365" w:type="pct"/>
            <w:tcBorders>
              <w:tl2br w:val="nil"/>
              <w:tr2bl w:val="nil"/>
            </w:tcBorders>
            <w:shd w:val="clear" w:color="auto" w:fill="auto"/>
            <w:tcMar>
              <w:top w:w="0" w:type="dxa"/>
              <w:left w:w="17" w:type="dxa"/>
              <w:bottom w:w="0" w:type="dxa"/>
              <w:right w:w="17" w:type="dxa"/>
            </w:tcMar>
            <w:vAlign w:val="center"/>
          </w:tcPr>
          <w:p w14:paraId="3780E9E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16" w:type="pct"/>
            <w:tcBorders>
              <w:tl2br w:val="nil"/>
              <w:tr2bl w:val="nil"/>
            </w:tcBorders>
            <w:shd w:val="clear" w:color="auto" w:fill="auto"/>
            <w:tcMar>
              <w:top w:w="0" w:type="dxa"/>
              <w:left w:w="17" w:type="dxa"/>
              <w:bottom w:w="0" w:type="dxa"/>
              <w:right w:w="17" w:type="dxa"/>
            </w:tcMar>
            <w:vAlign w:val="center"/>
          </w:tcPr>
          <w:p w14:paraId="694FB4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0.0001</w:t>
            </w:r>
          </w:p>
        </w:tc>
        <w:tc>
          <w:tcPr>
            <w:tcW w:w="312" w:type="pct"/>
            <w:tcBorders>
              <w:tl2br w:val="nil"/>
              <w:tr2bl w:val="nil"/>
            </w:tcBorders>
            <w:shd w:val="clear" w:color="auto" w:fill="auto"/>
            <w:tcMar>
              <w:top w:w="0" w:type="dxa"/>
              <w:left w:w="17" w:type="dxa"/>
              <w:bottom w:w="0" w:type="dxa"/>
              <w:right w:w="17" w:type="dxa"/>
            </w:tcMar>
            <w:vAlign w:val="center"/>
          </w:tcPr>
          <w:p w14:paraId="66088BF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w:t>
            </w:r>
          </w:p>
        </w:tc>
        <w:tc>
          <w:tcPr>
            <w:tcW w:w="365" w:type="pct"/>
            <w:tcBorders>
              <w:tl2br w:val="nil"/>
              <w:tr2bl w:val="nil"/>
            </w:tcBorders>
            <w:shd w:val="clear" w:color="auto" w:fill="auto"/>
            <w:tcMar>
              <w:top w:w="0" w:type="dxa"/>
              <w:left w:w="17" w:type="dxa"/>
              <w:bottom w:w="0" w:type="dxa"/>
              <w:right w:w="17" w:type="dxa"/>
            </w:tcMar>
            <w:vAlign w:val="center"/>
          </w:tcPr>
          <w:p w14:paraId="1ECF0BD5">
            <w:pPr>
              <w:pStyle w:val="2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0.005</w:t>
            </w:r>
          </w:p>
        </w:tc>
        <w:tc>
          <w:tcPr>
            <w:tcW w:w="374" w:type="pct"/>
            <w:tcBorders>
              <w:tl2br w:val="nil"/>
              <w:tr2bl w:val="nil"/>
            </w:tcBorders>
            <w:shd w:val="clear" w:color="auto" w:fill="auto"/>
            <w:tcMar>
              <w:top w:w="0" w:type="dxa"/>
              <w:left w:w="17" w:type="dxa"/>
              <w:bottom w:w="0" w:type="dxa"/>
              <w:right w:w="17" w:type="dxa"/>
            </w:tcMar>
            <w:vAlign w:val="center"/>
          </w:tcPr>
          <w:p w14:paraId="61FFB01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w:t>
            </w:r>
          </w:p>
        </w:tc>
        <w:tc>
          <w:tcPr>
            <w:tcW w:w="320" w:type="pct"/>
            <w:tcBorders>
              <w:tl2br w:val="nil"/>
              <w:tr2bl w:val="nil"/>
            </w:tcBorders>
            <w:shd w:val="clear" w:color="auto" w:fill="auto"/>
            <w:tcMar>
              <w:top w:w="0" w:type="dxa"/>
              <w:left w:w="17" w:type="dxa"/>
              <w:bottom w:w="0" w:type="dxa"/>
              <w:right w:w="17" w:type="dxa"/>
            </w:tcMar>
            <w:vAlign w:val="center"/>
          </w:tcPr>
          <w:p w14:paraId="63EFAE8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375" w:type="pct"/>
            <w:tcBorders>
              <w:tl2br w:val="nil"/>
              <w:tr2bl w:val="nil"/>
            </w:tcBorders>
            <w:shd w:val="clear" w:color="auto" w:fill="auto"/>
            <w:tcMar>
              <w:top w:w="0" w:type="dxa"/>
              <w:left w:w="17" w:type="dxa"/>
              <w:bottom w:w="0" w:type="dxa"/>
              <w:right w:w="17" w:type="dxa"/>
            </w:tcMar>
            <w:vAlign w:val="center"/>
          </w:tcPr>
          <w:p w14:paraId="22A1318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w:t>
            </w:r>
          </w:p>
        </w:tc>
        <w:tc>
          <w:tcPr>
            <w:tcW w:w="320" w:type="pct"/>
            <w:tcBorders>
              <w:tl2br w:val="nil"/>
              <w:tr2bl w:val="nil"/>
            </w:tcBorders>
            <w:shd w:val="clear" w:color="auto" w:fill="auto"/>
            <w:tcMar>
              <w:top w:w="0" w:type="dxa"/>
              <w:left w:w="17" w:type="dxa"/>
              <w:bottom w:w="0" w:type="dxa"/>
              <w:right w:w="17" w:type="dxa"/>
            </w:tcMar>
            <w:vAlign w:val="center"/>
          </w:tcPr>
          <w:p w14:paraId="783EF9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w:t>
            </w:r>
          </w:p>
        </w:tc>
        <w:tc>
          <w:tcPr>
            <w:tcW w:w="320" w:type="pct"/>
            <w:tcBorders>
              <w:tl2br w:val="nil"/>
              <w:tr2bl w:val="nil"/>
            </w:tcBorders>
            <w:shd w:val="clear" w:color="auto" w:fill="auto"/>
            <w:tcMar>
              <w:top w:w="0" w:type="dxa"/>
              <w:left w:w="17" w:type="dxa"/>
              <w:bottom w:w="0" w:type="dxa"/>
              <w:right w:w="17" w:type="dxa"/>
            </w:tcMar>
            <w:vAlign w:val="center"/>
          </w:tcPr>
          <w:p w14:paraId="4C0720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bl>
    <w:p w14:paraId="7DD3E584">
      <w:pPr>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p>
    <w:p w14:paraId="10F92ED6">
      <w:pPr>
        <w:ind w:firstLine="480"/>
        <w:rPr>
          <w:rFonts w:hint="default" w:ascii="Times New Roman" w:hAnsi="Times New Roman" w:cs="Times New Roman"/>
          <w:color w:val="auto"/>
          <w:highlight w:val="none"/>
        </w:rPr>
        <w:sectPr>
          <w:footerReference r:id="rId12" w:type="default"/>
          <w:pgSz w:w="16840" w:h="11910" w:orient="landscape"/>
          <w:pgMar w:top="1440" w:right="1440" w:bottom="1236" w:left="1440" w:header="879" w:footer="974" w:gutter="0"/>
          <w:pgBorders>
            <w:top w:val="none" w:sz="0" w:space="0"/>
            <w:left w:val="none" w:sz="0" w:space="0"/>
            <w:bottom w:val="none" w:sz="0" w:space="0"/>
            <w:right w:val="none" w:sz="0" w:space="0"/>
          </w:pgBorders>
          <w:cols w:space="720" w:num="1"/>
        </w:sectPr>
      </w:pPr>
    </w:p>
    <w:p w14:paraId="5BB8480D">
      <w:pPr>
        <w:pStyle w:val="28"/>
        <w:rPr>
          <w:rFonts w:hint="default"/>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4.1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10</w:t>
      </w:r>
      <w:r>
        <w:rPr>
          <w:rFonts w:hint="default"/>
          <w:color w:val="auto"/>
          <w:highlight w:val="none"/>
          <w:lang w:val="en-US" w:eastAsia="zh-CN"/>
        </w:rPr>
        <w:fldChar w:fldCharType="end"/>
      </w:r>
      <w:r>
        <w:rPr>
          <w:rFonts w:hint="default"/>
          <w:color w:val="auto"/>
          <w:highlight w:val="none"/>
          <w:lang w:val="en-US" w:eastAsia="zh-CN"/>
        </w:rPr>
        <w:t xml:space="preserve">  2024年5月地表水环境质量评价结果</w:t>
      </w:r>
    </w:p>
    <w:tbl>
      <w:tblPr>
        <w:tblStyle w:val="21"/>
        <w:tblW w:w="505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6" w:type="dxa"/>
          <w:bottom w:w="0" w:type="dxa"/>
          <w:right w:w="6" w:type="dxa"/>
        </w:tblCellMar>
      </w:tblPr>
      <w:tblGrid>
        <w:gridCol w:w="699"/>
        <w:gridCol w:w="1056"/>
        <w:gridCol w:w="946"/>
        <w:gridCol w:w="1223"/>
        <w:gridCol w:w="1016"/>
        <w:gridCol w:w="1099"/>
        <w:gridCol w:w="1144"/>
        <w:gridCol w:w="1115"/>
        <w:gridCol w:w="1118"/>
        <w:gridCol w:w="1141"/>
        <w:gridCol w:w="1062"/>
        <w:gridCol w:w="1178"/>
        <w:gridCol w:w="1356"/>
      </w:tblGrid>
      <w:tr w14:paraId="278EC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90" w:hRule="atLeast"/>
        </w:trPr>
        <w:tc>
          <w:tcPr>
            <w:tcW w:w="247" w:type="pct"/>
            <w:vAlign w:val="center"/>
          </w:tcPr>
          <w:p w14:paraId="500C4C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断面</w:t>
            </w:r>
          </w:p>
        </w:tc>
        <w:tc>
          <w:tcPr>
            <w:tcW w:w="4752" w:type="pct"/>
            <w:gridSpan w:val="12"/>
            <w:shd w:val="clear" w:color="auto" w:fill="auto"/>
            <w:vAlign w:val="center"/>
          </w:tcPr>
          <w:p w14:paraId="158157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监测结果</w:t>
            </w:r>
          </w:p>
        </w:tc>
      </w:tr>
      <w:tr w14:paraId="3B42EA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90" w:hRule="atLeast"/>
        </w:trPr>
        <w:tc>
          <w:tcPr>
            <w:tcW w:w="247" w:type="pct"/>
            <w:vMerge w:val="restart"/>
            <w:vAlign w:val="center"/>
          </w:tcPr>
          <w:p w14:paraId="2C0D336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S1</w:t>
            </w:r>
          </w:p>
        </w:tc>
        <w:tc>
          <w:tcPr>
            <w:tcW w:w="373" w:type="pct"/>
            <w:shd w:val="clear" w:color="auto" w:fill="auto"/>
            <w:vAlign w:val="center"/>
          </w:tcPr>
          <w:p w14:paraId="1C3F50D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760F5D0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5E74D70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383F429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64AE173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767FC8E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0790A84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47AC69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5B3E00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6DEED8C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369DB4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3D842B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2BD333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94" w:hRule="atLeast"/>
        </w:trPr>
        <w:tc>
          <w:tcPr>
            <w:tcW w:w="247" w:type="pct"/>
            <w:vMerge w:val="continue"/>
            <w:vAlign w:val="center"/>
          </w:tcPr>
          <w:p w14:paraId="3E72275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59D8346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7F8027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431E4D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446A9F4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1B0708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0D228B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6020A0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94C93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7618BFC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00673C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01C0C5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413082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9E7C5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C8AE1E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576BD0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6E1470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0.1</w:t>
            </w:r>
          </w:p>
        </w:tc>
        <w:tc>
          <w:tcPr>
            <w:tcW w:w="432" w:type="pct"/>
            <w:shd w:val="clear" w:color="auto" w:fill="auto"/>
            <w:vAlign w:val="center"/>
          </w:tcPr>
          <w:p w14:paraId="03D61A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w:t>
            </w:r>
          </w:p>
        </w:tc>
        <w:tc>
          <w:tcPr>
            <w:tcW w:w="359" w:type="pct"/>
            <w:shd w:val="clear" w:color="auto" w:fill="auto"/>
            <w:vAlign w:val="center"/>
          </w:tcPr>
          <w:p w14:paraId="65B3E0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0125</w:t>
            </w:r>
          </w:p>
        </w:tc>
        <w:tc>
          <w:tcPr>
            <w:tcW w:w="388" w:type="pct"/>
            <w:shd w:val="clear" w:color="auto" w:fill="auto"/>
            <w:vAlign w:val="center"/>
          </w:tcPr>
          <w:p w14:paraId="2B5BFF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w:t>
            </w:r>
          </w:p>
        </w:tc>
        <w:tc>
          <w:tcPr>
            <w:tcW w:w="404" w:type="pct"/>
            <w:shd w:val="clear" w:color="auto" w:fill="auto"/>
            <w:vAlign w:val="center"/>
          </w:tcPr>
          <w:p w14:paraId="045727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0.525</w:t>
            </w:r>
          </w:p>
        </w:tc>
        <w:tc>
          <w:tcPr>
            <w:tcW w:w="394" w:type="pct"/>
            <w:shd w:val="clear" w:color="auto" w:fill="auto"/>
            <w:vAlign w:val="center"/>
          </w:tcPr>
          <w:p w14:paraId="452F18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B7BAB2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429757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2FEFE8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449D8D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4" w:type="pct"/>
            <w:shd w:val="clear" w:color="auto" w:fill="auto"/>
            <w:vAlign w:val="center"/>
          </w:tcPr>
          <w:p w14:paraId="73B93B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1A2D93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458B24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795BF14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E6D5A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w:t>
            </w:r>
          </w:p>
        </w:tc>
        <w:tc>
          <w:tcPr>
            <w:tcW w:w="432" w:type="pct"/>
            <w:shd w:val="clear" w:color="auto" w:fill="auto"/>
            <w:vAlign w:val="center"/>
          </w:tcPr>
          <w:p w14:paraId="31EB5F6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w:t>
            </w:r>
          </w:p>
        </w:tc>
        <w:tc>
          <w:tcPr>
            <w:tcW w:w="359" w:type="pct"/>
            <w:shd w:val="clear" w:color="auto" w:fill="auto"/>
            <w:vAlign w:val="center"/>
          </w:tcPr>
          <w:p w14:paraId="058FD14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0125</w:t>
            </w:r>
          </w:p>
        </w:tc>
        <w:tc>
          <w:tcPr>
            <w:tcW w:w="388" w:type="pct"/>
            <w:shd w:val="clear" w:color="auto" w:fill="auto"/>
            <w:vAlign w:val="center"/>
          </w:tcPr>
          <w:p w14:paraId="656D423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0.15</w:t>
            </w:r>
          </w:p>
        </w:tc>
        <w:tc>
          <w:tcPr>
            <w:tcW w:w="404" w:type="pct"/>
            <w:shd w:val="clear" w:color="auto" w:fill="auto"/>
            <w:vAlign w:val="center"/>
          </w:tcPr>
          <w:p w14:paraId="1383FD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0.475</w:t>
            </w:r>
          </w:p>
        </w:tc>
        <w:tc>
          <w:tcPr>
            <w:tcW w:w="394" w:type="pct"/>
            <w:shd w:val="clear" w:color="auto" w:fill="auto"/>
            <w:vAlign w:val="center"/>
          </w:tcPr>
          <w:p w14:paraId="371F1ED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DFC44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0AA223A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009F2C9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17C15ED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4" w:type="pct"/>
            <w:shd w:val="clear" w:color="auto" w:fill="auto"/>
            <w:vAlign w:val="center"/>
          </w:tcPr>
          <w:p w14:paraId="0CAA9A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D71F6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190B0E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1800F1B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2A9177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32" w:type="pct"/>
            <w:shd w:val="clear" w:color="auto" w:fill="auto"/>
            <w:vAlign w:val="center"/>
          </w:tcPr>
          <w:p w14:paraId="2469694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0.35</w:t>
            </w:r>
          </w:p>
        </w:tc>
        <w:tc>
          <w:tcPr>
            <w:tcW w:w="359" w:type="pct"/>
            <w:shd w:val="clear" w:color="auto" w:fill="auto"/>
            <w:vAlign w:val="center"/>
          </w:tcPr>
          <w:p w14:paraId="23D1969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0125</w:t>
            </w:r>
          </w:p>
        </w:tc>
        <w:tc>
          <w:tcPr>
            <w:tcW w:w="388" w:type="pct"/>
            <w:shd w:val="clear" w:color="auto" w:fill="auto"/>
            <w:vAlign w:val="center"/>
          </w:tcPr>
          <w:p w14:paraId="2A4C4B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4" w:type="pct"/>
            <w:shd w:val="clear" w:color="auto" w:fill="auto"/>
            <w:vAlign w:val="center"/>
          </w:tcPr>
          <w:p w14:paraId="23064D1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0.425</w:t>
            </w:r>
          </w:p>
        </w:tc>
        <w:tc>
          <w:tcPr>
            <w:tcW w:w="394" w:type="pct"/>
            <w:shd w:val="clear" w:color="auto" w:fill="auto"/>
            <w:vAlign w:val="center"/>
          </w:tcPr>
          <w:p w14:paraId="0AB2B1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8EA19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760142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204711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71F15B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4" w:type="pct"/>
            <w:shd w:val="clear" w:color="auto" w:fill="auto"/>
            <w:vAlign w:val="center"/>
          </w:tcPr>
          <w:p w14:paraId="626C6D1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3028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E1A3AE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6D0F7D7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74610C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6BAE00B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5A27B57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462D0C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3E0737C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01A6A5C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25CC779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0C7DCA8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1DF69FC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4CE2A6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604478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384305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693D61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5089E16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18102F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2B957C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18D149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491B2D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4D9F06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33C1B4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5AEA73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708CA7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62819A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403031B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4A63C4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5C82A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16E7DC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148934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34566F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6E5D07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435D7A6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2790C6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4DE260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1BB4A14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6EAB77A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550C9A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375" w:type="pct"/>
            <w:shd w:val="clear" w:color="auto" w:fill="auto"/>
            <w:vAlign w:val="center"/>
          </w:tcPr>
          <w:p w14:paraId="5DF567A2">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11.96</w:t>
            </w:r>
          </w:p>
        </w:tc>
        <w:tc>
          <w:tcPr>
            <w:tcW w:w="416" w:type="pct"/>
            <w:shd w:val="clear" w:color="auto" w:fill="auto"/>
            <w:vAlign w:val="center"/>
          </w:tcPr>
          <w:p w14:paraId="1B6F2B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5A9D5F3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1A85B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4200A8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CCE2E7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5E1A52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045F38C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4BF591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5CAF06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3D5711A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5580B6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59BE4B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2DFF1C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375" w:type="pct"/>
            <w:shd w:val="clear" w:color="auto" w:fill="auto"/>
            <w:vAlign w:val="center"/>
          </w:tcPr>
          <w:p w14:paraId="75F65F3C">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12.26</w:t>
            </w:r>
          </w:p>
        </w:tc>
        <w:tc>
          <w:tcPr>
            <w:tcW w:w="416" w:type="pct"/>
            <w:shd w:val="clear" w:color="auto" w:fill="auto"/>
            <w:vAlign w:val="center"/>
          </w:tcPr>
          <w:p w14:paraId="72197AB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5D210E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4AB39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9604FA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FC2129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15E96CB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402953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5041BB3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402354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15AE79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305F78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71C4FD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52132F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375" w:type="pct"/>
            <w:shd w:val="clear" w:color="auto" w:fill="auto"/>
            <w:vAlign w:val="center"/>
          </w:tcPr>
          <w:p w14:paraId="7BB287D8">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10.2</w:t>
            </w:r>
          </w:p>
        </w:tc>
        <w:tc>
          <w:tcPr>
            <w:tcW w:w="416" w:type="pct"/>
            <w:shd w:val="clear" w:color="auto" w:fill="auto"/>
            <w:vAlign w:val="center"/>
          </w:tcPr>
          <w:p w14:paraId="3C5E0D9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0423A6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668F5E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7" w:type="pct"/>
            <w:vMerge w:val="continue"/>
            <w:vAlign w:val="center"/>
          </w:tcPr>
          <w:p w14:paraId="0947808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3BF888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45B4141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30ED7E1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2AA41C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6F03223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476C44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E8295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9E838B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03A7C78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675D8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26E8E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EFC76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2D95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B9987A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30DD82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1D3A171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6BA579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297029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637489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4BEFEE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A47FD1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E7CA2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6AB5A9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06547E7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73531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268985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339F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23B995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59B3060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26C339C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06066B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1ECADF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62449CC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19C75DD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C47281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42796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D9D1B9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6A1D6EE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364F6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4813D0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6C4C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B1F1AC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FB6E8B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2BFAAB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573B35A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68270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52B785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37857E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8946B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E64D4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069E5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7DC01A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F0186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249677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0ADA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272782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1E86E0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47A84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0EA737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43891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28E027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34F4D0D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ED544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18633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6B0A9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4B89B9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1E068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504D07C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F119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90" w:hRule="atLeast"/>
        </w:trPr>
        <w:tc>
          <w:tcPr>
            <w:tcW w:w="247" w:type="pct"/>
            <w:vMerge w:val="restart"/>
            <w:vAlign w:val="center"/>
          </w:tcPr>
          <w:p w14:paraId="48FF5B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S2</w:t>
            </w:r>
          </w:p>
        </w:tc>
        <w:tc>
          <w:tcPr>
            <w:tcW w:w="373" w:type="pct"/>
            <w:shd w:val="clear" w:color="auto" w:fill="auto"/>
            <w:vAlign w:val="center"/>
          </w:tcPr>
          <w:p w14:paraId="223B5A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6D855E7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408CEB9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13F43FA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7FE96D7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467EEE3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7333098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286B8B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7CB4F4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5B32A1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79EED37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017BCC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7F080E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D7A282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BD42E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4C44FE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08EEE79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618D8CE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499AB9B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5AAFEB1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4D7D2E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0F3D8B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0545E1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08B1ACC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1AADF4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4DFDF9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45F0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0810CA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5251B8B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0BB273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w:t>
            </w:r>
          </w:p>
        </w:tc>
        <w:tc>
          <w:tcPr>
            <w:tcW w:w="432" w:type="pct"/>
            <w:shd w:val="clear" w:color="auto" w:fill="auto"/>
            <w:vAlign w:val="center"/>
          </w:tcPr>
          <w:p w14:paraId="2566C59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w:t>
            </w:r>
          </w:p>
        </w:tc>
        <w:tc>
          <w:tcPr>
            <w:tcW w:w="359" w:type="pct"/>
            <w:shd w:val="clear" w:color="auto" w:fill="auto"/>
            <w:vAlign w:val="center"/>
          </w:tcPr>
          <w:p w14:paraId="385676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0125</w:t>
            </w:r>
          </w:p>
        </w:tc>
        <w:tc>
          <w:tcPr>
            <w:tcW w:w="388" w:type="pct"/>
            <w:shd w:val="clear" w:color="auto" w:fill="auto"/>
            <w:vAlign w:val="center"/>
          </w:tcPr>
          <w:p w14:paraId="7CB664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w:t>
            </w:r>
          </w:p>
        </w:tc>
        <w:tc>
          <w:tcPr>
            <w:tcW w:w="404" w:type="pct"/>
            <w:shd w:val="clear" w:color="auto" w:fill="auto"/>
            <w:vAlign w:val="center"/>
          </w:tcPr>
          <w:p w14:paraId="6AC067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w:t>
            </w:r>
          </w:p>
        </w:tc>
        <w:tc>
          <w:tcPr>
            <w:tcW w:w="394" w:type="pct"/>
            <w:shd w:val="clear" w:color="auto" w:fill="auto"/>
            <w:vAlign w:val="center"/>
          </w:tcPr>
          <w:p w14:paraId="12CA052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F854E6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5E3EF7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1E86358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79382C6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4" w:type="pct"/>
            <w:shd w:val="clear" w:color="auto" w:fill="auto"/>
            <w:vAlign w:val="center"/>
          </w:tcPr>
          <w:p w14:paraId="762C8F3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0B63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99" w:hRule="atLeast"/>
        </w:trPr>
        <w:tc>
          <w:tcPr>
            <w:tcW w:w="247" w:type="pct"/>
            <w:vMerge w:val="continue"/>
            <w:vAlign w:val="center"/>
          </w:tcPr>
          <w:p w14:paraId="56F37E6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1C6E791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07724D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p>
        </w:tc>
        <w:tc>
          <w:tcPr>
            <w:tcW w:w="432" w:type="pct"/>
            <w:shd w:val="clear" w:color="auto" w:fill="auto"/>
            <w:vAlign w:val="center"/>
          </w:tcPr>
          <w:p w14:paraId="48DCD1D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0.35</w:t>
            </w:r>
          </w:p>
        </w:tc>
        <w:tc>
          <w:tcPr>
            <w:tcW w:w="359" w:type="pct"/>
            <w:shd w:val="clear" w:color="auto" w:fill="auto"/>
            <w:vAlign w:val="center"/>
          </w:tcPr>
          <w:p w14:paraId="173F07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0125</w:t>
            </w:r>
          </w:p>
        </w:tc>
        <w:tc>
          <w:tcPr>
            <w:tcW w:w="388" w:type="pct"/>
            <w:shd w:val="clear" w:color="auto" w:fill="auto"/>
            <w:vAlign w:val="center"/>
          </w:tcPr>
          <w:p w14:paraId="2179D9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4" w:type="pct"/>
            <w:shd w:val="clear" w:color="auto" w:fill="auto"/>
            <w:vAlign w:val="center"/>
          </w:tcPr>
          <w:p w14:paraId="545DA20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0.425</w:t>
            </w:r>
          </w:p>
        </w:tc>
        <w:tc>
          <w:tcPr>
            <w:tcW w:w="394" w:type="pct"/>
            <w:shd w:val="clear" w:color="auto" w:fill="auto"/>
            <w:vAlign w:val="center"/>
          </w:tcPr>
          <w:p w14:paraId="5EC43A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807418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54044C6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169C05D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0ABF54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4" w:type="pct"/>
            <w:shd w:val="clear" w:color="auto" w:fill="auto"/>
            <w:vAlign w:val="center"/>
          </w:tcPr>
          <w:p w14:paraId="26BE63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3134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727940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6CF2ECF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1BA377A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32" w:type="pct"/>
            <w:shd w:val="clear" w:color="auto" w:fill="auto"/>
            <w:vAlign w:val="center"/>
          </w:tcPr>
          <w:p w14:paraId="042455F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0.45</w:t>
            </w:r>
          </w:p>
        </w:tc>
        <w:tc>
          <w:tcPr>
            <w:tcW w:w="359" w:type="pct"/>
            <w:shd w:val="clear" w:color="auto" w:fill="auto"/>
            <w:vAlign w:val="center"/>
          </w:tcPr>
          <w:p w14:paraId="0C5876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0125</w:t>
            </w:r>
          </w:p>
        </w:tc>
        <w:tc>
          <w:tcPr>
            <w:tcW w:w="388" w:type="pct"/>
            <w:shd w:val="clear" w:color="auto" w:fill="auto"/>
            <w:vAlign w:val="center"/>
          </w:tcPr>
          <w:p w14:paraId="4D5756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4" w:type="pct"/>
            <w:shd w:val="clear" w:color="auto" w:fill="auto"/>
            <w:vAlign w:val="center"/>
          </w:tcPr>
          <w:p w14:paraId="6747D8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0.575</w:t>
            </w:r>
          </w:p>
        </w:tc>
        <w:tc>
          <w:tcPr>
            <w:tcW w:w="394" w:type="pct"/>
            <w:shd w:val="clear" w:color="auto" w:fill="auto"/>
            <w:vAlign w:val="center"/>
          </w:tcPr>
          <w:p w14:paraId="56A486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005A0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6A33D92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3F063E2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373306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4" w:type="pct"/>
            <w:shd w:val="clear" w:color="auto" w:fill="auto"/>
            <w:vAlign w:val="center"/>
          </w:tcPr>
          <w:p w14:paraId="31A0DC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D6BC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78766A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8693F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09E934E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429553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04A296A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7365629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7E1E5E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042E69B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5A6B479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6ECDFCC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0F7BF95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34E22E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72D4F94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73FD4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A67759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310716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29CB039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602FC7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39CBFC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101A06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78AA60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624C75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299F43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6FA2A5E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2B03E4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2F5B72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45F301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6D3D9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90" w:hRule="atLeast"/>
        </w:trPr>
        <w:tc>
          <w:tcPr>
            <w:tcW w:w="247" w:type="pct"/>
            <w:vMerge w:val="continue"/>
            <w:vAlign w:val="center"/>
          </w:tcPr>
          <w:p w14:paraId="5DFB773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235B75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6313776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4DB7E3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5505210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32207C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5C39EC9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7737DF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29F34DF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401A3C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0.326</w:t>
            </w:r>
          </w:p>
        </w:tc>
        <w:tc>
          <w:tcPr>
            <w:tcW w:w="375" w:type="pct"/>
            <w:shd w:val="clear" w:color="auto" w:fill="auto"/>
            <w:vAlign w:val="center"/>
          </w:tcPr>
          <w:p w14:paraId="4596CE97">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123.6</w:t>
            </w:r>
          </w:p>
        </w:tc>
        <w:tc>
          <w:tcPr>
            <w:tcW w:w="416" w:type="pct"/>
            <w:shd w:val="clear" w:color="auto" w:fill="auto"/>
            <w:vAlign w:val="center"/>
          </w:tcPr>
          <w:p w14:paraId="46B7E8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741955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r>
      <w:tr w14:paraId="18B5E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FACD09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9793B3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5D077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130D323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3EFE4DC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3068A3C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62D5ABB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1DCA9A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55A881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654FC48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0.294</w:t>
            </w:r>
          </w:p>
        </w:tc>
        <w:tc>
          <w:tcPr>
            <w:tcW w:w="375" w:type="pct"/>
            <w:shd w:val="clear" w:color="auto" w:fill="auto"/>
            <w:vAlign w:val="center"/>
          </w:tcPr>
          <w:p w14:paraId="2FD48DF4">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133.8</w:t>
            </w:r>
          </w:p>
        </w:tc>
        <w:tc>
          <w:tcPr>
            <w:tcW w:w="416" w:type="pct"/>
            <w:shd w:val="clear" w:color="auto" w:fill="auto"/>
            <w:vAlign w:val="center"/>
          </w:tcPr>
          <w:p w14:paraId="10C598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159AE1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r>
      <w:tr w14:paraId="4EA710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7455F8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739852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511355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635AE6F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02DCD0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3C814F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58FEB6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34F078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41828A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7E43E4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0.242</w:t>
            </w:r>
          </w:p>
        </w:tc>
        <w:tc>
          <w:tcPr>
            <w:tcW w:w="375" w:type="pct"/>
            <w:shd w:val="clear" w:color="auto" w:fill="auto"/>
            <w:vAlign w:val="center"/>
          </w:tcPr>
          <w:p w14:paraId="79C3D218">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135.2</w:t>
            </w:r>
          </w:p>
        </w:tc>
        <w:tc>
          <w:tcPr>
            <w:tcW w:w="416" w:type="pct"/>
            <w:shd w:val="clear" w:color="auto" w:fill="auto"/>
            <w:vAlign w:val="center"/>
          </w:tcPr>
          <w:p w14:paraId="37A7AE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7E84BD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w:t>
            </w:r>
          </w:p>
        </w:tc>
      </w:tr>
      <w:tr w14:paraId="43AC06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7" w:type="pct"/>
            <w:vMerge w:val="continue"/>
            <w:vAlign w:val="center"/>
          </w:tcPr>
          <w:p w14:paraId="6604BA7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672603A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5E309E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4B32A7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755994A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6038E0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413726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F52D6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BF6A7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715CDB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4C97B7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6972A9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09C219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829F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19CEDB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2C62387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21DA12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3FF8FBC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9710E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35033E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541984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26CC9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98E043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E3C07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3858310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33F546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EB849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7D5DA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AA94D6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383653A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46AE584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1F4027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C2CC8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4D361E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618379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EC6BA6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8AA28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108376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EB888F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5ED6E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658F688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9C518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3367C3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A80BAE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69C71A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02521F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548C1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24C547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3DBDBB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87E12B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A81BE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09B38E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797A5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8AFDB4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C90198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AC598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D5BE96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AA7EEC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E76146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7FC15A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EFC18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2BC74F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4E3587C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1401E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24AB0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91EC28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4B61F2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4FE95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3DE7186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33D9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592" w:hRule="atLeast"/>
        </w:trPr>
        <w:tc>
          <w:tcPr>
            <w:tcW w:w="247" w:type="pct"/>
            <w:vMerge w:val="restart"/>
            <w:vAlign w:val="center"/>
          </w:tcPr>
          <w:p w14:paraId="4D6C19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S3</w:t>
            </w:r>
          </w:p>
        </w:tc>
        <w:tc>
          <w:tcPr>
            <w:tcW w:w="373" w:type="pct"/>
            <w:shd w:val="clear" w:color="auto" w:fill="auto"/>
            <w:vAlign w:val="center"/>
          </w:tcPr>
          <w:p w14:paraId="44B372B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5C464F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0D55A7F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39C78E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55403A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0197537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35723C9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069842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72C1B12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6438C1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63757CC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4C16B6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7ADDC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220" w:hRule="atLeast"/>
        </w:trPr>
        <w:tc>
          <w:tcPr>
            <w:tcW w:w="247" w:type="pct"/>
            <w:vMerge w:val="continue"/>
            <w:vAlign w:val="center"/>
          </w:tcPr>
          <w:p w14:paraId="7F95914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3104BD4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3893CE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4973C5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7A3F0AD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20C9847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22D4606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4F16E7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40BE68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309AA64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24417FF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32E792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4A4EB12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AEB0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E8748E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58B84A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3950E5D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32" w:type="pct"/>
            <w:shd w:val="clear" w:color="auto" w:fill="auto"/>
            <w:vAlign w:val="center"/>
          </w:tcPr>
          <w:p w14:paraId="66BE9A6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0.45</w:t>
            </w:r>
          </w:p>
        </w:tc>
        <w:tc>
          <w:tcPr>
            <w:tcW w:w="359" w:type="pct"/>
            <w:shd w:val="clear" w:color="auto" w:fill="auto"/>
            <w:vAlign w:val="center"/>
          </w:tcPr>
          <w:p w14:paraId="406138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0125</w:t>
            </w:r>
          </w:p>
        </w:tc>
        <w:tc>
          <w:tcPr>
            <w:tcW w:w="388" w:type="pct"/>
            <w:shd w:val="clear" w:color="auto" w:fill="auto"/>
            <w:vAlign w:val="center"/>
          </w:tcPr>
          <w:p w14:paraId="7C7247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0.15</w:t>
            </w:r>
          </w:p>
        </w:tc>
        <w:tc>
          <w:tcPr>
            <w:tcW w:w="404" w:type="pct"/>
            <w:shd w:val="clear" w:color="auto" w:fill="auto"/>
            <w:vAlign w:val="center"/>
          </w:tcPr>
          <w:p w14:paraId="6B325C7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w:t>
            </w:r>
          </w:p>
        </w:tc>
        <w:tc>
          <w:tcPr>
            <w:tcW w:w="394" w:type="pct"/>
            <w:shd w:val="clear" w:color="auto" w:fill="auto"/>
            <w:vAlign w:val="center"/>
          </w:tcPr>
          <w:p w14:paraId="55EA084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1869C7C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246F76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0FD0F58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1FCF7F8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4" w:type="pct"/>
            <w:shd w:val="clear" w:color="auto" w:fill="auto"/>
            <w:vAlign w:val="center"/>
          </w:tcPr>
          <w:p w14:paraId="1589691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3A68D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BCD2FF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4AAC5B5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6E6BA42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w:t>
            </w:r>
          </w:p>
        </w:tc>
        <w:tc>
          <w:tcPr>
            <w:tcW w:w="432" w:type="pct"/>
            <w:shd w:val="clear" w:color="auto" w:fill="auto"/>
            <w:vAlign w:val="center"/>
          </w:tcPr>
          <w:p w14:paraId="084AEFC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0.35</w:t>
            </w:r>
          </w:p>
        </w:tc>
        <w:tc>
          <w:tcPr>
            <w:tcW w:w="359" w:type="pct"/>
            <w:shd w:val="clear" w:color="auto" w:fill="auto"/>
            <w:vAlign w:val="center"/>
          </w:tcPr>
          <w:p w14:paraId="60D13A4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0125</w:t>
            </w:r>
          </w:p>
        </w:tc>
        <w:tc>
          <w:tcPr>
            <w:tcW w:w="388" w:type="pct"/>
            <w:shd w:val="clear" w:color="auto" w:fill="auto"/>
            <w:vAlign w:val="center"/>
          </w:tcPr>
          <w:p w14:paraId="4A3885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4" w:type="pct"/>
            <w:shd w:val="clear" w:color="auto" w:fill="auto"/>
            <w:vAlign w:val="center"/>
          </w:tcPr>
          <w:p w14:paraId="08712A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0.45</w:t>
            </w:r>
          </w:p>
        </w:tc>
        <w:tc>
          <w:tcPr>
            <w:tcW w:w="394" w:type="pct"/>
            <w:shd w:val="clear" w:color="auto" w:fill="auto"/>
            <w:vAlign w:val="center"/>
          </w:tcPr>
          <w:p w14:paraId="390056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6ED7EC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67E38CF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41B8E9E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24128B0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4" w:type="pct"/>
            <w:shd w:val="clear" w:color="auto" w:fill="auto"/>
            <w:vAlign w:val="center"/>
          </w:tcPr>
          <w:p w14:paraId="0FCDD87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5A47B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E1EB15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3F8F042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3E188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p>
        </w:tc>
        <w:tc>
          <w:tcPr>
            <w:tcW w:w="432" w:type="pct"/>
            <w:shd w:val="clear" w:color="auto" w:fill="auto"/>
            <w:vAlign w:val="center"/>
          </w:tcPr>
          <w:p w14:paraId="22AD6B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0.45</w:t>
            </w:r>
          </w:p>
        </w:tc>
        <w:tc>
          <w:tcPr>
            <w:tcW w:w="359" w:type="pct"/>
            <w:shd w:val="clear" w:color="auto" w:fill="auto"/>
            <w:vAlign w:val="center"/>
          </w:tcPr>
          <w:p w14:paraId="0364A9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0125</w:t>
            </w:r>
          </w:p>
        </w:tc>
        <w:tc>
          <w:tcPr>
            <w:tcW w:w="388" w:type="pct"/>
            <w:shd w:val="clear" w:color="auto" w:fill="auto"/>
            <w:vAlign w:val="center"/>
          </w:tcPr>
          <w:p w14:paraId="097775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0.15</w:t>
            </w:r>
          </w:p>
        </w:tc>
        <w:tc>
          <w:tcPr>
            <w:tcW w:w="404" w:type="pct"/>
            <w:shd w:val="clear" w:color="auto" w:fill="auto"/>
            <w:vAlign w:val="center"/>
          </w:tcPr>
          <w:p w14:paraId="4B22729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0.575</w:t>
            </w:r>
          </w:p>
        </w:tc>
        <w:tc>
          <w:tcPr>
            <w:tcW w:w="394" w:type="pct"/>
            <w:shd w:val="clear" w:color="auto" w:fill="auto"/>
            <w:vAlign w:val="center"/>
          </w:tcPr>
          <w:p w14:paraId="07CC66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FC068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1C4BF0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75C3924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24C2D9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74" w:type="pct"/>
            <w:shd w:val="clear" w:color="auto" w:fill="auto"/>
            <w:vAlign w:val="center"/>
          </w:tcPr>
          <w:p w14:paraId="53C2357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8579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D76D44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298ED3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3D76DAC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21D885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351277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5F2ACA6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583953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405A2D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43075F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02178F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4093BF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7DA179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7DA5E5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6FFF1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EF78E6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06ACE9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3C8A9B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3D9E12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6B3C44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011B60E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155130B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5216C7A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42C484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513DB84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093FB12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266A5F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776070E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12430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D3EAED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3C3549C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1FB985D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3FED5A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4D375C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0557021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1AA95E4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0F5CF30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100595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2E2ED5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375" w:type="pct"/>
            <w:shd w:val="clear" w:color="auto" w:fill="auto"/>
            <w:vAlign w:val="center"/>
          </w:tcPr>
          <w:p w14:paraId="6BB0EFD6">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2.96</w:t>
            </w:r>
          </w:p>
        </w:tc>
        <w:tc>
          <w:tcPr>
            <w:tcW w:w="416" w:type="pct"/>
            <w:shd w:val="clear" w:color="auto" w:fill="auto"/>
            <w:vAlign w:val="center"/>
          </w:tcPr>
          <w:p w14:paraId="7B2121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6F5C72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162F1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846FD1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DED004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2D833B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5A4AF9E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45756C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622FBA3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04F56B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1FF26B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159BDB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3BBDD7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375" w:type="pct"/>
            <w:shd w:val="clear" w:color="auto" w:fill="auto"/>
            <w:vAlign w:val="center"/>
          </w:tcPr>
          <w:p w14:paraId="5787A063">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w:t>
            </w:r>
          </w:p>
        </w:tc>
        <w:tc>
          <w:tcPr>
            <w:tcW w:w="416" w:type="pct"/>
            <w:shd w:val="clear" w:color="auto" w:fill="auto"/>
            <w:vAlign w:val="center"/>
          </w:tcPr>
          <w:p w14:paraId="7F612F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73861B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725A34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1D871B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F7BB47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1D9EFA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6F80160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20AB149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5D7A78A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220A3A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2E6DEEC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065A838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2107DB7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375" w:type="pct"/>
            <w:shd w:val="clear" w:color="auto" w:fill="auto"/>
            <w:vAlign w:val="center"/>
          </w:tcPr>
          <w:p w14:paraId="729C8FC7">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1.92</w:t>
            </w:r>
          </w:p>
        </w:tc>
        <w:tc>
          <w:tcPr>
            <w:tcW w:w="416" w:type="pct"/>
            <w:shd w:val="clear" w:color="auto" w:fill="auto"/>
            <w:vAlign w:val="center"/>
          </w:tcPr>
          <w:p w14:paraId="3BAC83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24D44E4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466C9C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7" w:type="pct"/>
            <w:vMerge w:val="continue"/>
            <w:vAlign w:val="center"/>
          </w:tcPr>
          <w:p w14:paraId="76B9818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69253E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13F24C0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03BA22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2C094FA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2E6482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027329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0DCE8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39B456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6A5657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42208A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DB8A1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127E6B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C198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D044B2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05F179A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4F02F1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6CFDBD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122943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128A89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7CA74BD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5804D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93D01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34215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4580A0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864CC2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6C97147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698A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96CE2D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6F3E133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16808E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1D7A73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B03119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6C167B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703E96F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3A3B37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25644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93301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FEEA3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56CE51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5F8AFE6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0961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230" w:hRule="atLeast"/>
        </w:trPr>
        <w:tc>
          <w:tcPr>
            <w:tcW w:w="247" w:type="pct"/>
            <w:vMerge w:val="continue"/>
            <w:vAlign w:val="center"/>
          </w:tcPr>
          <w:p w14:paraId="5696EAA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FE3C5E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AD37C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70AAA9F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5289AE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0AC6175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41F4C3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022DA8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7D5D4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277885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8D5AEC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37F2D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119685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F6B8B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8210B5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777CEB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06BA4C2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51B931E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F0D293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1E0A89D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05C4E97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EBF134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831107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EC0C9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033814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7EE52C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896BB9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5BE75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restart"/>
            <w:vAlign w:val="center"/>
          </w:tcPr>
          <w:p w14:paraId="7E703B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S4</w:t>
            </w:r>
          </w:p>
        </w:tc>
        <w:tc>
          <w:tcPr>
            <w:tcW w:w="373" w:type="pct"/>
            <w:shd w:val="clear" w:color="auto" w:fill="auto"/>
            <w:vAlign w:val="center"/>
          </w:tcPr>
          <w:p w14:paraId="655939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055343D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547C5D0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476E59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4719AD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033207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77C44C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2125AB3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4ED7D5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40B684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59B978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33F704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3B7E73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7159DD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24140E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2912528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015808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1A7686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7B20F9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5A8B87A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230615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7A902A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13D480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4556E7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467210C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630C3D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C7B9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038D5E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7FBCA7F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3B0448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w:t>
            </w:r>
          </w:p>
        </w:tc>
        <w:tc>
          <w:tcPr>
            <w:tcW w:w="432" w:type="pct"/>
            <w:shd w:val="clear" w:color="auto" w:fill="auto"/>
            <w:vAlign w:val="center"/>
          </w:tcPr>
          <w:p w14:paraId="761116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0.55</w:t>
            </w:r>
          </w:p>
        </w:tc>
        <w:tc>
          <w:tcPr>
            <w:tcW w:w="359" w:type="pct"/>
            <w:shd w:val="clear" w:color="auto" w:fill="auto"/>
            <w:vAlign w:val="center"/>
          </w:tcPr>
          <w:p w14:paraId="4E9BE1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0.27</w:t>
            </w:r>
          </w:p>
        </w:tc>
        <w:tc>
          <w:tcPr>
            <w:tcW w:w="388" w:type="pct"/>
            <w:shd w:val="clear" w:color="auto" w:fill="auto"/>
            <w:vAlign w:val="center"/>
          </w:tcPr>
          <w:p w14:paraId="52207A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w:t>
            </w:r>
          </w:p>
        </w:tc>
        <w:tc>
          <w:tcPr>
            <w:tcW w:w="404" w:type="pct"/>
            <w:shd w:val="clear" w:color="auto" w:fill="auto"/>
            <w:vAlign w:val="center"/>
          </w:tcPr>
          <w:p w14:paraId="1232CC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0.675</w:t>
            </w:r>
          </w:p>
        </w:tc>
        <w:tc>
          <w:tcPr>
            <w:tcW w:w="394" w:type="pct"/>
            <w:shd w:val="clear" w:color="auto" w:fill="auto"/>
            <w:vAlign w:val="center"/>
          </w:tcPr>
          <w:p w14:paraId="63C928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E32E4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28CBD7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32E123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710F8E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w:t>
            </w:r>
          </w:p>
        </w:tc>
        <w:tc>
          <w:tcPr>
            <w:tcW w:w="474" w:type="pct"/>
            <w:shd w:val="clear" w:color="auto" w:fill="auto"/>
            <w:vAlign w:val="center"/>
          </w:tcPr>
          <w:p w14:paraId="438EE9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EDB6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3BDFD5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6884472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67261FE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p>
        </w:tc>
        <w:tc>
          <w:tcPr>
            <w:tcW w:w="432" w:type="pct"/>
            <w:shd w:val="clear" w:color="auto" w:fill="auto"/>
            <w:vAlign w:val="center"/>
          </w:tcPr>
          <w:p w14:paraId="6FFE7A3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w:t>
            </w:r>
          </w:p>
        </w:tc>
        <w:tc>
          <w:tcPr>
            <w:tcW w:w="359" w:type="pct"/>
            <w:shd w:val="clear" w:color="auto" w:fill="auto"/>
            <w:vAlign w:val="center"/>
          </w:tcPr>
          <w:p w14:paraId="79F8CB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0.24</w:t>
            </w:r>
          </w:p>
        </w:tc>
        <w:tc>
          <w:tcPr>
            <w:tcW w:w="388" w:type="pct"/>
            <w:shd w:val="clear" w:color="auto" w:fill="auto"/>
            <w:vAlign w:val="center"/>
          </w:tcPr>
          <w:p w14:paraId="00EFD50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0.25</w:t>
            </w:r>
          </w:p>
        </w:tc>
        <w:tc>
          <w:tcPr>
            <w:tcW w:w="404" w:type="pct"/>
            <w:shd w:val="clear" w:color="auto" w:fill="auto"/>
            <w:vAlign w:val="center"/>
          </w:tcPr>
          <w:p w14:paraId="12EB06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0.725</w:t>
            </w:r>
          </w:p>
        </w:tc>
        <w:tc>
          <w:tcPr>
            <w:tcW w:w="394" w:type="pct"/>
            <w:shd w:val="clear" w:color="auto" w:fill="auto"/>
            <w:vAlign w:val="center"/>
          </w:tcPr>
          <w:p w14:paraId="14F9DD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02AC70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691C792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23BAAA0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00F0F0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w:t>
            </w:r>
          </w:p>
        </w:tc>
        <w:tc>
          <w:tcPr>
            <w:tcW w:w="474" w:type="pct"/>
            <w:shd w:val="clear" w:color="auto" w:fill="auto"/>
            <w:vAlign w:val="center"/>
          </w:tcPr>
          <w:p w14:paraId="21EE6C9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55EB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03161B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6990482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0E0D63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w:t>
            </w:r>
          </w:p>
        </w:tc>
        <w:tc>
          <w:tcPr>
            <w:tcW w:w="432" w:type="pct"/>
            <w:shd w:val="clear" w:color="auto" w:fill="auto"/>
            <w:vAlign w:val="center"/>
          </w:tcPr>
          <w:p w14:paraId="5F19ED2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0.65</w:t>
            </w:r>
          </w:p>
        </w:tc>
        <w:tc>
          <w:tcPr>
            <w:tcW w:w="359" w:type="pct"/>
            <w:shd w:val="clear" w:color="auto" w:fill="auto"/>
            <w:vAlign w:val="center"/>
          </w:tcPr>
          <w:p w14:paraId="06223A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0.25</w:t>
            </w:r>
          </w:p>
        </w:tc>
        <w:tc>
          <w:tcPr>
            <w:tcW w:w="388" w:type="pct"/>
            <w:shd w:val="clear" w:color="auto" w:fill="auto"/>
            <w:vAlign w:val="center"/>
          </w:tcPr>
          <w:p w14:paraId="39A2518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0.3</w:t>
            </w:r>
          </w:p>
        </w:tc>
        <w:tc>
          <w:tcPr>
            <w:tcW w:w="404" w:type="pct"/>
            <w:shd w:val="clear" w:color="auto" w:fill="auto"/>
            <w:vAlign w:val="center"/>
          </w:tcPr>
          <w:p w14:paraId="13BE2B2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0.8</w:t>
            </w:r>
          </w:p>
        </w:tc>
        <w:tc>
          <w:tcPr>
            <w:tcW w:w="394" w:type="pct"/>
            <w:shd w:val="clear" w:color="auto" w:fill="auto"/>
            <w:vAlign w:val="center"/>
          </w:tcPr>
          <w:p w14:paraId="479694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B73DB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5B4C77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33825DF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1CF464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w:t>
            </w:r>
          </w:p>
        </w:tc>
        <w:tc>
          <w:tcPr>
            <w:tcW w:w="474" w:type="pct"/>
            <w:shd w:val="clear" w:color="auto" w:fill="auto"/>
            <w:vAlign w:val="center"/>
          </w:tcPr>
          <w:p w14:paraId="2F8554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EDA6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71BCEA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67D921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7BB5CF4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57EA427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141422B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7D36E69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1C7382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6EE0EA3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1B2A9C2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7E19380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543564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791516C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6219D1C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283E9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CF0F2F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378BA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2A09E1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36CF313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332E3F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4134933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24285C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5EF59E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6851495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619EF34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5F081C2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0339E3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32C494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535FB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D0298B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1A6DF6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2ECF11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411A4A4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3A37EC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52C982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52EC4DA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57D34F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2CABE3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0E13AE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375" w:type="pct"/>
            <w:shd w:val="clear" w:color="auto" w:fill="auto"/>
            <w:vAlign w:val="center"/>
          </w:tcPr>
          <w:p w14:paraId="41762009">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37.6</w:t>
            </w:r>
          </w:p>
        </w:tc>
        <w:tc>
          <w:tcPr>
            <w:tcW w:w="416" w:type="pct"/>
            <w:shd w:val="clear" w:color="auto" w:fill="auto"/>
            <w:vAlign w:val="center"/>
          </w:tcPr>
          <w:p w14:paraId="1B3E106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1CC41FB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4FD6B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E36FE2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EEFD4D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61BF243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3446D2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6F0CF4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2538DD3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4BDBFF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5FEBADA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3139E96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0CD275D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375" w:type="pct"/>
            <w:shd w:val="clear" w:color="auto" w:fill="auto"/>
            <w:vAlign w:val="center"/>
          </w:tcPr>
          <w:p w14:paraId="1A4F4CB9">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38.2</w:t>
            </w:r>
          </w:p>
        </w:tc>
        <w:tc>
          <w:tcPr>
            <w:tcW w:w="416" w:type="pct"/>
            <w:shd w:val="clear" w:color="auto" w:fill="auto"/>
            <w:vAlign w:val="center"/>
          </w:tcPr>
          <w:p w14:paraId="3908F1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137210A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33055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55E45C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F7E6FD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6E88B9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5A8C79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7B2B92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590DF1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7FF53C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662FA96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7591870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6D3BEE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03</w:t>
            </w:r>
          </w:p>
        </w:tc>
        <w:tc>
          <w:tcPr>
            <w:tcW w:w="375" w:type="pct"/>
            <w:shd w:val="clear" w:color="auto" w:fill="auto"/>
            <w:vAlign w:val="center"/>
          </w:tcPr>
          <w:p w14:paraId="4759471A">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38</w:t>
            </w:r>
          </w:p>
        </w:tc>
        <w:tc>
          <w:tcPr>
            <w:tcW w:w="416" w:type="pct"/>
            <w:shd w:val="clear" w:color="auto" w:fill="auto"/>
            <w:vAlign w:val="center"/>
          </w:tcPr>
          <w:p w14:paraId="074C1DD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79D1064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5A562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90" w:hRule="atLeast"/>
        </w:trPr>
        <w:tc>
          <w:tcPr>
            <w:tcW w:w="247" w:type="pct"/>
            <w:vMerge w:val="continue"/>
            <w:vAlign w:val="center"/>
          </w:tcPr>
          <w:p w14:paraId="3EE56B3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2E26B9C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1977FE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0F93662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7A56826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60DF28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577FAC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F7C82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AF275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B6DD8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1D228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270428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6370822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BCE66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9BBD74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AFB4EF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33EA07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05BF9C8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0F645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3D1FAA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ED7FE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204EAD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DAC03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AE3D6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3E530EF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059226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6B1B53A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3210F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B9F034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5CC9D4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0EF69E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16C45C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D88C34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211A939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07F47A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C1FCD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7922F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CEF858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02B0E76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417C5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F70E3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3E63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F0D099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C19BC4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F527F9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45EFBA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D8244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586879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713C7B4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6E052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C9778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E36129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B3E8D5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7645EFA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63A30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1FF2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F22C70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EB00B2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F52BC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0F1BED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357F9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034E86C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52490C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72A1C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92128D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28CD0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FE229B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59A19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325E8F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EB97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restart"/>
            <w:vAlign w:val="center"/>
          </w:tcPr>
          <w:p w14:paraId="7ECC00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S5</w:t>
            </w:r>
          </w:p>
        </w:tc>
        <w:tc>
          <w:tcPr>
            <w:tcW w:w="373" w:type="pct"/>
            <w:shd w:val="clear" w:color="auto" w:fill="auto"/>
            <w:vAlign w:val="center"/>
          </w:tcPr>
          <w:p w14:paraId="1AE7EBE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2058743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35C4E8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759C622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036D1F8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441920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617743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4067C8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46B0366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61E5425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364A3F7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280E5E3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33D6B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F7B195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39F7C6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259EB6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4C5939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273222C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4C6ED0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75C5341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57E2D3D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4C063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6879AF8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37DB8B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3AEB22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550DC9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6DF5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A64C0A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5E16E8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326D06D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w:t>
            </w:r>
          </w:p>
        </w:tc>
        <w:tc>
          <w:tcPr>
            <w:tcW w:w="432" w:type="pct"/>
            <w:shd w:val="clear" w:color="auto" w:fill="auto"/>
            <w:vAlign w:val="center"/>
          </w:tcPr>
          <w:p w14:paraId="336616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0.55</w:t>
            </w:r>
          </w:p>
        </w:tc>
        <w:tc>
          <w:tcPr>
            <w:tcW w:w="359" w:type="pct"/>
            <w:shd w:val="clear" w:color="auto" w:fill="auto"/>
            <w:vAlign w:val="center"/>
          </w:tcPr>
          <w:p w14:paraId="189493E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w:t>
            </w:r>
          </w:p>
        </w:tc>
        <w:tc>
          <w:tcPr>
            <w:tcW w:w="388" w:type="pct"/>
            <w:shd w:val="clear" w:color="auto" w:fill="auto"/>
            <w:vAlign w:val="center"/>
          </w:tcPr>
          <w:p w14:paraId="08E3D8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39C805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0.7</w:t>
            </w:r>
          </w:p>
        </w:tc>
        <w:tc>
          <w:tcPr>
            <w:tcW w:w="394" w:type="pct"/>
            <w:shd w:val="clear" w:color="auto" w:fill="auto"/>
            <w:vAlign w:val="center"/>
          </w:tcPr>
          <w:p w14:paraId="5A61490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1BC08A9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10F3724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101A8C7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3D4F0B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1.92</w:t>
            </w:r>
          </w:p>
        </w:tc>
        <w:tc>
          <w:tcPr>
            <w:tcW w:w="474" w:type="pct"/>
            <w:shd w:val="clear" w:color="auto" w:fill="auto"/>
            <w:vAlign w:val="center"/>
          </w:tcPr>
          <w:p w14:paraId="4302A14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E3B2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C4FCF2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0F50A8D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10EA5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p>
        </w:tc>
        <w:tc>
          <w:tcPr>
            <w:tcW w:w="432" w:type="pct"/>
            <w:shd w:val="clear" w:color="auto" w:fill="auto"/>
            <w:vAlign w:val="center"/>
          </w:tcPr>
          <w:p w14:paraId="6E21D4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w:t>
            </w:r>
          </w:p>
        </w:tc>
        <w:tc>
          <w:tcPr>
            <w:tcW w:w="359" w:type="pct"/>
            <w:shd w:val="clear" w:color="auto" w:fill="auto"/>
            <w:vAlign w:val="center"/>
          </w:tcPr>
          <w:p w14:paraId="651A18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0.08</w:t>
            </w:r>
          </w:p>
        </w:tc>
        <w:tc>
          <w:tcPr>
            <w:tcW w:w="388" w:type="pct"/>
            <w:shd w:val="clear" w:color="auto" w:fill="auto"/>
            <w:vAlign w:val="center"/>
          </w:tcPr>
          <w:p w14:paraId="72D370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0.15</w:t>
            </w:r>
          </w:p>
        </w:tc>
        <w:tc>
          <w:tcPr>
            <w:tcW w:w="404" w:type="pct"/>
            <w:shd w:val="clear" w:color="auto" w:fill="auto"/>
            <w:vAlign w:val="center"/>
          </w:tcPr>
          <w:p w14:paraId="73C5D5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0.625</w:t>
            </w:r>
          </w:p>
        </w:tc>
        <w:tc>
          <w:tcPr>
            <w:tcW w:w="394" w:type="pct"/>
            <w:shd w:val="clear" w:color="auto" w:fill="auto"/>
            <w:vAlign w:val="center"/>
          </w:tcPr>
          <w:p w14:paraId="5107E6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F1B6BE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1CA5538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196272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4E473D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1.98</w:t>
            </w:r>
          </w:p>
        </w:tc>
        <w:tc>
          <w:tcPr>
            <w:tcW w:w="474" w:type="pct"/>
            <w:shd w:val="clear" w:color="auto" w:fill="auto"/>
            <w:vAlign w:val="center"/>
          </w:tcPr>
          <w:p w14:paraId="4A0E4F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56A2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443E02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21720E2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5224B79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w:t>
            </w:r>
          </w:p>
        </w:tc>
        <w:tc>
          <w:tcPr>
            <w:tcW w:w="432" w:type="pct"/>
            <w:shd w:val="clear" w:color="auto" w:fill="auto"/>
            <w:vAlign w:val="center"/>
          </w:tcPr>
          <w:p w14:paraId="4393C2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0.55</w:t>
            </w:r>
          </w:p>
        </w:tc>
        <w:tc>
          <w:tcPr>
            <w:tcW w:w="359" w:type="pct"/>
            <w:shd w:val="clear" w:color="auto" w:fill="auto"/>
            <w:vAlign w:val="center"/>
          </w:tcPr>
          <w:p w14:paraId="286CD9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0.06</w:t>
            </w:r>
          </w:p>
        </w:tc>
        <w:tc>
          <w:tcPr>
            <w:tcW w:w="388" w:type="pct"/>
            <w:shd w:val="clear" w:color="auto" w:fill="auto"/>
            <w:vAlign w:val="center"/>
          </w:tcPr>
          <w:p w14:paraId="44E35C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7C26F0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0.675</w:t>
            </w:r>
          </w:p>
        </w:tc>
        <w:tc>
          <w:tcPr>
            <w:tcW w:w="394" w:type="pct"/>
            <w:shd w:val="clear" w:color="auto" w:fill="auto"/>
            <w:vAlign w:val="center"/>
          </w:tcPr>
          <w:p w14:paraId="5396BE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38E88A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w:t>
            </w:r>
          </w:p>
        </w:tc>
        <w:tc>
          <w:tcPr>
            <w:tcW w:w="403" w:type="pct"/>
            <w:shd w:val="clear" w:color="auto" w:fill="auto"/>
            <w:vAlign w:val="center"/>
          </w:tcPr>
          <w:p w14:paraId="47AAC5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03</w:t>
            </w:r>
          </w:p>
        </w:tc>
        <w:tc>
          <w:tcPr>
            <w:tcW w:w="375" w:type="pct"/>
            <w:shd w:val="clear" w:color="auto" w:fill="auto"/>
            <w:vAlign w:val="center"/>
          </w:tcPr>
          <w:p w14:paraId="793395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01</w:t>
            </w:r>
          </w:p>
        </w:tc>
        <w:tc>
          <w:tcPr>
            <w:tcW w:w="416" w:type="pct"/>
            <w:shd w:val="clear" w:color="auto" w:fill="auto"/>
            <w:vAlign w:val="center"/>
          </w:tcPr>
          <w:p w14:paraId="6B22E8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1.96</w:t>
            </w:r>
          </w:p>
        </w:tc>
        <w:tc>
          <w:tcPr>
            <w:tcW w:w="474" w:type="pct"/>
            <w:shd w:val="clear" w:color="auto" w:fill="auto"/>
            <w:vAlign w:val="center"/>
          </w:tcPr>
          <w:p w14:paraId="011F42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71A4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FF9AC5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3322DF6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14EE018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7ADF6B7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44AF22F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606B69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287F4A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55754DA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03390E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709C3EC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70FC60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2E3EA1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51BE8F1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1CD8C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326E31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3EF80C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71B74A0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3F0ADB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4C255B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4E9D70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2CDB69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646339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2A2AB1C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1BF3C2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0EDC4C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610FAD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60B721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14DD30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350" w:hRule="atLeast"/>
        </w:trPr>
        <w:tc>
          <w:tcPr>
            <w:tcW w:w="247" w:type="pct"/>
            <w:vMerge w:val="continue"/>
            <w:vAlign w:val="center"/>
          </w:tcPr>
          <w:p w14:paraId="54FBC8C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5483D4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2FC10B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26B2C5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5FD68C6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650D95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41F7CE6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0B47C0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1200AA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380811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0.236</w:t>
            </w:r>
          </w:p>
        </w:tc>
        <w:tc>
          <w:tcPr>
            <w:tcW w:w="375" w:type="pct"/>
            <w:shd w:val="clear" w:color="auto" w:fill="auto"/>
            <w:vAlign w:val="center"/>
          </w:tcPr>
          <w:p w14:paraId="3C4642F4">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28.4</w:t>
            </w:r>
          </w:p>
        </w:tc>
        <w:tc>
          <w:tcPr>
            <w:tcW w:w="416" w:type="pct"/>
            <w:shd w:val="clear" w:color="auto" w:fill="auto"/>
            <w:vAlign w:val="center"/>
          </w:tcPr>
          <w:p w14:paraId="733011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30CCBA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616EC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1069F3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C59548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278EF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572012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2FD862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202888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72C3F93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3FD5941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7A3331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5F1675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0.238</w:t>
            </w:r>
          </w:p>
        </w:tc>
        <w:tc>
          <w:tcPr>
            <w:tcW w:w="375" w:type="pct"/>
            <w:shd w:val="clear" w:color="auto" w:fill="auto"/>
            <w:vAlign w:val="center"/>
          </w:tcPr>
          <w:p w14:paraId="20547F23">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29.4</w:t>
            </w:r>
          </w:p>
        </w:tc>
        <w:tc>
          <w:tcPr>
            <w:tcW w:w="416" w:type="pct"/>
            <w:shd w:val="clear" w:color="auto" w:fill="auto"/>
            <w:vAlign w:val="center"/>
          </w:tcPr>
          <w:p w14:paraId="303DBC4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631160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78564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2C831F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39D894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292116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613FB7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359" w:type="pct"/>
            <w:shd w:val="clear" w:color="auto" w:fill="auto"/>
            <w:vAlign w:val="center"/>
          </w:tcPr>
          <w:p w14:paraId="242D1B7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00</w:t>
            </w:r>
            <w:r>
              <w:rPr>
                <w:rFonts w:hint="default"/>
                <w:color w:val="auto"/>
                <w:highlight w:val="none"/>
                <w:lang w:val="en-US" w:eastAsia="zh-CN"/>
              </w:rPr>
              <w:t>05</w:t>
            </w:r>
          </w:p>
        </w:tc>
        <w:tc>
          <w:tcPr>
            <w:tcW w:w="388" w:type="pct"/>
            <w:shd w:val="clear" w:color="auto" w:fill="auto"/>
            <w:vAlign w:val="center"/>
          </w:tcPr>
          <w:p w14:paraId="42FB3E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404" w:type="pct"/>
            <w:shd w:val="clear" w:color="auto" w:fill="auto"/>
            <w:vAlign w:val="center"/>
          </w:tcPr>
          <w:p w14:paraId="683745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125</w:t>
            </w:r>
          </w:p>
        </w:tc>
        <w:tc>
          <w:tcPr>
            <w:tcW w:w="394" w:type="pct"/>
            <w:shd w:val="clear" w:color="auto" w:fill="auto"/>
            <w:vAlign w:val="center"/>
          </w:tcPr>
          <w:p w14:paraId="71D9C9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04</w:t>
            </w:r>
          </w:p>
        </w:tc>
        <w:tc>
          <w:tcPr>
            <w:tcW w:w="395" w:type="pct"/>
            <w:shd w:val="clear" w:color="auto" w:fill="auto"/>
            <w:vAlign w:val="center"/>
          </w:tcPr>
          <w:p w14:paraId="2BE8B7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2</w:t>
            </w:r>
          </w:p>
        </w:tc>
        <w:tc>
          <w:tcPr>
            <w:tcW w:w="403" w:type="pct"/>
            <w:shd w:val="clear" w:color="auto" w:fill="auto"/>
            <w:vAlign w:val="center"/>
          </w:tcPr>
          <w:p w14:paraId="2E6213E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0.236</w:t>
            </w:r>
          </w:p>
        </w:tc>
        <w:tc>
          <w:tcPr>
            <w:tcW w:w="375" w:type="pct"/>
            <w:shd w:val="clear" w:color="auto" w:fill="auto"/>
            <w:vAlign w:val="center"/>
          </w:tcPr>
          <w:p w14:paraId="691CA29A">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28.4</w:t>
            </w:r>
          </w:p>
        </w:tc>
        <w:tc>
          <w:tcPr>
            <w:tcW w:w="416" w:type="pct"/>
            <w:shd w:val="clear" w:color="auto" w:fill="auto"/>
            <w:vAlign w:val="center"/>
          </w:tcPr>
          <w:p w14:paraId="4B07A46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474" w:type="pct"/>
            <w:shd w:val="clear" w:color="auto" w:fill="auto"/>
            <w:vAlign w:val="center"/>
          </w:tcPr>
          <w:p w14:paraId="1EDFDE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r>
      <w:tr w14:paraId="29C4C1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7" w:type="pct"/>
            <w:vMerge w:val="continue"/>
            <w:vAlign w:val="center"/>
          </w:tcPr>
          <w:p w14:paraId="139F772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6DC1AF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1CB4D7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0B363F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1E8A710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302623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56A74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BFF25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7856E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0F6BA6C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DF2F7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17C3D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416C34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37B1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A53B15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3ED2CB9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04A2CBC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233CC3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70ADD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10B68A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4E0CBB7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EDCA03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EDD25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3E057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1DFD1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812DC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52AF10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F47B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256" w:hRule="atLeast"/>
        </w:trPr>
        <w:tc>
          <w:tcPr>
            <w:tcW w:w="247" w:type="pct"/>
            <w:vMerge w:val="continue"/>
            <w:vAlign w:val="center"/>
          </w:tcPr>
          <w:p w14:paraId="6CE4530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500827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75160CC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584F70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A8F327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695390C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0A53760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E92C1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B36C0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A3FAA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4BE6B5A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9D710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3A44AC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1CB5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C03262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5AEBBA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8EAD5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2892FA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E63165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17C54A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6FEF4A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D1483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B3CBB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08106F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FC471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839D7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97058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90BCF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F9567F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664C437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05EC12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p>
        </w:tc>
        <w:tc>
          <w:tcPr>
            <w:tcW w:w="432" w:type="pct"/>
            <w:shd w:val="clear" w:color="auto" w:fill="auto"/>
            <w:vAlign w:val="center"/>
          </w:tcPr>
          <w:p w14:paraId="39BDA23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14150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0038</w:t>
            </w:r>
          </w:p>
        </w:tc>
        <w:tc>
          <w:tcPr>
            <w:tcW w:w="388" w:type="pct"/>
            <w:shd w:val="clear" w:color="auto" w:fill="auto"/>
            <w:vAlign w:val="center"/>
          </w:tcPr>
          <w:p w14:paraId="5CD111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6C3E742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9DFE7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3899C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003A764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36E85A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073B36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6F498C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110B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restart"/>
            <w:vAlign w:val="center"/>
          </w:tcPr>
          <w:p w14:paraId="52F0AD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S6</w:t>
            </w:r>
          </w:p>
        </w:tc>
        <w:tc>
          <w:tcPr>
            <w:tcW w:w="373" w:type="pct"/>
            <w:shd w:val="clear" w:color="auto" w:fill="auto"/>
            <w:vAlign w:val="center"/>
          </w:tcPr>
          <w:p w14:paraId="448D14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3A4641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1D3B16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58B01BC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390904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54D867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1400D2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02C2749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5683DD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793A774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448098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257C786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37A47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6FAB30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0C4E90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4D39DB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469626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36E0D7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2544B7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12C692C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11C8038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9E0085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70C644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64467B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5E7075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12C230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188F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268" w:hRule="atLeast"/>
        </w:trPr>
        <w:tc>
          <w:tcPr>
            <w:tcW w:w="247" w:type="pct"/>
            <w:vMerge w:val="continue"/>
            <w:vAlign w:val="center"/>
          </w:tcPr>
          <w:p w14:paraId="7F497C3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2759D1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54FA50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607C3C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A0790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2CE3E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FE6964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ABCF3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6D162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0F1697C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5C6D9F3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77F496C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7DF81FD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C1D1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113387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297AD9D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82D0DF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27849AD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38380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2049D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1CA7B1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1930EE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C6A69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6FAC73E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7C5D0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2699D4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0FB96D0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20C07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A2D46A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0571634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8EB324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722086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5166A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D556D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6155650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CA9F3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45A87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68196F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59998F6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7D6C3F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7ACCCDA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3D9F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ADA90F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5315906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6B5B542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0B9E0C8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0640C16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49E6257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29645B6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6CBBC5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551F8DF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660D3B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357D676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431EF7A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45E7DF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6C2E7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6CDC35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431B5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311829C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5D06096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131F682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06FFD6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484F671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5AE8CBA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289293C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71C18F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72E04C6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210B835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479C36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2E187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43B55D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7E16295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340B08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335A4C7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804A45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F7946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1C77CF4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5B1137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85E45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67D7A9C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11790BE3">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2.2</w:t>
            </w:r>
          </w:p>
        </w:tc>
        <w:tc>
          <w:tcPr>
            <w:tcW w:w="416" w:type="pct"/>
            <w:shd w:val="clear" w:color="auto" w:fill="auto"/>
            <w:vAlign w:val="center"/>
          </w:tcPr>
          <w:p w14:paraId="64807F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1D02032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F6278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20D314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9AD519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19D5DE4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2D8692F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836462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DE99F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1B34F30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11CF86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F15926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69274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74C3324D">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2.26</w:t>
            </w:r>
          </w:p>
        </w:tc>
        <w:tc>
          <w:tcPr>
            <w:tcW w:w="416" w:type="pct"/>
            <w:shd w:val="clear" w:color="auto" w:fill="auto"/>
            <w:vAlign w:val="center"/>
          </w:tcPr>
          <w:p w14:paraId="19731E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274B48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A2F9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B4EAED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177734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5DEBA96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50E66D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CF6872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EDC33E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7127B3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A05B72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4440D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797D1A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42DAF353">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2.28</w:t>
            </w:r>
          </w:p>
        </w:tc>
        <w:tc>
          <w:tcPr>
            <w:tcW w:w="416" w:type="pct"/>
            <w:shd w:val="clear" w:color="auto" w:fill="auto"/>
            <w:vAlign w:val="center"/>
          </w:tcPr>
          <w:p w14:paraId="544444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4B6B90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D0D1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7" w:type="pct"/>
            <w:vMerge w:val="continue"/>
            <w:vAlign w:val="center"/>
          </w:tcPr>
          <w:p w14:paraId="74605CB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FFBECD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6CE07A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4886CE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072491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3C90A6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679448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0E6AF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83C39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661D2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39AED6B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B5E98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4E3B17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4642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DC9A04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CD3E04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6CBD33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1F035AD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DA3CD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16233A9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19CF2B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20CC7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51E62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099E1D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CF453A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74F8794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2CAC8A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26C7F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48C021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2829DB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139AC3E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63C910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BC798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40CEE0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132724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30DD7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3962A7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581A3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77C1CF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E3D02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5EFA88B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BD8D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8C40CD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CE9A64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6B208F0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6C94251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6A2E1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88BC5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07000E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48CF2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5011A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C4BE8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DAFA37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5F5535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6E653E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F7E8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350FE3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09A134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5080089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558D7C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9A8BF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C1D29D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10D922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02AA91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D837BC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E0B3B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90E899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DD3AA6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54D70C2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639B5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restart"/>
            <w:vAlign w:val="center"/>
          </w:tcPr>
          <w:p w14:paraId="26B5BA7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S7</w:t>
            </w:r>
          </w:p>
        </w:tc>
        <w:tc>
          <w:tcPr>
            <w:tcW w:w="373" w:type="pct"/>
            <w:shd w:val="clear" w:color="auto" w:fill="auto"/>
            <w:vAlign w:val="center"/>
          </w:tcPr>
          <w:p w14:paraId="04F77A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37A8E0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4F563CD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5015E67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78B221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7987A73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78612E4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3AFE46E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4FCB11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3A4526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61FC66A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62EEE94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5F5B3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363D9D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342095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1CEAA4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560062A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23E4E8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6E72D6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0F8B346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62BF82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7DBD7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5727109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32D72C4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7CF07D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3475C9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374DA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286805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6BB605F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1320B9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30819F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3914A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9DF40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42A833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B406BF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87A3DC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E546A7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0B4EF9B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7FB737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795DC71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816A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684C6C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72A275B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104C59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65197A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3876C6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FE38F4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1D0F9DB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4152B4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BC6E0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358D1A2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C94AE9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6758EE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1BC194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4081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D9DEBC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44DBBC1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F3F33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153F8E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96EABB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48424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4F96B5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22112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F3A5E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63C22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3CFA38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5FEF0A1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4119F4E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624B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94B3ED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AC2DB1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7C607D0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3CBFD9D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7C1092E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3DA2567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175B47A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0751F9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6A1DEEC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3EF6AA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3DBF13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7DFF22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34F22D0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0638F5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690336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11CE06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31D956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0E0173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583279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1DDDCB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1B52EE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2837064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04E959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5C5EC06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0BC952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0E17626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10A0580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7925A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F47104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238939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31F559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1F8D0E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878189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712FD0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0A73B6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6D266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F4CD2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659493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351F7184">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2.36</w:t>
            </w:r>
          </w:p>
        </w:tc>
        <w:tc>
          <w:tcPr>
            <w:tcW w:w="416" w:type="pct"/>
            <w:shd w:val="clear" w:color="auto" w:fill="auto"/>
            <w:vAlign w:val="center"/>
          </w:tcPr>
          <w:p w14:paraId="7519E8F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3732E9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C746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158918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E7C53A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5D11577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44C73F1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0527AD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A2C8A3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709C9B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5CDCD2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619F7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674BFD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4CCE8862">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2.36</w:t>
            </w:r>
          </w:p>
        </w:tc>
        <w:tc>
          <w:tcPr>
            <w:tcW w:w="416" w:type="pct"/>
            <w:shd w:val="clear" w:color="auto" w:fill="auto"/>
            <w:vAlign w:val="center"/>
          </w:tcPr>
          <w:p w14:paraId="01D4A4F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0D3958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FB79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F35422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FF9F9C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6BD705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5468615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D4123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32ACD1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4EE5DD7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439B5D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679C2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AFF7E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0AED380D">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2.18</w:t>
            </w:r>
          </w:p>
        </w:tc>
        <w:tc>
          <w:tcPr>
            <w:tcW w:w="416" w:type="pct"/>
            <w:shd w:val="clear" w:color="auto" w:fill="auto"/>
            <w:vAlign w:val="center"/>
          </w:tcPr>
          <w:p w14:paraId="5C5FF3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7EA519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BC6B6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90" w:hRule="atLeast"/>
        </w:trPr>
        <w:tc>
          <w:tcPr>
            <w:tcW w:w="247" w:type="pct"/>
            <w:vMerge w:val="continue"/>
            <w:vAlign w:val="center"/>
          </w:tcPr>
          <w:p w14:paraId="0F80F69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7EAEF1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29DAC7B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7575F27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0449BE5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782122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19FB5F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A4685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F6F103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34794D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3B8996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82D82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6F6B326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7844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BF3F39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0FC48E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7E88DD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6C96AB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C1A07F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06D455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06C0C4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070C4CC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0E275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F285E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0E235D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CE21AB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451448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E13C2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FD7F36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2C55E1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494D93C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5F64F0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78B1C86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5DE67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160CD01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FC10F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80673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9DC2B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6BF8A7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4B5AE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0868A5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E058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BBF678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5205C1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E3689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1FCDCBB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D8F4C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5FC1A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7A6797A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0BB10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BBE00D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44553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6634E87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649F5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58BC07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FCAD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374B7B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B9F5E8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6FADA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48E5B9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B34BE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58991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9E0B5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BFDA1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A82F28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7324DC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483A0B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DCD97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1B1C8D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17D8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restart"/>
            <w:vAlign w:val="center"/>
          </w:tcPr>
          <w:p w14:paraId="51C32A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S8</w:t>
            </w:r>
          </w:p>
        </w:tc>
        <w:tc>
          <w:tcPr>
            <w:tcW w:w="373" w:type="pct"/>
            <w:shd w:val="clear" w:color="auto" w:fill="auto"/>
            <w:vAlign w:val="center"/>
          </w:tcPr>
          <w:p w14:paraId="208376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4A790A4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4BD877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7698AB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0D73790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045F17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70EFA76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4E806F1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25BF7F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5A2E1C7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0203AED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31172F3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16EC7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6CE81F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ADDE21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115E927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28226B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4A5099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315BD0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056C28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20EF29F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487C0B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0BAE52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7CED55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65DD8B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6727CD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4DB75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6FDF82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3BD66A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66F503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218D46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711243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B556C4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577BF6F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4C8DD7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1E4D1AC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37DB25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5D9D1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14F8926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25230F4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9D3A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42ECEF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0928786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9BF11B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3F41F1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1842E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13FA5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195EBF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21D634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183A9F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44415A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33AB5D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76B00E7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01FF296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8C1F0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019B99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vAlign w:val="center"/>
          </w:tcPr>
          <w:p w14:paraId="15E1A91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CCBBF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4AEA309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851C1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7398506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6D965C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B3911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DE779C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05124EA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905F5F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188F5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1F2359A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DFCB3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E8F0CB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78D7C1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693BF12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67E1C3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4D7DA8E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4B080D2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6CC428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010221A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447575A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227304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5DD7CB3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4D11EF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4F3CD4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30166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6271E0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vAlign w:val="center"/>
          </w:tcPr>
          <w:p w14:paraId="216093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54E412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41AFF46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0DF758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2310C6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5B72871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7A839A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3AF3153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771A7B0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4F6532B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4258D6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0C0BD5A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681CE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55" w:hRule="atLeast"/>
        </w:trPr>
        <w:tc>
          <w:tcPr>
            <w:tcW w:w="247" w:type="pct"/>
            <w:vMerge w:val="continue"/>
            <w:vAlign w:val="center"/>
          </w:tcPr>
          <w:p w14:paraId="564F65F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vAlign w:val="center"/>
          </w:tcPr>
          <w:p w14:paraId="16EF11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331752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072593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B223F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5C9D7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05CB788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428D64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3206E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1DD15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4CE225F8">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3.96</w:t>
            </w:r>
          </w:p>
        </w:tc>
        <w:tc>
          <w:tcPr>
            <w:tcW w:w="416" w:type="pct"/>
            <w:shd w:val="clear" w:color="auto" w:fill="auto"/>
            <w:vAlign w:val="center"/>
          </w:tcPr>
          <w:p w14:paraId="71D0640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286362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9569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E56433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4406E4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23934F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0A6900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7ADC90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9AB72C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7CF5916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3A338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1C0A1D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3F59FD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DD3AF01">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3.78</w:t>
            </w:r>
          </w:p>
        </w:tc>
        <w:tc>
          <w:tcPr>
            <w:tcW w:w="416" w:type="pct"/>
            <w:shd w:val="clear" w:color="auto" w:fill="auto"/>
            <w:vAlign w:val="center"/>
          </w:tcPr>
          <w:p w14:paraId="352C32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21624CF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2712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0CDA1B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3329F4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08677E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7623CC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5F044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723C833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4F9E7BC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50D48C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0DD0BC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2BC304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1FEAF73D">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2.96</w:t>
            </w:r>
          </w:p>
        </w:tc>
        <w:tc>
          <w:tcPr>
            <w:tcW w:w="416" w:type="pct"/>
            <w:shd w:val="clear" w:color="auto" w:fill="auto"/>
            <w:vAlign w:val="center"/>
          </w:tcPr>
          <w:p w14:paraId="2176D76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2309256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6972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122" w:hRule="atLeast"/>
        </w:trPr>
        <w:tc>
          <w:tcPr>
            <w:tcW w:w="247" w:type="pct"/>
            <w:vMerge w:val="continue"/>
            <w:vAlign w:val="center"/>
          </w:tcPr>
          <w:p w14:paraId="343CEDA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3FED8A0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6883CC9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6F7509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667B937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4FAAE61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71382D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386F5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DA4894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0442A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69EBE09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F5F54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44643F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AAE3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725C3F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F7FF1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25CF339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2009F4B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9CAAE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269BC2F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48526A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10D078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49ABB7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DE3EC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57FB2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BA7E8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5ECE18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6B0E5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CE8DD8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6DC0E6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14FFE38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2A9AA77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E877A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A3B8C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735753F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AC027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FCC34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48795A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BD7B5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F7B294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14C6678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B4A6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EEE4D0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186300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60814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278018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D47AF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1C5B7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D70084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857536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DE35A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FCC018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6BC979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922056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14147A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B80D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45240F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556203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5E5342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7B5AD3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960D28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71E59A3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00335C4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9482AC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D678F7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0E9BF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41A18F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4E93B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6204644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2067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restart"/>
            <w:vAlign w:val="center"/>
          </w:tcPr>
          <w:p w14:paraId="627742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9</w:t>
            </w:r>
          </w:p>
        </w:tc>
        <w:tc>
          <w:tcPr>
            <w:tcW w:w="373" w:type="pct"/>
            <w:shd w:val="clear" w:color="auto" w:fill="auto"/>
            <w:noWrap/>
            <w:vAlign w:val="center"/>
          </w:tcPr>
          <w:p w14:paraId="537FFC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4DD6B3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48BC13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3C21BE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51874FE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125C50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5C2C159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6A8E87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6691CC6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19CBA9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0BD3DD8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31BC9C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09F03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238490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253E4D1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2DAAD40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5334A0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025373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1A8476B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5F237E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71EE11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2F8472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0BF64CC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3C0A49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4D985F0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2D8F92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9779A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EB41FA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6808A7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39922FF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494135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D4476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78033A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09A5C4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7EDE1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8AF8EA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4FB76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75D8033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7CC4AE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4AB5280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F8179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0F9233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E28321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60A5192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5428BA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7CF267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85187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5802D13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496636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CA0F8B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0F41DED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77E9E2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43039A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50B25C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E35C3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2BE9DD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81F13F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EA5D6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78FDEBE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28FBBF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00C14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61DCBB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4E9DE1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40275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0F5EBD2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0EA3643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5CC2CB9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5F63CA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EA74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C804F1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9923DA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06F9BF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21976E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0B817B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1FAF2A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09CB64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642A0C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023E768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49A9722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026EA3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339ACF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7786C57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1BAFFD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FE098F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62EB3E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5237072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088500C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1AAD58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44DC09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4B8B58F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5DF796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493D20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64B88E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16157F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04E7A5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6D6D89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671EA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6D409D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111806B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2BE77AA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722975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FD02D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6F06FF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0708AA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8698BF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10149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542AC3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4DFC7231">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2.32</w:t>
            </w:r>
          </w:p>
        </w:tc>
        <w:tc>
          <w:tcPr>
            <w:tcW w:w="416" w:type="pct"/>
            <w:shd w:val="clear" w:color="auto" w:fill="auto"/>
            <w:vAlign w:val="center"/>
          </w:tcPr>
          <w:p w14:paraId="0B3CAB8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7901C61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7623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9118A0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B2CE7B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5B2ABCC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02D1A78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2658A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488D22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57398D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279D8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B57A0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64BE7E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16882F75">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2.1</w:t>
            </w:r>
          </w:p>
        </w:tc>
        <w:tc>
          <w:tcPr>
            <w:tcW w:w="416" w:type="pct"/>
            <w:shd w:val="clear" w:color="auto" w:fill="auto"/>
            <w:vAlign w:val="center"/>
          </w:tcPr>
          <w:p w14:paraId="10881B2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11BAF1A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FD74C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12A388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C12C0D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604B81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4BEFA8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AFF40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8A1CBF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75FEDB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2E5DAA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346A2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5F798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4550A11E">
            <w:pPr>
              <w:pStyle w:val="26"/>
              <w:keepNext w:val="0"/>
              <w:keepLines w:val="0"/>
              <w:suppressLineNumbers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1.94</w:t>
            </w:r>
          </w:p>
        </w:tc>
        <w:tc>
          <w:tcPr>
            <w:tcW w:w="416" w:type="pct"/>
            <w:shd w:val="clear" w:color="auto" w:fill="auto"/>
            <w:vAlign w:val="center"/>
          </w:tcPr>
          <w:p w14:paraId="2BF7C4A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48C9E47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ADC4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94A1B8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648681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770664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32ECF2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516822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1207070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7159D1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8FDBA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961A25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3E09D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4208B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A157E6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6F4EEA5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3F4E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712A1D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30C3DFA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34E6E7C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609262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F17C9D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5B08C9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3CD89E7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479B6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63971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A3E90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64FD17A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F94EF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21EE5D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9F12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32C430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136E2C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4A37CB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130152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D38F38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AF6FCE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162E8B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952FF2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0D0AD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43E2CB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51CBC5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4199E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7D025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39F17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258A41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B5B950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1261069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5D439B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27BADD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EE5FF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47B70F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39FC3E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E55C0A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C6CE4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501815F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EE6070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39BB021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9CC07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1BF048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B3F5CB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0C5B0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717A8F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D5FF7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79BED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50D8554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CD6DBC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70248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45BCDA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70D027D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18458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4B12C2A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8B55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restart"/>
            <w:vAlign w:val="center"/>
          </w:tcPr>
          <w:p w14:paraId="039E636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10</w:t>
            </w:r>
          </w:p>
        </w:tc>
        <w:tc>
          <w:tcPr>
            <w:tcW w:w="373" w:type="pct"/>
            <w:shd w:val="clear" w:color="auto" w:fill="auto"/>
            <w:noWrap/>
            <w:vAlign w:val="center"/>
          </w:tcPr>
          <w:p w14:paraId="31377E9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0D7D2DB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4E608D2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2093C6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6FCED7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3F35F47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658388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03CD54A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74BF460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18A752C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208369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00A1F0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4E0D8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0C5C2E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9928E2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0CCA48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4C6E1AC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4E8FD7A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2F2DC62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420B98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50AF81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33B29F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7B25AC6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3002C4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3E74A0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5ED4D5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8026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BBB248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463948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1BB236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149259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C1915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3E2F1E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186E6A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4F72C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22DFC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E7C3DB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278A93F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690CC08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7E2CB86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1533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352576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088D0A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CC7131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22C4D0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42B5E9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B57A32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0F8CB9F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3818D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08CD5F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4758082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EDFFF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24AB90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22E25CD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A8F9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8F4E61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12264F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C5DF5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05701F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F6D8E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BFB634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50E570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4FFA71F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9A1A3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B6A99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75C4ED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615EB5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3DAB7D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AD44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9C6BAC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B1A2A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3B919B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3E44204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2EE6C7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744135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583CFA8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35DC4E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0CF073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0E4047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56728D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7095647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1C2DCC3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5F740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1FA6CA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24C581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3C72C4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1D92BB0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1B4403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18BCAE4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7B4A8A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2F8C26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664C80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7F34424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7C360E0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6BEB14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7E4DF4D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50E30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4E0D0E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7B8E17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111044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12A29F4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6F19C0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741EC4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7A4CBBE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1BADAF0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6B126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485D7B6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777BD68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0.24</w:t>
            </w:r>
          </w:p>
        </w:tc>
        <w:tc>
          <w:tcPr>
            <w:tcW w:w="416" w:type="pct"/>
            <w:shd w:val="clear" w:color="auto" w:fill="auto"/>
            <w:vAlign w:val="center"/>
          </w:tcPr>
          <w:p w14:paraId="364FF4E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314F698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3B9B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134CAA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407227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E7B32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049AC4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B1ADFC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DAC2B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D7895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EEEE7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839E86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4F47E25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529650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16" w:type="pct"/>
            <w:shd w:val="clear" w:color="auto" w:fill="auto"/>
            <w:vAlign w:val="center"/>
          </w:tcPr>
          <w:p w14:paraId="33876A1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57A715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DF19E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0AEE17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903910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048B7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170420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A2A90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199BDC1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07E980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8763A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2FC33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48059C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4E9D126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0.16</w:t>
            </w:r>
          </w:p>
        </w:tc>
        <w:tc>
          <w:tcPr>
            <w:tcW w:w="416" w:type="pct"/>
            <w:shd w:val="clear" w:color="auto" w:fill="auto"/>
            <w:vAlign w:val="center"/>
          </w:tcPr>
          <w:p w14:paraId="33CE1F2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5E9566E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1B36E2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41BEBE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082B6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3AFC169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6C10AE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5825E2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14CA5E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19A4A26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0375CF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8979C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BF0E04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564C09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560A6B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3D90776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7254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4F897F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148C0A9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6DE3A04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2FBB578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12E88D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5E5834E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0F8A1B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9FF3AE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DA713B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F434D0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E29D98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42FFF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3E9D84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69C3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B2D0C3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31472E4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2BB790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7283F08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75EA0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7F240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1708EEF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2252F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25C7D7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3B606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57B98FE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B44B7F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471442C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6DFF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57360D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91C6F7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5CDF75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505A0F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5387BA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B910C8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5D40E7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C65DCD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DD4DDA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041DE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32122B4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70ADE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3D0A857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FAA25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2C015D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2DF96C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1A28C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422372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C513C9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B458AB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4BF2CA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B2033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75FFDE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FD27D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4765266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E5C8B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68D562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5424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restart"/>
            <w:vAlign w:val="center"/>
          </w:tcPr>
          <w:p w14:paraId="5049EF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11</w:t>
            </w:r>
          </w:p>
        </w:tc>
        <w:tc>
          <w:tcPr>
            <w:tcW w:w="373" w:type="pct"/>
            <w:shd w:val="clear" w:color="auto" w:fill="auto"/>
            <w:noWrap/>
            <w:vAlign w:val="center"/>
          </w:tcPr>
          <w:p w14:paraId="519E732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41B394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66F272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7222529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256E39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2FD2AD9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1C5821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0B31DB3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7114D20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1A7870A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71D0064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77D960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5239E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B22124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FA2BF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1F698B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0176569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0D59A3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210B7D8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230CB0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629512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69C3D50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10D0118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47E40E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6FD7A2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4DE4237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1AB652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F04E0D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23A2CC0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11FB8D7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3B7B3D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C6B4F0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0761DA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A500DB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73100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39362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74D7B0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7809D5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4E928AA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34C1FA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4B66A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49BE27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1EAFAE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040F9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7066E6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B6ACF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88B91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68E7AD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07F7B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EA6F8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57AE6F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448B351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06FA3D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259CE8D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E6FFE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93B883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DF2110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130269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4E75040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0F5D69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5E908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3573E3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CF8D1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39AF4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5DAA6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58CE04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1B86974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7C1F029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5E3F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96EB3F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1CC547D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379FCC5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2C01C84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46132A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7C7501A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212641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1E394A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07DBBB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3594D70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57DB95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4937F9A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0E3716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6A3E97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BE657A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BD029B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3738CB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4DA4BEC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76D02C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6CA7E0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31B197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246A9B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26D602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39E44AA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6B2EDD6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7D6FCD7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1E7D010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26E879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47A7F1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570081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6CDC7B1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43A3D57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74125C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C0703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5DA6AE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4E66BD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58E37A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209886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05E8B2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0.22</w:t>
            </w:r>
          </w:p>
        </w:tc>
        <w:tc>
          <w:tcPr>
            <w:tcW w:w="416" w:type="pct"/>
            <w:shd w:val="clear" w:color="auto" w:fill="auto"/>
            <w:vAlign w:val="center"/>
          </w:tcPr>
          <w:p w14:paraId="369F5F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542BFF2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C40A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0ECD70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0B4EE2C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28C2783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10271E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71A0E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9A0044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67B65DE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87E24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CFFF76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72560AE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5DB6EB4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0.18</w:t>
            </w:r>
          </w:p>
        </w:tc>
        <w:tc>
          <w:tcPr>
            <w:tcW w:w="416" w:type="pct"/>
            <w:shd w:val="clear" w:color="auto" w:fill="auto"/>
            <w:vAlign w:val="center"/>
          </w:tcPr>
          <w:p w14:paraId="2C8EB0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137BA4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7B871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32822A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1F6AD2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11E9A10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704AB5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247EA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7D5BA7E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0A8183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25B4C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1A269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C910A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235EE6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0.16</w:t>
            </w:r>
          </w:p>
        </w:tc>
        <w:tc>
          <w:tcPr>
            <w:tcW w:w="416" w:type="pct"/>
            <w:shd w:val="clear" w:color="auto" w:fill="auto"/>
            <w:vAlign w:val="center"/>
          </w:tcPr>
          <w:p w14:paraId="3B5D56B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41B77B8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3FEF6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515266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CEFB6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70A53C5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70BFD6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55A57DA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255E8E0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A7DFF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FBA599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1BD97B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8F1BD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8BF072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21E89FA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F737C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16B8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533711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714C6F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400DFA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6FC6EF8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AE53CE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2EA736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6447EA9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D033E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75E762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16E52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0C2E50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4321CD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4E60A83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1611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5374417">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562EAC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58E224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678063A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35EB9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7428372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BF8C4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41A271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03467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A0022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2223F8F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DAE9AD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6EF93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58B2A0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CACA61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9C0AC7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10238D9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6E4C55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D08722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2B7C9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4D39FBB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6DC693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1E4014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69FC65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77953CD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34F97D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1D28D6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594B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6695F4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7EB6A1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6C701A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35C1CE6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8B3C78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4355E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0E63F19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400A7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E11DC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4FAC8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45F337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6011AEF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5BDB5C1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400E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restart"/>
            <w:vAlign w:val="center"/>
          </w:tcPr>
          <w:p w14:paraId="7E06604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12</w:t>
            </w:r>
          </w:p>
        </w:tc>
        <w:tc>
          <w:tcPr>
            <w:tcW w:w="373" w:type="pct"/>
            <w:shd w:val="clear" w:color="auto" w:fill="auto"/>
            <w:noWrap/>
            <w:vAlign w:val="center"/>
          </w:tcPr>
          <w:p w14:paraId="603963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39D247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032AA3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3A4333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2B9596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7BB251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2CB6A82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0B4E477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75DE764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44F3656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541BE90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33FA23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1B222C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C3FF52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AB4983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6F47F28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182428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114E91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10C6BF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1636DA1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176839B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3E7BA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46FBE5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245A168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7E3108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57B4C53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4AAAE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DBA5C3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415F45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5E678E4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73EB28B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1A13D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E5BB42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11084A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22DD0E9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92C74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48B1B1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DC243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B6C7C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650731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B85F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6E70C0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2B38A6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3F0B9F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0D3F93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7BD5F9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BF395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7E01FD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13EC1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90581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568B095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310DCD1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35944B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540728B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E744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1BB460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73D1D7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6021A9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0F17862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35B57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9BF75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06372BE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4A3910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CE89CA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0855966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7ACC71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4C6618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0272024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A97E8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01585E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04DAD3F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4FDA60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127409A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4A84D52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174BDD3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784CF8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6CF7ADE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0A1A5F5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5C4932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5F0748C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69D026D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16177B2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61EF4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537271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477C9B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576A156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565CDE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7C3847A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291BEC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6101ACA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4B9362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4C30CD8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330B466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78E7A03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4BE15A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0650B4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508A05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28407F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6084E08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5AE724C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70F787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37FDD9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11E0A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08D4FD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46AC59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8AE1F4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B29CE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711D2C2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0.24</w:t>
            </w:r>
          </w:p>
        </w:tc>
        <w:tc>
          <w:tcPr>
            <w:tcW w:w="416" w:type="pct"/>
            <w:shd w:val="clear" w:color="auto" w:fill="auto"/>
            <w:vAlign w:val="center"/>
          </w:tcPr>
          <w:p w14:paraId="74D6DB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4D1D233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C35E7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3915ED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0DDE0D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6600D1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390CF98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DE8D9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3927D52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DF8E9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EAE3A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4E722E7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216C8B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F4B634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0.28</w:t>
            </w:r>
          </w:p>
        </w:tc>
        <w:tc>
          <w:tcPr>
            <w:tcW w:w="416" w:type="pct"/>
            <w:shd w:val="clear" w:color="auto" w:fill="auto"/>
            <w:vAlign w:val="center"/>
          </w:tcPr>
          <w:p w14:paraId="65B1BAF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7DD17AE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123746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818E8B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138DAF4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168ABAC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645D29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4B780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D55E5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32CF8C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D9C8A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2868B8F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3A61E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18CDF8F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0.22</w:t>
            </w:r>
          </w:p>
        </w:tc>
        <w:tc>
          <w:tcPr>
            <w:tcW w:w="416" w:type="pct"/>
            <w:shd w:val="clear" w:color="auto" w:fill="auto"/>
            <w:vAlign w:val="center"/>
          </w:tcPr>
          <w:p w14:paraId="545B65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189616B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6BFF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A56465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0905F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0CFA4C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3093FB4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26CDF46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2D8042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67A807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5C4786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A538D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BC204D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D815A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4679B8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82BE7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652B2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1DC949B">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321186C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65CFA1E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4DC84B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1EB06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6496A7A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6A8C198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B829D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36BECF8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03EABA1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53F27A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31EF8CA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F73AA6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C745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813B83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31E97BA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3D8F54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4C2661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2575D1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1CF5C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E6F74D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5C6A41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31713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A8273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30DE284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E09DA6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06C3BB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01947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586DAD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5914400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26B69D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5C45961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05D4E3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DA313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7E238C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78B4A0A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D33FE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532852F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16C39B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57DCD8B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3CD566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400B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4F27D7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9D7D85A">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AD3453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789EBFB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6C9858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7B3D68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8C7A39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1A5FBE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920FB9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3A3B47B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7DF8873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F23196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546CE93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8802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restart"/>
            <w:vAlign w:val="center"/>
          </w:tcPr>
          <w:p w14:paraId="71DC7A9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13</w:t>
            </w:r>
          </w:p>
        </w:tc>
        <w:tc>
          <w:tcPr>
            <w:tcW w:w="373" w:type="pct"/>
            <w:shd w:val="clear" w:color="auto" w:fill="auto"/>
            <w:noWrap/>
            <w:vAlign w:val="center"/>
          </w:tcPr>
          <w:p w14:paraId="63BD415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27E24E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pH值</w:t>
            </w:r>
          </w:p>
        </w:tc>
        <w:tc>
          <w:tcPr>
            <w:tcW w:w="432" w:type="pct"/>
            <w:shd w:val="clear" w:color="auto" w:fill="auto"/>
            <w:vAlign w:val="center"/>
          </w:tcPr>
          <w:p w14:paraId="597D0E2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CODCr</w:t>
            </w:r>
          </w:p>
        </w:tc>
        <w:tc>
          <w:tcPr>
            <w:tcW w:w="359" w:type="pct"/>
            <w:shd w:val="clear" w:color="auto" w:fill="auto"/>
            <w:vAlign w:val="center"/>
          </w:tcPr>
          <w:p w14:paraId="7B9B3BF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氨氮</w:t>
            </w:r>
          </w:p>
        </w:tc>
        <w:tc>
          <w:tcPr>
            <w:tcW w:w="388" w:type="pct"/>
            <w:shd w:val="clear" w:color="auto" w:fill="auto"/>
            <w:vAlign w:val="center"/>
          </w:tcPr>
          <w:p w14:paraId="0191EE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总磷</w:t>
            </w:r>
          </w:p>
        </w:tc>
        <w:tc>
          <w:tcPr>
            <w:tcW w:w="404" w:type="pct"/>
            <w:shd w:val="clear" w:color="auto" w:fill="auto"/>
            <w:vAlign w:val="center"/>
          </w:tcPr>
          <w:p w14:paraId="5192E8F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BOD5</w:t>
            </w:r>
          </w:p>
        </w:tc>
        <w:tc>
          <w:tcPr>
            <w:tcW w:w="394" w:type="pct"/>
            <w:shd w:val="clear" w:color="auto" w:fill="auto"/>
            <w:vAlign w:val="center"/>
          </w:tcPr>
          <w:p w14:paraId="3CA7464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悬浮物</w:t>
            </w:r>
          </w:p>
        </w:tc>
        <w:tc>
          <w:tcPr>
            <w:tcW w:w="395" w:type="pct"/>
            <w:shd w:val="clear" w:color="auto" w:fill="auto"/>
            <w:vAlign w:val="center"/>
          </w:tcPr>
          <w:p w14:paraId="20F472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石油类</w:t>
            </w:r>
          </w:p>
        </w:tc>
        <w:tc>
          <w:tcPr>
            <w:tcW w:w="403" w:type="pct"/>
            <w:shd w:val="clear" w:color="auto" w:fill="auto"/>
            <w:vAlign w:val="center"/>
          </w:tcPr>
          <w:p w14:paraId="08387F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挥发酚</w:t>
            </w:r>
          </w:p>
        </w:tc>
        <w:tc>
          <w:tcPr>
            <w:tcW w:w="375" w:type="pct"/>
            <w:shd w:val="clear" w:color="auto" w:fill="auto"/>
            <w:vAlign w:val="center"/>
          </w:tcPr>
          <w:p w14:paraId="7128AF1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铅</w:t>
            </w:r>
          </w:p>
        </w:tc>
        <w:tc>
          <w:tcPr>
            <w:tcW w:w="416" w:type="pct"/>
            <w:shd w:val="clear" w:color="auto" w:fill="auto"/>
            <w:vAlign w:val="center"/>
          </w:tcPr>
          <w:p w14:paraId="22C88C8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镉</w:t>
            </w:r>
          </w:p>
        </w:tc>
        <w:tc>
          <w:tcPr>
            <w:tcW w:w="474" w:type="pct"/>
            <w:shd w:val="clear" w:color="auto" w:fill="auto"/>
            <w:vAlign w:val="center"/>
          </w:tcPr>
          <w:p w14:paraId="0F5E8B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铬</w:t>
            </w:r>
          </w:p>
        </w:tc>
      </w:tr>
      <w:tr w14:paraId="4DDC9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03030C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15D987D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057C34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6~9</w:t>
            </w:r>
          </w:p>
        </w:tc>
        <w:tc>
          <w:tcPr>
            <w:tcW w:w="432" w:type="pct"/>
            <w:shd w:val="clear" w:color="auto" w:fill="auto"/>
            <w:vAlign w:val="center"/>
          </w:tcPr>
          <w:p w14:paraId="1F344F9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359" w:type="pct"/>
            <w:shd w:val="clear" w:color="auto" w:fill="auto"/>
            <w:vAlign w:val="center"/>
          </w:tcPr>
          <w:p w14:paraId="76C6AED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388" w:type="pct"/>
            <w:shd w:val="clear" w:color="auto" w:fill="auto"/>
            <w:vAlign w:val="center"/>
          </w:tcPr>
          <w:p w14:paraId="474559A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404" w:type="pct"/>
            <w:shd w:val="clear" w:color="auto" w:fill="auto"/>
            <w:vAlign w:val="center"/>
          </w:tcPr>
          <w:p w14:paraId="618DF5F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w:t>
            </w:r>
          </w:p>
        </w:tc>
        <w:tc>
          <w:tcPr>
            <w:tcW w:w="394" w:type="pct"/>
            <w:shd w:val="clear" w:color="auto" w:fill="auto"/>
            <w:vAlign w:val="center"/>
          </w:tcPr>
          <w:p w14:paraId="59E4F3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1CDDE13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03" w:type="pct"/>
            <w:shd w:val="clear" w:color="auto" w:fill="auto"/>
            <w:vAlign w:val="center"/>
          </w:tcPr>
          <w:p w14:paraId="25B24D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375" w:type="pct"/>
            <w:shd w:val="clear" w:color="auto" w:fill="auto"/>
            <w:vAlign w:val="center"/>
          </w:tcPr>
          <w:p w14:paraId="5E327CF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w:t>
            </w:r>
          </w:p>
        </w:tc>
        <w:tc>
          <w:tcPr>
            <w:tcW w:w="416" w:type="pct"/>
            <w:shd w:val="clear" w:color="auto" w:fill="auto"/>
            <w:vAlign w:val="center"/>
          </w:tcPr>
          <w:p w14:paraId="06ADA7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0.005</w:t>
            </w:r>
          </w:p>
        </w:tc>
        <w:tc>
          <w:tcPr>
            <w:tcW w:w="474" w:type="pct"/>
            <w:shd w:val="clear" w:color="auto" w:fill="auto"/>
            <w:vAlign w:val="center"/>
          </w:tcPr>
          <w:p w14:paraId="212A5C9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74FD3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B21329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7CE9C32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6C4C52E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5944479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E8ED53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8AE714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62E64A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32A6695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39390F8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31B447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3B9853B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1B512D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00D11C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C2E8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D399E0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BC892A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2AB63FA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76ACC3E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11170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49476C4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5E496A5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5A0245E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0F54E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580587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49048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6D500E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023BAD2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79281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A29358F">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34CD1FE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7934B01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50D8453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815ABA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270D63A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37068AB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0877146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7EA3B8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469571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2D1D714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16" w:type="pct"/>
            <w:shd w:val="clear" w:color="auto" w:fill="auto"/>
            <w:vAlign w:val="center"/>
          </w:tcPr>
          <w:p w14:paraId="072C937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2A71882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042C47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4EE51F3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038999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694C32E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铊</w:t>
            </w:r>
          </w:p>
        </w:tc>
        <w:tc>
          <w:tcPr>
            <w:tcW w:w="432" w:type="pct"/>
            <w:shd w:val="clear" w:color="auto" w:fill="auto"/>
            <w:vAlign w:val="center"/>
          </w:tcPr>
          <w:p w14:paraId="7136A9C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锌</w:t>
            </w:r>
          </w:p>
        </w:tc>
        <w:tc>
          <w:tcPr>
            <w:tcW w:w="359" w:type="pct"/>
            <w:shd w:val="clear" w:color="auto" w:fill="auto"/>
            <w:vAlign w:val="center"/>
          </w:tcPr>
          <w:p w14:paraId="5FB7527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铜</w:t>
            </w:r>
          </w:p>
        </w:tc>
        <w:tc>
          <w:tcPr>
            <w:tcW w:w="388" w:type="pct"/>
            <w:shd w:val="clear" w:color="auto" w:fill="auto"/>
            <w:vAlign w:val="center"/>
          </w:tcPr>
          <w:p w14:paraId="6A7BEA6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铍</w:t>
            </w:r>
          </w:p>
        </w:tc>
        <w:tc>
          <w:tcPr>
            <w:tcW w:w="404" w:type="pct"/>
            <w:shd w:val="clear" w:color="auto" w:fill="auto"/>
            <w:vAlign w:val="center"/>
          </w:tcPr>
          <w:p w14:paraId="6B1FBDC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镍</w:t>
            </w:r>
          </w:p>
        </w:tc>
        <w:tc>
          <w:tcPr>
            <w:tcW w:w="394" w:type="pct"/>
            <w:shd w:val="clear" w:color="auto" w:fill="auto"/>
            <w:vAlign w:val="center"/>
          </w:tcPr>
          <w:p w14:paraId="7E9EA2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六价铬</w:t>
            </w:r>
          </w:p>
        </w:tc>
        <w:tc>
          <w:tcPr>
            <w:tcW w:w="395" w:type="pct"/>
            <w:shd w:val="clear" w:color="auto" w:fill="auto"/>
            <w:vAlign w:val="center"/>
          </w:tcPr>
          <w:p w14:paraId="73C2DC2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汞</w:t>
            </w:r>
          </w:p>
        </w:tc>
        <w:tc>
          <w:tcPr>
            <w:tcW w:w="403" w:type="pct"/>
            <w:shd w:val="clear" w:color="auto" w:fill="auto"/>
            <w:vAlign w:val="center"/>
          </w:tcPr>
          <w:p w14:paraId="7BD67B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砷</w:t>
            </w:r>
          </w:p>
        </w:tc>
        <w:tc>
          <w:tcPr>
            <w:tcW w:w="375" w:type="pct"/>
            <w:shd w:val="clear" w:color="auto" w:fill="auto"/>
            <w:vAlign w:val="center"/>
          </w:tcPr>
          <w:p w14:paraId="16DBC9E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416" w:type="pct"/>
            <w:shd w:val="clear" w:color="auto" w:fill="auto"/>
            <w:vAlign w:val="center"/>
          </w:tcPr>
          <w:p w14:paraId="4EDC03F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硒</w:t>
            </w:r>
          </w:p>
        </w:tc>
        <w:tc>
          <w:tcPr>
            <w:tcW w:w="474" w:type="pct"/>
            <w:shd w:val="clear" w:color="auto" w:fill="auto"/>
            <w:vAlign w:val="center"/>
          </w:tcPr>
          <w:p w14:paraId="5509B06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氟化物</w:t>
            </w:r>
          </w:p>
        </w:tc>
      </w:tr>
      <w:tr w14:paraId="094DA1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28B41F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0AA01F7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7E4594B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32" w:type="pct"/>
            <w:shd w:val="clear" w:color="auto" w:fill="auto"/>
            <w:vAlign w:val="center"/>
          </w:tcPr>
          <w:p w14:paraId="0473E7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59" w:type="pct"/>
            <w:shd w:val="clear" w:color="auto" w:fill="auto"/>
            <w:vAlign w:val="center"/>
          </w:tcPr>
          <w:p w14:paraId="7234DCF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c>
          <w:tcPr>
            <w:tcW w:w="388" w:type="pct"/>
            <w:shd w:val="clear" w:color="auto" w:fill="auto"/>
            <w:vAlign w:val="center"/>
          </w:tcPr>
          <w:p w14:paraId="7EC9AE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0.002</w:t>
            </w:r>
          </w:p>
        </w:tc>
        <w:tc>
          <w:tcPr>
            <w:tcW w:w="404" w:type="pct"/>
            <w:shd w:val="clear" w:color="auto" w:fill="auto"/>
            <w:vAlign w:val="center"/>
          </w:tcPr>
          <w:p w14:paraId="6B2DDA6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0.02</w:t>
            </w:r>
          </w:p>
        </w:tc>
        <w:tc>
          <w:tcPr>
            <w:tcW w:w="394" w:type="pct"/>
            <w:shd w:val="clear" w:color="auto" w:fill="auto"/>
            <w:vAlign w:val="center"/>
          </w:tcPr>
          <w:p w14:paraId="2E7596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95" w:type="pct"/>
            <w:shd w:val="clear" w:color="auto" w:fill="auto"/>
            <w:vAlign w:val="center"/>
          </w:tcPr>
          <w:p w14:paraId="20B776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0.0001</w:t>
            </w:r>
          </w:p>
        </w:tc>
        <w:tc>
          <w:tcPr>
            <w:tcW w:w="403" w:type="pct"/>
            <w:shd w:val="clear" w:color="auto" w:fill="auto"/>
            <w:vAlign w:val="center"/>
          </w:tcPr>
          <w:p w14:paraId="715AC11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75" w:type="pct"/>
            <w:shd w:val="clear" w:color="auto" w:fill="auto"/>
            <w:vAlign w:val="center"/>
          </w:tcPr>
          <w:p w14:paraId="54C8935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0.005</w:t>
            </w:r>
          </w:p>
        </w:tc>
        <w:tc>
          <w:tcPr>
            <w:tcW w:w="416" w:type="pct"/>
            <w:shd w:val="clear" w:color="auto" w:fill="auto"/>
            <w:vAlign w:val="center"/>
          </w:tcPr>
          <w:p w14:paraId="71FB5BD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0.01</w:t>
            </w:r>
          </w:p>
        </w:tc>
        <w:tc>
          <w:tcPr>
            <w:tcW w:w="474" w:type="pct"/>
            <w:shd w:val="clear" w:color="auto" w:fill="auto"/>
            <w:vAlign w:val="center"/>
          </w:tcPr>
          <w:p w14:paraId="0F0E74F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w:t>
            </w:r>
          </w:p>
        </w:tc>
      </w:tr>
      <w:tr w14:paraId="6053C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C7EFDB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2A19FD3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13220CA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7FFB015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189794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180CE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06B772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6E4A9A1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67FD972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1E7FC22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69C24D3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2.64</w:t>
            </w:r>
          </w:p>
        </w:tc>
        <w:tc>
          <w:tcPr>
            <w:tcW w:w="416" w:type="pct"/>
            <w:shd w:val="clear" w:color="auto" w:fill="auto"/>
            <w:vAlign w:val="center"/>
          </w:tcPr>
          <w:p w14:paraId="3EA4CAF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33AA7A7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107D3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3DA7199D">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6E3229EC">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26A94B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46FD26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1766A7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7C54343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2A0AA1B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74D1E18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7FB3577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52D219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54F12D7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2.6</w:t>
            </w:r>
          </w:p>
        </w:tc>
        <w:tc>
          <w:tcPr>
            <w:tcW w:w="416" w:type="pct"/>
            <w:shd w:val="clear" w:color="auto" w:fill="auto"/>
            <w:vAlign w:val="center"/>
          </w:tcPr>
          <w:p w14:paraId="28C9667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4B1F94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663CC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755C52B8">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21234064">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E95C0D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15</w:t>
            </w:r>
          </w:p>
        </w:tc>
        <w:tc>
          <w:tcPr>
            <w:tcW w:w="432" w:type="pct"/>
            <w:shd w:val="clear" w:color="auto" w:fill="auto"/>
            <w:vAlign w:val="center"/>
          </w:tcPr>
          <w:p w14:paraId="207118F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0D3CBD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CA7030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4" w:type="pct"/>
            <w:shd w:val="clear" w:color="auto" w:fill="auto"/>
            <w:vAlign w:val="center"/>
          </w:tcPr>
          <w:p w14:paraId="3CBC082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4" w:type="pct"/>
            <w:shd w:val="clear" w:color="auto" w:fill="auto"/>
            <w:vAlign w:val="center"/>
          </w:tcPr>
          <w:p w14:paraId="52A936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95" w:type="pct"/>
            <w:shd w:val="clear" w:color="auto" w:fill="auto"/>
            <w:vAlign w:val="center"/>
          </w:tcPr>
          <w:p w14:paraId="044C74A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03" w:type="pct"/>
            <w:shd w:val="clear" w:color="auto" w:fill="auto"/>
            <w:vAlign w:val="center"/>
          </w:tcPr>
          <w:p w14:paraId="2D0EC5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75" w:type="pct"/>
            <w:shd w:val="clear" w:color="auto" w:fill="auto"/>
            <w:vAlign w:val="center"/>
          </w:tcPr>
          <w:p w14:paraId="19AB19A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2.32</w:t>
            </w:r>
          </w:p>
        </w:tc>
        <w:tc>
          <w:tcPr>
            <w:tcW w:w="416" w:type="pct"/>
            <w:shd w:val="clear" w:color="auto" w:fill="auto"/>
            <w:vAlign w:val="center"/>
          </w:tcPr>
          <w:p w14:paraId="4CBE35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74" w:type="pct"/>
            <w:shd w:val="clear" w:color="auto" w:fill="auto"/>
            <w:vAlign w:val="center"/>
          </w:tcPr>
          <w:p w14:paraId="1BD9321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r>
      <w:tr w14:paraId="553F3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2D54DA91">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3F4E3D9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334" w:type="pct"/>
            <w:shd w:val="clear" w:color="auto" w:fill="auto"/>
            <w:vAlign w:val="center"/>
          </w:tcPr>
          <w:p w14:paraId="7ACBA9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硫化物</w:t>
            </w:r>
          </w:p>
        </w:tc>
        <w:tc>
          <w:tcPr>
            <w:tcW w:w="432" w:type="pct"/>
            <w:shd w:val="clear" w:color="auto" w:fill="auto"/>
            <w:vAlign w:val="center"/>
          </w:tcPr>
          <w:p w14:paraId="34D06AB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银</w:t>
            </w:r>
          </w:p>
        </w:tc>
        <w:tc>
          <w:tcPr>
            <w:tcW w:w="359" w:type="pct"/>
            <w:shd w:val="clear" w:color="auto" w:fill="auto"/>
            <w:vAlign w:val="center"/>
          </w:tcPr>
          <w:p w14:paraId="1D1F030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钒</w:t>
            </w:r>
          </w:p>
        </w:tc>
        <w:tc>
          <w:tcPr>
            <w:tcW w:w="388" w:type="pct"/>
            <w:shd w:val="clear" w:color="auto" w:fill="auto"/>
            <w:vAlign w:val="center"/>
          </w:tcPr>
          <w:p w14:paraId="33FBDCD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2F69DF1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5E41D9E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989F5B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08B9462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3B8B77B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441B8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8ADAFA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DCB18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0908FB99">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shd w:val="clear" w:color="auto" w:fill="auto"/>
            <w:noWrap/>
            <w:vAlign w:val="center"/>
          </w:tcPr>
          <w:p w14:paraId="5DAE8E0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标准值</w:t>
            </w:r>
          </w:p>
        </w:tc>
        <w:tc>
          <w:tcPr>
            <w:tcW w:w="334" w:type="pct"/>
            <w:shd w:val="clear" w:color="auto" w:fill="auto"/>
            <w:vAlign w:val="center"/>
          </w:tcPr>
          <w:p w14:paraId="52B0006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0.2</w:t>
            </w:r>
          </w:p>
        </w:tc>
        <w:tc>
          <w:tcPr>
            <w:tcW w:w="432" w:type="pct"/>
            <w:shd w:val="clear" w:color="auto" w:fill="auto"/>
            <w:vAlign w:val="center"/>
          </w:tcPr>
          <w:p w14:paraId="04B1782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5571CEB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w:t>
            </w:r>
          </w:p>
        </w:tc>
        <w:tc>
          <w:tcPr>
            <w:tcW w:w="388" w:type="pct"/>
            <w:shd w:val="clear" w:color="auto" w:fill="auto"/>
            <w:vAlign w:val="center"/>
          </w:tcPr>
          <w:p w14:paraId="6C99C1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7E51A83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D15A76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B8961C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49B120D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345FD80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1F1FE5C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30B5E81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128AF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146ADE3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restart"/>
            <w:shd w:val="clear" w:color="auto" w:fill="auto"/>
            <w:noWrap/>
            <w:vAlign w:val="center"/>
          </w:tcPr>
          <w:p w14:paraId="025178C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水质指数</w:t>
            </w:r>
          </w:p>
        </w:tc>
        <w:tc>
          <w:tcPr>
            <w:tcW w:w="334" w:type="pct"/>
            <w:shd w:val="clear" w:color="auto" w:fill="auto"/>
            <w:vAlign w:val="center"/>
          </w:tcPr>
          <w:p w14:paraId="6A70771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082F857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967485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0527E16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691692D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4E52BA6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5ECAA3B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2AA07EF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5B5F9479">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7D5D2D6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3703FE4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23707B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5C676063">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75DC73B2">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4113FDF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75577D9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49885DF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580A028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7ABA088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261D4F0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0D09870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7E7A1D32">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50AB97D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735126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793522C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r w14:paraId="605E4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c>
          <w:tcPr>
            <w:tcW w:w="247" w:type="pct"/>
            <w:vMerge w:val="continue"/>
            <w:vAlign w:val="center"/>
          </w:tcPr>
          <w:p w14:paraId="6B3FB1D0">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73" w:type="pct"/>
            <w:vMerge w:val="continue"/>
            <w:shd w:val="clear" w:color="auto" w:fill="auto"/>
            <w:noWrap/>
            <w:vAlign w:val="center"/>
          </w:tcPr>
          <w:p w14:paraId="48820AE5">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334" w:type="pct"/>
            <w:shd w:val="clear" w:color="auto" w:fill="auto"/>
            <w:vAlign w:val="center"/>
          </w:tcPr>
          <w:p w14:paraId="09D8BDC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432" w:type="pct"/>
            <w:shd w:val="clear" w:color="auto" w:fill="auto"/>
            <w:vAlign w:val="center"/>
          </w:tcPr>
          <w:p w14:paraId="5A20527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59" w:type="pct"/>
            <w:shd w:val="clear" w:color="auto" w:fill="auto"/>
            <w:vAlign w:val="center"/>
          </w:tcPr>
          <w:p w14:paraId="34236C73">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p>
        </w:tc>
        <w:tc>
          <w:tcPr>
            <w:tcW w:w="388" w:type="pct"/>
            <w:shd w:val="clear" w:color="auto" w:fill="auto"/>
            <w:vAlign w:val="center"/>
          </w:tcPr>
          <w:p w14:paraId="6AF878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4" w:type="pct"/>
            <w:shd w:val="clear" w:color="auto" w:fill="auto"/>
            <w:vAlign w:val="center"/>
          </w:tcPr>
          <w:p w14:paraId="76E829E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4" w:type="pct"/>
            <w:shd w:val="clear" w:color="auto" w:fill="auto"/>
            <w:vAlign w:val="center"/>
          </w:tcPr>
          <w:p w14:paraId="6FF674E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95" w:type="pct"/>
            <w:shd w:val="clear" w:color="auto" w:fill="auto"/>
            <w:vAlign w:val="center"/>
          </w:tcPr>
          <w:p w14:paraId="7A29045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03" w:type="pct"/>
            <w:shd w:val="clear" w:color="auto" w:fill="auto"/>
            <w:vAlign w:val="center"/>
          </w:tcPr>
          <w:p w14:paraId="17C3741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375" w:type="pct"/>
            <w:shd w:val="clear" w:color="auto" w:fill="auto"/>
            <w:vAlign w:val="center"/>
          </w:tcPr>
          <w:p w14:paraId="415B42B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16" w:type="pct"/>
            <w:shd w:val="clear" w:color="auto" w:fill="auto"/>
            <w:vAlign w:val="center"/>
          </w:tcPr>
          <w:p w14:paraId="0337BAA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474" w:type="pct"/>
            <w:shd w:val="clear" w:color="auto" w:fill="auto"/>
            <w:vAlign w:val="center"/>
          </w:tcPr>
          <w:p w14:paraId="0024A80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r>
    </w:tbl>
    <w:p w14:paraId="6FB49302">
      <w:pPr>
        <w:widowControl w:val="0"/>
        <w:bidi w:val="0"/>
        <w:spacing w:line="360" w:lineRule="auto"/>
        <w:ind w:firstLine="420" w:firstLineChars="200"/>
        <w:jc w:val="both"/>
        <w:rPr>
          <w:rFonts w:hint="default" w:ascii="Times New Roman" w:hAnsi="Times New Roman" w:eastAsia="宋体" w:cs="Times New Roman"/>
          <w:color w:val="auto"/>
          <w:kern w:val="2"/>
          <w:highlight w:val="none"/>
          <w:lang w:val="en-US" w:eastAsia="zh-CN" w:bidi="ar-SA"/>
        </w:rPr>
      </w:pPr>
    </w:p>
    <w:p w14:paraId="57063EE4">
      <w:pPr>
        <w:rPr>
          <w:rFonts w:hint="default" w:ascii="Times New Roman" w:hAnsi="Times New Roman" w:cs="Times New Roman"/>
          <w:color w:val="auto"/>
          <w:highlight w:val="none"/>
        </w:rPr>
        <w:sectPr>
          <w:pgSz w:w="16838" w:h="11906" w:orient="landscape"/>
          <w:pgMar w:top="1440" w:right="1440" w:bottom="1236" w:left="1440" w:header="851" w:footer="992" w:gutter="0"/>
          <w:pgBorders>
            <w:top w:val="none" w:sz="0" w:space="0"/>
            <w:left w:val="none" w:sz="0" w:space="0"/>
            <w:bottom w:val="none" w:sz="0" w:space="0"/>
            <w:right w:val="none" w:sz="0" w:space="0"/>
          </w:pgBorders>
          <w:cols w:space="720" w:num="1"/>
          <w:docGrid w:type="lines" w:linePitch="312" w:charSpace="0"/>
        </w:sectPr>
      </w:pPr>
    </w:p>
    <w:p w14:paraId="1C7F0A4A">
      <w:pPr>
        <w:pStyle w:val="37"/>
        <w:rPr>
          <w:rFonts w:hint="default"/>
          <w:color w:val="auto"/>
          <w:highlight w:val="none"/>
          <w:lang w:val="en-US" w:eastAsia="zh-CN"/>
        </w:rPr>
      </w:pPr>
      <w:r>
        <w:rPr>
          <w:rFonts w:hint="eastAsia"/>
          <w:color w:val="auto"/>
          <w:highlight w:val="none"/>
          <w:lang w:val="en-US" w:eastAsia="zh-CN"/>
        </w:rPr>
        <w:t xml:space="preserve"> 2024年6月监测</w:t>
      </w:r>
    </w:p>
    <w:p w14:paraId="5ACDC25A">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2024年</w:t>
      </w:r>
      <w:r>
        <w:rPr>
          <w:rFonts w:hint="eastAsia" w:ascii="Times New Roman" w:hAnsi="Times New Roman" w:eastAsia="宋体" w:cs="Times New Roman"/>
          <w:color w:val="auto"/>
          <w:kern w:val="2"/>
          <w:sz w:val="24"/>
          <w:highlight w:val="none"/>
          <w:lang w:val="en-US" w:eastAsia="zh-CN" w:bidi="ar-SA"/>
        </w:rPr>
        <w:t>6</w:t>
      </w:r>
      <w:r>
        <w:rPr>
          <w:rFonts w:hint="default" w:ascii="Times New Roman" w:hAnsi="Times New Roman" w:eastAsia="宋体" w:cs="Times New Roman"/>
          <w:color w:val="auto"/>
          <w:kern w:val="2"/>
          <w:sz w:val="24"/>
          <w:highlight w:val="none"/>
          <w:lang w:val="en-US" w:eastAsia="zh-CN" w:bidi="ar-SA"/>
        </w:rPr>
        <w:t>月</w:t>
      </w:r>
      <w:r>
        <w:rPr>
          <w:rFonts w:hint="eastAsia" w:ascii="Times New Roman" w:hAnsi="Times New Roman" w:eastAsia="宋体" w:cs="Times New Roman"/>
          <w:color w:val="auto"/>
          <w:kern w:val="2"/>
          <w:sz w:val="24"/>
          <w:highlight w:val="none"/>
          <w:lang w:val="en-US" w:eastAsia="zh-CN" w:bidi="ar-SA"/>
        </w:rPr>
        <w:t>20</w:t>
      </w:r>
      <w:r>
        <w:rPr>
          <w:rFonts w:hint="default" w:ascii="Times New Roman" w:hAnsi="Times New Roman" w:eastAsia="宋体" w:cs="Times New Roman"/>
          <w:color w:val="auto"/>
          <w:kern w:val="2"/>
          <w:sz w:val="24"/>
          <w:highlight w:val="none"/>
          <w:lang w:val="en-US" w:eastAsia="zh-CN" w:bidi="ar-SA"/>
        </w:rPr>
        <w:t>日，</w:t>
      </w:r>
      <w:r>
        <w:rPr>
          <w:rFonts w:hint="eastAsia" w:ascii="Times New Roman" w:hAnsi="Times New Roman" w:eastAsia="宋体" w:cs="Times New Roman"/>
          <w:color w:val="auto"/>
          <w:kern w:val="2"/>
          <w:sz w:val="24"/>
          <w:highlight w:val="none"/>
          <w:lang w:val="en-US" w:eastAsia="zh-CN" w:bidi="ar-SA"/>
        </w:rPr>
        <w:t>为了解项目引水工程实施后，渣滓溪上游溪水和隧洞出水情况，</w:t>
      </w:r>
      <w:r>
        <w:rPr>
          <w:rFonts w:hint="default" w:ascii="Times New Roman" w:hAnsi="Times New Roman" w:eastAsia="宋体" w:cs="Times New Roman"/>
          <w:color w:val="auto"/>
          <w:kern w:val="2"/>
          <w:sz w:val="24"/>
          <w:highlight w:val="none"/>
          <w:lang w:val="en-US" w:eastAsia="zh-CN" w:bidi="ar-SA"/>
        </w:rPr>
        <w:t>委托湖南乾诚检测有限公司对地表水环境质量现状进行了监测，监测时段为区域的</w:t>
      </w:r>
      <w:r>
        <w:rPr>
          <w:rFonts w:hint="eastAsia" w:ascii="Times New Roman" w:hAnsi="Times New Roman" w:eastAsia="宋体" w:cs="Times New Roman"/>
          <w:color w:val="auto"/>
          <w:kern w:val="2"/>
          <w:sz w:val="24"/>
          <w:highlight w:val="none"/>
          <w:lang w:val="en-US" w:eastAsia="zh-CN" w:bidi="ar-SA"/>
        </w:rPr>
        <w:t>丰</w:t>
      </w:r>
      <w:r>
        <w:rPr>
          <w:rFonts w:hint="default" w:ascii="Times New Roman" w:hAnsi="Times New Roman" w:eastAsia="宋体" w:cs="Times New Roman"/>
          <w:color w:val="auto"/>
          <w:kern w:val="2"/>
          <w:sz w:val="24"/>
          <w:highlight w:val="none"/>
          <w:lang w:val="en-US" w:eastAsia="zh-CN" w:bidi="ar-SA"/>
        </w:rPr>
        <w:t>水期。</w:t>
      </w:r>
    </w:p>
    <w:p w14:paraId="0D6B462F">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（1）监测断面：共设置</w:t>
      </w:r>
      <w:r>
        <w:rPr>
          <w:rFonts w:hint="eastAsia" w:ascii="Times New Roman" w:hAnsi="Times New Roman" w:eastAsia="宋体" w:cs="Times New Roman"/>
          <w:color w:val="auto"/>
          <w:kern w:val="2"/>
          <w:sz w:val="24"/>
          <w:highlight w:val="none"/>
          <w:lang w:val="en-US" w:eastAsia="zh-CN" w:bidi="ar-SA"/>
        </w:rPr>
        <w:t>2</w:t>
      </w:r>
      <w:r>
        <w:rPr>
          <w:rFonts w:hint="default" w:ascii="Times New Roman" w:hAnsi="Times New Roman" w:eastAsia="宋体" w:cs="Times New Roman"/>
          <w:color w:val="auto"/>
          <w:kern w:val="2"/>
          <w:sz w:val="24"/>
          <w:highlight w:val="none"/>
          <w:lang w:val="en-US" w:eastAsia="zh-CN" w:bidi="ar-SA"/>
        </w:rPr>
        <w:t>个监测断面，见下表。</w:t>
      </w:r>
    </w:p>
    <w:p w14:paraId="41ADBAEE">
      <w:pPr>
        <w:pStyle w:val="28"/>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11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地表水环境质量监测断面</w:t>
      </w:r>
    </w:p>
    <w:tbl>
      <w:tblPr>
        <w:tblStyle w:val="21"/>
        <w:tblW w:w="924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37"/>
        <w:gridCol w:w="7205"/>
      </w:tblGrid>
      <w:tr w14:paraId="7282F0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037" w:type="dxa"/>
            <w:vAlign w:val="center"/>
          </w:tcPr>
          <w:p w14:paraId="5D820DD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7205" w:type="dxa"/>
            <w:vAlign w:val="center"/>
          </w:tcPr>
          <w:p w14:paraId="5970E8A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监测断面</w:t>
            </w:r>
          </w:p>
        </w:tc>
      </w:tr>
      <w:tr w14:paraId="4F0F6D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037" w:type="dxa"/>
            <w:vAlign w:val="center"/>
          </w:tcPr>
          <w:p w14:paraId="68C2637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S1</w:t>
            </w:r>
          </w:p>
        </w:tc>
        <w:tc>
          <w:tcPr>
            <w:tcW w:w="7205" w:type="dxa"/>
            <w:vAlign w:val="center"/>
          </w:tcPr>
          <w:p w14:paraId="5E4992D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隧洞水</w:t>
            </w:r>
          </w:p>
        </w:tc>
      </w:tr>
      <w:tr w14:paraId="50BE73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037" w:type="dxa"/>
            <w:vAlign w:val="center"/>
          </w:tcPr>
          <w:p w14:paraId="475F82A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S2</w:t>
            </w:r>
          </w:p>
        </w:tc>
        <w:tc>
          <w:tcPr>
            <w:tcW w:w="7205" w:type="dxa"/>
            <w:vAlign w:val="center"/>
          </w:tcPr>
          <w:p w14:paraId="2B83D78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渣滓溪上游溪水</w:t>
            </w:r>
          </w:p>
        </w:tc>
      </w:tr>
    </w:tbl>
    <w:p w14:paraId="1D084C37">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（2）监测因子：锑。</w:t>
      </w:r>
    </w:p>
    <w:p w14:paraId="35B93CAF">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（3）监测频次：202</w:t>
      </w:r>
      <w:r>
        <w:rPr>
          <w:rFonts w:hint="eastAsia" w:ascii="Times New Roman" w:hAnsi="Times New Roman" w:eastAsia="宋体" w:cs="Times New Roman"/>
          <w:color w:val="auto"/>
          <w:kern w:val="2"/>
          <w:sz w:val="24"/>
          <w:highlight w:val="none"/>
          <w:lang w:val="en-US" w:eastAsia="zh-CN" w:bidi="ar-SA"/>
        </w:rPr>
        <w:t>4</w:t>
      </w:r>
      <w:r>
        <w:rPr>
          <w:rFonts w:hint="default" w:ascii="Times New Roman" w:hAnsi="Times New Roman" w:eastAsia="宋体" w:cs="Times New Roman"/>
          <w:color w:val="auto"/>
          <w:kern w:val="2"/>
          <w:sz w:val="24"/>
          <w:highlight w:val="none"/>
          <w:lang w:val="en-US" w:eastAsia="zh-CN" w:bidi="ar-SA"/>
        </w:rPr>
        <w:t>年</w:t>
      </w:r>
      <w:r>
        <w:rPr>
          <w:rFonts w:hint="eastAsia" w:ascii="Times New Roman" w:hAnsi="Times New Roman" w:eastAsia="宋体" w:cs="Times New Roman"/>
          <w:color w:val="auto"/>
          <w:kern w:val="2"/>
          <w:sz w:val="24"/>
          <w:highlight w:val="none"/>
          <w:lang w:val="en-US" w:eastAsia="zh-CN" w:bidi="ar-SA"/>
        </w:rPr>
        <w:t>6</w:t>
      </w:r>
      <w:r>
        <w:rPr>
          <w:rFonts w:hint="default" w:ascii="Times New Roman" w:hAnsi="Times New Roman" w:eastAsia="宋体" w:cs="Times New Roman"/>
          <w:color w:val="auto"/>
          <w:kern w:val="2"/>
          <w:sz w:val="24"/>
          <w:highlight w:val="none"/>
          <w:lang w:val="en-US" w:eastAsia="zh-CN" w:bidi="ar-SA"/>
        </w:rPr>
        <w:t>月</w:t>
      </w:r>
      <w:r>
        <w:rPr>
          <w:rFonts w:hint="eastAsia" w:ascii="Times New Roman" w:hAnsi="Times New Roman" w:eastAsia="宋体" w:cs="Times New Roman"/>
          <w:color w:val="auto"/>
          <w:kern w:val="2"/>
          <w:sz w:val="24"/>
          <w:highlight w:val="none"/>
          <w:lang w:val="en-US" w:eastAsia="zh-CN" w:bidi="ar-SA"/>
        </w:rPr>
        <w:t>20</w:t>
      </w:r>
      <w:r>
        <w:rPr>
          <w:rFonts w:hint="default" w:ascii="Times New Roman" w:hAnsi="Times New Roman" w:eastAsia="宋体" w:cs="Times New Roman"/>
          <w:color w:val="auto"/>
          <w:kern w:val="2"/>
          <w:sz w:val="24"/>
          <w:highlight w:val="none"/>
          <w:lang w:val="en-US" w:eastAsia="zh-CN" w:bidi="ar-SA"/>
        </w:rPr>
        <w:t>日，每天一次。</w:t>
      </w:r>
    </w:p>
    <w:p w14:paraId="6D8552FB">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（4）执行标准：地表水体为Ⅲ类水域，执行《地表水环境质量标准》（GB3838-2002）中</w:t>
      </w:r>
      <w:r>
        <w:rPr>
          <w:rFonts w:hint="eastAsia" w:ascii="Times New Roman" w:hAnsi="Times New Roman" w:eastAsia="宋体" w:cs="Times New Roman"/>
          <w:color w:val="auto"/>
          <w:kern w:val="2"/>
          <w:sz w:val="24"/>
          <w:highlight w:val="none"/>
          <w:lang w:val="en-US" w:eastAsia="zh-CN" w:bidi="ar-SA"/>
        </w:rPr>
        <w:t>“集中式生活饮用水地表水源地标准限值”</w:t>
      </w:r>
      <w:r>
        <w:rPr>
          <w:rFonts w:hint="default" w:ascii="Times New Roman" w:hAnsi="Times New Roman" w:eastAsia="宋体" w:cs="Times New Roman"/>
          <w:color w:val="auto"/>
          <w:kern w:val="2"/>
          <w:sz w:val="24"/>
          <w:highlight w:val="none"/>
          <w:lang w:val="en-US" w:eastAsia="zh-CN" w:bidi="ar-SA"/>
        </w:rPr>
        <w:t>。</w:t>
      </w:r>
    </w:p>
    <w:p w14:paraId="38C15660">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（5）评价方法</w:t>
      </w:r>
    </w:p>
    <w:p w14:paraId="03F14033">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采用</w:t>
      </w:r>
      <w:r>
        <w:rPr>
          <w:rFonts w:hint="eastAsia" w:ascii="Times New Roman" w:hAnsi="Times New Roman" w:eastAsia="宋体" w:cs="Times New Roman"/>
          <w:color w:val="auto"/>
          <w:kern w:val="2"/>
          <w:sz w:val="24"/>
          <w:highlight w:val="none"/>
          <w:lang w:val="en-US" w:eastAsia="zh-CN" w:bidi="ar-SA"/>
        </w:rPr>
        <w:t>水质指数法</w:t>
      </w:r>
      <w:r>
        <w:rPr>
          <w:rFonts w:hint="default" w:ascii="Times New Roman" w:hAnsi="Times New Roman" w:eastAsia="宋体" w:cs="Times New Roman"/>
          <w:color w:val="auto"/>
          <w:kern w:val="2"/>
          <w:sz w:val="24"/>
          <w:highlight w:val="none"/>
          <w:lang w:val="en-US" w:eastAsia="zh-CN" w:bidi="ar-SA"/>
        </w:rPr>
        <w:t>评价水环境现状质量。</w:t>
      </w:r>
    </w:p>
    <w:p w14:paraId="2BA01B84">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（6）评价结果</w:t>
      </w:r>
    </w:p>
    <w:p w14:paraId="594DD6D9">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渣滓溪上游溪水锑的背景值已超过</w:t>
      </w:r>
      <w:r>
        <w:rPr>
          <w:rFonts w:hint="default" w:ascii="Times New Roman" w:hAnsi="Times New Roman" w:eastAsia="宋体" w:cs="Times New Roman"/>
          <w:color w:val="auto"/>
          <w:kern w:val="2"/>
          <w:sz w:val="24"/>
          <w:highlight w:val="none"/>
          <w:lang w:val="en-US" w:eastAsia="zh-CN" w:bidi="ar-SA"/>
        </w:rPr>
        <w:t>《地表水环境质量标准》（GB3838-2002）中</w:t>
      </w:r>
      <w:r>
        <w:rPr>
          <w:rFonts w:hint="eastAsia" w:ascii="Times New Roman" w:hAnsi="Times New Roman" w:eastAsia="宋体" w:cs="Times New Roman"/>
          <w:color w:val="auto"/>
          <w:kern w:val="2"/>
          <w:sz w:val="24"/>
          <w:highlight w:val="none"/>
          <w:lang w:val="en-US" w:eastAsia="zh-CN" w:bidi="ar-SA"/>
        </w:rPr>
        <w:t>集中式生活饮用水地表水源地标准限值。</w:t>
      </w:r>
    </w:p>
    <w:p w14:paraId="215C5FA5">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隧洞水中锑因子未</w:t>
      </w:r>
      <w:r>
        <w:rPr>
          <w:rFonts w:hint="default" w:ascii="Times New Roman" w:hAnsi="Times New Roman" w:eastAsia="宋体" w:cs="Times New Roman"/>
          <w:color w:val="auto"/>
          <w:kern w:val="2"/>
          <w:sz w:val="24"/>
          <w:highlight w:val="none"/>
          <w:lang w:val="en-US" w:eastAsia="zh-CN" w:bidi="ar-SA"/>
        </w:rPr>
        <w:t>达到《地表水环境质量标准》（GB3838-2002）中</w:t>
      </w:r>
      <w:r>
        <w:rPr>
          <w:rFonts w:hint="eastAsia" w:ascii="Times New Roman" w:hAnsi="Times New Roman" w:eastAsia="宋体" w:cs="Times New Roman"/>
          <w:color w:val="auto"/>
          <w:kern w:val="2"/>
          <w:sz w:val="24"/>
          <w:highlight w:val="none"/>
          <w:lang w:val="en-US" w:eastAsia="zh-CN" w:bidi="ar-SA"/>
        </w:rPr>
        <w:t>集中式生活饮用水地表水源地标准限值</w:t>
      </w:r>
      <w:r>
        <w:rPr>
          <w:rFonts w:hint="default" w:ascii="Times New Roman" w:hAnsi="Times New Roman" w:eastAsia="宋体" w:cs="Times New Roman"/>
          <w:color w:val="auto"/>
          <w:kern w:val="2"/>
          <w:sz w:val="24"/>
          <w:highlight w:val="none"/>
          <w:lang w:val="en-US" w:eastAsia="zh-CN" w:bidi="ar-SA"/>
        </w:rPr>
        <w:t>。</w:t>
      </w:r>
    </w:p>
    <w:p w14:paraId="0EB83B35">
      <w:pPr>
        <w:pStyle w:val="28"/>
        <w:rPr>
          <w:rFonts w:hint="eastAsia"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12</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202</w:t>
      </w:r>
      <w:r>
        <w:rPr>
          <w:rFonts w:hint="eastAsia" w:ascii="Times New Roman" w:hAnsi="Times New Roman" w:eastAsia="黑体" w:cs="Times New Roman"/>
          <w:color w:val="auto"/>
          <w:kern w:val="2"/>
          <w:sz w:val="24"/>
          <w:highlight w:val="none"/>
          <w:lang w:val="en-US" w:eastAsia="zh-CN" w:bidi="ar-SA"/>
        </w:rPr>
        <w:t>4</w:t>
      </w:r>
      <w:r>
        <w:rPr>
          <w:rFonts w:hint="default" w:ascii="Times New Roman" w:hAnsi="Times New Roman" w:eastAsia="黑体" w:cs="Times New Roman"/>
          <w:color w:val="auto"/>
          <w:kern w:val="2"/>
          <w:sz w:val="24"/>
          <w:highlight w:val="none"/>
          <w:lang w:val="en-US" w:eastAsia="zh-CN" w:bidi="ar-SA"/>
        </w:rPr>
        <w:t>年</w:t>
      </w:r>
      <w:r>
        <w:rPr>
          <w:rFonts w:hint="eastAsia" w:cs="Times New Roman"/>
          <w:color w:val="auto"/>
          <w:kern w:val="2"/>
          <w:sz w:val="24"/>
          <w:highlight w:val="none"/>
          <w:lang w:val="en-US" w:eastAsia="zh-CN" w:bidi="ar-SA"/>
        </w:rPr>
        <w:t>6</w:t>
      </w:r>
      <w:r>
        <w:rPr>
          <w:rFonts w:hint="default" w:ascii="Times New Roman" w:hAnsi="Times New Roman" w:eastAsia="黑体" w:cs="Times New Roman"/>
          <w:color w:val="auto"/>
          <w:kern w:val="2"/>
          <w:sz w:val="24"/>
          <w:highlight w:val="none"/>
          <w:lang w:val="en-US" w:eastAsia="zh-CN" w:bidi="ar-SA"/>
        </w:rPr>
        <w:t>月地表水</w:t>
      </w:r>
      <w:r>
        <w:rPr>
          <w:rFonts w:hint="eastAsia" w:ascii="Times New Roman" w:hAnsi="Times New Roman" w:eastAsia="黑体" w:cs="Times New Roman"/>
          <w:color w:val="auto"/>
          <w:kern w:val="2"/>
          <w:sz w:val="24"/>
          <w:highlight w:val="none"/>
          <w:lang w:val="en-US" w:eastAsia="zh-CN" w:bidi="ar-SA"/>
        </w:rPr>
        <w:t>锑因子</w:t>
      </w:r>
      <w:r>
        <w:rPr>
          <w:rFonts w:hint="default" w:ascii="Times New Roman" w:hAnsi="Times New Roman" w:eastAsia="黑体" w:cs="Times New Roman"/>
          <w:color w:val="auto"/>
          <w:kern w:val="2"/>
          <w:sz w:val="24"/>
          <w:highlight w:val="none"/>
          <w:lang w:val="en-US" w:eastAsia="zh-CN" w:bidi="ar-SA"/>
        </w:rPr>
        <w:t>环境质量补充检测结果</w:t>
      </w:r>
      <w:r>
        <w:rPr>
          <w:rFonts w:hint="eastAsia" w:ascii="Times New Roman" w:hAnsi="Times New Roman" w:eastAsia="黑体" w:cs="Times New Roman"/>
          <w:color w:val="auto"/>
          <w:kern w:val="2"/>
          <w:sz w:val="24"/>
          <w:highlight w:val="none"/>
          <w:lang w:val="en-US" w:eastAsia="zh-CN" w:bidi="ar-SA"/>
        </w:rPr>
        <w:t>（单位：mg/L）</w:t>
      </w:r>
    </w:p>
    <w:tbl>
      <w:tblPr>
        <w:tblStyle w:val="21"/>
        <w:tblW w:w="499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239"/>
        <w:gridCol w:w="2331"/>
        <w:gridCol w:w="2333"/>
        <w:gridCol w:w="2333"/>
      </w:tblGrid>
      <w:tr w14:paraId="01CE97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2" w:type="pct"/>
            <w:vAlign w:val="center"/>
          </w:tcPr>
          <w:p w14:paraId="5E55CA0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1261" w:type="pct"/>
            <w:vAlign w:val="center"/>
          </w:tcPr>
          <w:p w14:paraId="2A4C697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监测因子</w:t>
            </w:r>
          </w:p>
        </w:tc>
        <w:tc>
          <w:tcPr>
            <w:tcW w:w="1262" w:type="pct"/>
            <w:vAlign w:val="center"/>
          </w:tcPr>
          <w:p w14:paraId="057EFD58">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检测结果</w:t>
            </w:r>
          </w:p>
        </w:tc>
        <w:tc>
          <w:tcPr>
            <w:tcW w:w="1262" w:type="pct"/>
            <w:vAlign w:val="center"/>
          </w:tcPr>
          <w:p w14:paraId="41CEDF4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水质指数</w:t>
            </w:r>
          </w:p>
        </w:tc>
      </w:tr>
      <w:tr w14:paraId="249E9E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2" w:type="pct"/>
            <w:vAlign w:val="center"/>
          </w:tcPr>
          <w:p w14:paraId="797BC7AF">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1</w:t>
            </w:r>
          </w:p>
        </w:tc>
        <w:tc>
          <w:tcPr>
            <w:tcW w:w="1261" w:type="pct"/>
            <w:vAlign w:val="center"/>
          </w:tcPr>
          <w:p w14:paraId="31CF99B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1262" w:type="pct"/>
            <w:vAlign w:val="center"/>
          </w:tcPr>
          <w:p w14:paraId="4697D8B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0.6230</w:t>
            </w:r>
          </w:p>
        </w:tc>
        <w:tc>
          <w:tcPr>
            <w:tcW w:w="2333" w:type="dxa"/>
            <w:vAlign w:val="center"/>
          </w:tcPr>
          <w:p w14:paraId="356B8C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124.6</w:t>
            </w:r>
          </w:p>
        </w:tc>
      </w:tr>
      <w:tr w14:paraId="145C9B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2" w:type="pct"/>
            <w:vAlign w:val="center"/>
          </w:tcPr>
          <w:p w14:paraId="44FCE1C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2</w:t>
            </w:r>
          </w:p>
        </w:tc>
        <w:tc>
          <w:tcPr>
            <w:tcW w:w="1261" w:type="pct"/>
            <w:vAlign w:val="center"/>
          </w:tcPr>
          <w:p w14:paraId="311E282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1262" w:type="pct"/>
            <w:vAlign w:val="center"/>
          </w:tcPr>
          <w:p w14:paraId="70D891A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0.0541</w:t>
            </w:r>
          </w:p>
        </w:tc>
        <w:tc>
          <w:tcPr>
            <w:tcW w:w="2333" w:type="dxa"/>
            <w:vAlign w:val="center"/>
          </w:tcPr>
          <w:p w14:paraId="61D37D5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10.82</w:t>
            </w:r>
          </w:p>
        </w:tc>
      </w:tr>
    </w:tbl>
    <w:p w14:paraId="4AB89A3D">
      <w:pPr>
        <w:pStyle w:val="37"/>
        <w:rPr>
          <w:rFonts w:hint="default"/>
          <w:color w:val="auto"/>
          <w:highlight w:val="none"/>
          <w:lang w:val="en-US" w:eastAsia="zh-CN"/>
        </w:rPr>
      </w:pPr>
      <w:r>
        <w:rPr>
          <w:rFonts w:hint="eastAsia"/>
          <w:color w:val="auto"/>
          <w:highlight w:val="none"/>
          <w:lang w:val="en-US" w:eastAsia="zh-CN"/>
        </w:rPr>
        <w:t xml:space="preserve"> 2024年11月监测</w:t>
      </w:r>
    </w:p>
    <w:p w14:paraId="601FBB21">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cs="Times New Roman"/>
          <w:color w:val="auto"/>
          <w:kern w:val="2"/>
          <w:sz w:val="24"/>
          <w:highlight w:val="none"/>
          <w:lang w:val="en-US" w:eastAsia="zh-CN" w:bidi="ar-SA"/>
        </w:rPr>
        <w:t>2024年</w:t>
      </w:r>
      <w:r>
        <w:rPr>
          <w:rFonts w:hint="eastAsia" w:ascii="Times New Roman" w:hAnsi="Times New Roman" w:eastAsia="宋体" w:cs="Times New Roman"/>
          <w:color w:val="auto"/>
          <w:kern w:val="2"/>
          <w:sz w:val="24"/>
          <w:highlight w:val="none"/>
          <w:lang w:val="en-US" w:eastAsia="zh-CN" w:bidi="ar-SA"/>
        </w:rPr>
        <w:t>11</w:t>
      </w:r>
      <w:r>
        <w:rPr>
          <w:rFonts w:hint="default" w:ascii="Times New Roman" w:hAnsi="Times New Roman" w:eastAsia="宋体" w:cs="Times New Roman"/>
          <w:color w:val="auto"/>
          <w:kern w:val="2"/>
          <w:sz w:val="24"/>
          <w:highlight w:val="none"/>
          <w:lang w:val="en-US" w:eastAsia="zh-CN" w:bidi="ar-SA"/>
        </w:rPr>
        <w:t>月</w:t>
      </w:r>
      <w:r>
        <w:rPr>
          <w:rFonts w:hint="eastAsia" w:ascii="Times New Roman" w:hAnsi="Times New Roman" w:eastAsia="宋体" w:cs="Times New Roman"/>
          <w:color w:val="auto"/>
          <w:kern w:val="2"/>
          <w:sz w:val="24"/>
          <w:highlight w:val="none"/>
          <w:lang w:val="en-US" w:eastAsia="zh-CN" w:bidi="ar-SA"/>
        </w:rPr>
        <w:t>28</w:t>
      </w:r>
      <w:r>
        <w:rPr>
          <w:rFonts w:hint="default" w:ascii="Times New Roman" w:hAnsi="Times New Roman" w:eastAsia="宋体" w:cs="Times New Roman"/>
          <w:color w:val="auto"/>
          <w:kern w:val="2"/>
          <w:sz w:val="24"/>
          <w:highlight w:val="none"/>
          <w:lang w:val="en-US" w:eastAsia="zh-CN" w:bidi="ar-SA"/>
        </w:rPr>
        <w:t>日</w:t>
      </w:r>
      <w:r>
        <w:rPr>
          <w:rFonts w:hint="eastAsia" w:cs="Times New Roman"/>
          <w:color w:val="auto"/>
          <w:kern w:val="2"/>
          <w:sz w:val="24"/>
          <w:highlight w:val="none"/>
          <w:lang w:val="en-US" w:eastAsia="zh-CN" w:bidi="ar-SA"/>
        </w:rPr>
        <w:t>-30日</w:t>
      </w:r>
      <w:r>
        <w:rPr>
          <w:rFonts w:hint="default" w:ascii="Times New Roman" w:hAnsi="Times New Roman" w:eastAsia="宋体" w:cs="Times New Roman"/>
          <w:color w:val="auto"/>
          <w:kern w:val="2"/>
          <w:sz w:val="24"/>
          <w:highlight w:val="none"/>
          <w:lang w:val="en-US" w:eastAsia="zh-CN" w:bidi="ar-SA"/>
        </w:rPr>
        <w:t>，</w:t>
      </w:r>
      <w:r>
        <w:rPr>
          <w:rFonts w:hint="eastAsia" w:ascii="Times New Roman" w:hAnsi="Times New Roman" w:eastAsia="宋体" w:cs="Times New Roman"/>
          <w:color w:val="auto"/>
          <w:kern w:val="2"/>
          <w:sz w:val="24"/>
          <w:highlight w:val="none"/>
          <w:lang w:val="en-US" w:eastAsia="zh-CN" w:bidi="ar-SA"/>
        </w:rPr>
        <w:t>为了解项目引水工程实施后，渣滓溪隧洞山体渗水情况，</w:t>
      </w:r>
      <w:r>
        <w:rPr>
          <w:rFonts w:hint="default" w:ascii="Times New Roman" w:hAnsi="Times New Roman" w:eastAsia="宋体" w:cs="Times New Roman"/>
          <w:color w:val="auto"/>
          <w:kern w:val="2"/>
          <w:sz w:val="24"/>
          <w:highlight w:val="none"/>
          <w:lang w:val="en-US" w:eastAsia="zh-CN" w:bidi="ar-SA"/>
        </w:rPr>
        <w:t>委托湖南乾诚检测有限公司对地表水环境质量现状进行了监测，监测时段为区域的</w:t>
      </w:r>
      <w:r>
        <w:rPr>
          <w:rFonts w:hint="eastAsia" w:ascii="Times New Roman" w:hAnsi="Times New Roman" w:eastAsia="宋体" w:cs="Times New Roman"/>
          <w:color w:val="auto"/>
          <w:kern w:val="2"/>
          <w:sz w:val="24"/>
          <w:highlight w:val="none"/>
          <w:lang w:val="en-US" w:eastAsia="zh-CN" w:bidi="ar-SA"/>
        </w:rPr>
        <w:t>枯</w:t>
      </w:r>
      <w:r>
        <w:rPr>
          <w:rFonts w:hint="default" w:ascii="Times New Roman" w:hAnsi="Times New Roman" w:eastAsia="宋体" w:cs="Times New Roman"/>
          <w:color w:val="auto"/>
          <w:kern w:val="2"/>
          <w:sz w:val="24"/>
          <w:highlight w:val="none"/>
          <w:lang w:val="en-US" w:eastAsia="zh-CN" w:bidi="ar-SA"/>
        </w:rPr>
        <w:t>水期。</w:t>
      </w:r>
    </w:p>
    <w:p w14:paraId="2478B2D5">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（1）监测断面：共设置</w:t>
      </w:r>
      <w:r>
        <w:rPr>
          <w:rFonts w:hint="eastAsia" w:cs="Times New Roman"/>
          <w:color w:val="auto"/>
          <w:kern w:val="2"/>
          <w:sz w:val="24"/>
          <w:highlight w:val="none"/>
          <w:lang w:val="en-US" w:eastAsia="zh-CN" w:bidi="ar-SA"/>
        </w:rPr>
        <w:t>1</w:t>
      </w:r>
      <w:r>
        <w:rPr>
          <w:rFonts w:hint="default" w:ascii="Times New Roman" w:hAnsi="Times New Roman" w:eastAsia="宋体" w:cs="Times New Roman"/>
          <w:color w:val="auto"/>
          <w:kern w:val="2"/>
          <w:sz w:val="24"/>
          <w:highlight w:val="none"/>
          <w:lang w:val="en-US" w:eastAsia="zh-CN" w:bidi="ar-SA"/>
        </w:rPr>
        <w:t>个监测断面，见下表。</w:t>
      </w:r>
    </w:p>
    <w:p w14:paraId="35B5353C">
      <w:pPr>
        <w:pStyle w:val="28"/>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13</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地表水环境质量监测断面</w:t>
      </w:r>
    </w:p>
    <w:tbl>
      <w:tblPr>
        <w:tblStyle w:val="21"/>
        <w:tblW w:w="924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37"/>
        <w:gridCol w:w="7205"/>
      </w:tblGrid>
      <w:tr w14:paraId="3D38E4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037" w:type="dxa"/>
            <w:vAlign w:val="center"/>
          </w:tcPr>
          <w:p w14:paraId="5EB5ED3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7205" w:type="dxa"/>
            <w:vAlign w:val="center"/>
          </w:tcPr>
          <w:p w14:paraId="09F2F5D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监测断面</w:t>
            </w:r>
          </w:p>
        </w:tc>
      </w:tr>
      <w:tr w14:paraId="7BC9CA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037" w:type="dxa"/>
            <w:vAlign w:val="center"/>
          </w:tcPr>
          <w:p w14:paraId="7004206B">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S1</w:t>
            </w:r>
          </w:p>
        </w:tc>
        <w:tc>
          <w:tcPr>
            <w:tcW w:w="7205" w:type="dxa"/>
            <w:vAlign w:val="center"/>
          </w:tcPr>
          <w:p w14:paraId="0A00B945">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隧洞水</w:t>
            </w:r>
          </w:p>
        </w:tc>
      </w:tr>
    </w:tbl>
    <w:p w14:paraId="61D52518">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（2）监测因子：锑。</w:t>
      </w:r>
    </w:p>
    <w:p w14:paraId="62C07455">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（3）监测频次：202</w:t>
      </w:r>
      <w:r>
        <w:rPr>
          <w:rFonts w:hint="eastAsia" w:ascii="Times New Roman" w:hAnsi="Times New Roman" w:eastAsia="宋体" w:cs="Times New Roman"/>
          <w:color w:val="auto"/>
          <w:kern w:val="2"/>
          <w:sz w:val="24"/>
          <w:highlight w:val="none"/>
          <w:lang w:val="en-US" w:eastAsia="zh-CN" w:bidi="ar-SA"/>
        </w:rPr>
        <w:t>4</w:t>
      </w:r>
      <w:r>
        <w:rPr>
          <w:rFonts w:hint="default" w:ascii="Times New Roman" w:hAnsi="Times New Roman" w:eastAsia="宋体" w:cs="Times New Roman"/>
          <w:color w:val="auto"/>
          <w:kern w:val="2"/>
          <w:sz w:val="24"/>
          <w:highlight w:val="none"/>
          <w:lang w:val="en-US" w:eastAsia="zh-CN" w:bidi="ar-SA"/>
        </w:rPr>
        <w:t>年</w:t>
      </w:r>
      <w:r>
        <w:rPr>
          <w:rFonts w:hint="eastAsia" w:ascii="Times New Roman" w:hAnsi="Times New Roman" w:eastAsia="宋体" w:cs="Times New Roman"/>
          <w:color w:val="auto"/>
          <w:kern w:val="2"/>
          <w:sz w:val="24"/>
          <w:highlight w:val="none"/>
          <w:lang w:val="en-US" w:eastAsia="zh-CN" w:bidi="ar-SA"/>
        </w:rPr>
        <w:t>11</w:t>
      </w:r>
      <w:r>
        <w:rPr>
          <w:rFonts w:hint="default" w:ascii="Times New Roman" w:hAnsi="Times New Roman" w:eastAsia="宋体" w:cs="Times New Roman"/>
          <w:color w:val="auto"/>
          <w:kern w:val="2"/>
          <w:sz w:val="24"/>
          <w:highlight w:val="none"/>
          <w:lang w:val="en-US" w:eastAsia="zh-CN" w:bidi="ar-SA"/>
        </w:rPr>
        <w:t>月</w:t>
      </w:r>
      <w:r>
        <w:rPr>
          <w:rFonts w:hint="eastAsia" w:ascii="Times New Roman" w:hAnsi="Times New Roman" w:eastAsia="宋体" w:cs="Times New Roman"/>
          <w:color w:val="auto"/>
          <w:kern w:val="2"/>
          <w:sz w:val="24"/>
          <w:highlight w:val="none"/>
          <w:lang w:val="en-US" w:eastAsia="zh-CN" w:bidi="ar-SA"/>
        </w:rPr>
        <w:t>28</w:t>
      </w:r>
      <w:r>
        <w:rPr>
          <w:rFonts w:hint="default" w:ascii="Times New Roman" w:hAnsi="Times New Roman" w:eastAsia="宋体" w:cs="Times New Roman"/>
          <w:color w:val="auto"/>
          <w:kern w:val="2"/>
          <w:sz w:val="24"/>
          <w:highlight w:val="none"/>
          <w:lang w:val="en-US" w:eastAsia="zh-CN" w:bidi="ar-SA"/>
        </w:rPr>
        <w:t>日</w:t>
      </w:r>
      <w:r>
        <w:rPr>
          <w:rFonts w:hint="eastAsia" w:cs="Times New Roman"/>
          <w:color w:val="auto"/>
          <w:kern w:val="2"/>
          <w:sz w:val="24"/>
          <w:highlight w:val="none"/>
          <w:lang w:val="en-US" w:eastAsia="zh-CN" w:bidi="ar-SA"/>
        </w:rPr>
        <w:t>-30日</w:t>
      </w:r>
      <w:r>
        <w:rPr>
          <w:rFonts w:hint="default" w:ascii="Times New Roman" w:hAnsi="Times New Roman" w:eastAsia="宋体" w:cs="Times New Roman"/>
          <w:color w:val="auto"/>
          <w:kern w:val="2"/>
          <w:sz w:val="24"/>
          <w:highlight w:val="none"/>
          <w:lang w:val="en-US" w:eastAsia="zh-CN" w:bidi="ar-SA"/>
        </w:rPr>
        <w:t>，每天</w:t>
      </w:r>
      <w:r>
        <w:rPr>
          <w:rFonts w:hint="eastAsia" w:cs="Times New Roman"/>
          <w:color w:val="auto"/>
          <w:kern w:val="2"/>
          <w:sz w:val="24"/>
          <w:highlight w:val="none"/>
          <w:lang w:val="en-US" w:eastAsia="zh-CN" w:bidi="ar-SA"/>
        </w:rPr>
        <w:t>一</w:t>
      </w:r>
      <w:r>
        <w:rPr>
          <w:rFonts w:hint="default" w:ascii="Times New Roman" w:hAnsi="Times New Roman" w:eastAsia="宋体" w:cs="Times New Roman"/>
          <w:color w:val="auto"/>
          <w:kern w:val="2"/>
          <w:sz w:val="24"/>
          <w:highlight w:val="none"/>
          <w:lang w:val="en-US" w:eastAsia="zh-CN" w:bidi="ar-SA"/>
        </w:rPr>
        <w:t>次。</w:t>
      </w:r>
    </w:p>
    <w:p w14:paraId="5D6E12CB">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（4）执行标准：地表水体为Ⅲ类水域，执行《地表水环境质量标准》（GB3838-2002）中</w:t>
      </w:r>
      <w:r>
        <w:rPr>
          <w:rFonts w:hint="eastAsia" w:ascii="Times New Roman" w:hAnsi="Times New Roman" w:eastAsia="宋体" w:cs="Times New Roman"/>
          <w:color w:val="auto"/>
          <w:kern w:val="2"/>
          <w:sz w:val="24"/>
          <w:highlight w:val="none"/>
          <w:lang w:val="en-US" w:eastAsia="zh-CN" w:bidi="ar-SA"/>
        </w:rPr>
        <w:t>“集中式生活饮用水地表水源地标准限值”</w:t>
      </w:r>
      <w:r>
        <w:rPr>
          <w:rFonts w:hint="default" w:ascii="Times New Roman" w:hAnsi="Times New Roman" w:eastAsia="宋体" w:cs="Times New Roman"/>
          <w:color w:val="auto"/>
          <w:kern w:val="2"/>
          <w:sz w:val="24"/>
          <w:highlight w:val="none"/>
          <w:lang w:val="en-US" w:eastAsia="zh-CN" w:bidi="ar-SA"/>
        </w:rPr>
        <w:t>。</w:t>
      </w:r>
    </w:p>
    <w:p w14:paraId="1A2E8D9F">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（5）评价方法</w:t>
      </w:r>
    </w:p>
    <w:p w14:paraId="5CC28813">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采用</w:t>
      </w:r>
      <w:r>
        <w:rPr>
          <w:rFonts w:hint="eastAsia" w:ascii="Times New Roman" w:hAnsi="Times New Roman" w:eastAsia="宋体" w:cs="Times New Roman"/>
          <w:color w:val="auto"/>
          <w:kern w:val="2"/>
          <w:sz w:val="24"/>
          <w:highlight w:val="none"/>
          <w:lang w:val="en-US" w:eastAsia="zh-CN" w:bidi="ar-SA"/>
        </w:rPr>
        <w:t>水质指数法</w:t>
      </w:r>
      <w:r>
        <w:rPr>
          <w:rFonts w:hint="default" w:ascii="Times New Roman" w:hAnsi="Times New Roman" w:eastAsia="宋体" w:cs="Times New Roman"/>
          <w:color w:val="auto"/>
          <w:kern w:val="2"/>
          <w:sz w:val="24"/>
          <w:highlight w:val="none"/>
          <w:lang w:val="en-US" w:eastAsia="zh-CN" w:bidi="ar-SA"/>
        </w:rPr>
        <w:t>评价水环境现状质量。</w:t>
      </w:r>
    </w:p>
    <w:p w14:paraId="21E88669">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（6）评价结果</w:t>
      </w:r>
    </w:p>
    <w:p w14:paraId="3DDB3C2D">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隧洞水中锑因子未</w:t>
      </w:r>
      <w:r>
        <w:rPr>
          <w:rFonts w:hint="default" w:ascii="Times New Roman" w:hAnsi="Times New Roman" w:eastAsia="宋体" w:cs="Times New Roman"/>
          <w:color w:val="auto"/>
          <w:kern w:val="2"/>
          <w:sz w:val="24"/>
          <w:highlight w:val="none"/>
          <w:lang w:val="en-US" w:eastAsia="zh-CN" w:bidi="ar-SA"/>
        </w:rPr>
        <w:t>达到《地表水环境质量标准》（GB3838-2002）中</w:t>
      </w:r>
      <w:r>
        <w:rPr>
          <w:rFonts w:hint="eastAsia" w:ascii="Times New Roman" w:hAnsi="Times New Roman" w:eastAsia="宋体" w:cs="Times New Roman"/>
          <w:color w:val="auto"/>
          <w:kern w:val="2"/>
          <w:sz w:val="24"/>
          <w:highlight w:val="none"/>
          <w:lang w:val="en-US" w:eastAsia="zh-CN" w:bidi="ar-SA"/>
        </w:rPr>
        <w:t>集中式生活饮用水地表水源地标准限值</w:t>
      </w:r>
      <w:r>
        <w:rPr>
          <w:rFonts w:hint="default" w:ascii="Times New Roman" w:hAnsi="Times New Roman" w:eastAsia="宋体" w:cs="Times New Roman"/>
          <w:color w:val="auto"/>
          <w:kern w:val="2"/>
          <w:sz w:val="24"/>
          <w:highlight w:val="none"/>
          <w:lang w:val="en-US" w:eastAsia="zh-CN" w:bidi="ar-SA"/>
        </w:rPr>
        <w:t>。</w:t>
      </w:r>
    </w:p>
    <w:p w14:paraId="323A575B">
      <w:pPr>
        <w:pStyle w:val="28"/>
        <w:rPr>
          <w:rFonts w:hint="eastAsia"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4.1</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14</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 xml:space="preserve">  202</w:t>
      </w:r>
      <w:r>
        <w:rPr>
          <w:rFonts w:hint="eastAsia" w:ascii="Times New Roman" w:hAnsi="Times New Roman" w:eastAsia="黑体" w:cs="Times New Roman"/>
          <w:color w:val="auto"/>
          <w:kern w:val="2"/>
          <w:sz w:val="24"/>
          <w:highlight w:val="none"/>
          <w:lang w:val="en-US" w:eastAsia="zh-CN" w:bidi="ar-SA"/>
        </w:rPr>
        <w:t>4</w:t>
      </w:r>
      <w:r>
        <w:rPr>
          <w:rFonts w:hint="default" w:ascii="Times New Roman" w:hAnsi="Times New Roman" w:eastAsia="黑体" w:cs="Times New Roman"/>
          <w:color w:val="auto"/>
          <w:kern w:val="2"/>
          <w:sz w:val="24"/>
          <w:highlight w:val="none"/>
          <w:lang w:val="en-US" w:eastAsia="zh-CN" w:bidi="ar-SA"/>
        </w:rPr>
        <w:t>年</w:t>
      </w:r>
      <w:r>
        <w:rPr>
          <w:rFonts w:hint="eastAsia" w:cs="Times New Roman"/>
          <w:color w:val="auto"/>
          <w:kern w:val="2"/>
          <w:sz w:val="24"/>
          <w:highlight w:val="none"/>
          <w:lang w:val="en-US" w:eastAsia="zh-CN" w:bidi="ar-SA"/>
        </w:rPr>
        <w:t>11</w:t>
      </w:r>
      <w:r>
        <w:rPr>
          <w:rFonts w:hint="default" w:ascii="Times New Roman" w:hAnsi="Times New Roman" w:eastAsia="黑体" w:cs="Times New Roman"/>
          <w:color w:val="auto"/>
          <w:kern w:val="2"/>
          <w:sz w:val="24"/>
          <w:highlight w:val="none"/>
          <w:lang w:val="en-US" w:eastAsia="zh-CN" w:bidi="ar-SA"/>
        </w:rPr>
        <w:t>月地表水</w:t>
      </w:r>
      <w:r>
        <w:rPr>
          <w:rFonts w:hint="eastAsia" w:ascii="Times New Roman" w:hAnsi="Times New Roman" w:eastAsia="黑体" w:cs="Times New Roman"/>
          <w:color w:val="auto"/>
          <w:kern w:val="2"/>
          <w:sz w:val="24"/>
          <w:highlight w:val="none"/>
          <w:lang w:val="en-US" w:eastAsia="zh-CN" w:bidi="ar-SA"/>
        </w:rPr>
        <w:t>锑因子</w:t>
      </w:r>
      <w:r>
        <w:rPr>
          <w:rFonts w:hint="default" w:ascii="Times New Roman" w:hAnsi="Times New Roman" w:eastAsia="黑体" w:cs="Times New Roman"/>
          <w:color w:val="auto"/>
          <w:kern w:val="2"/>
          <w:sz w:val="24"/>
          <w:highlight w:val="none"/>
          <w:lang w:val="en-US" w:eastAsia="zh-CN" w:bidi="ar-SA"/>
        </w:rPr>
        <w:t>环境质量补充检测结果</w:t>
      </w:r>
      <w:r>
        <w:rPr>
          <w:rFonts w:hint="eastAsia" w:ascii="Times New Roman" w:hAnsi="Times New Roman" w:eastAsia="黑体" w:cs="Times New Roman"/>
          <w:color w:val="auto"/>
          <w:kern w:val="2"/>
          <w:sz w:val="24"/>
          <w:highlight w:val="none"/>
          <w:lang w:val="en-US" w:eastAsia="zh-CN" w:bidi="ar-SA"/>
        </w:rPr>
        <w:t>（单位：mg/L）</w:t>
      </w:r>
    </w:p>
    <w:tbl>
      <w:tblPr>
        <w:tblStyle w:val="21"/>
        <w:tblW w:w="499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240"/>
        <w:gridCol w:w="2331"/>
        <w:gridCol w:w="2332"/>
        <w:gridCol w:w="2332"/>
      </w:tblGrid>
      <w:tr w14:paraId="50780E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2" w:type="pct"/>
            <w:vAlign w:val="center"/>
          </w:tcPr>
          <w:p w14:paraId="2828C54E">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1261" w:type="pct"/>
            <w:vAlign w:val="center"/>
          </w:tcPr>
          <w:p w14:paraId="140EC39A">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监测因子</w:t>
            </w:r>
          </w:p>
        </w:tc>
        <w:tc>
          <w:tcPr>
            <w:tcW w:w="1262" w:type="pct"/>
            <w:vAlign w:val="center"/>
          </w:tcPr>
          <w:p w14:paraId="503B72D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检测结果</w:t>
            </w:r>
          </w:p>
        </w:tc>
        <w:tc>
          <w:tcPr>
            <w:tcW w:w="1262" w:type="pct"/>
            <w:vAlign w:val="center"/>
          </w:tcPr>
          <w:p w14:paraId="52FFDB30">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水质指数</w:t>
            </w:r>
          </w:p>
        </w:tc>
      </w:tr>
      <w:tr w14:paraId="3FBE3E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2" w:type="pct"/>
            <w:vMerge w:val="restart"/>
            <w:vAlign w:val="center"/>
          </w:tcPr>
          <w:p w14:paraId="72DD061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S</w:t>
            </w:r>
            <w:r>
              <w:rPr>
                <w:rFonts w:hint="eastAsia"/>
                <w:color w:val="auto"/>
                <w:highlight w:val="none"/>
                <w:lang w:val="en-US" w:eastAsia="zh-CN"/>
              </w:rPr>
              <w:t>1</w:t>
            </w:r>
          </w:p>
        </w:tc>
        <w:tc>
          <w:tcPr>
            <w:tcW w:w="1261" w:type="pct"/>
            <w:vAlign w:val="center"/>
          </w:tcPr>
          <w:p w14:paraId="053E1E5D">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1262" w:type="pct"/>
            <w:vAlign w:val="center"/>
          </w:tcPr>
          <w:p w14:paraId="6DB488C1">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1.23</w:t>
            </w:r>
          </w:p>
        </w:tc>
        <w:tc>
          <w:tcPr>
            <w:tcW w:w="1262" w:type="pct"/>
            <w:vAlign w:val="center"/>
          </w:tcPr>
          <w:p w14:paraId="712BD9C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246</w:t>
            </w:r>
          </w:p>
        </w:tc>
      </w:tr>
      <w:tr w14:paraId="49B5BF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9" w:hRule="atLeast"/>
          <w:jc w:val="center"/>
        </w:trPr>
        <w:tc>
          <w:tcPr>
            <w:tcW w:w="1212" w:type="pct"/>
            <w:vMerge w:val="continue"/>
            <w:vAlign w:val="center"/>
          </w:tcPr>
          <w:p w14:paraId="5B727C7E">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1261" w:type="pct"/>
            <w:vAlign w:val="center"/>
          </w:tcPr>
          <w:p w14:paraId="390E0187">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c>
          <w:tcPr>
            <w:tcW w:w="1262" w:type="pct"/>
            <w:vAlign w:val="center"/>
          </w:tcPr>
          <w:p w14:paraId="39A72F9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1.64</w:t>
            </w:r>
          </w:p>
        </w:tc>
        <w:tc>
          <w:tcPr>
            <w:tcW w:w="1262" w:type="pct"/>
            <w:vAlign w:val="center"/>
          </w:tcPr>
          <w:p w14:paraId="1A978424">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328</w:t>
            </w:r>
          </w:p>
        </w:tc>
      </w:tr>
      <w:tr w14:paraId="64AC3F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212" w:type="pct"/>
            <w:vMerge w:val="continue"/>
            <w:vAlign w:val="center"/>
          </w:tcPr>
          <w:p w14:paraId="0FB2EEF6">
            <w:pPr>
              <w:pStyle w:val="26"/>
              <w:keepNext w:val="0"/>
              <w:keepLines w:val="0"/>
              <w:suppressLineNumbers w:val="0"/>
              <w:spacing w:before="0" w:beforeAutospacing="0" w:after="0" w:afterAutospacing="0"/>
              <w:ind w:left="0" w:right="0"/>
              <w:rPr>
                <w:rFonts w:hint="default"/>
                <w:color w:val="auto"/>
                <w:highlight w:val="none"/>
                <w:lang w:val="en-US" w:eastAsia="zh-CN"/>
              </w:rPr>
            </w:pPr>
          </w:p>
        </w:tc>
        <w:tc>
          <w:tcPr>
            <w:tcW w:w="1261" w:type="pct"/>
            <w:vAlign w:val="center"/>
          </w:tcPr>
          <w:p w14:paraId="32CBF4AB">
            <w:pPr>
              <w:pStyle w:val="26"/>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锑</w:t>
            </w:r>
          </w:p>
        </w:tc>
        <w:tc>
          <w:tcPr>
            <w:tcW w:w="1262" w:type="pct"/>
            <w:vAlign w:val="center"/>
          </w:tcPr>
          <w:p w14:paraId="664B72EC">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1.66</w:t>
            </w:r>
          </w:p>
        </w:tc>
        <w:tc>
          <w:tcPr>
            <w:tcW w:w="1262" w:type="pct"/>
            <w:vAlign w:val="center"/>
          </w:tcPr>
          <w:p w14:paraId="4A1F54E6">
            <w:pPr>
              <w:pStyle w:val="26"/>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332</w:t>
            </w:r>
          </w:p>
        </w:tc>
      </w:tr>
    </w:tbl>
    <w:p w14:paraId="4B115B6A">
      <w:pPr>
        <w:pStyle w:val="37"/>
        <w:rPr>
          <w:rFonts w:hint="default"/>
          <w:color w:val="auto"/>
          <w:highlight w:val="none"/>
          <w:lang w:val="en-US" w:eastAsia="zh-CN"/>
        </w:rPr>
      </w:pPr>
      <w:r>
        <w:rPr>
          <w:rFonts w:hint="default"/>
          <w:color w:val="auto"/>
          <w:highlight w:val="none"/>
          <w:lang w:val="en-US" w:eastAsia="zh-CN"/>
        </w:rPr>
        <w:t>地表水环境质量现状调查小结</w:t>
      </w:r>
    </w:p>
    <w:p w14:paraId="1B800CCE">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为了解项目周边地表水环境质量现状，分别于2024年1月、3月、5月、6月</w:t>
      </w:r>
      <w:r>
        <w:rPr>
          <w:rFonts w:hint="eastAsia" w:cs="Times New Roman"/>
          <w:color w:val="auto"/>
          <w:kern w:val="2"/>
          <w:sz w:val="24"/>
          <w:highlight w:val="none"/>
          <w:lang w:val="en-US" w:eastAsia="zh-CN" w:bidi="ar-SA"/>
        </w:rPr>
        <w:t>、11月</w:t>
      </w:r>
      <w:r>
        <w:rPr>
          <w:rFonts w:hint="default" w:ascii="Times New Roman" w:hAnsi="Times New Roman" w:eastAsia="宋体" w:cs="Times New Roman"/>
          <w:color w:val="auto"/>
          <w:kern w:val="2"/>
          <w:sz w:val="24"/>
          <w:highlight w:val="none"/>
          <w:lang w:val="en-US" w:eastAsia="zh-CN" w:bidi="ar-SA"/>
        </w:rPr>
        <w:t>进行了</w:t>
      </w:r>
      <w:r>
        <w:rPr>
          <w:rFonts w:hint="eastAsia" w:cs="Times New Roman"/>
          <w:color w:val="auto"/>
          <w:kern w:val="2"/>
          <w:sz w:val="24"/>
          <w:highlight w:val="none"/>
          <w:lang w:val="en-US" w:eastAsia="zh-CN" w:bidi="ar-SA"/>
        </w:rPr>
        <w:t>五</w:t>
      </w:r>
      <w:r>
        <w:rPr>
          <w:rFonts w:hint="default" w:ascii="Times New Roman" w:hAnsi="Times New Roman" w:eastAsia="宋体" w:cs="Times New Roman"/>
          <w:color w:val="auto"/>
          <w:kern w:val="2"/>
          <w:sz w:val="24"/>
          <w:highlight w:val="none"/>
          <w:lang w:val="en-US" w:eastAsia="zh-CN" w:bidi="ar-SA"/>
        </w:rPr>
        <w:t>期监测，监测时段包括平水期、枯水期和丰水期，监测结果显示，区域锑背景值已超过《地表水环境质量标准》（GB3838-2002）中集中式生活饮用水地表水源地标准限值，区域地表水除锑外，其他因子均满足《地表水环境质量标准》（GB3838-2002）中Ⅲ类标准。</w:t>
      </w:r>
    </w:p>
    <w:p w14:paraId="7D73A301">
      <w:pPr>
        <w:pStyle w:val="36"/>
        <w:bidi w:val="0"/>
        <w:rPr>
          <w:rFonts w:hint="eastAsia" w:ascii="Times New Roman" w:hAnsi="Times New Roman" w:cs="Times New Roman"/>
          <w:color w:val="auto"/>
          <w:highlight w:val="none"/>
          <w:lang w:val="en-US" w:eastAsia="zh-CN"/>
        </w:rPr>
      </w:pPr>
      <w:bookmarkStart w:id="53" w:name="_Toc19965"/>
      <w:r>
        <w:rPr>
          <w:rFonts w:hint="eastAsia" w:ascii="Times New Roman" w:hAnsi="Times New Roman" w:cs="Times New Roman"/>
          <w:color w:val="auto"/>
          <w:highlight w:val="none"/>
          <w:lang w:val="en-US" w:eastAsia="zh-CN"/>
        </w:rPr>
        <w:t>入河排污口所在水域接纳污水状况</w:t>
      </w:r>
      <w:bookmarkEnd w:id="53"/>
    </w:p>
    <w:p w14:paraId="220486CD">
      <w:pPr>
        <w:pStyle w:val="37"/>
        <w:bidi w:val="0"/>
        <w:rPr>
          <w:color w:val="auto"/>
          <w:highlight w:val="none"/>
          <w:lang w:eastAsia="en-US"/>
        </w:rPr>
      </w:pPr>
      <w:r>
        <w:rPr>
          <w:color w:val="auto"/>
          <w:highlight w:val="none"/>
          <w:lang w:eastAsia="en-US"/>
        </w:rPr>
        <w:t>受纳水体水文参数</w:t>
      </w:r>
    </w:p>
    <w:p w14:paraId="59462501">
      <w:pPr>
        <w:widowControl/>
        <w:kinsoku w:val="0"/>
        <w:autoSpaceDE w:val="0"/>
        <w:autoSpaceDN w:val="0"/>
        <w:adjustRightInd w:val="0"/>
        <w:snapToGrid w:val="0"/>
        <w:spacing w:before="184" w:line="346" w:lineRule="auto"/>
        <w:ind w:left="21" w:right="41" w:firstLine="480"/>
        <w:jc w:val="left"/>
        <w:textAlignment w:val="baseline"/>
        <w:rPr>
          <w:rFonts w:ascii="宋体" w:hAnsi="宋体" w:eastAsia="宋体" w:cs="宋体"/>
          <w:snapToGrid w:val="0"/>
          <w:color w:val="auto"/>
          <w:spacing w:val="-1"/>
          <w:kern w:val="0"/>
          <w:sz w:val="24"/>
          <w:szCs w:val="24"/>
          <w:highlight w:val="none"/>
          <w:lang w:eastAsia="en-US"/>
        </w:rPr>
      </w:pPr>
      <w:r>
        <w:rPr>
          <w:rFonts w:hint="eastAsia" w:ascii="宋体" w:hAnsi="宋体" w:eastAsia="宋体" w:cs="宋体"/>
          <w:snapToGrid w:val="0"/>
          <w:color w:val="auto"/>
          <w:spacing w:val="2"/>
          <w:kern w:val="0"/>
          <w:sz w:val="24"/>
          <w:szCs w:val="24"/>
          <w:highlight w:val="none"/>
          <w:lang w:val="en-US" w:eastAsia="zh-CN"/>
        </w:rPr>
        <w:t>采用水文比拟法，预测各水体的水文参数如下</w:t>
      </w:r>
      <w:r>
        <w:rPr>
          <w:rFonts w:ascii="宋体" w:hAnsi="宋体" w:eastAsia="宋体" w:cs="宋体"/>
          <w:snapToGrid w:val="0"/>
          <w:color w:val="auto"/>
          <w:spacing w:val="-1"/>
          <w:kern w:val="0"/>
          <w:sz w:val="24"/>
          <w:szCs w:val="24"/>
          <w:highlight w:val="none"/>
          <w:lang w:eastAsia="en-US"/>
        </w:rPr>
        <w:t>。</w:t>
      </w:r>
    </w:p>
    <w:p w14:paraId="57026721">
      <w:pPr>
        <w:pStyle w:val="28"/>
        <w:rPr>
          <w:rFonts w:hint="eastAsia"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lang w:val="en-US" w:eastAsia="zh-CN" w:bidi="ar-SA"/>
        </w:rPr>
        <w:t>表</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4.2</w:t>
      </w:r>
      <w:r>
        <w:rPr>
          <w:rFonts w:hint="default" w:ascii="Times New Roman" w:hAnsi="Times New Roman" w:eastAsia="黑体" w:cs="Times New Roman"/>
          <w:color w:val="auto"/>
          <w:kern w:val="2"/>
          <w:sz w:val="24"/>
          <w:highlight w:val="none"/>
          <w:lang w:val="en-US" w:eastAsia="zh-CN" w:bidi="ar-SA"/>
        </w:rPr>
        <w:fldChar w:fldCharType="end"/>
      </w:r>
      <w:r>
        <w:rPr>
          <w:rFonts w:hint="default" w:ascii="Times New Roman" w:hAnsi="Times New Roman" w:eastAsia="黑体" w:cs="Times New Roman"/>
          <w:color w:val="auto"/>
          <w:kern w:val="2"/>
          <w:sz w:val="24"/>
          <w:highlight w:val="none"/>
          <w:lang w:val="en-US" w:eastAsia="zh-CN" w:bidi="ar-SA"/>
        </w:rPr>
        <w:t>–</w:t>
      </w:r>
      <w:r>
        <w:rPr>
          <w:rFonts w:hint="default" w:ascii="Times New Roman" w:hAnsi="Times New Roman" w:eastAsia="黑体" w:cs="Times New Roman"/>
          <w:color w:val="auto"/>
          <w:kern w:val="2"/>
          <w:sz w:val="24"/>
          <w:highlight w:val="none"/>
          <w:lang w:val="en-US" w:eastAsia="zh-CN" w:bidi="ar-SA"/>
        </w:rPr>
        <w:fldChar w:fldCharType="begin"/>
      </w:r>
      <w:r>
        <w:rPr>
          <w:rFonts w:hint="default" w:ascii="Times New Roman" w:hAnsi="Times New Roman" w:eastAsia="黑体" w:cs="Times New Roman"/>
          <w:color w:val="auto"/>
          <w:kern w:val="2"/>
          <w:sz w:val="24"/>
          <w:highlight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lang w:val="en-US" w:eastAsia="zh-CN" w:bidi="ar-SA"/>
        </w:rPr>
        <w:fldChar w:fldCharType="separate"/>
      </w:r>
      <w:r>
        <w:rPr>
          <w:rFonts w:hint="default" w:ascii="Times New Roman" w:hAnsi="Times New Roman" w:eastAsia="黑体" w:cs="Times New Roman"/>
          <w:color w:val="auto"/>
          <w:kern w:val="2"/>
          <w:sz w:val="24"/>
          <w:highlight w:val="none"/>
          <w:lang w:val="en-US" w:eastAsia="zh-CN" w:bidi="ar-SA"/>
        </w:rPr>
        <w:t>1</w:t>
      </w:r>
      <w:r>
        <w:rPr>
          <w:rFonts w:hint="default" w:ascii="Times New Roman" w:hAnsi="Times New Roman" w:eastAsia="黑体" w:cs="Times New Roman"/>
          <w:color w:val="auto"/>
          <w:kern w:val="2"/>
          <w:sz w:val="24"/>
          <w:highlight w:val="none"/>
          <w:lang w:val="en-US" w:eastAsia="zh-CN" w:bidi="ar-SA"/>
        </w:rPr>
        <w:fldChar w:fldCharType="end"/>
      </w:r>
      <w:r>
        <w:rPr>
          <w:rFonts w:hint="eastAsia" w:ascii="Times New Roman" w:hAnsi="Times New Roman" w:eastAsia="黑体" w:cs="Times New Roman"/>
          <w:color w:val="auto"/>
          <w:kern w:val="2"/>
          <w:sz w:val="24"/>
          <w:highlight w:val="none"/>
          <w:lang w:val="en-US" w:eastAsia="zh-CN" w:bidi="ar-SA"/>
        </w:rPr>
        <w:t xml:space="preserve">  各预测水体水文参数</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456"/>
        <w:gridCol w:w="1455"/>
        <w:gridCol w:w="1884"/>
        <w:gridCol w:w="1723"/>
        <w:gridCol w:w="1724"/>
      </w:tblGrid>
      <w:tr w14:paraId="7B860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3" w:hRule="atLeast"/>
        </w:trPr>
        <w:tc>
          <w:tcPr>
            <w:tcW w:w="1328" w:type="pct"/>
            <w:tcBorders>
              <w:tl2br w:val="nil"/>
              <w:tr2bl w:val="nil"/>
            </w:tcBorders>
            <w:shd w:val="clear" w:color="auto" w:fill="auto"/>
            <w:noWrap/>
            <w:vAlign w:val="center"/>
          </w:tcPr>
          <w:p w14:paraId="6EF5B43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787" w:type="pct"/>
            <w:tcBorders>
              <w:tl2br w:val="nil"/>
              <w:tr2bl w:val="nil"/>
            </w:tcBorders>
            <w:shd w:val="clear" w:color="auto" w:fill="auto"/>
            <w:noWrap/>
            <w:vAlign w:val="center"/>
          </w:tcPr>
          <w:p w14:paraId="2A22DE7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面积（km</w:t>
            </w:r>
            <w:r>
              <w:rPr>
                <w:rFonts w:hint="eastAsia"/>
                <w:color w:val="auto"/>
                <w:highlight w:val="none"/>
                <w:vertAlign w:val="superscript"/>
                <w:lang w:val="en-US" w:eastAsia="zh-CN"/>
              </w:rPr>
              <w:t>2</w:t>
            </w:r>
            <w:r>
              <w:rPr>
                <w:rFonts w:hint="eastAsia"/>
                <w:color w:val="auto"/>
                <w:highlight w:val="none"/>
                <w:lang w:val="en-US" w:eastAsia="zh-CN"/>
              </w:rPr>
              <w:t>）</w:t>
            </w:r>
          </w:p>
        </w:tc>
        <w:tc>
          <w:tcPr>
            <w:tcW w:w="1019" w:type="pct"/>
            <w:tcBorders>
              <w:tl2br w:val="nil"/>
              <w:tr2bl w:val="nil"/>
            </w:tcBorders>
            <w:shd w:val="clear" w:color="auto" w:fill="auto"/>
            <w:noWrap/>
            <w:vAlign w:val="center"/>
          </w:tcPr>
          <w:p w14:paraId="7D74F16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多年平均径流量（m</w:t>
            </w:r>
            <w:r>
              <w:rPr>
                <w:rFonts w:hint="eastAsia"/>
                <w:color w:val="auto"/>
                <w:highlight w:val="none"/>
                <w:vertAlign w:val="superscript"/>
                <w:lang w:val="en-US" w:eastAsia="zh-CN"/>
              </w:rPr>
              <w:t>3</w:t>
            </w:r>
            <w:r>
              <w:rPr>
                <w:rFonts w:hint="eastAsia"/>
                <w:color w:val="auto"/>
                <w:highlight w:val="none"/>
                <w:lang w:val="en-US" w:eastAsia="zh-CN"/>
              </w:rPr>
              <w:t>/s）</w:t>
            </w:r>
          </w:p>
        </w:tc>
        <w:tc>
          <w:tcPr>
            <w:tcW w:w="932" w:type="pct"/>
            <w:tcBorders>
              <w:tl2br w:val="nil"/>
              <w:tr2bl w:val="nil"/>
            </w:tcBorders>
            <w:shd w:val="clear" w:color="auto" w:fill="auto"/>
            <w:noWrap/>
            <w:vAlign w:val="center"/>
          </w:tcPr>
          <w:p w14:paraId="0AC6353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10年最枯（m</w:t>
            </w:r>
            <w:r>
              <w:rPr>
                <w:rFonts w:hint="eastAsia"/>
                <w:color w:val="auto"/>
                <w:highlight w:val="none"/>
                <w:vertAlign w:val="superscript"/>
                <w:lang w:val="en-US" w:eastAsia="zh-CN"/>
              </w:rPr>
              <w:t>3</w:t>
            </w:r>
            <w:r>
              <w:rPr>
                <w:rFonts w:hint="eastAsia"/>
                <w:color w:val="auto"/>
                <w:highlight w:val="none"/>
                <w:lang w:val="en-US" w:eastAsia="zh-CN"/>
              </w:rPr>
              <w:t>/s）</w:t>
            </w:r>
          </w:p>
        </w:tc>
        <w:tc>
          <w:tcPr>
            <w:tcW w:w="932" w:type="pct"/>
            <w:tcBorders>
              <w:tl2br w:val="nil"/>
              <w:tr2bl w:val="nil"/>
            </w:tcBorders>
            <w:shd w:val="clear" w:color="auto" w:fill="auto"/>
            <w:noWrap/>
            <w:vAlign w:val="center"/>
          </w:tcPr>
          <w:p w14:paraId="7A3138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10年最丰（m</w:t>
            </w:r>
            <w:r>
              <w:rPr>
                <w:rFonts w:hint="eastAsia"/>
                <w:color w:val="auto"/>
                <w:highlight w:val="none"/>
                <w:vertAlign w:val="superscript"/>
                <w:lang w:val="en-US" w:eastAsia="zh-CN"/>
              </w:rPr>
              <w:t>3</w:t>
            </w:r>
            <w:r>
              <w:rPr>
                <w:rFonts w:hint="eastAsia"/>
                <w:color w:val="auto"/>
                <w:highlight w:val="none"/>
                <w:lang w:val="en-US" w:eastAsia="zh-CN"/>
              </w:rPr>
              <w:t>/s）</w:t>
            </w:r>
          </w:p>
        </w:tc>
      </w:tr>
      <w:tr w14:paraId="045A9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1328" w:type="pct"/>
            <w:tcBorders>
              <w:tl2br w:val="nil"/>
              <w:tr2bl w:val="nil"/>
            </w:tcBorders>
            <w:shd w:val="clear" w:color="auto" w:fill="auto"/>
            <w:noWrap/>
            <w:vAlign w:val="center"/>
          </w:tcPr>
          <w:p w14:paraId="2EEC1B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参证站集</w:t>
            </w:r>
          </w:p>
          <w:p w14:paraId="416C37D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雨面积</w:t>
            </w:r>
          </w:p>
        </w:tc>
        <w:tc>
          <w:tcPr>
            <w:tcW w:w="787" w:type="pct"/>
            <w:tcBorders>
              <w:tl2br w:val="nil"/>
              <w:tr2bl w:val="nil"/>
            </w:tcBorders>
            <w:shd w:val="clear" w:color="auto" w:fill="auto"/>
            <w:noWrap/>
            <w:vAlign w:val="center"/>
          </w:tcPr>
          <w:p w14:paraId="367A0AD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570</w:t>
            </w:r>
          </w:p>
        </w:tc>
        <w:tc>
          <w:tcPr>
            <w:tcW w:w="1019" w:type="pct"/>
            <w:tcBorders>
              <w:tl2br w:val="nil"/>
              <w:tr2bl w:val="nil"/>
            </w:tcBorders>
            <w:shd w:val="clear" w:color="auto" w:fill="auto"/>
            <w:noWrap/>
            <w:vAlign w:val="center"/>
          </w:tcPr>
          <w:p w14:paraId="22F07FD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27.023</w:t>
            </w:r>
          </w:p>
        </w:tc>
        <w:tc>
          <w:tcPr>
            <w:tcW w:w="932" w:type="pct"/>
            <w:tcBorders>
              <w:tl2br w:val="nil"/>
              <w:tr2bl w:val="nil"/>
            </w:tcBorders>
            <w:shd w:val="clear" w:color="auto" w:fill="auto"/>
            <w:noWrap/>
            <w:vAlign w:val="center"/>
          </w:tcPr>
          <w:p w14:paraId="2E7F89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3.395</w:t>
            </w:r>
          </w:p>
        </w:tc>
        <w:tc>
          <w:tcPr>
            <w:tcW w:w="932" w:type="pct"/>
            <w:tcBorders>
              <w:tl2br w:val="nil"/>
              <w:tr2bl w:val="nil"/>
            </w:tcBorders>
            <w:shd w:val="clear" w:color="auto" w:fill="auto"/>
            <w:noWrap/>
            <w:vAlign w:val="center"/>
          </w:tcPr>
          <w:p w14:paraId="7F19CE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103.266</w:t>
            </w:r>
          </w:p>
        </w:tc>
      </w:tr>
      <w:tr w14:paraId="6E0FF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1328" w:type="pct"/>
            <w:tcBorders>
              <w:tl2br w:val="nil"/>
              <w:tr2bl w:val="nil"/>
            </w:tcBorders>
            <w:shd w:val="clear" w:color="auto" w:fill="auto"/>
            <w:noWrap/>
            <w:vAlign w:val="center"/>
          </w:tcPr>
          <w:p w14:paraId="72167F2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渣滓溪上游</w:t>
            </w:r>
          </w:p>
        </w:tc>
        <w:tc>
          <w:tcPr>
            <w:tcW w:w="787" w:type="pct"/>
            <w:tcBorders>
              <w:tl2br w:val="nil"/>
              <w:tr2bl w:val="nil"/>
            </w:tcBorders>
            <w:shd w:val="clear" w:color="auto" w:fill="auto"/>
            <w:noWrap/>
            <w:vAlign w:val="center"/>
          </w:tcPr>
          <w:p w14:paraId="71B206E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2.433</w:t>
            </w:r>
          </w:p>
        </w:tc>
        <w:tc>
          <w:tcPr>
            <w:tcW w:w="1019" w:type="pct"/>
            <w:tcBorders>
              <w:tl2br w:val="nil"/>
              <w:tr2bl w:val="nil"/>
            </w:tcBorders>
            <w:shd w:val="clear" w:color="auto" w:fill="auto"/>
            <w:noWrap/>
            <w:vAlign w:val="center"/>
          </w:tcPr>
          <w:p w14:paraId="2BA97F2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0.115</w:t>
            </w:r>
          </w:p>
        </w:tc>
        <w:tc>
          <w:tcPr>
            <w:tcW w:w="932" w:type="pct"/>
            <w:tcBorders>
              <w:tl2br w:val="nil"/>
              <w:tr2bl w:val="nil"/>
            </w:tcBorders>
            <w:shd w:val="clear" w:color="auto" w:fill="auto"/>
            <w:noWrap/>
            <w:vAlign w:val="center"/>
          </w:tcPr>
          <w:p w14:paraId="4B16AAF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0.014</w:t>
            </w:r>
          </w:p>
        </w:tc>
        <w:tc>
          <w:tcPr>
            <w:tcW w:w="932" w:type="pct"/>
            <w:tcBorders>
              <w:tl2br w:val="nil"/>
              <w:tr2bl w:val="nil"/>
            </w:tcBorders>
            <w:shd w:val="clear" w:color="auto" w:fill="auto"/>
            <w:noWrap/>
            <w:vAlign w:val="center"/>
          </w:tcPr>
          <w:p w14:paraId="5BFEF80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0.441</w:t>
            </w:r>
          </w:p>
        </w:tc>
      </w:tr>
      <w:tr w14:paraId="7D0C8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28" w:type="pct"/>
            <w:tcBorders>
              <w:tl2br w:val="nil"/>
              <w:tr2bl w:val="nil"/>
            </w:tcBorders>
            <w:shd w:val="clear" w:color="auto" w:fill="auto"/>
            <w:noWrap/>
            <w:vAlign w:val="center"/>
          </w:tcPr>
          <w:p w14:paraId="52ABE8B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渣滓溪流域</w:t>
            </w:r>
          </w:p>
        </w:tc>
        <w:tc>
          <w:tcPr>
            <w:tcW w:w="787" w:type="pct"/>
            <w:tcBorders>
              <w:tl2br w:val="nil"/>
              <w:tr2bl w:val="nil"/>
            </w:tcBorders>
            <w:shd w:val="clear" w:color="auto" w:fill="auto"/>
            <w:noWrap/>
            <w:vAlign w:val="center"/>
          </w:tcPr>
          <w:p w14:paraId="28185A7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4.042</w:t>
            </w:r>
          </w:p>
        </w:tc>
        <w:tc>
          <w:tcPr>
            <w:tcW w:w="1019" w:type="pct"/>
            <w:tcBorders>
              <w:tl2br w:val="nil"/>
              <w:tr2bl w:val="nil"/>
            </w:tcBorders>
            <w:shd w:val="clear" w:color="auto" w:fill="auto"/>
            <w:noWrap/>
            <w:vAlign w:val="center"/>
          </w:tcPr>
          <w:p w14:paraId="490B113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0.192</w:t>
            </w:r>
          </w:p>
        </w:tc>
        <w:tc>
          <w:tcPr>
            <w:tcW w:w="932" w:type="pct"/>
            <w:tcBorders>
              <w:tl2br w:val="nil"/>
              <w:tr2bl w:val="nil"/>
            </w:tcBorders>
            <w:shd w:val="clear" w:color="auto" w:fill="auto"/>
            <w:noWrap/>
            <w:vAlign w:val="center"/>
          </w:tcPr>
          <w:p w14:paraId="52EC797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0.024</w:t>
            </w:r>
          </w:p>
        </w:tc>
        <w:tc>
          <w:tcPr>
            <w:tcW w:w="932" w:type="pct"/>
            <w:tcBorders>
              <w:tl2br w:val="nil"/>
              <w:tr2bl w:val="nil"/>
            </w:tcBorders>
            <w:shd w:val="clear" w:color="auto" w:fill="auto"/>
            <w:noWrap/>
            <w:vAlign w:val="center"/>
          </w:tcPr>
          <w:p w14:paraId="50C2398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0.732</w:t>
            </w:r>
          </w:p>
        </w:tc>
      </w:tr>
      <w:tr w14:paraId="1B3F1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1328" w:type="pct"/>
            <w:tcBorders>
              <w:tl2br w:val="nil"/>
              <w:tr2bl w:val="nil"/>
            </w:tcBorders>
            <w:shd w:val="clear" w:color="auto" w:fill="auto"/>
            <w:noWrap/>
            <w:vAlign w:val="center"/>
          </w:tcPr>
          <w:p w14:paraId="68E05C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石板溪流域</w:t>
            </w:r>
          </w:p>
        </w:tc>
        <w:tc>
          <w:tcPr>
            <w:tcW w:w="787" w:type="pct"/>
            <w:tcBorders>
              <w:tl2br w:val="nil"/>
              <w:tr2bl w:val="nil"/>
            </w:tcBorders>
            <w:shd w:val="clear" w:color="auto" w:fill="auto"/>
            <w:noWrap/>
            <w:vAlign w:val="center"/>
          </w:tcPr>
          <w:p w14:paraId="604D144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3.755</w:t>
            </w:r>
          </w:p>
        </w:tc>
        <w:tc>
          <w:tcPr>
            <w:tcW w:w="1019" w:type="pct"/>
            <w:tcBorders>
              <w:tl2br w:val="nil"/>
              <w:tr2bl w:val="nil"/>
            </w:tcBorders>
            <w:shd w:val="clear" w:color="auto" w:fill="auto"/>
            <w:noWrap/>
            <w:vAlign w:val="center"/>
          </w:tcPr>
          <w:p w14:paraId="753B718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0.178</w:t>
            </w:r>
          </w:p>
        </w:tc>
        <w:tc>
          <w:tcPr>
            <w:tcW w:w="932" w:type="pct"/>
            <w:tcBorders>
              <w:tl2br w:val="nil"/>
              <w:tr2bl w:val="nil"/>
            </w:tcBorders>
            <w:shd w:val="clear" w:color="auto" w:fill="auto"/>
            <w:noWrap/>
            <w:vAlign w:val="center"/>
          </w:tcPr>
          <w:p w14:paraId="72603E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0.022</w:t>
            </w:r>
          </w:p>
        </w:tc>
        <w:tc>
          <w:tcPr>
            <w:tcW w:w="932" w:type="pct"/>
            <w:tcBorders>
              <w:tl2br w:val="nil"/>
              <w:tr2bl w:val="nil"/>
            </w:tcBorders>
            <w:shd w:val="clear" w:color="auto" w:fill="auto"/>
            <w:noWrap/>
            <w:vAlign w:val="center"/>
          </w:tcPr>
          <w:p w14:paraId="5600F8F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0.680</w:t>
            </w:r>
          </w:p>
        </w:tc>
      </w:tr>
      <w:tr w14:paraId="3C4F7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1328" w:type="pct"/>
            <w:tcBorders>
              <w:tl2br w:val="nil"/>
              <w:tr2bl w:val="nil"/>
            </w:tcBorders>
            <w:shd w:val="clear" w:color="auto" w:fill="auto"/>
            <w:noWrap/>
            <w:vAlign w:val="center"/>
          </w:tcPr>
          <w:p w14:paraId="794D0D7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白茅溪流域</w:t>
            </w:r>
          </w:p>
        </w:tc>
        <w:tc>
          <w:tcPr>
            <w:tcW w:w="787" w:type="pct"/>
            <w:tcBorders>
              <w:tl2br w:val="nil"/>
              <w:tr2bl w:val="nil"/>
            </w:tcBorders>
            <w:shd w:val="clear" w:color="auto" w:fill="auto"/>
            <w:noWrap/>
            <w:vAlign w:val="center"/>
          </w:tcPr>
          <w:p w14:paraId="2AFF9DB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18.15</w:t>
            </w:r>
          </w:p>
        </w:tc>
        <w:tc>
          <w:tcPr>
            <w:tcW w:w="1019" w:type="pct"/>
            <w:tcBorders>
              <w:tl2br w:val="nil"/>
              <w:tr2bl w:val="nil"/>
            </w:tcBorders>
            <w:shd w:val="clear" w:color="auto" w:fill="auto"/>
            <w:noWrap/>
            <w:vAlign w:val="center"/>
          </w:tcPr>
          <w:p w14:paraId="120F74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0.860</w:t>
            </w:r>
          </w:p>
        </w:tc>
        <w:tc>
          <w:tcPr>
            <w:tcW w:w="932" w:type="pct"/>
            <w:tcBorders>
              <w:tl2br w:val="nil"/>
              <w:tr2bl w:val="nil"/>
            </w:tcBorders>
            <w:shd w:val="clear" w:color="auto" w:fill="auto"/>
            <w:noWrap/>
            <w:vAlign w:val="center"/>
          </w:tcPr>
          <w:p w14:paraId="25D74BD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0.108</w:t>
            </w:r>
          </w:p>
        </w:tc>
        <w:tc>
          <w:tcPr>
            <w:tcW w:w="932" w:type="pct"/>
            <w:tcBorders>
              <w:tl2br w:val="nil"/>
              <w:tr2bl w:val="nil"/>
            </w:tcBorders>
            <w:shd w:val="clear" w:color="auto" w:fill="auto"/>
            <w:noWrap/>
            <w:vAlign w:val="center"/>
          </w:tcPr>
          <w:p w14:paraId="2F32D05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3.288</w:t>
            </w:r>
          </w:p>
        </w:tc>
      </w:tr>
      <w:tr w14:paraId="40DF3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1328" w:type="pct"/>
            <w:tcBorders>
              <w:tl2br w:val="nil"/>
              <w:tr2bl w:val="nil"/>
            </w:tcBorders>
            <w:shd w:val="clear" w:color="auto" w:fill="auto"/>
            <w:noWrap/>
            <w:vAlign w:val="center"/>
          </w:tcPr>
          <w:p w14:paraId="32BB46B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奎溪流域</w:t>
            </w:r>
          </w:p>
        </w:tc>
        <w:tc>
          <w:tcPr>
            <w:tcW w:w="787" w:type="pct"/>
            <w:tcBorders>
              <w:tl2br w:val="nil"/>
              <w:tr2bl w:val="nil"/>
            </w:tcBorders>
            <w:shd w:val="clear" w:color="auto" w:fill="auto"/>
            <w:noWrap/>
            <w:vAlign w:val="center"/>
          </w:tcPr>
          <w:p w14:paraId="77E152D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58.35</w:t>
            </w:r>
          </w:p>
        </w:tc>
        <w:tc>
          <w:tcPr>
            <w:tcW w:w="1019" w:type="pct"/>
            <w:tcBorders>
              <w:tl2br w:val="nil"/>
              <w:tr2bl w:val="nil"/>
            </w:tcBorders>
            <w:shd w:val="clear" w:color="auto" w:fill="auto"/>
            <w:noWrap/>
            <w:vAlign w:val="center"/>
          </w:tcPr>
          <w:p w14:paraId="754F382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2.766</w:t>
            </w:r>
          </w:p>
        </w:tc>
        <w:tc>
          <w:tcPr>
            <w:tcW w:w="932" w:type="pct"/>
            <w:tcBorders>
              <w:tl2br w:val="nil"/>
              <w:tr2bl w:val="nil"/>
            </w:tcBorders>
            <w:shd w:val="clear" w:color="auto" w:fill="auto"/>
            <w:noWrap/>
            <w:vAlign w:val="center"/>
          </w:tcPr>
          <w:p w14:paraId="4F1594E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0.348</w:t>
            </w:r>
          </w:p>
        </w:tc>
        <w:tc>
          <w:tcPr>
            <w:tcW w:w="932" w:type="pct"/>
            <w:tcBorders>
              <w:tl2br w:val="nil"/>
              <w:tr2bl w:val="nil"/>
            </w:tcBorders>
            <w:shd w:val="clear" w:color="auto" w:fill="auto"/>
            <w:noWrap/>
            <w:vAlign w:val="center"/>
          </w:tcPr>
          <w:p w14:paraId="7DEE921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10.571</w:t>
            </w:r>
          </w:p>
        </w:tc>
      </w:tr>
      <w:tr w14:paraId="0D0BB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28" w:type="pct"/>
            <w:tcBorders>
              <w:tl2br w:val="nil"/>
              <w:tr2bl w:val="nil"/>
            </w:tcBorders>
            <w:shd w:val="clear" w:color="auto" w:fill="auto"/>
            <w:noWrap/>
            <w:vAlign w:val="center"/>
          </w:tcPr>
          <w:p w14:paraId="6BB6231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洋溪流域</w:t>
            </w:r>
          </w:p>
        </w:tc>
        <w:tc>
          <w:tcPr>
            <w:tcW w:w="787" w:type="pct"/>
            <w:tcBorders>
              <w:tl2br w:val="nil"/>
              <w:tr2bl w:val="nil"/>
            </w:tcBorders>
            <w:shd w:val="clear" w:color="auto" w:fill="auto"/>
            <w:noWrap/>
            <w:vAlign w:val="center"/>
          </w:tcPr>
          <w:p w14:paraId="572BAA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347.85</w:t>
            </w:r>
          </w:p>
        </w:tc>
        <w:tc>
          <w:tcPr>
            <w:tcW w:w="1019" w:type="pct"/>
            <w:tcBorders>
              <w:tl2br w:val="nil"/>
              <w:tr2bl w:val="nil"/>
            </w:tcBorders>
            <w:shd w:val="clear" w:color="auto" w:fill="auto"/>
            <w:noWrap/>
            <w:vAlign w:val="center"/>
          </w:tcPr>
          <w:p w14:paraId="6B2217F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16.491</w:t>
            </w:r>
          </w:p>
        </w:tc>
        <w:tc>
          <w:tcPr>
            <w:tcW w:w="932" w:type="pct"/>
            <w:tcBorders>
              <w:tl2br w:val="nil"/>
              <w:tr2bl w:val="nil"/>
            </w:tcBorders>
            <w:shd w:val="clear" w:color="auto" w:fill="auto"/>
            <w:noWrap/>
            <w:vAlign w:val="center"/>
          </w:tcPr>
          <w:p w14:paraId="18848B2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2.072</w:t>
            </w:r>
          </w:p>
        </w:tc>
        <w:tc>
          <w:tcPr>
            <w:tcW w:w="932" w:type="pct"/>
            <w:tcBorders>
              <w:tl2br w:val="nil"/>
              <w:tr2bl w:val="nil"/>
            </w:tcBorders>
            <w:shd w:val="clear" w:color="auto" w:fill="auto"/>
            <w:noWrap/>
            <w:vAlign w:val="center"/>
          </w:tcPr>
          <w:p w14:paraId="7C0E883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63.020</w:t>
            </w:r>
          </w:p>
        </w:tc>
      </w:tr>
      <w:tr w14:paraId="13505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1328" w:type="pct"/>
            <w:tcBorders>
              <w:tl2br w:val="nil"/>
              <w:tr2bl w:val="nil"/>
            </w:tcBorders>
            <w:shd w:val="clear" w:color="auto" w:fill="auto"/>
            <w:noWrap/>
            <w:vAlign w:val="center"/>
          </w:tcPr>
          <w:p w14:paraId="7782332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资江流域（洋溪汇入前）</w:t>
            </w:r>
          </w:p>
        </w:tc>
        <w:tc>
          <w:tcPr>
            <w:tcW w:w="787" w:type="pct"/>
            <w:tcBorders>
              <w:tl2br w:val="nil"/>
              <w:tr2bl w:val="nil"/>
            </w:tcBorders>
            <w:shd w:val="clear" w:color="auto" w:fill="auto"/>
            <w:noWrap/>
            <w:vAlign w:val="center"/>
          </w:tcPr>
          <w:p w14:paraId="6E7B4A1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19510.10</w:t>
            </w:r>
          </w:p>
        </w:tc>
        <w:tc>
          <w:tcPr>
            <w:tcW w:w="1019" w:type="pct"/>
            <w:tcBorders>
              <w:tl2br w:val="nil"/>
              <w:tr2bl w:val="nil"/>
            </w:tcBorders>
            <w:shd w:val="clear" w:color="auto" w:fill="auto"/>
            <w:noWrap/>
            <w:vAlign w:val="center"/>
          </w:tcPr>
          <w:p w14:paraId="6EE245A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511.009</w:t>
            </w:r>
          </w:p>
        </w:tc>
        <w:tc>
          <w:tcPr>
            <w:tcW w:w="932" w:type="pct"/>
            <w:tcBorders>
              <w:tl2br w:val="nil"/>
              <w:tr2bl w:val="nil"/>
            </w:tcBorders>
            <w:shd w:val="clear" w:color="auto" w:fill="auto"/>
            <w:noWrap/>
            <w:vAlign w:val="center"/>
          </w:tcPr>
          <w:p w14:paraId="392E6A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8.207</w:t>
            </w:r>
          </w:p>
        </w:tc>
        <w:tc>
          <w:tcPr>
            <w:tcW w:w="932" w:type="pct"/>
            <w:tcBorders>
              <w:tl2br w:val="nil"/>
              <w:tr2bl w:val="nil"/>
            </w:tcBorders>
            <w:shd w:val="clear" w:color="auto" w:fill="auto"/>
            <w:noWrap/>
            <w:vAlign w:val="center"/>
          </w:tcPr>
          <w:p w14:paraId="6535160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10366.990</w:t>
            </w:r>
          </w:p>
        </w:tc>
      </w:tr>
    </w:tbl>
    <w:p w14:paraId="50FB36C4">
      <w:pPr>
        <w:widowControl/>
        <w:spacing w:line="240" w:lineRule="auto"/>
        <w:jc w:val="left"/>
        <w:outlineLvl w:val="9"/>
        <w:rPr>
          <w:rFonts w:hint="eastAsia"/>
          <w:color w:val="auto"/>
          <w:highlight w:val="none"/>
          <w:lang w:val="en-US" w:eastAsia="zh-CN"/>
        </w:rPr>
      </w:pPr>
    </w:p>
    <w:p w14:paraId="7A2B2DF8">
      <w:pPr>
        <w:pStyle w:val="37"/>
        <w:bidi w:val="0"/>
        <w:rPr>
          <w:rFonts w:ascii="Times New Roman" w:hAnsi="Times New Roman" w:cs="Times New Roman"/>
          <w:color w:val="auto"/>
          <w:highlight w:val="none"/>
          <w:lang w:eastAsia="en-US"/>
        </w:rPr>
      </w:pPr>
      <w:r>
        <w:rPr>
          <w:rFonts w:ascii="Times New Roman" w:hAnsi="Times New Roman" w:cs="Times New Roman"/>
          <w:color w:val="auto"/>
          <w:highlight w:val="none"/>
          <w:lang w:eastAsia="en-US"/>
        </w:rPr>
        <w:t>水域纳污能力规程</w:t>
      </w:r>
    </w:p>
    <w:p w14:paraId="5FC99A1B">
      <w:pPr>
        <w:pStyle w:val="2"/>
        <w:bidi w:val="0"/>
        <w:rPr>
          <w:color w:val="auto"/>
          <w:highlight w:val="none"/>
          <w:lang w:eastAsia="en-US"/>
        </w:rPr>
      </w:pPr>
      <w:r>
        <w:rPr>
          <w:color w:val="auto"/>
          <w:highlight w:val="none"/>
          <w:lang w:eastAsia="en-US"/>
        </w:rPr>
        <w:t>根据《入河排污口管理技术导则》（SL532-2011）5.3.6条“水域纳污能力应采纳各级水行政主管部门或流域管理机构核定的数据，未核定纳污能力的水域，应按SL348-2006的规定和水功能区管理要求核算纳污能力”。</w:t>
      </w:r>
    </w:p>
    <w:p w14:paraId="0EE3514E">
      <w:pPr>
        <w:pStyle w:val="2"/>
        <w:bidi w:val="0"/>
        <w:rPr>
          <w:color w:val="auto"/>
          <w:highlight w:val="none"/>
          <w:lang w:eastAsia="en-US"/>
        </w:rPr>
      </w:pPr>
      <w:r>
        <w:rPr>
          <w:color w:val="auto"/>
          <w:highlight w:val="none"/>
          <w:lang w:eastAsia="en-US"/>
        </w:rPr>
        <w:t>本项目排污口位于</w:t>
      </w:r>
      <w:r>
        <w:rPr>
          <w:rFonts w:hint="eastAsia"/>
          <w:color w:val="auto"/>
          <w:highlight w:val="none"/>
          <w:lang w:val="en-US" w:eastAsia="zh-CN"/>
        </w:rPr>
        <w:t>渣滓溪，下游为白茅溪</w:t>
      </w:r>
      <w:r>
        <w:rPr>
          <w:color w:val="auto"/>
          <w:highlight w:val="none"/>
          <w:lang w:eastAsia="en-US"/>
        </w:rPr>
        <w:t>，暂未核定纳污能力，故本报告根据《水域纳污能力计算规程（GBT25173-2010）对该水域的纳污能力进行复核，确保水域纳污能力满足水域要求。</w:t>
      </w:r>
    </w:p>
    <w:p w14:paraId="559B53D5">
      <w:pPr>
        <w:pStyle w:val="2"/>
        <w:bidi w:val="0"/>
        <w:rPr>
          <w:color w:val="auto"/>
          <w:highlight w:val="none"/>
          <w:lang w:eastAsia="en-US"/>
        </w:rPr>
      </w:pPr>
      <w:r>
        <w:rPr>
          <w:color w:val="auto"/>
          <w:highlight w:val="none"/>
          <w:lang w:eastAsia="en-US"/>
        </w:rPr>
        <w:t>（1）水文时期</w:t>
      </w:r>
    </w:p>
    <w:p w14:paraId="6821CDC3">
      <w:pPr>
        <w:pStyle w:val="2"/>
        <w:bidi w:val="0"/>
        <w:rPr>
          <w:color w:val="auto"/>
          <w:highlight w:val="none"/>
          <w:lang w:eastAsia="en-US"/>
        </w:rPr>
      </w:pPr>
      <w:r>
        <w:rPr>
          <w:color w:val="auto"/>
          <w:highlight w:val="none"/>
          <w:lang w:eastAsia="en-US"/>
        </w:rPr>
        <w:t>本项目</w:t>
      </w:r>
      <w:r>
        <w:rPr>
          <w:rFonts w:hint="eastAsia"/>
          <w:color w:val="auto"/>
          <w:highlight w:val="none"/>
          <w:lang w:val="en-US" w:eastAsia="zh-CN"/>
        </w:rPr>
        <w:t>全年各时期均向渣滓溪</w:t>
      </w:r>
      <w:r>
        <w:rPr>
          <w:color w:val="auto"/>
          <w:highlight w:val="none"/>
          <w:lang w:eastAsia="en-US"/>
        </w:rPr>
        <w:t>排水，因此排污预测内容为</w:t>
      </w:r>
      <w:r>
        <w:rPr>
          <w:rFonts w:hint="eastAsia"/>
          <w:color w:val="auto"/>
          <w:highlight w:val="none"/>
          <w:lang w:val="en-US" w:eastAsia="zh-CN"/>
        </w:rPr>
        <w:t>渣滓溪枯水期、丰水期、</w:t>
      </w:r>
      <w:r>
        <w:rPr>
          <w:color w:val="auto"/>
          <w:highlight w:val="none"/>
          <w:lang w:eastAsia="en-US"/>
        </w:rPr>
        <w:t>平水期的水质纳污能力。</w:t>
      </w:r>
    </w:p>
    <w:p w14:paraId="699D9ADB">
      <w:pPr>
        <w:pStyle w:val="2"/>
        <w:bidi w:val="0"/>
        <w:rPr>
          <w:color w:val="auto"/>
          <w:highlight w:val="none"/>
          <w:lang w:eastAsia="en-US"/>
        </w:rPr>
      </w:pPr>
      <w:r>
        <w:rPr>
          <w:color w:val="auto"/>
          <w:highlight w:val="none"/>
          <w:lang w:eastAsia="en-US"/>
        </w:rPr>
        <w:t>（2）水域范围</w:t>
      </w:r>
    </w:p>
    <w:p w14:paraId="04ED2832">
      <w:pPr>
        <w:pStyle w:val="2"/>
        <w:bidi w:val="0"/>
        <w:rPr>
          <w:color w:val="auto"/>
          <w:highlight w:val="none"/>
          <w:lang w:eastAsia="en-US"/>
        </w:rPr>
      </w:pPr>
      <w:r>
        <w:rPr>
          <w:color w:val="auto"/>
          <w:highlight w:val="none"/>
          <w:lang w:eastAsia="en-US"/>
        </w:rPr>
        <w:t>本项目排污口所在河段为</w:t>
      </w:r>
      <w:r>
        <w:rPr>
          <w:rFonts w:hint="eastAsia"/>
          <w:color w:val="auto"/>
          <w:highlight w:val="none"/>
          <w:lang w:val="en-US" w:eastAsia="zh-CN"/>
        </w:rPr>
        <w:t>渣滓溪</w:t>
      </w:r>
      <w:r>
        <w:rPr>
          <w:color w:val="auto"/>
          <w:highlight w:val="none"/>
          <w:lang w:eastAsia="en-US"/>
        </w:rPr>
        <w:t>，水质目标为</w:t>
      </w:r>
      <w:r>
        <w:rPr>
          <w:rFonts w:hint="default" w:ascii="Times New Roman" w:hAnsi="Times New Roman" w:eastAsia="宋体" w:cs="Times New Roman"/>
          <w:color w:val="auto"/>
          <w:highlight w:val="none"/>
          <w:lang w:eastAsia="en-US"/>
        </w:rPr>
        <w:t>Ⅲ</w:t>
      </w:r>
      <w:r>
        <w:rPr>
          <w:color w:val="auto"/>
          <w:highlight w:val="none"/>
          <w:lang w:eastAsia="en-US"/>
        </w:rPr>
        <w:t>类。根据本项目污水排放情况，结合项目水环境影响评价等级以及纳污水域水环境特点，本项目论证分析范围为</w:t>
      </w:r>
      <w:r>
        <w:rPr>
          <w:rFonts w:hint="eastAsia"/>
          <w:color w:val="auto"/>
          <w:highlight w:val="none"/>
          <w:lang w:val="en-US" w:eastAsia="en-US"/>
        </w:rPr>
        <w:t>排污口上游0.5km至排污口下游</w:t>
      </w:r>
      <w:r>
        <w:rPr>
          <w:rFonts w:hint="eastAsia"/>
          <w:color w:val="auto"/>
          <w:highlight w:val="none"/>
          <w:lang w:val="en-US" w:eastAsia="zh-CN"/>
        </w:rPr>
        <w:t>41</w:t>
      </w:r>
      <w:r>
        <w:rPr>
          <w:rFonts w:hint="eastAsia"/>
          <w:color w:val="auto"/>
          <w:highlight w:val="none"/>
          <w:lang w:val="en-US" w:eastAsia="en-US"/>
        </w:rPr>
        <w:t>.255km</w:t>
      </w:r>
      <w:r>
        <w:rPr>
          <w:rFonts w:hint="eastAsia"/>
          <w:color w:val="auto"/>
          <w:highlight w:val="none"/>
          <w:lang w:val="en-US" w:eastAsia="zh-CN"/>
        </w:rPr>
        <w:t>洋溪</w:t>
      </w:r>
      <w:r>
        <w:rPr>
          <w:rFonts w:hint="eastAsia"/>
          <w:color w:val="auto"/>
          <w:highlight w:val="none"/>
          <w:lang w:val="en-US" w:eastAsia="en-US"/>
        </w:rPr>
        <w:t>汇入</w:t>
      </w:r>
      <w:r>
        <w:rPr>
          <w:rFonts w:hint="eastAsia"/>
          <w:color w:val="auto"/>
          <w:highlight w:val="none"/>
          <w:lang w:val="en-US" w:eastAsia="zh-CN"/>
        </w:rPr>
        <w:t>资江</w:t>
      </w:r>
      <w:r>
        <w:rPr>
          <w:rFonts w:hint="eastAsia"/>
          <w:color w:val="auto"/>
          <w:highlight w:val="none"/>
          <w:lang w:val="en-US" w:eastAsia="en-US"/>
        </w:rPr>
        <w:t>口处，总长</w:t>
      </w:r>
      <w:r>
        <w:rPr>
          <w:rFonts w:hint="eastAsia"/>
          <w:color w:val="auto"/>
          <w:highlight w:val="none"/>
          <w:lang w:val="en-US" w:eastAsia="zh-CN"/>
        </w:rPr>
        <w:t>41</w:t>
      </w:r>
      <w:r>
        <w:rPr>
          <w:rFonts w:hint="eastAsia"/>
          <w:color w:val="auto"/>
          <w:highlight w:val="none"/>
          <w:lang w:val="en-US" w:eastAsia="en-US"/>
        </w:rPr>
        <w:t>.755km</w:t>
      </w:r>
      <w:r>
        <w:rPr>
          <w:color w:val="auto"/>
          <w:highlight w:val="none"/>
          <w:lang w:eastAsia="en-US"/>
        </w:rPr>
        <w:t>。</w:t>
      </w:r>
    </w:p>
    <w:p w14:paraId="0F239636">
      <w:pPr>
        <w:pStyle w:val="2"/>
        <w:bidi w:val="0"/>
        <w:rPr>
          <w:color w:val="auto"/>
          <w:highlight w:val="none"/>
          <w:lang w:eastAsia="en-US"/>
        </w:rPr>
      </w:pPr>
      <w:r>
        <w:rPr>
          <w:color w:val="auto"/>
          <w:highlight w:val="none"/>
          <w:lang w:eastAsia="en-US"/>
        </w:rPr>
        <w:t>（3）污染物因子</w:t>
      </w:r>
    </w:p>
    <w:p w14:paraId="1D142558">
      <w:pPr>
        <w:pStyle w:val="2"/>
        <w:bidi w:val="0"/>
        <w:rPr>
          <w:color w:val="auto"/>
          <w:highlight w:val="none"/>
          <w:lang w:eastAsia="en-US"/>
        </w:rPr>
      </w:pPr>
      <w:r>
        <w:rPr>
          <w:color w:val="auto"/>
          <w:highlight w:val="none"/>
          <w:lang w:eastAsia="en-US"/>
        </w:rPr>
        <w:t>根据国家和省市环保部门对实施污染物排放总量控制的要求以及本项目的污染特点，本报告确定的污染物排放总量控制因子为：COD、NH3-N、锑等。因本项目已建成投产，现状受纳水体除锑环境容量小以外，其余因子的排放均不会影响</w:t>
      </w:r>
      <w:r>
        <w:rPr>
          <w:rFonts w:hint="eastAsia"/>
          <w:color w:val="auto"/>
          <w:highlight w:val="none"/>
          <w:lang w:val="en-US" w:eastAsia="zh-CN"/>
        </w:rPr>
        <w:t>渣滓溪</w:t>
      </w:r>
      <w:r>
        <w:rPr>
          <w:color w:val="auto"/>
          <w:highlight w:val="none"/>
          <w:lang w:eastAsia="en-US"/>
        </w:rPr>
        <w:t>、</w:t>
      </w:r>
      <w:r>
        <w:rPr>
          <w:rFonts w:hint="eastAsia"/>
          <w:color w:val="auto"/>
          <w:highlight w:val="none"/>
          <w:lang w:val="en-US" w:eastAsia="zh-CN"/>
        </w:rPr>
        <w:t>白茅溪、奎溪、洋溪、资江</w:t>
      </w:r>
      <w:r>
        <w:rPr>
          <w:color w:val="auto"/>
          <w:highlight w:val="none"/>
          <w:lang w:eastAsia="en-US"/>
        </w:rPr>
        <w:t>的水质。故本项目预测因子选择锑，预测浓度按《锡、锑、汞工业污染物排放标准》（GB30770-2014）中表2规定的限值及严格50%来执行，即排放浓度为0.15mg/L进行预测。</w:t>
      </w:r>
    </w:p>
    <w:p w14:paraId="0A272E57">
      <w:pPr>
        <w:pStyle w:val="37"/>
        <w:bidi w:val="0"/>
        <w:rPr>
          <w:rFonts w:ascii="Times New Roman" w:hAnsi="Times New Roman" w:cs="Times New Roman"/>
          <w:color w:val="auto"/>
          <w:highlight w:val="none"/>
          <w:lang w:eastAsia="en-US"/>
        </w:rPr>
      </w:pPr>
      <w:r>
        <w:rPr>
          <w:rFonts w:ascii="Times New Roman" w:hAnsi="Times New Roman" w:cs="Times New Roman"/>
          <w:color w:val="auto"/>
          <w:highlight w:val="none"/>
          <w:lang w:eastAsia="en-US"/>
        </w:rPr>
        <w:t>水域纳污能力</w:t>
      </w:r>
    </w:p>
    <w:p w14:paraId="3AD7F3FA">
      <w:pPr>
        <w:pStyle w:val="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根据调查，</w:t>
      </w:r>
      <w:r>
        <w:rPr>
          <w:rFonts w:hint="eastAsia"/>
          <w:color w:val="auto"/>
          <w:highlight w:val="none"/>
          <w:lang w:val="en-US" w:eastAsia="zh-CN"/>
        </w:rPr>
        <w:t>渣滓溪</w:t>
      </w:r>
      <w:r>
        <w:rPr>
          <w:color w:val="auto"/>
          <w:highlight w:val="none"/>
          <w:lang w:eastAsia="en-US"/>
        </w:rPr>
        <w:t>、</w:t>
      </w:r>
      <w:r>
        <w:rPr>
          <w:rFonts w:hint="eastAsia"/>
          <w:color w:val="auto"/>
          <w:highlight w:val="none"/>
          <w:lang w:val="en-US" w:eastAsia="zh-CN"/>
        </w:rPr>
        <w:t>白茅溪、奎溪、洋溪</w:t>
      </w:r>
      <w:r>
        <w:rPr>
          <w:rFonts w:hint="eastAsia" w:ascii="Times New Roman" w:hAnsi="Times New Roman" w:cs="Times New Roman"/>
          <w:color w:val="auto"/>
          <w:highlight w:val="none"/>
          <w:lang w:val="en-US" w:eastAsia="zh-CN"/>
        </w:rPr>
        <w:t>上游锑浓度超标，因此，</w:t>
      </w:r>
      <w:r>
        <w:rPr>
          <w:rFonts w:hint="eastAsia"/>
          <w:color w:val="auto"/>
          <w:highlight w:val="none"/>
          <w:lang w:val="en-US" w:eastAsia="zh-CN"/>
        </w:rPr>
        <w:t>渣滓溪</w:t>
      </w:r>
      <w:r>
        <w:rPr>
          <w:color w:val="auto"/>
          <w:highlight w:val="none"/>
          <w:lang w:eastAsia="en-US"/>
        </w:rPr>
        <w:t>、</w:t>
      </w:r>
      <w:r>
        <w:rPr>
          <w:rFonts w:hint="eastAsia"/>
          <w:color w:val="auto"/>
          <w:highlight w:val="none"/>
          <w:lang w:val="en-US" w:eastAsia="zh-CN"/>
        </w:rPr>
        <w:t>白茅溪、奎溪、洋溪</w:t>
      </w:r>
      <w:r>
        <w:rPr>
          <w:rFonts w:hint="eastAsia" w:ascii="Times New Roman" w:hAnsi="Times New Roman" w:cs="Times New Roman"/>
          <w:color w:val="auto"/>
          <w:highlight w:val="none"/>
          <w:lang w:val="en-US" w:eastAsia="zh-CN"/>
        </w:rPr>
        <w:t>已无环境容量。</w:t>
      </w:r>
    </w:p>
    <w:p w14:paraId="60696871">
      <w:pPr>
        <w:pStyle w:val="2"/>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根据分析，本项目总体锑减排，有利于区域环境质量改善。</w:t>
      </w:r>
    </w:p>
    <w:p w14:paraId="3E62D669">
      <w:pPr>
        <w:pStyle w:val="35"/>
        <w:bidi w:val="0"/>
        <w:rPr>
          <w:rFonts w:hint="eastAsia" w:ascii="Times New Roman" w:hAnsi="Times New Roman" w:cs="Times New Roman"/>
          <w:color w:val="auto"/>
          <w:highlight w:val="none"/>
          <w:lang w:val="en-US" w:eastAsia="zh-CN"/>
        </w:rPr>
      </w:pPr>
      <w:bookmarkStart w:id="54" w:name="_Toc2848"/>
      <w:r>
        <w:rPr>
          <w:rFonts w:hint="eastAsia" w:ascii="Times New Roman" w:hAnsi="Times New Roman" w:cs="Times New Roman"/>
          <w:color w:val="auto"/>
          <w:highlight w:val="none"/>
          <w:lang w:val="en-US" w:eastAsia="zh-CN"/>
        </w:rPr>
        <w:t>入河排污口排放位置、排放方式</w:t>
      </w:r>
      <w:bookmarkEnd w:id="54"/>
    </w:p>
    <w:p w14:paraId="503DFF48">
      <w:pPr>
        <w:pStyle w:val="36"/>
        <w:bidi w:val="0"/>
        <w:rPr>
          <w:rFonts w:hint="eastAsia" w:ascii="Times New Roman" w:hAnsi="Times New Roman" w:cs="Times New Roman"/>
          <w:color w:val="auto"/>
          <w:highlight w:val="none"/>
          <w:lang w:val="en-US" w:eastAsia="zh-CN"/>
        </w:rPr>
      </w:pPr>
      <w:bookmarkStart w:id="55" w:name="_Toc14850"/>
      <w:r>
        <w:rPr>
          <w:rFonts w:hint="eastAsia" w:ascii="Times New Roman" w:hAnsi="Times New Roman" w:cs="Times New Roman"/>
          <w:color w:val="auto"/>
          <w:highlight w:val="none"/>
          <w:lang w:val="en-US" w:eastAsia="zh-CN"/>
        </w:rPr>
        <w:t>相关规划区划对入河排污口设置的要求</w:t>
      </w:r>
      <w:bookmarkEnd w:id="55"/>
    </w:p>
    <w:p w14:paraId="1386BF5B">
      <w:pPr>
        <w:pStyle w:val="37"/>
        <w:bidi w:val="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《入河排污口监督管理办法》（2015年修正本）</w:t>
      </w:r>
    </w:p>
    <w:p w14:paraId="0FAE61C1">
      <w:pPr>
        <w:pStyle w:val="2"/>
        <w:rPr>
          <w:rFonts w:hint="eastAsia"/>
          <w:color w:val="auto"/>
          <w:highlight w:val="none"/>
          <w:lang w:val="en-US" w:eastAsia="zh-CN"/>
        </w:rPr>
      </w:pPr>
      <w:r>
        <w:rPr>
          <w:rFonts w:hint="eastAsia"/>
          <w:color w:val="auto"/>
          <w:highlight w:val="none"/>
          <w:lang w:val="en-US" w:eastAsia="zh-CN"/>
        </w:rPr>
        <w:t>第十四条 有下列情形之一的，不予同意设置入河排污口：</w:t>
      </w:r>
    </w:p>
    <w:p w14:paraId="521026ED">
      <w:pPr>
        <w:pStyle w:val="2"/>
        <w:rPr>
          <w:rFonts w:hint="eastAsia"/>
          <w:color w:val="auto"/>
          <w:highlight w:val="none"/>
          <w:lang w:val="en-US" w:eastAsia="zh-CN"/>
        </w:rPr>
      </w:pPr>
      <w:r>
        <w:rPr>
          <w:rFonts w:hint="eastAsia"/>
          <w:color w:val="auto"/>
          <w:highlight w:val="none"/>
          <w:lang w:val="en-US" w:eastAsia="zh-CN"/>
        </w:rPr>
        <w:t>（一）在饮用水水源保护区内设置入河排污口的；</w:t>
      </w:r>
    </w:p>
    <w:p w14:paraId="7E53D693">
      <w:pPr>
        <w:pStyle w:val="2"/>
        <w:rPr>
          <w:rFonts w:hint="eastAsia"/>
          <w:color w:val="auto"/>
          <w:highlight w:val="none"/>
          <w:lang w:val="en-US" w:eastAsia="zh-CN"/>
        </w:rPr>
      </w:pPr>
      <w:r>
        <w:rPr>
          <w:rFonts w:hint="eastAsia"/>
          <w:color w:val="auto"/>
          <w:highlight w:val="none"/>
          <w:lang w:val="en-US" w:eastAsia="zh-CN"/>
        </w:rPr>
        <w:t>（二）在省级以上人民政府要求削减排污总量的水域设置入河排污口的；</w:t>
      </w:r>
    </w:p>
    <w:p w14:paraId="50D2D1E1">
      <w:pPr>
        <w:pStyle w:val="2"/>
        <w:rPr>
          <w:rFonts w:hint="eastAsia"/>
          <w:color w:val="auto"/>
          <w:highlight w:val="none"/>
          <w:lang w:val="en-US" w:eastAsia="zh-CN"/>
        </w:rPr>
      </w:pPr>
      <w:r>
        <w:rPr>
          <w:rFonts w:hint="eastAsia"/>
          <w:color w:val="auto"/>
          <w:highlight w:val="none"/>
          <w:lang w:val="en-US" w:eastAsia="zh-CN"/>
        </w:rPr>
        <w:t>（三）入河排污口设置可能使水域水质达不到水功能区要求的；</w:t>
      </w:r>
    </w:p>
    <w:p w14:paraId="4DA54871">
      <w:pPr>
        <w:pStyle w:val="2"/>
        <w:rPr>
          <w:rFonts w:hint="eastAsia"/>
          <w:color w:val="auto"/>
          <w:highlight w:val="none"/>
          <w:lang w:val="en-US" w:eastAsia="zh-CN"/>
        </w:rPr>
      </w:pPr>
      <w:r>
        <w:rPr>
          <w:rFonts w:hint="eastAsia"/>
          <w:color w:val="auto"/>
          <w:highlight w:val="none"/>
          <w:lang w:val="en-US" w:eastAsia="zh-CN"/>
        </w:rPr>
        <w:t>（四）入河排污口设置直接影响合法取水户用水安全的；</w:t>
      </w:r>
    </w:p>
    <w:p w14:paraId="12DBFB2A">
      <w:pPr>
        <w:pStyle w:val="2"/>
        <w:rPr>
          <w:rFonts w:hint="eastAsia"/>
          <w:color w:val="auto"/>
          <w:highlight w:val="none"/>
          <w:lang w:val="en-US" w:eastAsia="zh-CN"/>
        </w:rPr>
      </w:pPr>
      <w:r>
        <w:rPr>
          <w:rFonts w:hint="eastAsia"/>
          <w:color w:val="auto"/>
          <w:highlight w:val="none"/>
          <w:lang w:val="en-US" w:eastAsia="zh-CN"/>
        </w:rPr>
        <w:t>（五）入河排污口设置不符合防洪要求的；</w:t>
      </w:r>
    </w:p>
    <w:p w14:paraId="54314771">
      <w:pPr>
        <w:pStyle w:val="2"/>
        <w:rPr>
          <w:rFonts w:hint="eastAsia"/>
          <w:color w:val="auto"/>
          <w:highlight w:val="none"/>
          <w:lang w:val="en-US" w:eastAsia="zh-CN"/>
        </w:rPr>
      </w:pPr>
      <w:r>
        <w:rPr>
          <w:rFonts w:hint="eastAsia"/>
          <w:color w:val="auto"/>
          <w:highlight w:val="none"/>
          <w:lang w:val="en-US" w:eastAsia="zh-CN"/>
        </w:rPr>
        <w:t>（六）不符合法律、法规和国家产业政策规定的；</w:t>
      </w:r>
    </w:p>
    <w:p w14:paraId="4ADA3CF0">
      <w:pPr>
        <w:pStyle w:val="2"/>
        <w:rPr>
          <w:rFonts w:hint="eastAsia"/>
          <w:color w:val="auto"/>
          <w:highlight w:val="none"/>
          <w:lang w:val="en-US" w:eastAsia="zh-CN"/>
        </w:rPr>
      </w:pPr>
      <w:r>
        <w:rPr>
          <w:rFonts w:hint="eastAsia"/>
          <w:color w:val="auto"/>
          <w:highlight w:val="none"/>
          <w:lang w:val="en-US" w:eastAsia="zh-CN"/>
        </w:rPr>
        <w:t>（七）其他不符合国务院水行政主管部门规定条件的。</w:t>
      </w:r>
    </w:p>
    <w:p w14:paraId="13E142A2">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湖南省</w:t>
      </w:r>
      <w:r>
        <w:rPr>
          <w:rFonts w:hint="eastAsia" w:ascii="Times New Roman" w:hAnsi="Times New Roman" w:cs="Times New Roman"/>
          <w:color w:val="auto"/>
          <w:highlight w:val="none"/>
          <w:lang w:val="en-US" w:eastAsia="zh-CN"/>
        </w:rPr>
        <w:t>入河排污口监督管理办法》</w:t>
      </w:r>
      <w:r>
        <w:rPr>
          <w:rFonts w:hint="eastAsia" w:cs="Times New Roman"/>
          <w:color w:val="auto"/>
          <w:highlight w:val="none"/>
          <w:lang w:val="en-US" w:eastAsia="zh-CN"/>
        </w:rPr>
        <w:t>（湘政办发〔2018〕44号）</w:t>
      </w:r>
    </w:p>
    <w:p w14:paraId="39BB9F97">
      <w:pPr>
        <w:pStyle w:val="2"/>
        <w:rPr>
          <w:rFonts w:hint="eastAsia"/>
          <w:color w:val="auto"/>
          <w:highlight w:val="none"/>
          <w:lang w:val="en-US" w:eastAsia="zh-CN"/>
        </w:rPr>
      </w:pPr>
      <w:r>
        <w:rPr>
          <w:rFonts w:hint="eastAsia"/>
          <w:color w:val="auto"/>
          <w:highlight w:val="none"/>
          <w:lang w:val="en-US" w:eastAsia="zh-CN"/>
        </w:rPr>
        <w:t>第十五条 有下列情形之一的，不予同意设置入河排污口：</w:t>
      </w:r>
    </w:p>
    <w:p w14:paraId="7584729E">
      <w:pPr>
        <w:pStyle w:val="2"/>
        <w:rPr>
          <w:rFonts w:hint="eastAsia"/>
          <w:color w:val="auto"/>
          <w:highlight w:val="none"/>
          <w:lang w:val="en-US" w:eastAsia="zh-CN"/>
        </w:rPr>
      </w:pPr>
      <w:r>
        <w:rPr>
          <w:rFonts w:hint="eastAsia"/>
          <w:color w:val="auto"/>
          <w:highlight w:val="none"/>
          <w:lang w:val="en-US" w:eastAsia="zh-CN"/>
        </w:rPr>
        <w:t>（一）在饮用水水源保护区内设置入河排污口的。</w:t>
      </w:r>
    </w:p>
    <w:p w14:paraId="4F5351FA">
      <w:pPr>
        <w:pStyle w:val="2"/>
        <w:rPr>
          <w:rFonts w:hint="eastAsia"/>
          <w:color w:val="auto"/>
          <w:highlight w:val="none"/>
          <w:lang w:val="en-US" w:eastAsia="zh-CN"/>
        </w:rPr>
      </w:pPr>
      <w:r>
        <w:rPr>
          <w:rFonts w:hint="eastAsia"/>
          <w:color w:val="auto"/>
          <w:highlight w:val="none"/>
          <w:lang w:val="en-US" w:eastAsia="zh-CN"/>
        </w:rPr>
        <w:t>（二）在自然保护区核心区、缓冲区、实验区和湿地公园的保育区、恢复重建区、实验区设置排污口的。</w:t>
      </w:r>
    </w:p>
    <w:p w14:paraId="002824C1">
      <w:pPr>
        <w:pStyle w:val="2"/>
        <w:rPr>
          <w:rFonts w:hint="eastAsia"/>
          <w:color w:val="auto"/>
          <w:highlight w:val="none"/>
          <w:lang w:val="en-US" w:eastAsia="zh-CN"/>
        </w:rPr>
      </w:pPr>
      <w:r>
        <w:rPr>
          <w:rFonts w:hint="eastAsia"/>
          <w:color w:val="auto"/>
          <w:highlight w:val="none"/>
          <w:lang w:val="en-US" w:eastAsia="zh-CN"/>
        </w:rPr>
        <w:t>（三）能够由污水收集系统接纳但拒不接入的。</w:t>
      </w:r>
    </w:p>
    <w:p w14:paraId="761374D6">
      <w:pPr>
        <w:pStyle w:val="2"/>
        <w:rPr>
          <w:rFonts w:hint="eastAsia"/>
          <w:color w:val="auto"/>
          <w:highlight w:val="none"/>
          <w:lang w:val="en-US" w:eastAsia="zh-CN"/>
        </w:rPr>
      </w:pPr>
      <w:r>
        <w:rPr>
          <w:rFonts w:hint="eastAsia"/>
          <w:color w:val="auto"/>
          <w:highlight w:val="none"/>
          <w:lang w:val="en-US" w:eastAsia="zh-CN"/>
        </w:rPr>
        <w:t>（四）在未达标水功能区内继续设置入河排污口的。</w:t>
      </w:r>
    </w:p>
    <w:p w14:paraId="36561DDC">
      <w:pPr>
        <w:pStyle w:val="2"/>
        <w:rPr>
          <w:rFonts w:hint="eastAsia"/>
          <w:color w:val="auto"/>
          <w:highlight w:val="none"/>
          <w:lang w:val="en-US" w:eastAsia="zh-CN"/>
        </w:rPr>
      </w:pPr>
      <w:r>
        <w:rPr>
          <w:rFonts w:hint="eastAsia"/>
          <w:color w:val="auto"/>
          <w:highlight w:val="none"/>
          <w:lang w:val="en-US" w:eastAsia="zh-CN"/>
        </w:rPr>
        <w:t>（五）经论证不符合入河排污口设置要求的。</w:t>
      </w:r>
    </w:p>
    <w:p w14:paraId="32639C8D">
      <w:pPr>
        <w:pStyle w:val="2"/>
        <w:rPr>
          <w:rFonts w:hint="eastAsia"/>
          <w:color w:val="auto"/>
          <w:highlight w:val="none"/>
          <w:lang w:val="en-US" w:eastAsia="zh-CN"/>
        </w:rPr>
      </w:pPr>
      <w:r>
        <w:rPr>
          <w:rFonts w:hint="eastAsia"/>
          <w:color w:val="auto"/>
          <w:highlight w:val="none"/>
          <w:lang w:val="en-US" w:eastAsia="zh-CN"/>
        </w:rPr>
        <w:t>（六）其他不符合法律、法规以及国家和省有关规定的。</w:t>
      </w:r>
    </w:p>
    <w:p w14:paraId="0F2D3D3F">
      <w:pPr>
        <w:pStyle w:val="37"/>
        <w:rPr>
          <w:rFonts w:hint="eastAsia" w:ascii="Times New Roman" w:hAnsi="Times New Roman" w:eastAsia="黑体" w:cs="Times New Roman"/>
          <w:b w:val="0"/>
          <w:bCs w:val="0"/>
          <w:color w:val="auto"/>
          <w:kern w:val="2"/>
          <w:szCs w:val="20"/>
          <w:highlight w:val="none"/>
          <w:lang w:val="en-US" w:eastAsia="zh-CN" w:bidi="ar-SA"/>
        </w:rPr>
      </w:pPr>
      <w:r>
        <w:rPr>
          <w:rFonts w:hint="eastAsia"/>
          <w:color w:val="auto"/>
          <w:highlight w:val="none"/>
          <w:lang w:val="en-US" w:eastAsia="zh-CN"/>
        </w:rPr>
        <w:t>《国务院办公厅关于加强入河入海排污口监督管理工作的实施意见》（国办函〔2022〕17号）</w:t>
      </w:r>
    </w:p>
    <w:p w14:paraId="7E1174AB">
      <w:pPr>
        <w:pStyle w:val="2"/>
        <w:rPr>
          <w:rFonts w:hint="eastAsia"/>
          <w:color w:val="auto"/>
          <w:highlight w:val="none"/>
          <w:lang w:val="en-US" w:eastAsia="zh-CN"/>
        </w:rPr>
      </w:pPr>
      <w:r>
        <w:rPr>
          <w:rFonts w:hint="eastAsia"/>
          <w:color w:val="auto"/>
          <w:highlight w:val="none"/>
          <w:lang w:val="en-US" w:eastAsia="zh-CN"/>
        </w:rPr>
        <w:t>（六）明确排污口分类。根据排污口责任主体所属行业及排放特征，将排污口分为工业排污口、城镇污水处理厂排污口、农业排口、其他排口等四种类型。其中，工业排污口包括工矿企业排污口和雨洪排口、工业及其他各类园区污水处理厂排污口和雨洪排口等；农业排口包括规模化畜禽养殖排污口、规模化水产养殖排污口等；其他排口包括大中型灌区排口、规模以下水产养殖排污口、农村污水处理设施排污口、农村生活污水散排口等。各地可从实际出发细化排污口类型。</w:t>
      </w:r>
    </w:p>
    <w:p w14:paraId="6C6629A2">
      <w:pPr>
        <w:pStyle w:val="2"/>
        <w:rPr>
          <w:rFonts w:hint="eastAsia"/>
          <w:color w:val="auto"/>
          <w:highlight w:val="none"/>
          <w:lang w:val="en-US" w:eastAsia="zh-CN"/>
        </w:rPr>
      </w:pPr>
      <w:r>
        <w:rPr>
          <w:rFonts w:hint="eastAsia"/>
          <w:color w:val="auto"/>
          <w:highlight w:val="none"/>
          <w:lang w:val="en-US" w:eastAsia="zh-CN"/>
        </w:rPr>
        <w:t>（八）依法取缔一批。对违反法律法规规定，在饮用水水源保护区、自然保护地及其他需要特殊保护区域内设置的排污口，由属地县级以上地方人民政府或生态环境部门依法采取责令拆除、责令关闭等措施予以取缔。要妥善处理历史遗留问题，避免“一刀切”，合理制定整治措施，确保相关区域水生态环境安全和供水安全。</w:t>
      </w:r>
    </w:p>
    <w:p w14:paraId="31F93307">
      <w:pPr>
        <w:pStyle w:val="2"/>
        <w:rPr>
          <w:rFonts w:hint="eastAsia"/>
          <w:color w:val="auto"/>
          <w:highlight w:val="none"/>
          <w:lang w:val="en-US" w:eastAsia="zh-CN"/>
        </w:rPr>
      </w:pPr>
      <w:r>
        <w:rPr>
          <w:rFonts w:hint="eastAsia"/>
          <w:color w:val="auto"/>
          <w:highlight w:val="none"/>
          <w:lang w:val="en-US" w:eastAsia="zh-CN"/>
        </w:rPr>
        <w:t>（九）清理合并一批。对于城镇污水收集管网覆盖范围内的生活污水散排口，原则上予以清理合并，污水依法规范接入污水收集管网。工业及其他各类园区或各类开发区内企业现有排污口应尽可能清理合并，污水通过截污纳管由园区或开发区污水集中处理设施统一处理。工业及其他各类园区或各类开发区外的工矿企业，原则上一个企业只保留一个工矿企业排污口，对于厂区较大或有多个厂区的，应尽可能清理合并排污口，清理合并后确有必要保留两个及以上工矿企业排污口的，应告知属地地市级生态环境部门。对于集中分布、连片聚集的中小型水产养殖散排口，鼓励各地统一收集处理养殖尾水，设置统一的排污口。</w:t>
      </w:r>
    </w:p>
    <w:p w14:paraId="4CF5FE28">
      <w:pPr>
        <w:pStyle w:val="37"/>
        <w:keepNext/>
        <w:keepLines/>
        <w:widowControl w:val="0"/>
        <w:numPr>
          <w:ilvl w:val="2"/>
          <w:numId w:val="2"/>
        </w:numPr>
        <w:tabs>
          <w:tab w:val="clear" w:pos="862"/>
          <w:tab w:val="clear" w:pos="1021"/>
        </w:tabs>
        <w:bidi w:val="0"/>
        <w:spacing w:before="20" w:after="20" w:line="360" w:lineRule="auto"/>
        <w:jc w:val="left"/>
        <w:outlineLvl w:val="2"/>
        <w:rPr>
          <w:rFonts w:hint="eastAsia"/>
          <w:color w:val="auto"/>
          <w:highlight w:val="none"/>
          <w:lang w:val="en-US" w:eastAsia="zh-CN"/>
        </w:rPr>
      </w:pPr>
      <w:r>
        <w:rPr>
          <w:rFonts w:hint="eastAsia"/>
          <w:color w:val="auto"/>
          <w:highlight w:val="none"/>
          <w:lang w:val="en-US" w:eastAsia="zh-CN"/>
        </w:rPr>
        <w:t>《湖南省水功能区监督管理办法》（湘政办发〔2016〕14号）</w:t>
      </w:r>
    </w:p>
    <w:p w14:paraId="17B4BCEE">
      <w:pPr>
        <w:pStyle w:val="2"/>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第十八条</w:t>
      </w:r>
      <w:r>
        <w:rPr>
          <w:rFonts w:hint="eastAsia" w:cs="Times New Roman"/>
          <w:color w:val="auto"/>
          <w:kern w:val="2"/>
          <w:sz w:val="24"/>
          <w:highlight w:val="none"/>
          <w:lang w:val="en-US" w:eastAsia="zh-CN" w:bidi="ar-SA"/>
        </w:rPr>
        <w:t xml:space="preserve"> </w:t>
      </w:r>
      <w:r>
        <w:rPr>
          <w:rFonts w:hint="eastAsia" w:ascii="Times New Roman" w:hAnsi="Times New Roman" w:eastAsia="宋体" w:cs="Times New Roman"/>
          <w:color w:val="auto"/>
          <w:kern w:val="2"/>
          <w:sz w:val="24"/>
          <w:highlight w:val="none"/>
          <w:lang w:val="en-US" w:eastAsia="zh-CN" w:bidi="ar-SA"/>
        </w:rPr>
        <w:t>饮用水源区已经是饮用水水源地的，按法定程序报批，并开展饮用水水源地达标建设，加强预警与应急管理，保障饮用水安全。饮用水源区按照规划要求属于饮用水水源地的，禁止新设入河排污口，并严格控制其他功能的取水。</w:t>
      </w:r>
    </w:p>
    <w:p w14:paraId="787E74BC">
      <w:pPr>
        <w:pStyle w:val="2"/>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第十九条</w:t>
      </w:r>
      <w:r>
        <w:rPr>
          <w:rFonts w:hint="eastAsia" w:cs="Times New Roman"/>
          <w:color w:val="auto"/>
          <w:kern w:val="2"/>
          <w:sz w:val="24"/>
          <w:highlight w:val="none"/>
          <w:lang w:val="en-US" w:eastAsia="zh-CN" w:bidi="ar-SA"/>
        </w:rPr>
        <w:t xml:space="preserve"> </w:t>
      </w:r>
      <w:r>
        <w:rPr>
          <w:rFonts w:hint="eastAsia" w:ascii="Times New Roman" w:hAnsi="Times New Roman" w:eastAsia="宋体" w:cs="Times New Roman"/>
          <w:color w:val="auto"/>
          <w:kern w:val="2"/>
          <w:sz w:val="24"/>
          <w:highlight w:val="none"/>
          <w:lang w:val="en-US" w:eastAsia="zh-CN" w:bidi="ar-SA"/>
        </w:rPr>
        <w:t>工业用水区和农业用水区应当优先满足工业和农业用水需要，实行工业和农业取水总量控制制度，并严格执行有关取水许可管理规定。在工业用水区和农业用水区设置入河排污口，应当保证该功能区内取水点的水质符合工业及农业用水水质要求。</w:t>
      </w:r>
    </w:p>
    <w:p w14:paraId="01DF51D8">
      <w:pPr>
        <w:pStyle w:val="2"/>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第二十条</w:t>
      </w:r>
      <w:r>
        <w:rPr>
          <w:rFonts w:hint="eastAsia" w:cs="Times New Roman"/>
          <w:color w:val="auto"/>
          <w:kern w:val="2"/>
          <w:sz w:val="24"/>
          <w:highlight w:val="none"/>
          <w:lang w:val="en-US" w:eastAsia="zh-CN" w:bidi="ar-SA"/>
        </w:rPr>
        <w:t xml:space="preserve"> </w:t>
      </w:r>
      <w:r>
        <w:rPr>
          <w:rFonts w:hint="eastAsia" w:ascii="Times New Roman" w:hAnsi="Times New Roman" w:eastAsia="宋体" w:cs="Times New Roman"/>
          <w:color w:val="auto"/>
          <w:kern w:val="2"/>
          <w:sz w:val="24"/>
          <w:highlight w:val="none"/>
          <w:lang w:val="en-US" w:eastAsia="zh-CN" w:bidi="ar-SA"/>
        </w:rPr>
        <w:t>渔业用水区应当维护渔业用水的基本水量需求，保护天然水生生物的重要栖息地及主要洄游通道。渔业用水区应当按照渔业用水及其水质标准的要求，严格控制污染物排放，重要渔业水体的保护区内，禁止新设入河排污口。渔业用水区的水产养殖水域，应当严格控制水产养殖污染。兼有其他用水功能的渔业用水区，应当按照渔业用水区的要求，合理利用渔业用水区水域，优化控制水资源开发利用活动。</w:t>
      </w:r>
    </w:p>
    <w:p w14:paraId="5EA74939">
      <w:pPr>
        <w:pStyle w:val="2"/>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第二十一条</w:t>
      </w:r>
      <w:r>
        <w:rPr>
          <w:rFonts w:hint="eastAsia" w:cs="Times New Roman"/>
          <w:color w:val="auto"/>
          <w:kern w:val="2"/>
          <w:sz w:val="24"/>
          <w:highlight w:val="none"/>
          <w:lang w:val="en-US" w:eastAsia="zh-CN" w:bidi="ar-SA"/>
        </w:rPr>
        <w:t xml:space="preserve"> </w:t>
      </w:r>
      <w:r>
        <w:rPr>
          <w:rFonts w:hint="eastAsia" w:ascii="Times New Roman" w:hAnsi="Times New Roman" w:eastAsia="宋体" w:cs="Times New Roman"/>
          <w:color w:val="auto"/>
          <w:kern w:val="2"/>
          <w:sz w:val="24"/>
          <w:highlight w:val="none"/>
          <w:lang w:val="en-US" w:eastAsia="zh-CN" w:bidi="ar-SA"/>
        </w:rPr>
        <w:t>景观娱乐用水区的建设活动不得对景观娱乐用水功能造成重大不利影响。风景名胜区的涉水区内，禁止新设入河排污口。</w:t>
      </w:r>
    </w:p>
    <w:p w14:paraId="6E269F3A">
      <w:pPr>
        <w:pStyle w:val="2"/>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p>
    <w:p w14:paraId="7382D4AE">
      <w:pPr>
        <w:pStyle w:val="37"/>
        <w:keepNext/>
        <w:keepLines/>
        <w:widowControl w:val="0"/>
        <w:numPr>
          <w:ilvl w:val="2"/>
          <w:numId w:val="2"/>
        </w:numPr>
        <w:bidi w:val="0"/>
        <w:spacing w:before="20" w:after="20" w:line="360" w:lineRule="auto"/>
        <w:jc w:val="left"/>
        <w:outlineLvl w:val="2"/>
        <w:rPr>
          <w:rFonts w:hint="eastAsia"/>
          <w:color w:val="auto"/>
          <w:highlight w:val="none"/>
          <w:lang w:val="en-US" w:eastAsia="zh-CN"/>
        </w:rPr>
      </w:pPr>
      <w:r>
        <w:rPr>
          <w:rFonts w:hint="eastAsia"/>
          <w:color w:val="auto"/>
          <w:highlight w:val="none"/>
          <w:lang w:val="en-US" w:eastAsia="zh-CN"/>
        </w:rPr>
        <w:t>《益阳市最严格水资源管理制度实施方案》（益政发〔2013〕23号）</w:t>
      </w:r>
    </w:p>
    <w:p w14:paraId="6B925792">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二)实行水功能区纳污总量控制。水行政主管部门要按照水功能区管理要求核定水功能区纳污能力，提出水功能区限制排污总量意见。环境保护行政主管部门按水功能区限制排污总量意见和水功能区达标要求，制定水功能区限制排污总量年度目标任务，明确年度入河排污控制指标。各级人民政府要把限制排污总量和年度入河排污控制指标作为水污染防治和污染减排工作的重要依据，切实加强工业污染源控制，加大主要污染物减排力度，严格控制入河湖排污总量，确保水功能区达标。</w:t>
      </w:r>
    </w:p>
    <w:p w14:paraId="608BBBA7">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三)严格入河湖排污口设置审批。新建、改建或扩大入河排污口要进行入河湖排污口设置论证，并经水行政主管部门审批同意，未经水行政主管部门同意，入河湖排污口不得擅自开工建设。入河湖排污口建设完成投入使用前，须经水行政主管部门组织验收。实行入河排污口登记制度。对排污量超出水功能区限排总量的地区，不得审批新增取水和入河湖排污口。</w:t>
      </w:r>
    </w:p>
    <w:p w14:paraId="63ABE690">
      <w:pPr>
        <w:keepNext/>
        <w:keepLines/>
        <w:widowControl w:val="0"/>
        <w:numPr>
          <w:ilvl w:val="2"/>
          <w:numId w:val="2"/>
        </w:numPr>
        <w:bidi w:val="0"/>
        <w:spacing w:before="20" w:after="20" w:line="360" w:lineRule="auto"/>
        <w:jc w:val="left"/>
        <w:outlineLvl w:val="2"/>
        <w:rPr>
          <w:rFonts w:hint="eastAsia" w:ascii="Times New Roman" w:hAnsi="Times New Roman" w:eastAsia="黑体" w:cs="Times New Roman"/>
          <w:b w:val="0"/>
          <w:bCs w:val="0"/>
          <w:color w:val="auto"/>
          <w:kern w:val="2"/>
          <w:sz w:val="28"/>
          <w:szCs w:val="20"/>
          <w:highlight w:val="none"/>
          <w:lang w:val="en-US" w:eastAsia="zh-CN" w:bidi="ar-SA"/>
        </w:rPr>
      </w:pPr>
      <w:r>
        <w:rPr>
          <w:rFonts w:hint="eastAsia" w:ascii="Times New Roman" w:hAnsi="Times New Roman" w:eastAsia="黑体" w:cs="Times New Roman"/>
          <w:b w:val="0"/>
          <w:bCs w:val="0"/>
          <w:color w:val="auto"/>
          <w:kern w:val="2"/>
          <w:sz w:val="28"/>
          <w:szCs w:val="20"/>
          <w:highlight w:val="none"/>
          <w:lang w:val="en-US" w:eastAsia="zh-CN" w:bidi="ar-SA"/>
        </w:rPr>
        <w:t>省政府《关于加强资江流域涉锑企业环境整治的通知》</w:t>
      </w:r>
    </w:p>
    <w:p w14:paraId="2D86D40A">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根据通知中《资江流域涉锑企业环境整治基本要求》，资江流域涉锑企业必须满足以下条件方可生产运行。</w:t>
      </w:r>
    </w:p>
    <w:p w14:paraId="4E6B9379">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（一）基本条件外排废水严禁直接进入饮用水源一、二级保护区；外排废水通过支流进入饮用水源一、二级保护区应距流入干流交汇口2公里以上。</w:t>
      </w:r>
    </w:p>
    <w:p w14:paraId="400B6D02">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（二）审批、验收手续环境保护审批、验收手续齐全，所有涉锑企业须有省、市环保局出具的环境影响评价批复和竣工环境保护验收批复，锑矿开采还必须由国土、矿产资源主管部门审批登记，颁发采矿许可证。</w:t>
      </w:r>
    </w:p>
    <w:p w14:paraId="55309E29">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三）污染防治锑矿开采须配套坑道废水处理设施和废石堆场，并采取水土流失防治措施；选矿企业须有开采规模配套的尾矿库，库区建有撇洪系统，尾矿库配套建设有渗沥水处理设施或回用设施。厂界噪声达标。</w:t>
      </w:r>
    </w:p>
    <w:p w14:paraId="1085CB98">
      <w:pPr>
        <w:keepNext/>
        <w:keepLines/>
        <w:widowControl w:val="0"/>
        <w:numPr>
          <w:ilvl w:val="2"/>
          <w:numId w:val="2"/>
        </w:numPr>
        <w:bidi w:val="0"/>
        <w:spacing w:before="20" w:after="20" w:line="360" w:lineRule="auto"/>
        <w:jc w:val="left"/>
        <w:outlineLvl w:val="2"/>
        <w:rPr>
          <w:rFonts w:hint="eastAsia" w:ascii="Times New Roman" w:hAnsi="Times New Roman" w:eastAsia="黑体" w:cs="Times New Roman"/>
          <w:b w:val="0"/>
          <w:bCs w:val="0"/>
          <w:color w:val="auto"/>
          <w:kern w:val="2"/>
          <w:sz w:val="28"/>
          <w:szCs w:val="20"/>
          <w:highlight w:val="none"/>
          <w:lang w:val="en-US" w:eastAsia="zh-CN" w:bidi="ar-SA"/>
        </w:rPr>
      </w:pPr>
      <w:r>
        <w:rPr>
          <w:rFonts w:hint="eastAsia" w:ascii="Times New Roman" w:hAnsi="Times New Roman" w:eastAsia="黑体" w:cs="Times New Roman"/>
          <w:b w:val="0"/>
          <w:bCs w:val="0"/>
          <w:color w:val="auto"/>
          <w:kern w:val="2"/>
          <w:sz w:val="28"/>
          <w:szCs w:val="20"/>
          <w:highlight w:val="none"/>
          <w:lang w:val="en-US" w:eastAsia="zh-CN" w:bidi="ar-SA"/>
        </w:rPr>
        <w:t>《益阳市“十四五”生态环境保护规划》益政办发〔2021〕19号</w:t>
      </w:r>
    </w:p>
    <w:p w14:paraId="2FD3343D">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一）持续深化水环境治理。继续推进资江流域益阳段锑污染整治，以渠江、烟溪、小烟溪、瀼溪、龙须溪、潺溪、沾溪、兰溪河等支流为重点，开展综合治理工程；其余支流开展长期跟踪监测，确保实现资江流域益阳段锑浓度稳定达标。</w:t>
      </w:r>
    </w:p>
    <w:p w14:paraId="023F8A74">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二）严控重点领域环境风险以资江流域锑污染为重点，严格控制新增重金属排放，进一步加强产业优化调整，严格新建项目准入，优化总量控制，大力推进风险管控举措。到2025年，重点行业重点重金属污染物排放量下降5%。</w:t>
      </w:r>
    </w:p>
    <w:p w14:paraId="670B03EC">
      <w:pPr>
        <w:pStyle w:val="36"/>
        <w:bidi w:val="0"/>
        <w:rPr>
          <w:rFonts w:hint="eastAsia" w:ascii="Times New Roman" w:hAnsi="Times New Roman" w:cs="Times New Roman"/>
          <w:color w:val="auto"/>
          <w:highlight w:val="none"/>
          <w:lang w:val="en-US" w:eastAsia="zh-CN"/>
        </w:rPr>
      </w:pPr>
      <w:bookmarkStart w:id="56" w:name="_Toc30249"/>
      <w:r>
        <w:rPr>
          <w:rFonts w:hint="eastAsia" w:ascii="Times New Roman" w:hAnsi="Times New Roman" w:cs="Times New Roman"/>
          <w:color w:val="auto"/>
          <w:highlight w:val="none"/>
          <w:lang w:val="en-US" w:eastAsia="zh-CN"/>
        </w:rPr>
        <w:t>入河排污口排放位置、排放方式及与相关规划区划的符合性</w:t>
      </w:r>
      <w:bookmarkEnd w:id="56"/>
    </w:p>
    <w:p w14:paraId="5896B44D">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入河排污口排放位置</w:t>
      </w:r>
    </w:p>
    <w:p w14:paraId="6045FCE4">
      <w:pPr>
        <w:pStyle w:val="2"/>
        <w:rPr>
          <w:rFonts w:hint="default"/>
          <w:color w:val="auto"/>
          <w:highlight w:val="none"/>
          <w:u w:val="single"/>
          <w:lang w:val="en-US" w:eastAsia="zh-CN"/>
        </w:rPr>
      </w:pPr>
      <w:r>
        <w:rPr>
          <w:rFonts w:hint="eastAsia"/>
          <w:color w:val="auto"/>
          <w:highlight w:val="none"/>
          <w:lang w:val="en-US" w:eastAsia="zh-CN"/>
        </w:rPr>
        <w:t>排污口地点：</w:t>
      </w:r>
      <w:r>
        <w:rPr>
          <w:rFonts w:hint="eastAsia"/>
          <w:color w:val="auto"/>
          <w:highlight w:val="none"/>
          <w:u w:val="single"/>
          <w:lang w:val="en-US" w:eastAsia="zh-CN"/>
        </w:rPr>
        <w:t>奎溪镇白羊社区渣滓溪右岸</w:t>
      </w:r>
    </w:p>
    <w:p w14:paraId="7694AE1B">
      <w:pPr>
        <w:pStyle w:val="2"/>
        <w:rPr>
          <w:rFonts w:hint="default"/>
          <w:color w:val="auto"/>
          <w:highlight w:val="none"/>
          <w:lang w:val="en-US" w:eastAsia="zh-CN"/>
        </w:rPr>
      </w:pPr>
      <w:r>
        <w:rPr>
          <w:rFonts w:hint="default"/>
          <w:color w:val="auto"/>
          <w:highlight w:val="none"/>
          <w:lang w:val="en-US" w:eastAsia="zh-CN"/>
        </w:rPr>
        <w:t>排污口位置坐标：E110°49′56.90791″，N28°15′15.91420″，排污口底高程：</w:t>
      </w:r>
      <w:r>
        <w:rPr>
          <w:rFonts w:hint="eastAsia"/>
          <w:color w:val="auto"/>
          <w:highlight w:val="none"/>
          <w:lang w:val="en-US" w:eastAsia="zh-CN"/>
        </w:rPr>
        <w:t>287</w:t>
      </w:r>
      <w:r>
        <w:rPr>
          <w:rFonts w:hint="default"/>
          <w:color w:val="auto"/>
          <w:highlight w:val="none"/>
          <w:lang w:val="en-US" w:eastAsia="zh-CN"/>
        </w:rPr>
        <w:t>m</w:t>
      </w:r>
    </w:p>
    <w:p w14:paraId="7FE49786">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入河排污口排放方式</w:t>
      </w:r>
      <w:r>
        <w:rPr>
          <w:rFonts w:hint="eastAsia" w:cs="Times New Roman"/>
          <w:color w:val="auto"/>
          <w:highlight w:val="none"/>
          <w:lang w:val="en-US" w:eastAsia="zh-CN"/>
        </w:rPr>
        <w:t>及其他</w:t>
      </w:r>
    </w:p>
    <w:p w14:paraId="3627FBE4">
      <w:pPr>
        <w:pStyle w:val="2"/>
        <w:rPr>
          <w:rFonts w:hint="eastAsia"/>
          <w:color w:val="auto"/>
          <w:highlight w:val="none"/>
          <w:lang w:val="en-US" w:eastAsia="zh-CN"/>
        </w:rPr>
      </w:pPr>
      <w:r>
        <w:rPr>
          <w:rFonts w:hint="eastAsia"/>
          <w:color w:val="auto"/>
          <w:highlight w:val="none"/>
          <w:lang w:val="en-US" w:eastAsia="zh-CN"/>
        </w:rPr>
        <w:t>排放方式：连续排放</w:t>
      </w:r>
    </w:p>
    <w:p w14:paraId="7A986E29">
      <w:pPr>
        <w:pStyle w:val="2"/>
        <w:rPr>
          <w:rFonts w:hint="eastAsia"/>
          <w:color w:val="auto"/>
          <w:highlight w:val="none"/>
          <w:lang w:val="en-US" w:eastAsia="zh-CN"/>
        </w:rPr>
      </w:pPr>
      <w:r>
        <w:rPr>
          <w:rFonts w:hint="eastAsia"/>
          <w:color w:val="auto"/>
          <w:highlight w:val="none"/>
          <w:lang w:val="en-US" w:eastAsia="zh-CN"/>
        </w:rPr>
        <w:t>入河方式：直接排入渣滓溪</w:t>
      </w:r>
    </w:p>
    <w:p w14:paraId="3384378F">
      <w:pPr>
        <w:pStyle w:val="2"/>
        <w:rPr>
          <w:rFonts w:hint="eastAsia"/>
          <w:color w:val="auto"/>
          <w:highlight w:val="none"/>
          <w:lang w:val="en-US" w:eastAsia="zh-CN"/>
        </w:rPr>
      </w:pPr>
      <w:r>
        <w:rPr>
          <w:rFonts w:hint="eastAsia"/>
          <w:color w:val="auto"/>
          <w:highlight w:val="none"/>
          <w:lang w:val="en-US" w:eastAsia="zh-CN"/>
        </w:rPr>
        <w:t>入河排污口类型：工业排污口</w:t>
      </w:r>
    </w:p>
    <w:p w14:paraId="1365130B">
      <w:pPr>
        <w:pStyle w:val="2"/>
        <w:rPr>
          <w:rFonts w:hint="eastAsia"/>
          <w:color w:val="auto"/>
          <w:highlight w:val="none"/>
          <w:lang w:val="en-US" w:eastAsia="zh-CN"/>
        </w:rPr>
      </w:pPr>
      <w:r>
        <w:rPr>
          <w:rFonts w:hint="eastAsia"/>
          <w:color w:val="auto"/>
          <w:highlight w:val="none"/>
          <w:lang w:val="en-US" w:eastAsia="zh-CN"/>
        </w:rPr>
        <w:t>入河废水排放量：3360m³/d</w:t>
      </w:r>
    </w:p>
    <w:p w14:paraId="55509542">
      <w:pPr>
        <w:pStyle w:val="2"/>
        <w:rPr>
          <w:rFonts w:hint="eastAsia"/>
          <w:color w:val="auto"/>
          <w:highlight w:val="none"/>
          <w:lang w:val="en-US" w:eastAsia="zh-CN"/>
        </w:rPr>
      </w:pPr>
      <w:r>
        <w:rPr>
          <w:rFonts w:hint="eastAsia"/>
          <w:color w:val="auto"/>
          <w:highlight w:val="none"/>
          <w:lang w:val="en-US" w:eastAsia="zh-CN"/>
        </w:rPr>
        <w:t>入河废水执行标准：铊执行《工业废水铊污染物排放标准》（DB43/968-2021）；其他因子执行《锡、锑、汞工业污染物排放标准》（GB30770-2014）中表2新建企业水污染物排放限值，其中锑排放浓度较表2水污染物特别排放限值0.3mg/L严格50%执行，即0.15mg/L</w:t>
      </w:r>
    </w:p>
    <w:p w14:paraId="463F3006">
      <w:pPr>
        <w:pStyle w:val="2"/>
        <w:rPr>
          <w:rFonts w:hint="eastAsia"/>
          <w:color w:val="auto"/>
          <w:highlight w:val="none"/>
          <w:lang w:val="en-US" w:eastAsia="zh-CN"/>
        </w:rPr>
      </w:pPr>
      <w:r>
        <w:rPr>
          <w:rFonts w:hint="eastAsia"/>
          <w:color w:val="auto"/>
          <w:highlight w:val="none"/>
          <w:lang w:val="en-US" w:eastAsia="zh-CN"/>
        </w:rPr>
        <w:t>排入水体及水功能区：暂未划分水功能区，按《地表水环境质量标准》 （GB3838-2002）Ⅲ类水质标准执行。</w:t>
      </w:r>
    </w:p>
    <w:p w14:paraId="1A2DDF33">
      <w:pPr>
        <w:pStyle w:val="3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入河排污口与相关规划区划的符合性</w:t>
      </w:r>
    </w:p>
    <w:p w14:paraId="07AEDF18">
      <w:pPr>
        <w:pStyle w:val="34"/>
        <w:bidi w:val="0"/>
        <w:rPr>
          <w:rFonts w:hint="eastAsia"/>
          <w:color w:val="auto"/>
          <w:highlight w:val="none"/>
          <w:lang w:val="en-US" w:eastAsia="zh-CN"/>
        </w:rPr>
      </w:pPr>
      <w:r>
        <w:rPr>
          <w:rFonts w:hint="eastAsia"/>
          <w:color w:val="auto"/>
          <w:highlight w:val="none"/>
          <w:lang w:val="en-US" w:eastAsia="zh-CN"/>
        </w:rPr>
        <w:t>与《入河排污口监督管理办法》（2015年修正本）相符性分析</w:t>
      </w:r>
    </w:p>
    <w:p w14:paraId="0436B0B4">
      <w:pPr>
        <w:pStyle w:val="2"/>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本项目与《入河排污口监督管理办法》（2015年修正本）符合性分析见下表。</w:t>
      </w:r>
    </w:p>
    <w:p w14:paraId="03C2D94C">
      <w:pPr>
        <w:pStyle w:val="28"/>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u w:val="none"/>
          <w:lang w:val="en-US" w:eastAsia="zh-CN" w:bidi="ar-SA"/>
        </w:rPr>
        <w:t>表</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5.2</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1</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 xml:space="preserve">  </w:t>
      </w:r>
      <w:r>
        <w:rPr>
          <w:rFonts w:hint="default" w:ascii="Times New Roman" w:hAnsi="Times New Roman" w:eastAsia="黑体" w:cs="Times New Roman"/>
          <w:color w:val="auto"/>
          <w:kern w:val="2"/>
          <w:sz w:val="24"/>
          <w:highlight w:val="none"/>
          <w:lang w:val="en-US" w:eastAsia="zh-CN" w:bidi="ar-SA"/>
        </w:rPr>
        <w:t>与《入河排污口监督管理办法》（2015年修正本）符合性分析</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438"/>
        <w:gridCol w:w="3888"/>
        <w:gridCol w:w="3882"/>
        <w:gridCol w:w="844"/>
      </w:tblGrid>
      <w:tr w14:paraId="02D40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2" w:type="pct"/>
            <w:tcBorders>
              <w:tl2br w:val="nil"/>
              <w:tr2bl w:val="nil"/>
            </w:tcBorders>
            <w:vAlign w:val="center"/>
          </w:tcPr>
          <w:p w14:paraId="39AA3652">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序号</w:t>
            </w:r>
          </w:p>
        </w:tc>
        <w:tc>
          <w:tcPr>
            <w:tcW w:w="2147" w:type="pct"/>
            <w:tcBorders>
              <w:tl2br w:val="nil"/>
              <w:tr2bl w:val="nil"/>
            </w:tcBorders>
            <w:vAlign w:val="center"/>
          </w:tcPr>
          <w:p w14:paraId="00E77CD3">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要求</w:t>
            </w:r>
          </w:p>
        </w:tc>
        <w:tc>
          <w:tcPr>
            <w:tcW w:w="2144" w:type="pct"/>
            <w:tcBorders>
              <w:tl2br w:val="nil"/>
              <w:tr2bl w:val="nil"/>
            </w:tcBorders>
            <w:vAlign w:val="center"/>
          </w:tcPr>
          <w:p w14:paraId="3277FD57">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本项目情况</w:t>
            </w:r>
          </w:p>
        </w:tc>
        <w:tc>
          <w:tcPr>
            <w:tcW w:w="466" w:type="pct"/>
            <w:tcBorders>
              <w:tl2br w:val="nil"/>
              <w:tr2bl w:val="nil"/>
            </w:tcBorders>
            <w:vAlign w:val="center"/>
          </w:tcPr>
          <w:p w14:paraId="1804A73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符合性</w:t>
            </w:r>
          </w:p>
        </w:tc>
      </w:tr>
      <w:tr w14:paraId="5B5C1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2" w:type="pct"/>
            <w:tcBorders>
              <w:tl2br w:val="nil"/>
              <w:tr2bl w:val="nil"/>
            </w:tcBorders>
            <w:vAlign w:val="center"/>
          </w:tcPr>
          <w:p w14:paraId="50B89E8C">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w:t>
            </w:r>
          </w:p>
        </w:tc>
        <w:tc>
          <w:tcPr>
            <w:tcW w:w="2147" w:type="pct"/>
            <w:tcBorders>
              <w:tl2br w:val="nil"/>
              <w:tr2bl w:val="nil"/>
            </w:tcBorders>
            <w:vAlign w:val="center"/>
          </w:tcPr>
          <w:p w14:paraId="0546179B">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在饮用水水源保护区内设置入河排污口的</w:t>
            </w:r>
          </w:p>
        </w:tc>
        <w:tc>
          <w:tcPr>
            <w:tcW w:w="2144" w:type="pct"/>
            <w:tcBorders>
              <w:tl2br w:val="nil"/>
              <w:tr2bl w:val="nil"/>
            </w:tcBorders>
            <w:vAlign w:val="center"/>
          </w:tcPr>
          <w:p w14:paraId="4C83DDFC">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本项目排污口位于渣滓溪，下游41.255km范围内无饮用水水源保护区</w:t>
            </w:r>
          </w:p>
        </w:tc>
        <w:tc>
          <w:tcPr>
            <w:tcW w:w="466" w:type="pct"/>
            <w:tcBorders>
              <w:tl2br w:val="nil"/>
              <w:tr2bl w:val="nil"/>
            </w:tcBorders>
            <w:vAlign w:val="center"/>
          </w:tcPr>
          <w:p w14:paraId="2874630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7851A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2" w:type="pct"/>
            <w:tcBorders>
              <w:tl2br w:val="nil"/>
              <w:tr2bl w:val="nil"/>
            </w:tcBorders>
            <w:vAlign w:val="center"/>
          </w:tcPr>
          <w:p w14:paraId="5678A36B">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w:t>
            </w:r>
          </w:p>
        </w:tc>
        <w:tc>
          <w:tcPr>
            <w:tcW w:w="2147" w:type="pct"/>
            <w:tcBorders>
              <w:tl2br w:val="nil"/>
              <w:tr2bl w:val="nil"/>
            </w:tcBorders>
            <w:vAlign w:val="center"/>
          </w:tcPr>
          <w:p w14:paraId="7772D35A">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在省级以上人民政府要求削减排污总量的水域设置入河排污口的</w:t>
            </w:r>
          </w:p>
        </w:tc>
        <w:tc>
          <w:tcPr>
            <w:tcW w:w="2144" w:type="pct"/>
            <w:tcBorders>
              <w:tl2br w:val="nil"/>
              <w:tr2bl w:val="nil"/>
            </w:tcBorders>
            <w:vAlign w:val="center"/>
          </w:tcPr>
          <w:p w14:paraId="5FB6416E">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排污口所在水域不属于省级以上人民政府要求削减排污总量的水域，且本项目为减排项目，属于已建补办排污口论证手续类</w:t>
            </w:r>
          </w:p>
        </w:tc>
        <w:tc>
          <w:tcPr>
            <w:tcW w:w="466" w:type="pct"/>
            <w:tcBorders>
              <w:tl2br w:val="nil"/>
              <w:tr2bl w:val="nil"/>
            </w:tcBorders>
            <w:vAlign w:val="center"/>
          </w:tcPr>
          <w:p w14:paraId="78C4D34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794D9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2" w:type="pct"/>
            <w:tcBorders>
              <w:tl2br w:val="nil"/>
              <w:tr2bl w:val="nil"/>
            </w:tcBorders>
            <w:vAlign w:val="center"/>
          </w:tcPr>
          <w:p w14:paraId="339414A9">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w:t>
            </w:r>
          </w:p>
        </w:tc>
        <w:tc>
          <w:tcPr>
            <w:tcW w:w="2147" w:type="pct"/>
            <w:tcBorders>
              <w:tl2br w:val="nil"/>
              <w:tr2bl w:val="nil"/>
            </w:tcBorders>
            <w:vAlign w:val="center"/>
          </w:tcPr>
          <w:p w14:paraId="5CD42649">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入河排污口设置可能使水域水质达不到水功能区要求的</w:t>
            </w:r>
          </w:p>
        </w:tc>
        <w:tc>
          <w:tcPr>
            <w:tcW w:w="2144" w:type="pct"/>
            <w:tcBorders>
              <w:tl2br w:val="nil"/>
              <w:tr2bl w:val="nil"/>
            </w:tcBorders>
            <w:vAlign w:val="center"/>
          </w:tcPr>
          <w:p w14:paraId="57036B21">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本项目为已建补办排污口论证手续，因区域地表水环境质量现状锑超标，本项目通过减少锑的入河排放量，以改善区域锑超标现状。</w:t>
            </w:r>
          </w:p>
        </w:tc>
        <w:tc>
          <w:tcPr>
            <w:tcW w:w="466" w:type="pct"/>
            <w:tcBorders>
              <w:tl2br w:val="nil"/>
              <w:tr2bl w:val="nil"/>
            </w:tcBorders>
            <w:vAlign w:val="center"/>
          </w:tcPr>
          <w:p w14:paraId="09D903F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39AE6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2" w:type="pct"/>
            <w:tcBorders>
              <w:tl2br w:val="nil"/>
              <w:tr2bl w:val="nil"/>
            </w:tcBorders>
            <w:vAlign w:val="center"/>
          </w:tcPr>
          <w:p w14:paraId="01C6B4F1">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4</w:t>
            </w:r>
          </w:p>
        </w:tc>
        <w:tc>
          <w:tcPr>
            <w:tcW w:w="2147" w:type="pct"/>
            <w:tcBorders>
              <w:tl2br w:val="nil"/>
              <w:tr2bl w:val="nil"/>
            </w:tcBorders>
            <w:vAlign w:val="center"/>
          </w:tcPr>
          <w:p w14:paraId="1E5AE195">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入河排污口设置直接影响合法取水户用水安全的</w:t>
            </w:r>
          </w:p>
        </w:tc>
        <w:tc>
          <w:tcPr>
            <w:tcW w:w="2144" w:type="pct"/>
            <w:tcBorders>
              <w:tl2br w:val="nil"/>
              <w:tr2bl w:val="nil"/>
            </w:tcBorders>
            <w:vAlign w:val="center"/>
          </w:tcPr>
          <w:p w14:paraId="20DB9AB9">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经现场调查，排污河段无合法取水用户，本项目排污口设置不涉及影响合法取水户用水安全</w:t>
            </w:r>
          </w:p>
        </w:tc>
        <w:tc>
          <w:tcPr>
            <w:tcW w:w="466" w:type="pct"/>
            <w:tcBorders>
              <w:tl2br w:val="nil"/>
              <w:tr2bl w:val="nil"/>
            </w:tcBorders>
            <w:vAlign w:val="center"/>
          </w:tcPr>
          <w:p w14:paraId="24A31DE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34E4C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2" w:type="pct"/>
            <w:tcBorders>
              <w:tl2br w:val="nil"/>
              <w:tr2bl w:val="nil"/>
            </w:tcBorders>
            <w:vAlign w:val="center"/>
          </w:tcPr>
          <w:p w14:paraId="0D3882D1">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5</w:t>
            </w:r>
          </w:p>
        </w:tc>
        <w:tc>
          <w:tcPr>
            <w:tcW w:w="2147" w:type="pct"/>
            <w:tcBorders>
              <w:tl2br w:val="nil"/>
              <w:tr2bl w:val="nil"/>
            </w:tcBorders>
            <w:vAlign w:val="center"/>
          </w:tcPr>
          <w:p w14:paraId="27F77243">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入河排污口设置不符合防洪要求的</w:t>
            </w:r>
          </w:p>
        </w:tc>
        <w:tc>
          <w:tcPr>
            <w:tcW w:w="2144" w:type="pct"/>
            <w:tcBorders>
              <w:tl2br w:val="nil"/>
              <w:tr2bl w:val="nil"/>
            </w:tcBorders>
            <w:vAlign w:val="center"/>
          </w:tcPr>
          <w:p w14:paraId="35380D72">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本项目不涉及防洪大堤，排放水量较小，基本不会对河道防洪产生影响</w:t>
            </w:r>
          </w:p>
        </w:tc>
        <w:tc>
          <w:tcPr>
            <w:tcW w:w="466" w:type="pct"/>
            <w:tcBorders>
              <w:tl2br w:val="nil"/>
              <w:tr2bl w:val="nil"/>
            </w:tcBorders>
            <w:vAlign w:val="center"/>
          </w:tcPr>
          <w:p w14:paraId="748ED45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3322A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2" w:type="pct"/>
            <w:tcBorders>
              <w:tl2br w:val="nil"/>
              <w:tr2bl w:val="nil"/>
            </w:tcBorders>
            <w:vAlign w:val="center"/>
          </w:tcPr>
          <w:p w14:paraId="0EB42908">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6</w:t>
            </w:r>
          </w:p>
        </w:tc>
        <w:tc>
          <w:tcPr>
            <w:tcW w:w="2147" w:type="pct"/>
            <w:tcBorders>
              <w:tl2br w:val="nil"/>
              <w:tr2bl w:val="nil"/>
            </w:tcBorders>
            <w:vAlign w:val="center"/>
          </w:tcPr>
          <w:p w14:paraId="1C7FD4CC">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不符合法律、法规和国家产业政策规定的</w:t>
            </w:r>
          </w:p>
        </w:tc>
        <w:tc>
          <w:tcPr>
            <w:tcW w:w="2144" w:type="pct"/>
            <w:tcBorders>
              <w:tl2br w:val="nil"/>
              <w:tr2bl w:val="nil"/>
            </w:tcBorders>
            <w:vAlign w:val="center"/>
          </w:tcPr>
          <w:p w14:paraId="3C572D19">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本项目排污口设置符合法律、法规和国家产业政策规定</w:t>
            </w:r>
          </w:p>
        </w:tc>
        <w:tc>
          <w:tcPr>
            <w:tcW w:w="466" w:type="pct"/>
            <w:tcBorders>
              <w:tl2br w:val="nil"/>
              <w:tr2bl w:val="nil"/>
            </w:tcBorders>
            <w:vAlign w:val="center"/>
          </w:tcPr>
          <w:p w14:paraId="54A27D1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346BD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2" w:type="pct"/>
            <w:tcBorders>
              <w:tl2br w:val="nil"/>
              <w:tr2bl w:val="nil"/>
            </w:tcBorders>
            <w:vAlign w:val="center"/>
          </w:tcPr>
          <w:p w14:paraId="182E1707">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7</w:t>
            </w:r>
          </w:p>
        </w:tc>
        <w:tc>
          <w:tcPr>
            <w:tcW w:w="2147" w:type="pct"/>
            <w:tcBorders>
              <w:tl2br w:val="nil"/>
              <w:tr2bl w:val="nil"/>
            </w:tcBorders>
            <w:vAlign w:val="center"/>
          </w:tcPr>
          <w:p w14:paraId="032A1E5E">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其他不符合国务院水行政主管部门规定条件的</w:t>
            </w:r>
          </w:p>
        </w:tc>
        <w:tc>
          <w:tcPr>
            <w:tcW w:w="2144" w:type="pct"/>
            <w:tcBorders>
              <w:tl2br w:val="nil"/>
              <w:tr2bl w:val="nil"/>
            </w:tcBorders>
            <w:vAlign w:val="center"/>
          </w:tcPr>
          <w:p w14:paraId="579E8FFF">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本项目不涉及其他不符合国务院水行政主管部门规定条件</w:t>
            </w:r>
          </w:p>
        </w:tc>
        <w:tc>
          <w:tcPr>
            <w:tcW w:w="466" w:type="pct"/>
            <w:tcBorders>
              <w:tl2br w:val="nil"/>
              <w:tr2bl w:val="nil"/>
            </w:tcBorders>
            <w:vAlign w:val="center"/>
          </w:tcPr>
          <w:p w14:paraId="32242C5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bl>
    <w:p w14:paraId="183A984F">
      <w:pPr>
        <w:pStyle w:val="2"/>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根据对照分析，本项目</w:t>
      </w:r>
      <w:r>
        <w:rPr>
          <w:rFonts w:hint="eastAsia" w:ascii="Times New Roman" w:hAnsi="Times New Roman" w:eastAsia="宋体" w:cs="Times New Roman"/>
          <w:color w:val="auto"/>
          <w:kern w:val="2"/>
          <w:sz w:val="24"/>
          <w:highlight w:val="none"/>
          <w:lang w:val="en-US" w:eastAsia="zh-CN" w:bidi="ar-SA"/>
        </w:rPr>
        <w:t>符合</w:t>
      </w:r>
      <w:r>
        <w:rPr>
          <w:rFonts w:hint="default" w:ascii="Times New Roman" w:hAnsi="Times New Roman" w:eastAsia="宋体" w:cs="Times New Roman"/>
          <w:color w:val="auto"/>
          <w:kern w:val="2"/>
          <w:sz w:val="24"/>
          <w:highlight w:val="none"/>
          <w:lang w:val="en-US" w:eastAsia="zh-CN" w:bidi="ar-SA"/>
        </w:rPr>
        <w:t>《入河排污口监督管理办法》（2015年修正本）中的</w:t>
      </w:r>
      <w:r>
        <w:rPr>
          <w:rFonts w:hint="eastAsia" w:ascii="Times New Roman" w:hAnsi="Times New Roman" w:eastAsia="宋体" w:cs="Times New Roman"/>
          <w:color w:val="auto"/>
          <w:kern w:val="2"/>
          <w:sz w:val="24"/>
          <w:highlight w:val="none"/>
          <w:lang w:val="en-US" w:eastAsia="zh-CN" w:bidi="ar-SA"/>
        </w:rPr>
        <w:t>相关规定要求</w:t>
      </w:r>
      <w:r>
        <w:rPr>
          <w:rFonts w:hint="default" w:ascii="Times New Roman" w:hAnsi="Times New Roman" w:eastAsia="宋体" w:cs="Times New Roman"/>
          <w:color w:val="auto"/>
          <w:kern w:val="2"/>
          <w:sz w:val="24"/>
          <w:highlight w:val="none"/>
          <w:lang w:val="en-US" w:eastAsia="zh-CN" w:bidi="ar-SA"/>
        </w:rPr>
        <w:t>。</w:t>
      </w:r>
    </w:p>
    <w:p w14:paraId="4F103248">
      <w:pPr>
        <w:pStyle w:val="34"/>
        <w:bidi w:val="0"/>
        <w:rPr>
          <w:rFonts w:hint="eastAsia"/>
          <w:color w:val="auto"/>
          <w:highlight w:val="none"/>
          <w:lang w:val="en-US" w:eastAsia="zh-CN"/>
        </w:rPr>
      </w:pPr>
      <w:r>
        <w:rPr>
          <w:rFonts w:hint="eastAsia"/>
          <w:color w:val="auto"/>
          <w:highlight w:val="none"/>
          <w:lang w:val="en-US" w:eastAsia="zh-CN"/>
        </w:rPr>
        <w:t>与《湖南省入河排污口监督管理办法》相符性分析</w:t>
      </w:r>
    </w:p>
    <w:p w14:paraId="42FA40C1">
      <w:pPr>
        <w:pStyle w:val="2"/>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本项目与《湖南省入河排污口监督管理办法》符合性分析见下表。</w:t>
      </w:r>
    </w:p>
    <w:p w14:paraId="75428775">
      <w:pPr>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u w:val="none"/>
          <w:lang w:val="en-US" w:eastAsia="zh-CN" w:bidi="ar-SA"/>
        </w:rPr>
        <w:t>表</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5.2</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2</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 xml:space="preserve">  </w:t>
      </w:r>
      <w:r>
        <w:rPr>
          <w:rFonts w:hint="default" w:ascii="Times New Roman" w:hAnsi="Times New Roman" w:eastAsia="黑体" w:cs="Times New Roman"/>
          <w:color w:val="auto"/>
          <w:kern w:val="2"/>
          <w:sz w:val="24"/>
          <w:highlight w:val="none"/>
          <w:lang w:val="en-US" w:eastAsia="zh-CN" w:bidi="ar-SA"/>
        </w:rPr>
        <w:t>与《湖南省入河排污口监督管理办法》符合性分析</w:t>
      </w:r>
    </w:p>
    <w:tbl>
      <w:tblPr>
        <w:tblStyle w:val="22"/>
        <w:tblW w:w="500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436"/>
        <w:gridCol w:w="3892"/>
        <w:gridCol w:w="3887"/>
        <w:gridCol w:w="845"/>
      </w:tblGrid>
      <w:tr w14:paraId="4F532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1" w:type="pct"/>
            <w:tcBorders>
              <w:tl2br w:val="nil"/>
              <w:tr2bl w:val="nil"/>
            </w:tcBorders>
            <w:vAlign w:val="center"/>
          </w:tcPr>
          <w:p w14:paraId="03C50EAA">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序号</w:t>
            </w:r>
          </w:p>
        </w:tc>
        <w:tc>
          <w:tcPr>
            <w:tcW w:w="2147" w:type="pct"/>
            <w:tcBorders>
              <w:tl2br w:val="nil"/>
              <w:tr2bl w:val="nil"/>
            </w:tcBorders>
            <w:vAlign w:val="center"/>
          </w:tcPr>
          <w:p w14:paraId="7DE2BD38">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要求</w:t>
            </w:r>
          </w:p>
        </w:tc>
        <w:tc>
          <w:tcPr>
            <w:tcW w:w="2144" w:type="pct"/>
            <w:tcBorders>
              <w:tl2br w:val="nil"/>
              <w:tr2bl w:val="nil"/>
            </w:tcBorders>
            <w:vAlign w:val="center"/>
          </w:tcPr>
          <w:p w14:paraId="5F472F66">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本项目情况</w:t>
            </w:r>
          </w:p>
        </w:tc>
        <w:tc>
          <w:tcPr>
            <w:tcW w:w="466" w:type="pct"/>
            <w:tcBorders>
              <w:tl2br w:val="nil"/>
              <w:tr2bl w:val="nil"/>
            </w:tcBorders>
            <w:vAlign w:val="center"/>
          </w:tcPr>
          <w:p w14:paraId="6562E2B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符合性</w:t>
            </w:r>
          </w:p>
        </w:tc>
      </w:tr>
      <w:tr w14:paraId="53083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1" w:type="pct"/>
            <w:tcBorders>
              <w:tl2br w:val="nil"/>
              <w:tr2bl w:val="nil"/>
            </w:tcBorders>
            <w:vAlign w:val="center"/>
          </w:tcPr>
          <w:p w14:paraId="5D63760B">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w:t>
            </w:r>
          </w:p>
        </w:tc>
        <w:tc>
          <w:tcPr>
            <w:tcW w:w="2147" w:type="pct"/>
            <w:tcBorders>
              <w:tl2br w:val="nil"/>
              <w:tr2bl w:val="nil"/>
            </w:tcBorders>
            <w:vAlign w:val="center"/>
          </w:tcPr>
          <w:p w14:paraId="0E8203B7">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在饮用水水源保护区内设置入河排污口的</w:t>
            </w:r>
          </w:p>
        </w:tc>
        <w:tc>
          <w:tcPr>
            <w:tcW w:w="2144" w:type="pct"/>
            <w:tcBorders>
              <w:tl2br w:val="nil"/>
              <w:tr2bl w:val="nil"/>
            </w:tcBorders>
            <w:vAlign w:val="center"/>
          </w:tcPr>
          <w:p w14:paraId="3C649DCA">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本项目排污口位于渣滓溪，下游41.255km范围内无饮用水水源保护区</w:t>
            </w:r>
          </w:p>
        </w:tc>
        <w:tc>
          <w:tcPr>
            <w:tcW w:w="466" w:type="pct"/>
            <w:tcBorders>
              <w:tl2br w:val="nil"/>
              <w:tr2bl w:val="nil"/>
            </w:tcBorders>
            <w:vAlign w:val="center"/>
          </w:tcPr>
          <w:p w14:paraId="5A7FF1DC">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1B297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1" w:type="pct"/>
            <w:tcBorders>
              <w:tl2br w:val="nil"/>
              <w:tr2bl w:val="nil"/>
            </w:tcBorders>
            <w:vAlign w:val="center"/>
          </w:tcPr>
          <w:p w14:paraId="018E6CA5">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w:t>
            </w:r>
          </w:p>
        </w:tc>
        <w:tc>
          <w:tcPr>
            <w:tcW w:w="2147" w:type="pct"/>
            <w:tcBorders>
              <w:tl2br w:val="nil"/>
              <w:tr2bl w:val="nil"/>
            </w:tcBorders>
            <w:vAlign w:val="center"/>
          </w:tcPr>
          <w:p w14:paraId="125208E3">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在自然保护区核心区、缓冲区、实验区和湿地公园的保育区、恢复重建区、实验区设置排污口的</w:t>
            </w:r>
          </w:p>
        </w:tc>
        <w:tc>
          <w:tcPr>
            <w:tcW w:w="2144" w:type="pct"/>
            <w:tcBorders>
              <w:tl2br w:val="nil"/>
              <w:tr2bl w:val="nil"/>
            </w:tcBorders>
            <w:vAlign w:val="center"/>
          </w:tcPr>
          <w:p w14:paraId="04113FB7">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本项目不涉及自然保护区核心区、缓冲区、实验区和湿地公园的保育区、恢复重建区、实验区</w:t>
            </w:r>
          </w:p>
        </w:tc>
        <w:tc>
          <w:tcPr>
            <w:tcW w:w="466" w:type="pct"/>
            <w:tcBorders>
              <w:tl2br w:val="nil"/>
              <w:tr2bl w:val="nil"/>
            </w:tcBorders>
            <w:vAlign w:val="center"/>
          </w:tcPr>
          <w:p w14:paraId="3184159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59E11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1" w:type="pct"/>
            <w:tcBorders>
              <w:tl2br w:val="nil"/>
              <w:tr2bl w:val="nil"/>
            </w:tcBorders>
            <w:vAlign w:val="center"/>
          </w:tcPr>
          <w:p w14:paraId="50C2D1B0">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w:t>
            </w:r>
          </w:p>
        </w:tc>
        <w:tc>
          <w:tcPr>
            <w:tcW w:w="2147" w:type="pct"/>
            <w:tcBorders>
              <w:tl2br w:val="nil"/>
              <w:tr2bl w:val="nil"/>
            </w:tcBorders>
            <w:vAlign w:val="center"/>
          </w:tcPr>
          <w:p w14:paraId="507F2D56">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能够由污水收集系统接纳但拒不接入的</w:t>
            </w:r>
          </w:p>
        </w:tc>
        <w:tc>
          <w:tcPr>
            <w:tcW w:w="2144" w:type="pct"/>
            <w:tcBorders>
              <w:tl2br w:val="nil"/>
              <w:tr2bl w:val="nil"/>
            </w:tcBorders>
            <w:vAlign w:val="center"/>
          </w:tcPr>
          <w:p w14:paraId="30445F8E">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本项目位于工业园区外，且奎溪镇无工业废水处理厂</w:t>
            </w:r>
          </w:p>
        </w:tc>
        <w:tc>
          <w:tcPr>
            <w:tcW w:w="466" w:type="pct"/>
            <w:tcBorders>
              <w:tl2br w:val="nil"/>
              <w:tr2bl w:val="nil"/>
            </w:tcBorders>
            <w:vAlign w:val="center"/>
          </w:tcPr>
          <w:p w14:paraId="0FADF0B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6E8C0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1" w:type="pct"/>
            <w:tcBorders>
              <w:tl2br w:val="nil"/>
              <w:tr2bl w:val="nil"/>
            </w:tcBorders>
            <w:vAlign w:val="center"/>
          </w:tcPr>
          <w:p w14:paraId="292BDDC3">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4</w:t>
            </w:r>
          </w:p>
        </w:tc>
        <w:tc>
          <w:tcPr>
            <w:tcW w:w="2147" w:type="pct"/>
            <w:tcBorders>
              <w:tl2br w:val="nil"/>
              <w:tr2bl w:val="nil"/>
            </w:tcBorders>
            <w:vAlign w:val="center"/>
          </w:tcPr>
          <w:p w14:paraId="4413A2B2">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在未达标水功能区内继续设置入河排污口的</w:t>
            </w:r>
          </w:p>
        </w:tc>
        <w:tc>
          <w:tcPr>
            <w:tcW w:w="2144" w:type="pct"/>
            <w:tcBorders>
              <w:tl2br w:val="nil"/>
              <w:tr2bl w:val="nil"/>
            </w:tcBorders>
            <w:vAlign w:val="center"/>
          </w:tcPr>
          <w:p w14:paraId="4C095F0B">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本项目为已建补办排污口论证手续，因区域地表水环境质量现状锑超标，本项目通过减少锑的入河排放量，以改善区域锑超标现状。</w:t>
            </w:r>
          </w:p>
        </w:tc>
        <w:tc>
          <w:tcPr>
            <w:tcW w:w="466" w:type="pct"/>
            <w:tcBorders>
              <w:tl2br w:val="nil"/>
              <w:tr2bl w:val="nil"/>
            </w:tcBorders>
            <w:vAlign w:val="center"/>
          </w:tcPr>
          <w:p w14:paraId="69C1460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25ECB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1" w:type="pct"/>
            <w:tcBorders>
              <w:tl2br w:val="nil"/>
              <w:tr2bl w:val="nil"/>
            </w:tcBorders>
            <w:vAlign w:val="center"/>
          </w:tcPr>
          <w:p w14:paraId="238C0754">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5</w:t>
            </w:r>
          </w:p>
        </w:tc>
        <w:tc>
          <w:tcPr>
            <w:tcW w:w="2147" w:type="pct"/>
            <w:tcBorders>
              <w:tl2br w:val="nil"/>
              <w:tr2bl w:val="nil"/>
            </w:tcBorders>
            <w:vAlign w:val="center"/>
          </w:tcPr>
          <w:p w14:paraId="6A78B2C6">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经论证不符合入河排污口设置要求的</w:t>
            </w:r>
          </w:p>
        </w:tc>
        <w:tc>
          <w:tcPr>
            <w:tcW w:w="2144" w:type="pct"/>
            <w:tcBorders>
              <w:tl2br w:val="nil"/>
              <w:tr2bl w:val="nil"/>
            </w:tcBorders>
            <w:vAlign w:val="center"/>
          </w:tcPr>
          <w:p w14:paraId="79821CAC">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经论证，本项目符合入河排污口设置要求</w:t>
            </w:r>
          </w:p>
        </w:tc>
        <w:tc>
          <w:tcPr>
            <w:tcW w:w="466" w:type="pct"/>
            <w:tcBorders>
              <w:tl2br w:val="nil"/>
              <w:tr2bl w:val="nil"/>
            </w:tcBorders>
            <w:vAlign w:val="center"/>
          </w:tcPr>
          <w:p w14:paraId="2060D2A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26C6B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1" w:type="pct"/>
            <w:tcBorders>
              <w:tl2br w:val="nil"/>
              <w:tr2bl w:val="nil"/>
            </w:tcBorders>
            <w:vAlign w:val="center"/>
          </w:tcPr>
          <w:p w14:paraId="3B513695">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6</w:t>
            </w:r>
          </w:p>
        </w:tc>
        <w:tc>
          <w:tcPr>
            <w:tcW w:w="2147" w:type="pct"/>
            <w:tcBorders>
              <w:tl2br w:val="nil"/>
              <w:tr2bl w:val="nil"/>
            </w:tcBorders>
            <w:vAlign w:val="center"/>
          </w:tcPr>
          <w:p w14:paraId="1E188BAC">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其他不符合法律、法规以及国家和省有关规定的</w:t>
            </w:r>
          </w:p>
        </w:tc>
        <w:tc>
          <w:tcPr>
            <w:tcW w:w="2144" w:type="pct"/>
            <w:tcBorders>
              <w:tl2br w:val="nil"/>
              <w:tr2bl w:val="nil"/>
            </w:tcBorders>
            <w:vAlign w:val="center"/>
          </w:tcPr>
          <w:p w14:paraId="1A604816">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本项目不涉及其他不符合法律、法规以及国家和省有关规定</w:t>
            </w:r>
          </w:p>
        </w:tc>
        <w:tc>
          <w:tcPr>
            <w:tcW w:w="466" w:type="pct"/>
            <w:tcBorders>
              <w:tl2br w:val="nil"/>
              <w:tr2bl w:val="nil"/>
            </w:tcBorders>
            <w:vAlign w:val="center"/>
          </w:tcPr>
          <w:p w14:paraId="4E73213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bl>
    <w:p w14:paraId="776814E9">
      <w:pPr>
        <w:pStyle w:val="2"/>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根据对照分析，本项目</w:t>
      </w:r>
      <w:r>
        <w:rPr>
          <w:rFonts w:hint="eastAsia" w:ascii="Times New Roman" w:hAnsi="Times New Roman" w:eastAsia="宋体" w:cs="Times New Roman"/>
          <w:color w:val="auto"/>
          <w:kern w:val="2"/>
          <w:sz w:val="24"/>
          <w:highlight w:val="none"/>
          <w:lang w:val="en-US" w:eastAsia="zh-CN" w:bidi="ar-SA"/>
        </w:rPr>
        <w:t>符合</w:t>
      </w:r>
      <w:r>
        <w:rPr>
          <w:rFonts w:hint="default" w:ascii="Times New Roman" w:hAnsi="Times New Roman" w:eastAsia="宋体" w:cs="Times New Roman"/>
          <w:color w:val="auto"/>
          <w:kern w:val="2"/>
          <w:sz w:val="24"/>
          <w:highlight w:val="none"/>
          <w:lang w:val="en-US" w:eastAsia="zh-CN" w:bidi="ar-SA"/>
        </w:rPr>
        <w:t>《湖南省入河排污口监督管理办法》中的</w:t>
      </w:r>
      <w:r>
        <w:rPr>
          <w:rFonts w:hint="eastAsia" w:ascii="Times New Roman" w:hAnsi="Times New Roman" w:eastAsia="宋体" w:cs="Times New Roman"/>
          <w:color w:val="auto"/>
          <w:kern w:val="2"/>
          <w:sz w:val="24"/>
          <w:highlight w:val="none"/>
          <w:lang w:val="en-US" w:eastAsia="zh-CN" w:bidi="ar-SA"/>
        </w:rPr>
        <w:t>相关规定要求</w:t>
      </w:r>
      <w:r>
        <w:rPr>
          <w:rFonts w:hint="default" w:ascii="Times New Roman" w:hAnsi="Times New Roman" w:eastAsia="宋体" w:cs="Times New Roman"/>
          <w:color w:val="auto"/>
          <w:kern w:val="2"/>
          <w:sz w:val="24"/>
          <w:highlight w:val="none"/>
          <w:lang w:val="en-US" w:eastAsia="zh-CN" w:bidi="ar-SA"/>
        </w:rPr>
        <w:t>。</w:t>
      </w:r>
    </w:p>
    <w:p w14:paraId="5E30172E">
      <w:pPr>
        <w:pStyle w:val="34"/>
        <w:bidi w:val="0"/>
        <w:rPr>
          <w:rFonts w:hint="eastAsia"/>
          <w:color w:val="auto"/>
          <w:highlight w:val="none"/>
          <w:lang w:val="en-US" w:eastAsia="zh-CN"/>
        </w:rPr>
      </w:pPr>
      <w:r>
        <w:rPr>
          <w:rFonts w:hint="eastAsia"/>
          <w:color w:val="auto"/>
          <w:highlight w:val="none"/>
          <w:lang w:val="en-US" w:eastAsia="zh-CN"/>
        </w:rPr>
        <w:t>与《国务院办公厅关于加强入河入海排污口监督管理工作的实施意见》相符性分析</w:t>
      </w:r>
    </w:p>
    <w:p w14:paraId="4D4108B9">
      <w:pPr>
        <w:pStyle w:val="2"/>
        <w:widowControl w:val="0"/>
        <w:spacing w:line="360" w:lineRule="auto"/>
        <w:ind w:firstLine="480" w:firstLineChars="200"/>
        <w:jc w:val="both"/>
        <w:rPr>
          <w:rFonts w:hint="default"/>
          <w:color w:val="auto"/>
          <w:highlight w:val="none"/>
          <w:lang w:val="en-US" w:eastAsia="zh-CN"/>
        </w:rPr>
      </w:pPr>
      <w:r>
        <w:rPr>
          <w:rFonts w:hint="default"/>
          <w:color w:val="auto"/>
          <w:highlight w:val="none"/>
          <w:lang w:val="en-US" w:eastAsia="zh-CN"/>
        </w:rPr>
        <w:t>本项目与</w:t>
      </w:r>
      <w:r>
        <w:rPr>
          <w:rFonts w:hint="eastAsia"/>
          <w:color w:val="auto"/>
          <w:highlight w:val="none"/>
          <w:lang w:val="en-US" w:eastAsia="zh-CN"/>
        </w:rPr>
        <w:t>《国务院办公厅关于加强入河入海排污口监督管理工作的实施意见》</w:t>
      </w:r>
      <w:r>
        <w:rPr>
          <w:rFonts w:hint="default"/>
          <w:color w:val="auto"/>
          <w:highlight w:val="none"/>
          <w:lang w:val="en-US" w:eastAsia="zh-CN"/>
        </w:rPr>
        <w:t>符合性分析见下表。</w:t>
      </w:r>
    </w:p>
    <w:p w14:paraId="77FDBCAC">
      <w:pPr>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Style w:val="29"/>
          <w:rFonts w:hint="default" w:ascii="Times New Roman" w:hAnsi="Times New Roman" w:eastAsia="黑体" w:cs="Times New Roman"/>
          <w:color w:val="auto"/>
          <w:kern w:val="2"/>
          <w:sz w:val="24"/>
          <w:highlight w:val="none"/>
          <w:u w:val="none"/>
          <w:lang w:val="en-US" w:eastAsia="zh-CN" w:bidi="ar-SA"/>
        </w:rPr>
        <w:t>表</w:t>
      </w:r>
      <w:r>
        <w:rPr>
          <w:rStyle w:val="29"/>
          <w:rFonts w:hint="default" w:ascii="Times New Roman" w:hAnsi="Times New Roman" w:eastAsia="黑体" w:cs="Times New Roman"/>
          <w:color w:val="auto"/>
          <w:kern w:val="2"/>
          <w:sz w:val="24"/>
          <w:highlight w:val="none"/>
          <w:u w:val="none"/>
          <w:lang w:val="en-US" w:eastAsia="zh-CN" w:bidi="ar-SA"/>
        </w:rPr>
        <w:fldChar w:fldCharType="begin"/>
      </w:r>
      <w:r>
        <w:rPr>
          <w:rStyle w:val="29"/>
          <w:rFonts w:hint="default" w:ascii="Times New Roman" w:hAnsi="Times New Roman" w:eastAsia="黑体" w:cs="Times New Roman"/>
          <w:color w:val="auto"/>
          <w:kern w:val="2"/>
          <w:sz w:val="24"/>
          <w:highlight w:val="none"/>
          <w:u w:val="none"/>
          <w:lang w:val="en-US" w:eastAsia="zh-CN" w:bidi="ar-SA"/>
        </w:rPr>
        <w:instrText xml:space="preserve"> STYLEREF guo-二级标题 \n </w:instrText>
      </w:r>
      <w:r>
        <w:rPr>
          <w:rStyle w:val="29"/>
          <w:rFonts w:hint="default" w:ascii="Times New Roman" w:hAnsi="Times New Roman" w:eastAsia="黑体" w:cs="Times New Roman"/>
          <w:color w:val="auto"/>
          <w:kern w:val="2"/>
          <w:sz w:val="24"/>
          <w:highlight w:val="none"/>
          <w:u w:val="none"/>
          <w:lang w:val="en-US" w:eastAsia="zh-CN" w:bidi="ar-SA"/>
        </w:rPr>
        <w:fldChar w:fldCharType="separate"/>
      </w:r>
      <w:r>
        <w:rPr>
          <w:rStyle w:val="29"/>
          <w:rFonts w:hint="default" w:ascii="Times New Roman" w:hAnsi="Times New Roman" w:eastAsia="黑体" w:cs="Times New Roman"/>
          <w:color w:val="auto"/>
          <w:kern w:val="2"/>
          <w:sz w:val="24"/>
          <w:highlight w:val="none"/>
          <w:u w:val="none"/>
          <w:lang w:val="en-US" w:eastAsia="zh-CN" w:bidi="ar-SA"/>
        </w:rPr>
        <w:t>5.2</w:t>
      </w:r>
      <w:r>
        <w:rPr>
          <w:rStyle w:val="29"/>
          <w:rFonts w:hint="default" w:ascii="Times New Roman" w:hAnsi="Times New Roman" w:eastAsia="黑体" w:cs="Times New Roman"/>
          <w:color w:val="auto"/>
          <w:kern w:val="2"/>
          <w:sz w:val="24"/>
          <w:highlight w:val="none"/>
          <w:u w:val="none"/>
          <w:lang w:val="en-US" w:eastAsia="zh-CN" w:bidi="ar-SA"/>
        </w:rPr>
        <w:fldChar w:fldCharType="end"/>
      </w:r>
      <w:r>
        <w:rPr>
          <w:rStyle w:val="29"/>
          <w:rFonts w:hint="default" w:ascii="Times New Roman" w:hAnsi="Times New Roman" w:eastAsia="黑体" w:cs="Times New Roman"/>
          <w:color w:val="auto"/>
          <w:kern w:val="2"/>
          <w:sz w:val="24"/>
          <w:highlight w:val="none"/>
          <w:u w:val="none"/>
          <w:lang w:val="en-US" w:eastAsia="zh-CN" w:bidi="ar-SA"/>
        </w:rPr>
        <w:t>–</w:t>
      </w:r>
      <w:r>
        <w:rPr>
          <w:rStyle w:val="29"/>
          <w:rFonts w:hint="default" w:ascii="Times New Roman" w:hAnsi="Times New Roman" w:eastAsia="黑体" w:cs="Times New Roman"/>
          <w:color w:val="auto"/>
          <w:kern w:val="2"/>
          <w:sz w:val="24"/>
          <w:highlight w:val="none"/>
          <w:u w:val="none"/>
          <w:lang w:val="en-US" w:eastAsia="zh-CN" w:bidi="ar-SA"/>
        </w:rPr>
        <w:fldChar w:fldCharType="begin"/>
      </w:r>
      <w:r>
        <w:rPr>
          <w:rStyle w:val="29"/>
          <w:rFonts w:hint="default" w:ascii="Times New Roman" w:hAnsi="Times New Roman" w:eastAsia="黑体" w:cs="Times New Roman"/>
          <w:color w:val="auto"/>
          <w:kern w:val="2"/>
          <w:sz w:val="24"/>
          <w:highlight w:val="none"/>
          <w:u w:val="none"/>
          <w:lang w:val="en-US" w:eastAsia="zh-CN" w:bidi="ar-SA"/>
        </w:rPr>
        <w:instrText xml:space="preserve"> SEQ 表 \* ARABIC \s 2 </w:instrText>
      </w:r>
      <w:r>
        <w:rPr>
          <w:rStyle w:val="29"/>
          <w:rFonts w:hint="default" w:ascii="Times New Roman" w:hAnsi="Times New Roman" w:eastAsia="黑体" w:cs="Times New Roman"/>
          <w:color w:val="auto"/>
          <w:kern w:val="2"/>
          <w:sz w:val="24"/>
          <w:highlight w:val="none"/>
          <w:u w:val="none"/>
          <w:lang w:val="en-US" w:eastAsia="zh-CN" w:bidi="ar-SA"/>
        </w:rPr>
        <w:fldChar w:fldCharType="separate"/>
      </w:r>
      <w:r>
        <w:rPr>
          <w:rStyle w:val="29"/>
          <w:rFonts w:hint="default" w:ascii="Times New Roman" w:hAnsi="Times New Roman" w:eastAsia="黑体" w:cs="Times New Roman"/>
          <w:color w:val="auto"/>
          <w:kern w:val="2"/>
          <w:sz w:val="24"/>
          <w:highlight w:val="none"/>
          <w:u w:val="none"/>
          <w:lang w:val="en-US" w:eastAsia="zh-CN" w:bidi="ar-SA"/>
        </w:rPr>
        <w:t>3</w:t>
      </w:r>
      <w:r>
        <w:rPr>
          <w:rStyle w:val="29"/>
          <w:rFonts w:hint="default" w:ascii="Times New Roman" w:hAnsi="Times New Roman" w:eastAsia="黑体" w:cs="Times New Roman"/>
          <w:color w:val="auto"/>
          <w:kern w:val="2"/>
          <w:sz w:val="24"/>
          <w:highlight w:val="none"/>
          <w:u w:val="none"/>
          <w:lang w:val="en-US" w:eastAsia="zh-CN" w:bidi="ar-SA"/>
        </w:rPr>
        <w:fldChar w:fldCharType="end"/>
      </w:r>
      <w:r>
        <w:rPr>
          <w:rStyle w:val="29"/>
          <w:rFonts w:hint="default" w:ascii="Times New Roman" w:hAnsi="Times New Roman" w:eastAsia="黑体" w:cs="Times New Roman"/>
          <w:color w:val="auto"/>
          <w:kern w:val="2"/>
          <w:sz w:val="24"/>
          <w:highlight w:val="none"/>
          <w:u w:val="none"/>
          <w:lang w:val="en-US" w:eastAsia="zh-CN" w:bidi="ar-SA"/>
        </w:rPr>
        <w:t xml:space="preserve">  </w:t>
      </w:r>
      <w:r>
        <w:rPr>
          <w:rStyle w:val="29"/>
          <w:rFonts w:hint="default" w:ascii="Times New Roman" w:hAnsi="Times New Roman" w:eastAsia="黑体" w:cs="Times New Roman"/>
          <w:color w:val="auto"/>
          <w:kern w:val="2"/>
          <w:sz w:val="24"/>
          <w:highlight w:val="none"/>
          <w:lang w:val="en-US" w:eastAsia="zh-CN" w:bidi="ar-SA"/>
        </w:rPr>
        <w:t>与</w:t>
      </w:r>
      <w:r>
        <w:rPr>
          <w:rStyle w:val="29"/>
          <w:rFonts w:hint="eastAsia" w:eastAsia="黑体"/>
          <w:color w:val="auto"/>
          <w:highlight w:val="none"/>
          <w:lang w:eastAsia="zh-CN"/>
        </w:rPr>
        <w:t>《国务院办公厅关于加强入河入海排污口监督管理工作的实施意见》</w:t>
      </w:r>
      <w:r>
        <w:rPr>
          <w:rStyle w:val="29"/>
          <w:rFonts w:hint="default" w:ascii="Times New Roman" w:hAnsi="Times New Roman" w:eastAsia="黑体" w:cs="Times New Roman"/>
          <w:color w:val="auto"/>
          <w:kern w:val="2"/>
          <w:sz w:val="24"/>
          <w:highlight w:val="none"/>
          <w:lang w:val="en-US" w:eastAsia="zh-CN" w:bidi="ar-SA"/>
        </w:rPr>
        <w:t>符合性</w:t>
      </w:r>
      <w:r>
        <w:rPr>
          <w:rFonts w:hint="default" w:ascii="Times New Roman" w:hAnsi="Times New Roman" w:eastAsia="黑体" w:cs="Times New Roman"/>
          <w:color w:val="auto"/>
          <w:kern w:val="2"/>
          <w:sz w:val="24"/>
          <w:highlight w:val="none"/>
          <w:lang w:val="en-US" w:eastAsia="zh-CN" w:bidi="ar-SA"/>
        </w:rPr>
        <w:t>分析</w:t>
      </w:r>
    </w:p>
    <w:tbl>
      <w:tblPr>
        <w:tblStyle w:val="21"/>
        <w:tblW w:w="500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435"/>
        <w:gridCol w:w="3895"/>
        <w:gridCol w:w="3891"/>
        <w:gridCol w:w="846"/>
      </w:tblGrid>
      <w:tr w14:paraId="4C97B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0" w:type="pct"/>
            <w:tcBorders>
              <w:tl2br w:val="nil"/>
              <w:tr2bl w:val="nil"/>
            </w:tcBorders>
            <w:vAlign w:val="center"/>
          </w:tcPr>
          <w:p w14:paraId="4E807748">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序号</w:t>
            </w:r>
          </w:p>
        </w:tc>
        <w:tc>
          <w:tcPr>
            <w:tcW w:w="2147" w:type="pct"/>
            <w:tcBorders>
              <w:tl2br w:val="nil"/>
              <w:tr2bl w:val="nil"/>
            </w:tcBorders>
            <w:vAlign w:val="center"/>
          </w:tcPr>
          <w:p w14:paraId="42AD27FF">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要求</w:t>
            </w:r>
          </w:p>
        </w:tc>
        <w:tc>
          <w:tcPr>
            <w:tcW w:w="2145" w:type="pct"/>
            <w:tcBorders>
              <w:tl2br w:val="nil"/>
              <w:tr2bl w:val="nil"/>
            </w:tcBorders>
            <w:vAlign w:val="center"/>
          </w:tcPr>
          <w:p w14:paraId="79D1AA53">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本项目情况</w:t>
            </w:r>
          </w:p>
        </w:tc>
        <w:tc>
          <w:tcPr>
            <w:tcW w:w="466" w:type="pct"/>
            <w:tcBorders>
              <w:tl2br w:val="nil"/>
              <w:tr2bl w:val="nil"/>
            </w:tcBorders>
            <w:vAlign w:val="center"/>
          </w:tcPr>
          <w:p w14:paraId="5BC6465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符合性</w:t>
            </w:r>
          </w:p>
        </w:tc>
      </w:tr>
      <w:tr w14:paraId="4EEBB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0" w:type="pct"/>
            <w:tcBorders>
              <w:tl2br w:val="nil"/>
              <w:tr2bl w:val="nil"/>
            </w:tcBorders>
            <w:vAlign w:val="center"/>
          </w:tcPr>
          <w:p w14:paraId="5E0E1F63">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w:t>
            </w:r>
          </w:p>
        </w:tc>
        <w:tc>
          <w:tcPr>
            <w:tcW w:w="2147" w:type="pct"/>
            <w:tcBorders>
              <w:tl2br w:val="nil"/>
              <w:tr2bl w:val="nil"/>
            </w:tcBorders>
            <w:vAlign w:val="center"/>
          </w:tcPr>
          <w:p w14:paraId="5E7F0CB5">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明确排污口分类。根据排污口责任主体所属行业及排放特征，将排污口分为工业排污口、城镇污水处理厂排污口、农业排口、其他排口等四种类型。其中，工业排污口包括工矿企业排污口和雨洪排口、工业及其他各类园区污水处理厂排污口和雨洪排口等</w:t>
            </w:r>
          </w:p>
        </w:tc>
        <w:tc>
          <w:tcPr>
            <w:tcW w:w="2145" w:type="pct"/>
            <w:tcBorders>
              <w:tl2br w:val="nil"/>
              <w:tr2bl w:val="nil"/>
            </w:tcBorders>
            <w:vAlign w:val="center"/>
          </w:tcPr>
          <w:p w14:paraId="3EDD59DC">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本项目排污口属于工业排污口中的工矿企业排污口</w:t>
            </w:r>
          </w:p>
        </w:tc>
        <w:tc>
          <w:tcPr>
            <w:tcW w:w="466" w:type="pct"/>
            <w:tcBorders>
              <w:tl2br w:val="nil"/>
              <w:tr2bl w:val="nil"/>
            </w:tcBorders>
            <w:vAlign w:val="center"/>
          </w:tcPr>
          <w:p w14:paraId="50F2E39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5445F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0" w:type="pct"/>
            <w:tcBorders>
              <w:tl2br w:val="nil"/>
              <w:tr2bl w:val="nil"/>
            </w:tcBorders>
            <w:vAlign w:val="center"/>
          </w:tcPr>
          <w:p w14:paraId="3ED95F26">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w:t>
            </w:r>
          </w:p>
        </w:tc>
        <w:tc>
          <w:tcPr>
            <w:tcW w:w="2147" w:type="pct"/>
            <w:tcBorders>
              <w:tl2br w:val="nil"/>
              <w:tr2bl w:val="nil"/>
            </w:tcBorders>
            <w:vAlign w:val="center"/>
          </w:tcPr>
          <w:p w14:paraId="079D7850">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对违反法律法规规定，在饮用水水源保护区、自然保护地及其他需要特殊保护区域内设置的排污口，由属地县级以上地方人民政府或生态环境部门依法采取责令拆除、责令关闭等措施予以取缔。</w:t>
            </w:r>
          </w:p>
        </w:tc>
        <w:tc>
          <w:tcPr>
            <w:tcW w:w="2145" w:type="pct"/>
            <w:tcBorders>
              <w:tl2br w:val="nil"/>
              <w:tr2bl w:val="nil"/>
            </w:tcBorders>
            <w:vAlign w:val="center"/>
          </w:tcPr>
          <w:p w14:paraId="1F491F5E">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本项目符合法律规定，不涉及饮用水水源保护区、自然保护地及其他需要特殊保护区域</w:t>
            </w:r>
          </w:p>
        </w:tc>
        <w:tc>
          <w:tcPr>
            <w:tcW w:w="466" w:type="pct"/>
            <w:tcBorders>
              <w:tl2br w:val="nil"/>
              <w:tr2bl w:val="nil"/>
            </w:tcBorders>
            <w:vAlign w:val="center"/>
          </w:tcPr>
          <w:p w14:paraId="164DBA6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5FAF2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40" w:type="pct"/>
            <w:tcBorders>
              <w:tl2br w:val="nil"/>
              <w:tr2bl w:val="nil"/>
            </w:tcBorders>
            <w:vAlign w:val="center"/>
          </w:tcPr>
          <w:p w14:paraId="56F7351D">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w:t>
            </w:r>
          </w:p>
        </w:tc>
        <w:tc>
          <w:tcPr>
            <w:tcW w:w="2147" w:type="pct"/>
            <w:tcBorders>
              <w:tl2br w:val="nil"/>
              <w:tr2bl w:val="nil"/>
            </w:tcBorders>
            <w:vAlign w:val="center"/>
          </w:tcPr>
          <w:p w14:paraId="5439CC30">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工业及其他各类园区或各类开发区外的工矿企业，原则上一个企业只保留一个工矿企业排污口</w:t>
            </w:r>
          </w:p>
        </w:tc>
        <w:tc>
          <w:tcPr>
            <w:tcW w:w="2145" w:type="pct"/>
            <w:tcBorders>
              <w:tl2br w:val="nil"/>
              <w:tr2bl w:val="nil"/>
            </w:tcBorders>
            <w:vAlign w:val="center"/>
          </w:tcPr>
          <w:p w14:paraId="6FBC2720">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本项目只设置一个工矿企业排污口</w:t>
            </w:r>
          </w:p>
        </w:tc>
        <w:tc>
          <w:tcPr>
            <w:tcW w:w="466" w:type="pct"/>
            <w:tcBorders>
              <w:tl2br w:val="nil"/>
              <w:tr2bl w:val="nil"/>
            </w:tcBorders>
            <w:vAlign w:val="center"/>
          </w:tcPr>
          <w:p w14:paraId="6C687ED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bl>
    <w:p w14:paraId="77C5CA67">
      <w:pPr>
        <w:pStyle w:val="2"/>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根据对照分析，本项目</w:t>
      </w:r>
      <w:r>
        <w:rPr>
          <w:rFonts w:hint="eastAsia" w:ascii="Times New Roman" w:hAnsi="Times New Roman" w:eastAsia="宋体" w:cs="Times New Roman"/>
          <w:color w:val="auto"/>
          <w:kern w:val="2"/>
          <w:sz w:val="24"/>
          <w:highlight w:val="none"/>
          <w:lang w:val="en-US" w:eastAsia="zh-CN" w:bidi="ar-SA"/>
        </w:rPr>
        <w:t>符合</w:t>
      </w:r>
      <w:r>
        <w:rPr>
          <w:rFonts w:hint="eastAsia" w:ascii="Times New Roman" w:hAnsi="Times New Roman" w:cs="Times New Roman"/>
          <w:color w:val="auto"/>
          <w:kern w:val="2"/>
          <w:sz w:val="24"/>
          <w:highlight w:val="none"/>
          <w:lang w:val="en-US" w:eastAsia="zh-CN" w:bidi="ar-SA"/>
        </w:rPr>
        <w:t>《国务院办公厅关于加强入河入海排污口监督管理工作的实施意见》</w:t>
      </w:r>
      <w:r>
        <w:rPr>
          <w:rFonts w:hint="default" w:ascii="Times New Roman" w:hAnsi="Times New Roman" w:eastAsia="宋体" w:cs="Times New Roman"/>
          <w:color w:val="auto"/>
          <w:kern w:val="2"/>
          <w:sz w:val="24"/>
          <w:highlight w:val="none"/>
          <w:lang w:val="en-US" w:eastAsia="zh-CN" w:bidi="ar-SA"/>
        </w:rPr>
        <w:t>中的</w:t>
      </w:r>
      <w:r>
        <w:rPr>
          <w:rFonts w:hint="eastAsia" w:ascii="Times New Roman" w:hAnsi="Times New Roman" w:eastAsia="宋体" w:cs="Times New Roman"/>
          <w:color w:val="auto"/>
          <w:kern w:val="2"/>
          <w:sz w:val="24"/>
          <w:highlight w:val="none"/>
          <w:lang w:val="en-US" w:eastAsia="zh-CN" w:bidi="ar-SA"/>
        </w:rPr>
        <w:t>相关规定要求</w:t>
      </w:r>
      <w:r>
        <w:rPr>
          <w:rFonts w:hint="default" w:ascii="Times New Roman" w:hAnsi="Times New Roman" w:eastAsia="宋体" w:cs="Times New Roman"/>
          <w:color w:val="auto"/>
          <w:kern w:val="2"/>
          <w:sz w:val="24"/>
          <w:highlight w:val="none"/>
          <w:lang w:val="en-US" w:eastAsia="zh-CN" w:bidi="ar-SA"/>
        </w:rPr>
        <w:t>。</w:t>
      </w:r>
    </w:p>
    <w:p w14:paraId="53875BAB">
      <w:pPr>
        <w:pStyle w:val="34"/>
        <w:keepNext/>
        <w:keepLines/>
        <w:widowControl w:val="0"/>
        <w:numPr>
          <w:ilvl w:val="3"/>
          <w:numId w:val="2"/>
        </w:numPr>
        <w:bidi w:val="0"/>
        <w:spacing w:before="20" w:after="20" w:line="360" w:lineRule="auto"/>
        <w:ind w:left="0" w:leftChars="0" w:firstLine="0" w:firstLineChars="0"/>
        <w:jc w:val="both"/>
        <w:outlineLvl w:val="3"/>
        <w:rPr>
          <w:rFonts w:hint="eastAsia"/>
          <w:color w:val="auto"/>
          <w:highlight w:val="none"/>
          <w:lang w:val="en-US" w:eastAsia="zh-CN"/>
        </w:rPr>
      </w:pPr>
      <w:r>
        <w:rPr>
          <w:rFonts w:hint="eastAsia"/>
          <w:color w:val="auto"/>
          <w:highlight w:val="none"/>
          <w:lang w:val="en-US" w:eastAsia="zh-CN"/>
        </w:rPr>
        <w:t>与《湖南省水功能区监督管理办法》相符性分析</w:t>
      </w:r>
    </w:p>
    <w:p w14:paraId="6FBEC71D">
      <w:pPr>
        <w:pStyle w:val="2"/>
        <w:widowControl w:val="0"/>
        <w:spacing w:line="360" w:lineRule="auto"/>
        <w:ind w:firstLine="480" w:firstLineChars="200"/>
        <w:jc w:val="both"/>
        <w:rPr>
          <w:rFonts w:hint="default" w:ascii="Times New Roman" w:hAnsi="Times New Roman" w:eastAsia="宋体" w:cs="Times New Roman"/>
          <w:color w:val="auto"/>
          <w:kern w:val="2"/>
          <w:sz w:val="24"/>
          <w:highlight w:val="none"/>
          <w:u w:val="single"/>
          <w:lang w:val="en-US" w:eastAsia="zh-CN" w:bidi="ar-SA"/>
        </w:rPr>
      </w:pPr>
      <w:r>
        <w:rPr>
          <w:rFonts w:hint="default" w:ascii="Times New Roman" w:hAnsi="Times New Roman" w:eastAsia="宋体" w:cs="Times New Roman"/>
          <w:color w:val="auto"/>
          <w:kern w:val="2"/>
          <w:sz w:val="24"/>
          <w:highlight w:val="none"/>
          <w:u w:val="single"/>
          <w:lang w:val="en-US" w:eastAsia="zh-CN" w:bidi="ar-SA"/>
        </w:rPr>
        <w:t>本排污口位于安化县奎溪镇</w:t>
      </w:r>
      <w:r>
        <w:rPr>
          <w:rFonts w:hint="eastAsia" w:cs="Times New Roman"/>
          <w:color w:val="auto"/>
          <w:kern w:val="2"/>
          <w:sz w:val="24"/>
          <w:highlight w:val="none"/>
          <w:u w:val="single"/>
          <w:lang w:val="en-US" w:eastAsia="zh-CN" w:bidi="ar-SA"/>
        </w:rPr>
        <w:t>渣滓溪右岸</w:t>
      </w:r>
      <w:r>
        <w:rPr>
          <w:rFonts w:hint="default" w:ascii="Times New Roman" w:hAnsi="Times New Roman" w:eastAsia="宋体" w:cs="Times New Roman"/>
          <w:color w:val="auto"/>
          <w:kern w:val="2"/>
          <w:sz w:val="24"/>
          <w:highlight w:val="none"/>
          <w:u w:val="single"/>
          <w:lang w:val="en-US" w:eastAsia="zh-CN" w:bidi="ar-SA"/>
        </w:rPr>
        <w:t>，该水域未划定水功能区，与《湖南省水功能区监督管理办法》符合性分析</w:t>
      </w:r>
      <w:r>
        <w:rPr>
          <w:rFonts w:hint="eastAsia" w:cs="Times New Roman"/>
          <w:color w:val="auto"/>
          <w:kern w:val="2"/>
          <w:sz w:val="24"/>
          <w:highlight w:val="none"/>
          <w:u w:val="single"/>
          <w:lang w:val="en-US" w:eastAsia="zh-CN" w:bidi="ar-SA"/>
        </w:rPr>
        <w:t>见下表。</w:t>
      </w:r>
    </w:p>
    <w:p w14:paraId="234C2DB6">
      <w:pPr>
        <w:pStyle w:val="28"/>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u w:val="none"/>
          <w:lang w:val="en-US" w:eastAsia="zh-CN" w:bidi="ar-SA"/>
        </w:rPr>
        <w:t>表</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5.2</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4</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 xml:space="preserve">  </w:t>
      </w:r>
      <w:r>
        <w:rPr>
          <w:rFonts w:hint="default" w:ascii="Times New Roman" w:hAnsi="Times New Roman" w:eastAsia="黑体" w:cs="Times New Roman"/>
          <w:color w:val="auto"/>
          <w:kern w:val="2"/>
          <w:sz w:val="24"/>
          <w:highlight w:val="none"/>
          <w:lang w:val="en-US" w:eastAsia="zh-CN" w:bidi="ar-SA"/>
        </w:rPr>
        <w:t>与</w:t>
      </w:r>
      <w:r>
        <w:rPr>
          <w:rFonts w:hint="eastAsia" w:ascii="Times New Roman" w:hAnsi="Times New Roman"/>
          <w:color w:val="auto"/>
          <w:highlight w:val="none"/>
          <w:lang w:val="en-US" w:eastAsia="zh-CN"/>
        </w:rPr>
        <w:t>《湖南省水功能区监督管理办法》</w:t>
      </w:r>
      <w:r>
        <w:rPr>
          <w:rFonts w:hint="default" w:ascii="Times New Roman" w:hAnsi="Times New Roman" w:eastAsia="黑体" w:cs="Times New Roman"/>
          <w:color w:val="auto"/>
          <w:kern w:val="2"/>
          <w:sz w:val="24"/>
          <w:highlight w:val="none"/>
          <w:lang w:val="en-US" w:eastAsia="zh-CN" w:bidi="ar-SA"/>
        </w:rPr>
        <w:t>符合性分析</w:t>
      </w:r>
    </w:p>
    <w:tbl>
      <w:tblPr>
        <w:tblStyle w:val="21"/>
        <w:tblW w:w="501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434"/>
        <w:gridCol w:w="3902"/>
        <w:gridCol w:w="3898"/>
        <w:gridCol w:w="847"/>
      </w:tblGrid>
      <w:tr w14:paraId="17120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460C87F9">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序号</w:t>
            </w:r>
          </w:p>
        </w:tc>
        <w:tc>
          <w:tcPr>
            <w:tcW w:w="2148" w:type="pct"/>
            <w:tcBorders>
              <w:tl2br w:val="nil"/>
              <w:tr2bl w:val="nil"/>
            </w:tcBorders>
            <w:vAlign w:val="center"/>
          </w:tcPr>
          <w:p w14:paraId="3D264C7B">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要求</w:t>
            </w:r>
          </w:p>
        </w:tc>
        <w:tc>
          <w:tcPr>
            <w:tcW w:w="2146" w:type="pct"/>
            <w:tcBorders>
              <w:tl2br w:val="nil"/>
              <w:tr2bl w:val="nil"/>
            </w:tcBorders>
            <w:vAlign w:val="center"/>
          </w:tcPr>
          <w:p w14:paraId="55338138">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本项目情况</w:t>
            </w:r>
          </w:p>
        </w:tc>
        <w:tc>
          <w:tcPr>
            <w:tcW w:w="466" w:type="pct"/>
            <w:tcBorders>
              <w:tl2br w:val="nil"/>
              <w:tr2bl w:val="nil"/>
            </w:tcBorders>
            <w:vAlign w:val="center"/>
          </w:tcPr>
          <w:p w14:paraId="0002031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符合性</w:t>
            </w:r>
          </w:p>
        </w:tc>
      </w:tr>
      <w:tr w14:paraId="1047C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223FD367">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w:t>
            </w:r>
          </w:p>
        </w:tc>
        <w:tc>
          <w:tcPr>
            <w:tcW w:w="2148" w:type="pct"/>
            <w:tcBorders>
              <w:tl2br w:val="nil"/>
              <w:tr2bl w:val="nil"/>
            </w:tcBorders>
            <w:vAlign w:val="center"/>
          </w:tcPr>
          <w:p w14:paraId="2A93F17A">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left"/>
              <w:rPr>
                <w:rFonts w:hint="eastAsia"/>
                <w:color w:val="auto"/>
                <w:highlight w:val="none"/>
                <w:lang w:val="en-US" w:eastAsia="zh-CN"/>
              </w:rPr>
            </w:pPr>
            <w:r>
              <w:rPr>
                <w:rFonts w:hint="eastAsia"/>
                <w:color w:val="auto"/>
                <w:highlight w:val="none"/>
                <w:lang w:val="en-US" w:eastAsia="zh-CN"/>
              </w:rPr>
              <w:t>饮用水源区已经是饮用水水源地的，按法定程序报批，并开展饮用水水源地达标建设，加强预警与应急管理，保障饮用水安全。饮用水源区按照规划要求属于饮用水水源地的，禁止新设入河排污口，并严格控制其他功能的取水</w:t>
            </w:r>
          </w:p>
        </w:tc>
        <w:tc>
          <w:tcPr>
            <w:tcW w:w="2146" w:type="pct"/>
            <w:tcBorders>
              <w:tl2br w:val="nil"/>
              <w:tr2bl w:val="nil"/>
            </w:tcBorders>
            <w:vAlign w:val="center"/>
          </w:tcPr>
          <w:p w14:paraId="389D983D">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本项目论证范围内不涉及饮用水水源保护区</w:t>
            </w:r>
          </w:p>
        </w:tc>
        <w:tc>
          <w:tcPr>
            <w:tcW w:w="466" w:type="pct"/>
            <w:tcBorders>
              <w:tl2br w:val="nil"/>
              <w:tr2bl w:val="nil"/>
            </w:tcBorders>
            <w:vAlign w:val="center"/>
          </w:tcPr>
          <w:p w14:paraId="3F78AFB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40190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282C7A3B">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w:t>
            </w:r>
          </w:p>
        </w:tc>
        <w:tc>
          <w:tcPr>
            <w:tcW w:w="2148" w:type="pct"/>
            <w:tcBorders>
              <w:tl2br w:val="nil"/>
              <w:tr2bl w:val="nil"/>
            </w:tcBorders>
            <w:vAlign w:val="center"/>
          </w:tcPr>
          <w:p w14:paraId="73191305">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left"/>
              <w:rPr>
                <w:rFonts w:hint="eastAsia"/>
                <w:color w:val="auto"/>
                <w:highlight w:val="none"/>
                <w:lang w:val="en-US" w:eastAsia="zh-CN"/>
              </w:rPr>
            </w:pPr>
            <w:r>
              <w:rPr>
                <w:rFonts w:hint="eastAsia"/>
                <w:color w:val="auto"/>
                <w:highlight w:val="none"/>
                <w:lang w:val="en-US" w:eastAsia="zh-CN"/>
              </w:rPr>
              <w:t>工业用水区和农业用水区应当优先满足工业和农业用水需要，实行工业和农业取水总量控制制度，并严格执行有关取水许可管理规定。在工业用水区和农业用水区设置入河排污口，应当保证该功能区内取水点的水质符合工业及农业用水水质要求。</w:t>
            </w:r>
          </w:p>
        </w:tc>
        <w:tc>
          <w:tcPr>
            <w:tcW w:w="2146" w:type="pct"/>
            <w:tcBorders>
              <w:tl2br w:val="nil"/>
              <w:tr2bl w:val="nil"/>
            </w:tcBorders>
            <w:vAlign w:val="center"/>
          </w:tcPr>
          <w:p w14:paraId="40F6A639">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本项目论证范围内涉及水域未划定水功能区，因区域地表水环境质量现状锑超标，本项目通过减少锑的入河排放量，以改善域锑超标现状。</w:t>
            </w:r>
          </w:p>
        </w:tc>
        <w:tc>
          <w:tcPr>
            <w:tcW w:w="466" w:type="pct"/>
            <w:tcBorders>
              <w:tl2br w:val="nil"/>
              <w:tr2bl w:val="nil"/>
            </w:tcBorders>
            <w:vAlign w:val="center"/>
          </w:tcPr>
          <w:p w14:paraId="2D031D2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6B393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75262514">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w:t>
            </w:r>
          </w:p>
        </w:tc>
        <w:tc>
          <w:tcPr>
            <w:tcW w:w="2148" w:type="pct"/>
            <w:tcBorders>
              <w:tl2br w:val="nil"/>
              <w:tr2bl w:val="nil"/>
            </w:tcBorders>
            <w:vAlign w:val="center"/>
          </w:tcPr>
          <w:p w14:paraId="5BA91941">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left"/>
              <w:rPr>
                <w:rFonts w:hint="eastAsia"/>
                <w:color w:val="auto"/>
                <w:highlight w:val="none"/>
                <w:lang w:val="en-US" w:eastAsia="zh-CN"/>
              </w:rPr>
            </w:pPr>
            <w:r>
              <w:rPr>
                <w:rFonts w:hint="eastAsia"/>
                <w:color w:val="auto"/>
                <w:highlight w:val="none"/>
                <w:lang w:val="en-US" w:eastAsia="zh-CN"/>
              </w:rPr>
              <w:t>重要渔业水体的保护区内，禁止新设入河排污口</w:t>
            </w:r>
          </w:p>
        </w:tc>
        <w:tc>
          <w:tcPr>
            <w:tcW w:w="2146" w:type="pct"/>
            <w:tcBorders>
              <w:tl2br w:val="nil"/>
              <w:tr2bl w:val="nil"/>
            </w:tcBorders>
            <w:vAlign w:val="center"/>
          </w:tcPr>
          <w:p w14:paraId="28AA0DC8">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本项目论证范围内不涉及重要渔业水体的保护区</w:t>
            </w:r>
          </w:p>
        </w:tc>
        <w:tc>
          <w:tcPr>
            <w:tcW w:w="466" w:type="pct"/>
            <w:tcBorders>
              <w:tl2br w:val="nil"/>
              <w:tr2bl w:val="nil"/>
            </w:tcBorders>
            <w:vAlign w:val="center"/>
          </w:tcPr>
          <w:p w14:paraId="16A6BB5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符合</w:t>
            </w:r>
          </w:p>
        </w:tc>
      </w:tr>
      <w:tr w14:paraId="5D2C5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081761F3">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4</w:t>
            </w:r>
          </w:p>
        </w:tc>
        <w:tc>
          <w:tcPr>
            <w:tcW w:w="2148" w:type="pct"/>
            <w:tcBorders>
              <w:tl2br w:val="nil"/>
              <w:tr2bl w:val="nil"/>
            </w:tcBorders>
            <w:vAlign w:val="center"/>
          </w:tcPr>
          <w:p w14:paraId="6FF882C5">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left"/>
              <w:rPr>
                <w:rFonts w:hint="eastAsia"/>
                <w:color w:val="auto"/>
                <w:highlight w:val="none"/>
                <w:lang w:val="en-US" w:eastAsia="zh-CN"/>
              </w:rPr>
            </w:pPr>
            <w:r>
              <w:rPr>
                <w:rFonts w:hint="eastAsia"/>
                <w:color w:val="auto"/>
                <w:highlight w:val="none"/>
                <w:lang w:val="en-US" w:eastAsia="zh-CN"/>
              </w:rPr>
              <w:t>风景名胜区的涉水区内，禁止新设入河排污口</w:t>
            </w:r>
          </w:p>
        </w:tc>
        <w:tc>
          <w:tcPr>
            <w:tcW w:w="2146" w:type="pct"/>
            <w:tcBorders>
              <w:tl2br w:val="nil"/>
              <w:tr2bl w:val="nil"/>
            </w:tcBorders>
            <w:vAlign w:val="center"/>
          </w:tcPr>
          <w:p w14:paraId="207FF28F">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本项目论证范围内不涉及风景名胜区的涉水区</w:t>
            </w:r>
          </w:p>
        </w:tc>
        <w:tc>
          <w:tcPr>
            <w:tcW w:w="466" w:type="pct"/>
            <w:tcBorders>
              <w:tl2br w:val="nil"/>
              <w:tr2bl w:val="nil"/>
            </w:tcBorders>
            <w:vAlign w:val="center"/>
          </w:tcPr>
          <w:p w14:paraId="42E76CE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符合</w:t>
            </w:r>
          </w:p>
        </w:tc>
      </w:tr>
    </w:tbl>
    <w:p w14:paraId="0F6E1E67">
      <w:pPr>
        <w:pStyle w:val="34"/>
        <w:bidi w:val="0"/>
        <w:rPr>
          <w:rFonts w:hint="eastAsia"/>
          <w:color w:val="auto"/>
          <w:highlight w:val="none"/>
          <w:lang w:val="en-US" w:eastAsia="zh-CN"/>
        </w:rPr>
      </w:pPr>
      <w:r>
        <w:rPr>
          <w:rFonts w:hint="eastAsia"/>
          <w:color w:val="auto"/>
          <w:highlight w:val="none"/>
          <w:lang w:val="en-US" w:eastAsia="zh-CN"/>
        </w:rPr>
        <w:t>与《益阳市最严格水资源管理制度实施方案》相符性分析</w:t>
      </w:r>
    </w:p>
    <w:p w14:paraId="0E47032A">
      <w:pPr>
        <w:pStyle w:val="2"/>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本项目与</w:t>
      </w:r>
      <w:r>
        <w:rPr>
          <w:rFonts w:hint="eastAsia" w:ascii="Times New Roman" w:hAnsi="Times New Roman" w:cs="Times New Roman"/>
          <w:color w:val="auto"/>
          <w:kern w:val="2"/>
          <w:sz w:val="24"/>
          <w:highlight w:val="none"/>
          <w:lang w:val="en-US" w:eastAsia="zh-CN" w:bidi="ar-SA"/>
        </w:rPr>
        <w:t>《益阳市最严格水资源管理制度实施方案》</w:t>
      </w:r>
      <w:r>
        <w:rPr>
          <w:rFonts w:hint="default" w:ascii="Times New Roman" w:hAnsi="Times New Roman" w:eastAsia="宋体" w:cs="Times New Roman"/>
          <w:color w:val="auto"/>
          <w:kern w:val="2"/>
          <w:sz w:val="24"/>
          <w:highlight w:val="none"/>
          <w:lang w:val="en-US" w:eastAsia="zh-CN" w:bidi="ar-SA"/>
        </w:rPr>
        <w:t>符合性分析见下表。</w:t>
      </w:r>
    </w:p>
    <w:p w14:paraId="56A7AF2B">
      <w:pPr>
        <w:pStyle w:val="28"/>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u w:val="none"/>
          <w:lang w:val="en-US" w:eastAsia="zh-CN" w:bidi="ar-SA"/>
        </w:rPr>
        <w:t>表</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5.2</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5</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 xml:space="preserve">  </w:t>
      </w:r>
      <w:r>
        <w:rPr>
          <w:rFonts w:hint="default" w:ascii="Times New Roman" w:hAnsi="Times New Roman" w:eastAsia="黑体" w:cs="Times New Roman"/>
          <w:color w:val="auto"/>
          <w:kern w:val="2"/>
          <w:sz w:val="24"/>
          <w:highlight w:val="none"/>
          <w:lang w:val="en-US" w:eastAsia="zh-CN" w:bidi="ar-SA"/>
        </w:rPr>
        <w:t>与</w:t>
      </w:r>
      <w:r>
        <w:rPr>
          <w:rFonts w:hint="eastAsia" w:ascii="Times New Roman" w:hAnsi="Times New Roman"/>
          <w:color w:val="auto"/>
          <w:highlight w:val="none"/>
          <w:lang w:eastAsia="zh-CN"/>
        </w:rPr>
        <w:t>《益阳市最严格水资源管理制度实施方案》</w:t>
      </w:r>
      <w:r>
        <w:rPr>
          <w:rFonts w:hint="default" w:ascii="Times New Roman" w:hAnsi="Times New Roman" w:eastAsia="黑体" w:cs="Times New Roman"/>
          <w:color w:val="auto"/>
          <w:kern w:val="2"/>
          <w:sz w:val="24"/>
          <w:highlight w:val="none"/>
          <w:lang w:val="en-US" w:eastAsia="zh-CN" w:bidi="ar-SA"/>
        </w:rPr>
        <w:t>符合性分析</w:t>
      </w:r>
    </w:p>
    <w:tbl>
      <w:tblPr>
        <w:tblStyle w:val="21"/>
        <w:tblW w:w="501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434"/>
        <w:gridCol w:w="3899"/>
        <w:gridCol w:w="3895"/>
        <w:gridCol w:w="846"/>
      </w:tblGrid>
      <w:tr w14:paraId="22558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253581EB">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序号</w:t>
            </w:r>
          </w:p>
        </w:tc>
        <w:tc>
          <w:tcPr>
            <w:tcW w:w="2147" w:type="pct"/>
            <w:tcBorders>
              <w:tl2br w:val="nil"/>
              <w:tr2bl w:val="nil"/>
            </w:tcBorders>
            <w:vAlign w:val="center"/>
          </w:tcPr>
          <w:p w14:paraId="047ED251">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要求</w:t>
            </w:r>
          </w:p>
        </w:tc>
        <w:tc>
          <w:tcPr>
            <w:tcW w:w="2145" w:type="pct"/>
            <w:tcBorders>
              <w:tl2br w:val="nil"/>
              <w:tr2bl w:val="nil"/>
            </w:tcBorders>
            <w:vAlign w:val="center"/>
          </w:tcPr>
          <w:p w14:paraId="605F5081">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本项目情况</w:t>
            </w:r>
          </w:p>
        </w:tc>
        <w:tc>
          <w:tcPr>
            <w:tcW w:w="466" w:type="pct"/>
            <w:tcBorders>
              <w:tl2br w:val="nil"/>
              <w:tr2bl w:val="nil"/>
            </w:tcBorders>
            <w:vAlign w:val="center"/>
          </w:tcPr>
          <w:p w14:paraId="625C864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符合性</w:t>
            </w:r>
          </w:p>
        </w:tc>
      </w:tr>
      <w:tr w14:paraId="43135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3E954423">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w:t>
            </w:r>
          </w:p>
        </w:tc>
        <w:tc>
          <w:tcPr>
            <w:tcW w:w="2147" w:type="pct"/>
            <w:tcBorders>
              <w:tl2br w:val="nil"/>
              <w:tr2bl w:val="nil"/>
            </w:tcBorders>
            <w:vAlign w:val="center"/>
          </w:tcPr>
          <w:p w14:paraId="0983F43E">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实行水功能区纳污总量控制。水行政主管部门要按照水功能区管理要求核定水功能区纳污能力，提出水功能区限制排污总量意见。环境保护行政主管部门按水功能区限制排污总量意见和水功能区达标要求，制定水功能区限制排污总量年度目标任务，明确年度入河排污控制指标。各级人民政府要把限制排污总量和年度入河排污控制指标作为水污染防治和污染减排工作的重要依据，切实加强工业污染源控制，加大主要污染物减排力度，严格控制入河湖排污总量，确保水功能区达标</w:t>
            </w:r>
          </w:p>
        </w:tc>
        <w:tc>
          <w:tcPr>
            <w:tcW w:w="2145" w:type="pct"/>
            <w:tcBorders>
              <w:tl2br w:val="nil"/>
              <w:tr2bl w:val="nil"/>
            </w:tcBorders>
            <w:vAlign w:val="center"/>
          </w:tcPr>
          <w:p w14:paraId="1880E3A6">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本项目为已建补办排污口论证手续，因区域地表水环境质量现状锑超标，本项目通过减少锑的入河排放量，以改善区域锑超标现状。</w:t>
            </w:r>
          </w:p>
        </w:tc>
        <w:tc>
          <w:tcPr>
            <w:tcW w:w="466" w:type="pct"/>
            <w:tcBorders>
              <w:tl2br w:val="nil"/>
              <w:tr2bl w:val="nil"/>
            </w:tcBorders>
            <w:vAlign w:val="center"/>
          </w:tcPr>
          <w:p w14:paraId="6E89066C">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2FAD8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6626D88C">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w:t>
            </w:r>
          </w:p>
        </w:tc>
        <w:tc>
          <w:tcPr>
            <w:tcW w:w="2147" w:type="pct"/>
            <w:tcBorders>
              <w:tl2br w:val="nil"/>
              <w:tr2bl w:val="nil"/>
            </w:tcBorders>
            <w:vAlign w:val="center"/>
          </w:tcPr>
          <w:p w14:paraId="1E5A11B9">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严格入河湖排污口设置审批。新建、改建或扩大入河排污口要进行入河湖排污口设置论证，并经水行政主管部门审批同意，未经水行政主管部门同意，入河湖排污口不得擅自开工建设。入河湖排污口建设完成投入使用前，须经水行政主管部门组织验收。实行入河排污口登记制度。对排污量超出水功能区限排总量的地区，不得审批新增取水和入河湖排污口。</w:t>
            </w:r>
          </w:p>
        </w:tc>
        <w:tc>
          <w:tcPr>
            <w:tcW w:w="2145" w:type="pct"/>
            <w:tcBorders>
              <w:tl2br w:val="nil"/>
              <w:tr2bl w:val="nil"/>
            </w:tcBorders>
            <w:vAlign w:val="center"/>
          </w:tcPr>
          <w:p w14:paraId="53A5C077">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本项目为已建补办排污口论证手续，因区域地表水环境质量现状锑超标，本项目通过减少锑的入河排放量，以改善域锑超标现状。</w:t>
            </w:r>
          </w:p>
        </w:tc>
        <w:tc>
          <w:tcPr>
            <w:tcW w:w="466" w:type="pct"/>
            <w:tcBorders>
              <w:tl2br w:val="nil"/>
              <w:tr2bl w:val="nil"/>
            </w:tcBorders>
            <w:vAlign w:val="center"/>
          </w:tcPr>
          <w:p w14:paraId="6839367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bl>
    <w:p w14:paraId="3C87DE26">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根据对照分析，本项目</w:t>
      </w:r>
      <w:r>
        <w:rPr>
          <w:rFonts w:hint="eastAsia" w:ascii="Times New Roman" w:hAnsi="Times New Roman" w:eastAsia="宋体" w:cs="Times New Roman"/>
          <w:color w:val="auto"/>
          <w:kern w:val="2"/>
          <w:sz w:val="24"/>
          <w:highlight w:val="none"/>
          <w:lang w:val="en-US" w:eastAsia="zh-CN" w:bidi="ar-SA"/>
        </w:rPr>
        <w:t>符合《益阳市最严格水资源管理制度实施方案》</w:t>
      </w:r>
      <w:r>
        <w:rPr>
          <w:rFonts w:hint="default" w:ascii="Times New Roman" w:hAnsi="Times New Roman" w:eastAsia="宋体" w:cs="Times New Roman"/>
          <w:color w:val="auto"/>
          <w:kern w:val="2"/>
          <w:sz w:val="24"/>
          <w:highlight w:val="none"/>
          <w:lang w:val="en-US" w:eastAsia="zh-CN" w:bidi="ar-SA"/>
        </w:rPr>
        <w:t>中的</w:t>
      </w:r>
      <w:r>
        <w:rPr>
          <w:rFonts w:hint="eastAsia" w:ascii="Times New Roman" w:hAnsi="Times New Roman" w:eastAsia="宋体" w:cs="Times New Roman"/>
          <w:color w:val="auto"/>
          <w:kern w:val="2"/>
          <w:sz w:val="24"/>
          <w:highlight w:val="none"/>
          <w:lang w:val="en-US" w:eastAsia="zh-CN" w:bidi="ar-SA"/>
        </w:rPr>
        <w:t>相关规定要求</w:t>
      </w:r>
      <w:r>
        <w:rPr>
          <w:rFonts w:hint="default" w:ascii="Times New Roman" w:hAnsi="Times New Roman" w:eastAsia="宋体" w:cs="Times New Roman"/>
          <w:color w:val="auto"/>
          <w:kern w:val="2"/>
          <w:sz w:val="24"/>
          <w:highlight w:val="none"/>
          <w:lang w:val="en-US" w:eastAsia="zh-CN" w:bidi="ar-SA"/>
        </w:rPr>
        <w:t>。</w:t>
      </w:r>
    </w:p>
    <w:p w14:paraId="324CE554">
      <w:pPr>
        <w:pStyle w:val="34"/>
        <w:bidi w:val="0"/>
        <w:rPr>
          <w:rFonts w:hint="eastAsia"/>
          <w:color w:val="auto"/>
          <w:highlight w:val="none"/>
          <w:lang w:val="en-US" w:eastAsia="zh-CN"/>
        </w:rPr>
      </w:pPr>
      <w:r>
        <w:rPr>
          <w:rFonts w:hint="eastAsia"/>
          <w:color w:val="auto"/>
          <w:highlight w:val="none"/>
          <w:lang w:val="en-US" w:eastAsia="zh-CN"/>
        </w:rPr>
        <w:t>与《关于加强资江流域涉锑企业环境整治的通知》相符性分析</w:t>
      </w:r>
    </w:p>
    <w:p w14:paraId="4D7B8EE8">
      <w:pPr>
        <w:pStyle w:val="2"/>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本项目与</w:t>
      </w:r>
      <w:r>
        <w:rPr>
          <w:rFonts w:hint="eastAsia" w:ascii="Times New Roman" w:hAnsi="Times New Roman" w:cs="Times New Roman"/>
          <w:color w:val="auto"/>
          <w:kern w:val="2"/>
          <w:sz w:val="24"/>
          <w:highlight w:val="none"/>
          <w:lang w:val="en-US" w:eastAsia="zh-CN" w:bidi="ar-SA"/>
        </w:rPr>
        <w:t>《关于加强资江流域涉锑企业环境整治的通知》</w:t>
      </w:r>
      <w:r>
        <w:rPr>
          <w:rFonts w:hint="default" w:ascii="Times New Roman" w:hAnsi="Times New Roman" w:eastAsia="宋体" w:cs="Times New Roman"/>
          <w:color w:val="auto"/>
          <w:kern w:val="2"/>
          <w:sz w:val="24"/>
          <w:highlight w:val="none"/>
          <w:lang w:val="en-US" w:eastAsia="zh-CN" w:bidi="ar-SA"/>
        </w:rPr>
        <w:t>符合性分析见下表。</w:t>
      </w:r>
    </w:p>
    <w:p w14:paraId="5D4AD162">
      <w:pPr>
        <w:pStyle w:val="28"/>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u w:val="none"/>
          <w:lang w:val="en-US" w:eastAsia="zh-CN" w:bidi="ar-SA"/>
        </w:rPr>
        <w:t>表</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5.2</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6</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 xml:space="preserve">  </w:t>
      </w:r>
      <w:r>
        <w:rPr>
          <w:rFonts w:hint="default" w:ascii="Times New Roman" w:hAnsi="Times New Roman" w:eastAsia="黑体" w:cs="Times New Roman"/>
          <w:color w:val="auto"/>
          <w:kern w:val="2"/>
          <w:sz w:val="24"/>
          <w:highlight w:val="none"/>
          <w:lang w:val="en-US" w:eastAsia="zh-CN" w:bidi="ar-SA"/>
        </w:rPr>
        <w:t>与</w:t>
      </w:r>
      <w:r>
        <w:rPr>
          <w:rFonts w:hint="eastAsia" w:ascii="Times New Roman" w:hAnsi="Times New Roman"/>
          <w:color w:val="auto"/>
          <w:highlight w:val="none"/>
          <w:lang w:eastAsia="zh-CN"/>
        </w:rPr>
        <w:t>《关于加强资江流域涉锑企业环境整治的通知》</w:t>
      </w:r>
      <w:r>
        <w:rPr>
          <w:rFonts w:hint="default" w:ascii="Times New Roman" w:hAnsi="Times New Roman" w:eastAsia="黑体" w:cs="Times New Roman"/>
          <w:color w:val="auto"/>
          <w:kern w:val="2"/>
          <w:sz w:val="24"/>
          <w:highlight w:val="none"/>
          <w:lang w:val="en-US" w:eastAsia="zh-CN" w:bidi="ar-SA"/>
        </w:rPr>
        <w:t>符合性分析</w:t>
      </w:r>
    </w:p>
    <w:tbl>
      <w:tblPr>
        <w:tblStyle w:val="21"/>
        <w:tblW w:w="501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434"/>
        <w:gridCol w:w="3899"/>
        <w:gridCol w:w="3895"/>
        <w:gridCol w:w="846"/>
      </w:tblGrid>
      <w:tr w14:paraId="01EDE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0CFDC9EE">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序号</w:t>
            </w:r>
          </w:p>
        </w:tc>
        <w:tc>
          <w:tcPr>
            <w:tcW w:w="2147" w:type="pct"/>
            <w:tcBorders>
              <w:tl2br w:val="nil"/>
              <w:tr2bl w:val="nil"/>
            </w:tcBorders>
            <w:vAlign w:val="center"/>
          </w:tcPr>
          <w:p w14:paraId="631CE776">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要求</w:t>
            </w:r>
          </w:p>
        </w:tc>
        <w:tc>
          <w:tcPr>
            <w:tcW w:w="2145" w:type="pct"/>
            <w:tcBorders>
              <w:tl2br w:val="nil"/>
              <w:tr2bl w:val="nil"/>
            </w:tcBorders>
            <w:vAlign w:val="center"/>
          </w:tcPr>
          <w:p w14:paraId="477950E9">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本项目情况</w:t>
            </w:r>
          </w:p>
        </w:tc>
        <w:tc>
          <w:tcPr>
            <w:tcW w:w="466" w:type="pct"/>
            <w:tcBorders>
              <w:tl2br w:val="nil"/>
              <w:tr2bl w:val="nil"/>
            </w:tcBorders>
            <w:vAlign w:val="center"/>
          </w:tcPr>
          <w:p w14:paraId="2A90C09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符合性</w:t>
            </w:r>
          </w:p>
        </w:tc>
      </w:tr>
      <w:tr w14:paraId="6D617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7CC50352">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w:t>
            </w:r>
          </w:p>
        </w:tc>
        <w:tc>
          <w:tcPr>
            <w:tcW w:w="2147" w:type="pct"/>
            <w:tcBorders>
              <w:tl2br w:val="nil"/>
              <w:tr2bl w:val="nil"/>
            </w:tcBorders>
            <w:vAlign w:val="center"/>
          </w:tcPr>
          <w:p w14:paraId="6DF61719">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基本条件外排废水严禁直接进入饮用水源一、二级保护区；外排废水通过支流进入饮用水源一、二级保护区应距流入干流交汇口2公里以上</w:t>
            </w:r>
          </w:p>
        </w:tc>
        <w:tc>
          <w:tcPr>
            <w:tcW w:w="2145" w:type="pct"/>
            <w:tcBorders>
              <w:tl2br w:val="nil"/>
              <w:tr2bl w:val="nil"/>
            </w:tcBorders>
            <w:vAlign w:val="center"/>
          </w:tcPr>
          <w:p w14:paraId="4A3B4DF7">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本项目排污口位于渣滓溪，下游41.255km范围内无饮用水水源保护区</w:t>
            </w:r>
          </w:p>
        </w:tc>
        <w:tc>
          <w:tcPr>
            <w:tcW w:w="466" w:type="pct"/>
            <w:tcBorders>
              <w:tl2br w:val="nil"/>
              <w:tr2bl w:val="nil"/>
            </w:tcBorders>
            <w:vAlign w:val="center"/>
          </w:tcPr>
          <w:p w14:paraId="4A360C7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690B7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151F87ED">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w:t>
            </w:r>
          </w:p>
        </w:tc>
        <w:tc>
          <w:tcPr>
            <w:tcW w:w="2147" w:type="pct"/>
            <w:tcBorders>
              <w:tl2br w:val="nil"/>
              <w:tr2bl w:val="nil"/>
            </w:tcBorders>
            <w:vAlign w:val="center"/>
          </w:tcPr>
          <w:p w14:paraId="6BDDCCBF">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审批、验收手续环境保护审批、验收手续齐全，所有涉锑企业须有省、市环保局出具的环境影响评价批复和竣工环境保护验收批复，锑矿开采还必须由国土、矿产资源主管部门审批登记，颁发采矿许可证</w:t>
            </w:r>
          </w:p>
        </w:tc>
        <w:tc>
          <w:tcPr>
            <w:tcW w:w="2145" w:type="pct"/>
            <w:tcBorders>
              <w:tl2br w:val="nil"/>
              <w:tr2bl w:val="nil"/>
            </w:tcBorders>
            <w:vAlign w:val="center"/>
          </w:tcPr>
          <w:p w14:paraId="783B86ED">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渣滓溪锑矿环保手续齐全，有采矿许可证</w:t>
            </w:r>
          </w:p>
        </w:tc>
        <w:tc>
          <w:tcPr>
            <w:tcW w:w="466" w:type="pct"/>
            <w:tcBorders>
              <w:tl2br w:val="nil"/>
              <w:tr2bl w:val="nil"/>
            </w:tcBorders>
            <w:vAlign w:val="center"/>
          </w:tcPr>
          <w:p w14:paraId="70F15B8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4013B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465D497F">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w:t>
            </w:r>
          </w:p>
        </w:tc>
        <w:tc>
          <w:tcPr>
            <w:tcW w:w="2147" w:type="pct"/>
            <w:tcBorders>
              <w:tl2br w:val="nil"/>
              <w:tr2bl w:val="nil"/>
            </w:tcBorders>
            <w:vAlign w:val="center"/>
          </w:tcPr>
          <w:p w14:paraId="66C94C76">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锑矿开采须配套坑道废水处理设施和废石堆场，并采取水土流失防治措施；选矿企业须有开采规模配套的尾矿库，库区建有撇洪系统，尾矿库配套建设有渗沥水处理设施或回用设施。厂界噪声达标</w:t>
            </w:r>
          </w:p>
        </w:tc>
        <w:tc>
          <w:tcPr>
            <w:tcW w:w="2145" w:type="pct"/>
            <w:tcBorders>
              <w:tl2br w:val="nil"/>
              <w:tr2bl w:val="nil"/>
            </w:tcBorders>
            <w:vAlign w:val="center"/>
          </w:tcPr>
          <w:p w14:paraId="173E3661">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企业设有废水处理站、废石堆场、尾矿库；尾矿库配套有渗滤液收集池；根据锑矿升级改造环评，厂界噪声达标</w:t>
            </w:r>
          </w:p>
        </w:tc>
        <w:tc>
          <w:tcPr>
            <w:tcW w:w="466" w:type="pct"/>
            <w:tcBorders>
              <w:tl2br w:val="nil"/>
              <w:tr2bl w:val="nil"/>
            </w:tcBorders>
            <w:vAlign w:val="center"/>
          </w:tcPr>
          <w:p w14:paraId="142D13B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bl>
    <w:p w14:paraId="3BD7AC23">
      <w:pPr>
        <w:pStyle w:val="2"/>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根据对照分析，本项目</w:t>
      </w:r>
      <w:r>
        <w:rPr>
          <w:rFonts w:hint="eastAsia" w:ascii="Times New Roman" w:hAnsi="Times New Roman" w:eastAsia="宋体" w:cs="Times New Roman"/>
          <w:color w:val="auto"/>
          <w:kern w:val="2"/>
          <w:sz w:val="24"/>
          <w:highlight w:val="none"/>
          <w:lang w:val="en-US" w:eastAsia="zh-CN" w:bidi="ar-SA"/>
        </w:rPr>
        <w:t>符合</w:t>
      </w:r>
      <w:r>
        <w:rPr>
          <w:rFonts w:hint="eastAsia" w:ascii="Times New Roman" w:hAnsi="Times New Roman" w:cs="Times New Roman"/>
          <w:color w:val="auto"/>
          <w:kern w:val="2"/>
          <w:sz w:val="24"/>
          <w:highlight w:val="none"/>
          <w:lang w:val="en-US" w:eastAsia="zh-CN" w:bidi="ar-SA"/>
        </w:rPr>
        <w:t>《关于加强资江流域涉锑企业环境整治的通知》</w:t>
      </w:r>
      <w:r>
        <w:rPr>
          <w:rFonts w:hint="default" w:ascii="Times New Roman" w:hAnsi="Times New Roman" w:eastAsia="宋体" w:cs="Times New Roman"/>
          <w:color w:val="auto"/>
          <w:kern w:val="2"/>
          <w:sz w:val="24"/>
          <w:highlight w:val="none"/>
          <w:lang w:val="en-US" w:eastAsia="zh-CN" w:bidi="ar-SA"/>
        </w:rPr>
        <w:t>中的</w:t>
      </w:r>
      <w:r>
        <w:rPr>
          <w:rFonts w:hint="eastAsia" w:ascii="Times New Roman" w:hAnsi="Times New Roman" w:eastAsia="宋体" w:cs="Times New Roman"/>
          <w:color w:val="auto"/>
          <w:kern w:val="2"/>
          <w:sz w:val="24"/>
          <w:highlight w:val="none"/>
          <w:lang w:val="en-US" w:eastAsia="zh-CN" w:bidi="ar-SA"/>
        </w:rPr>
        <w:t>相关规定要求</w:t>
      </w:r>
      <w:r>
        <w:rPr>
          <w:rFonts w:hint="default" w:ascii="Times New Roman" w:hAnsi="Times New Roman" w:eastAsia="宋体" w:cs="Times New Roman"/>
          <w:color w:val="auto"/>
          <w:kern w:val="2"/>
          <w:sz w:val="24"/>
          <w:highlight w:val="none"/>
          <w:lang w:val="en-US" w:eastAsia="zh-CN" w:bidi="ar-SA"/>
        </w:rPr>
        <w:t>。</w:t>
      </w:r>
    </w:p>
    <w:p w14:paraId="7178D6DE">
      <w:pPr>
        <w:pStyle w:val="34"/>
        <w:bidi w:val="0"/>
        <w:rPr>
          <w:rFonts w:hint="eastAsia"/>
          <w:color w:val="auto"/>
          <w:highlight w:val="none"/>
          <w:lang w:val="en-US" w:eastAsia="zh-CN"/>
        </w:rPr>
      </w:pPr>
      <w:r>
        <w:rPr>
          <w:rFonts w:hint="eastAsia"/>
          <w:color w:val="auto"/>
          <w:highlight w:val="none"/>
          <w:lang w:val="en-US" w:eastAsia="zh-CN"/>
        </w:rPr>
        <w:t>与《益阳市“十四五”生态环境保护规划》相符性分析</w:t>
      </w:r>
    </w:p>
    <w:p w14:paraId="0FD4A3F5">
      <w:pPr>
        <w:pStyle w:val="2"/>
        <w:widowControl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本项目与</w:t>
      </w:r>
      <w:r>
        <w:rPr>
          <w:rFonts w:hint="eastAsia" w:ascii="Times New Roman" w:hAnsi="Times New Roman" w:cs="Times New Roman"/>
          <w:color w:val="auto"/>
          <w:kern w:val="2"/>
          <w:sz w:val="24"/>
          <w:highlight w:val="none"/>
          <w:lang w:val="en-US" w:eastAsia="zh-CN" w:bidi="ar-SA"/>
        </w:rPr>
        <w:t>《益阳市“十四五”生态环境保护规划》</w:t>
      </w:r>
      <w:r>
        <w:rPr>
          <w:rFonts w:hint="default" w:ascii="Times New Roman" w:hAnsi="Times New Roman" w:eastAsia="宋体" w:cs="Times New Roman"/>
          <w:color w:val="auto"/>
          <w:kern w:val="2"/>
          <w:sz w:val="24"/>
          <w:highlight w:val="none"/>
          <w:lang w:val="en-US" w:eastAsia="zh-CN" w:bidi="ar-SA"/>
        </w:rPr>
        <w:t>符合性分析见下表。</w:t>
      </w:r>
    </w:p>
    <w:p w14:paraId="5C80E58F">
      <w:pPr>
        <w:pStyle w:val="28"/>
        <w:widowControl w:val="0"/>
        <w:bidi w:val="0"/>
        <w:spacing w:line="300" w:lineRule="auto"/>
        <w:jc w:val="center"/>
        <w:outlineLvl w:val="4"/>
        <w:rPr>
          <w:rFonts w:hint="default" w:ascii="Times New Roman" w:hAnsi="Times New Roman" w:eastAsia="黑体" w:cs="Times New Roman"/>
          <w:color w:val="auto"/>
          <w:kern w:val="2"/>
          <w:sz w:val="24"/>
          <w:highlight w:val="none"/>
          <w:lang w:val="en-US" w:eastAsia="zh-CN" w:bidi="ar-SA"/>
        </w:rPr>
      </w:pPr>
      <w:r>
        <w:rPr>
          <w:rFonts w:hint="default" w:ascii="Times New Roman" w:hAnsi="Times New Roman" w:eastAsia="黑体" w:cs="Times New Roman"/>
          <w:color w:val="auto"/>
          <w:kern w:val="2"/>
          <w:sz w:val="24"/>
          <w:highlight w:val="none"/>
          <w:u w:val="none"/>
          <w:lang w:val="en-US" w:eastAsia="zh-CN" w:bidi="ar-SA"/>
        </w:rPr>
        <w:t>表</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STYLEREF guo-二级标题 \n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5.2</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w:t>
      </w:r>
      <w:r>
        <w:rPr>
          <w:rFonts w:hint="default" w:ascii="Times New Roman" w:hAnsi="Times New Roman" w:eastAsia="黑体" w:cs="Times New Roman"/>
          <w:color w:val="auto"/>
          <w:kern w:val="2"/>
          <w:sz w:val="24"/>
          <w:highlight w:val="none"/>
          <w:u w:val="none"/>
          <w:lang w:val="en-US" w:eastAsia="zh-CN" w:bidi="ar-SA"/>
        </w:rPr>
        <w:fldChar w:fldCharType="begin"/>
      </w:r>
      <w:r>
        <w:rPr>
          <w:rFonts w:hint="default" w:ascii="Times New Roman" w:hAnsi="Times New Roman" w:eastAsia="黑体" w:cs="Times New Roman"/>
          <w:color w:val="auto"/>
          <w:kern w:val="2"/>
          <w:sz w:val="24"/>
          <w:highlight w:val="none"/>
          <w:u w:val="none"/>
          <w:lang w:val="en-US" w:eastAsia="zh-CN" w:bidi="ar-SA"/>
        </w:rPr>
        <w:instrText xml:space="preserve"> SEQ 表 \* ARABIC \s 2 </w:instrText>
      </w:r>
      <w:r>
        <w:rPr>
          <w:rFonts w:hint="default" w:ascii="Times New Roman" w:hAnsi="Times New Roman" w:eastAsia="黑体" w:cs="Times New Roman"/>
          <w:color w:val="auto"/>
          <w:kern w:val="2"/>
          <w:sz w:val="24"/>
          <w:highlight w:val="none"/>
          <w:u w:val="none"/>
          <w:lang w:val="en-US" w:eastAsia="zh-CN" w:bidi="ar-SA"/>
        </w:rPr>
        <w:fldChar w:fldCharType="separate"/>
      </w:r>
      <w:r>
        <w:rPr>
          <w:rFonts w:hint="default" w:ascii="Times New Roman" w:hAnsi="Times New Roman" w:eastAsia="黑体" w:cs="Times New Roman"/>
          <w:color w:val="auto"/>
          <w:kern w:val="2"/>
          <w:sz w:val="24"/>
          <w:highlight w:val="none"/>
          <w:u w:val="none"/>
          <w:lang w:val="en-US" w:eastAsia="zh-CN" w:bidi="ar-SA"/>
        </w:rPr>
        <w:t>7</w:t>
      </w:r>
      <w:r>
        <w:rPr>
          <w:rFonts w:hint="default" w:ascii="Times New Roman" w:hAnsi="Times New Roman" w:eastAsia="黑体" w:cs="Times New Roman"/>
          <w:color w:val="auto"/>
          <w:kern w:val="2"/>
          <w:sz w:val="24"/>
          <w:highlight w:val="none"/>
          <w:u w:val="none"/>
          <w:lang w:val="en-US" w:eastAsia="zh-CN" w:bidi="ar-SA"/>
        </w:rPr>
        <w:fldChar w:fldCharType="end"/>
      </w:r>
      <w:r>
        <w:rPr>
          <w:rFonts w:hint="default" w:ascii="Times New Roman" w:hAnsi="Times New Roman" w:eastAsia="黑体" w:cs="Times New Roman"/>
          <w:color w:val="auto"/>
          <w:kern w:val="2"/>
          <w:sz w:val="24"/>
          <w:highlight w:val="none"/>
          <w:u w:val="none"/>
          <w:lang w:val="en-US" w:eastAsia="zh-CN" w:bidi="ar-SA"/>
        </w:rPr>
        <w:t xml:space="preserve">  </w:t>
      </w:r>
      <w:r>
        <w:rPr>
          <w:rFonts w:hint="default" w:ascii="Times New Roman" w:hAnsi="Times New Roman" w:eastAsia="黑体" w:cs="Times New Roman"/>
          <w:color w:val="auto"/>
          <w:kern w:val="2"/>
          <w:sz w:val="24"/>
          <w:highlight w:val="none"/>
          <w:lang w:val="en-US" w:eastAsia="zh-CN" w:bidi="ar-SA"/>
        </w:rPr>
        <w:t>与</w:t>
      </w:r>
      <w:r>
        <w:rPr>
          <w:rFonts w:hint="eastAsia" w:ascii="Times New Roman" w:hAnsi="Times New Roman" w:cs="Times New Roman"/>
          <w:color w:val="auto"/>
          <w:kern w:val="2"/>
          <w:sz w:val="24"/>
          <w:highlight w:val="none"/>
          <w:lang w:val="en-US" w:eastAsia="zh-CN" w:bidi="ar-SA"/>
        </w:rPr>
        <w:t>《益阳市“十四五”生态环境保护规划》</w:t>
      </w:r>
      <w:r>
        <w:rPr>
          <w:rFonts w:hint="default" w:ascii="Times New Roman" w:hAnsi="Times New Roman" w:eastAsia="黑体" w:cs="Times New Roman"/>
          <w:color w:val="auto"/>
          <w:kern w:val="2"/>
          <w:sz w:val="24"/>
          <w:highlight w:val="none"/>
          <w:lang w:val="en-US" w:eastAsia="zh-CN" w:bidi="ar-SA"/>
        </w:rPr>
        <w:t>符合性分析</w:t>
      </w:r>
    </w:p>
    <w:tbl>
      <w:tblPr>
        <w:tblStyle w:val="21"/>
        <w:tblW w:w="501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434"/>
        <w:gridCol w:w="3899"/>
        <w:gridCol w:w="3895"/>
        <w:gridCol w:w="846"/>
      </w:tblGrid>
      <w:tr w14:paraId="6CA1D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127995F7">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序号</w:t>
            </w:r>
          </w:p>
        </w:tc>
        <w:tc>
          <w:tcPr>
            <w:tcW w:w="2147" w:type="pct"/>
            <w:tcBorders>
              <w:tl2br w:val="nil"/>
              <w:tr2bl w:val="nil"/>
            </w:tcBorders>
            <w:vAlign w:val="center"/>
          </w:tcPr>
          <w:p w14:paraId="16AC8426">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要求</w:t>
            </w:r>
          </w:p>
        </w:tc>
        <w:tc>
          <w:tcPr>
            <w:tcW w:w="2145" w:type="pct"/>
            <w:tcBorders>
              <w:tl2br w:val="nil"/>
              <w:tr2bl w:val="nil"/>
            </w:tcBorders>
            <w:vAlign w:val="center"/>
          </w:tcPr>
          <w:p w14:paraId="7F17E132">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本项目情况</w:t>
            </w:r>
          </w:p>
        </w:tc>
        <w:tc>
          <w:tcPr>
            <w:tcW w:w="466" w:type="pct"/>
            <w:tcBorders>
              <w:tl2br w:val="nil"/>
              <w:tr2bl w:val="nil"/>
            </w:tcBorders>
            <w:vAlign w:val="center"/>
          </w:tcPr>
          <w:p w14:paraId="6F9ABFC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符合性</w:t>
            </w:r>
          </w:p>
        </w:tc>
      </w:tr>
      <w:tr w14:paraId="7776F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587B4B7B">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w:t>
            </w:r>
          </w:p>
        </w:tc>
        <w:tc>
          <w:tcPr>
            <w:tcW w:w="2147" w:type="pct"/>
            <w:tcBorders>
              <w:tl2br w:val="nil"/>
              <w:tr2bl w:val="nil"/>
            </w:tcBorders>
            <w:vAlign w:val="center"/>
          </w:tcPr>
          <w:p w14:paraId="05380D02">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继续推进资江流域益阳段锑污染整治，以渠江、烟溪、小烟溪、瀼溪、龙须溪、潺溪、沾溪、兰溪河等支流为重点，开展综合治理工程；其余支流开展长期跟踪监测，确保实现资江流域益阳段锑浓度稳定达标</w:t>
            </w:r>
          </w:p>
        </w:tc>
        <w:tc>
          <w:tcPr>
            <w:tcW w:w="2145" w:type="pct"/>
            <w:tcBorders>
              <w:tl2br w:val="nil"/>
              <w:tr2bl w:val="nil"/>
            </w:tcBorders>
            <w:vAlign w:val="center"/>
          </w:tcPr>
          <w:p w14:paraId="7D68A6D2">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根据监测数据，目前资江流域益阳段锑浓度稳定达标；本项目属于瀼溪（洋溪）流域，区域地表水环境质量现状锑超标，本项目通过减少锑的入河排放量，以改善区域锑超标现状</w:t>
            </w:r>
          </w:p>
        </w:tc>
        <w:tc>
          <w:tcPr>
            <w:tcW w:w="466" w:type="pct"/>
            <w:tcBorders>
              <w:tl2br w:val="nil"/>
              <w:tr2bl w:val="nil"/>
            </w:tcBorders>
            <w:vAlign w:val="center"/>
          </w:tcPr>
          <w:p w14:paraId="108567B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r w14:paraId="0C845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c>
          <w:tcPr>
            <w:tcW w:w="239" w:type="pct"/>
            <w:tcBorders>
              <w:tl2br w:val="nil"/>
              <w:tr2bl w:val="nil"/>
            </w:tcBorders>
            <w:vAlign w:val="center"/>
          </w:tcPr>
          <w:p w14:paraId="5E3397CC">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w:t>
            </w:r>
          </w:p>
        </w:tc>
        <w:tc>
          <w:tcPr>
            <w:tcW w:w="2147" w:type="pct"/>
            <w:tcBorders>
              <w:tl2br w:val="nil"/>
              <w:tr2bl w:val="nil"/>
            </w:tcBorders>
            <w:vAlign w:val="center"/>
          </w:tcPr>
          <w:p w14:paraId="2C3374BA">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严控重点领域环境风险以资江流域锑污染为重点，严格控制新增重金属排放，进一步加强产业优化调整，严格新建项目准入，优化总量控制，大力推进风险管控举措。到2025年，重点行业重点重金属污染物排放量下降5%。</w:t>
            </w:r>
          </w:p>
        </w:tc>
        <w:tc>
          <w:tcPr>
            <w:tcW w:w="2145" w:type="pct"/>
            <w:tcBorders>
              <w:tl2br w:val="nil"/>
              <w:tr2bl w:val="nil"/>
            </w:tcBorders>
            <w:vAlign w:val="center"/>
          </w:tcPr>
          <w:p w14:paraId="5ECBB078">
            <w:pPr>
              <w:pStyle w:val="26"/>
              <w:keepNext w:val="0"/>
              <w:keepLines w:val="0"/>
              <w:widowControl w:val="0"/>
              <w:suppressLineNumbers w:val="0"/>
              <w:pBdr>
                <w:top w:val="none" w:color="auto" w:sz="0" w:space="1"/>
                <w:left w:val="none" w:color="auto" w:sz="0" w:space="4"/>
                <w:bottom w:val="none" w:color="auto" w:sz="0" w:space="1"/>
                <w:right w:val="none" w:color="auto" w:sz="0" w:space="4"/>
              </w:pBdr>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本项目为已建补办排污口论证手续，因区域地表水环境质量现状锑超标，本项目通过减少锑的入河排放量，以改善区域锑超标现状。</w:t>
            </w:r>
          </w:p>
        </w:tc>
        <w:tc>
          <w:tcPr>
            <w:tcW w:w="466" w:type="pct"/>
            <w:tcBorders>
              <w:tl2br w:val="nil"/>
              <w:tr2bl w:val="nil"/>
            </w:tcBorders>
            <w:vAlign w:val="center"/>
          </w:tcPr>
          <w:p w14:paraId="4B08FE5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符合</w:t>
            </w:r>
          </w:p>
        </w:tc>
      </w:tr>
    </w:tbl>
    <w:p w14:paraId="571B1C15">
      <w:pPr>
        <w:widowControl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根据对照分析，本项目</w:t>
      </w:r>
      <w:r>
        <w:rPr>
          <w:rFonts w:hint="eastAsia" w:ascii="Times New Roman" w:hAnsi="Times New Roman" w:eastAsia="宋体" w:cs="Times New Roman"/>
          <w:color w:val="auto"/>
          <w:kern w:val="2"/>
          <w:sz w:val="24"/>
          <w:highlight w:val="none"/>
          <w:lang w:val="en-US" w:eastAsia="zh-CN" w:bidi="ar-SA"/>
        </w:rPr>
        <w:t>符合</w:t>
      </w:r>
      <w:r>
        <w:rPr>
          <w:rFonts w:hint="eastAsia" w:ascii="Times New Roman" w:hAnsi="Times New Roman" w:cs="Times New Roman"/>
          <w:color w:val="auto"/>
          <w:kern w:val="2"/>
          <w:sz w:val="24"/>
          <w:highlight w:val="none"/>
          <w:lang w:val="en-US" w:eastAsia="zh-CN" w:bidi="ar-SA"/>
        </w:rPr>
        <w:t>《益阳市“十四五”生态环境保护规划》</w:t>
      </w:r>
      <w:r>
        <w:rPr>
          <w:rFonts w:hint="default" w:ascii="Times New Roman" w:hAnsi="Times New Roman" w:eastAsia="宋体" w:cs="Times New Roman"/>
          <w:color w:val="auto"/>
          <w:kern w:val="2"/>
          <w:sz w:val="24"/>
          <w:highlight w:val="none"/>
          <w:lang w:val="en-US" w:eastAsia="zh-CN" w:bidi="ar-SA"/>
        </w:rPr>
        <w:t>中的</w:t>
      </w:r>
      <w:r>
        <w:rPr>
          <w:rFonts w:hint="eastAsia" w:ascii="Times New Roman" w:hAnsi="Times New Roman" w:eastAsia="宋体" w:cs="Times New Roman"/>
          <w:color w:val="auto"/>
          <w:kern w:val="2"/>
          <w:sz w:val="24"/>
          <w:highlight w:val="none"/>
          <w:lang w:val="en-US" w:eastAsia="zh-CN" w:bidi="ar-SA"/>
        </w:rPr>
        <w:t>相关规定要求</w:t>
      </w:r>
      <w:r>
        <w:rPr>
          <w:rFonts w:hint="default" w:ascii="Times New Roman" w:hAnsi="Times New Roman" w:eastAsia="宋体" w:cs="Times New Roman"/>
          <w:color w:val="auto"/>
          <w:kern w:val="2"/>
          <w:sz w:val="24"/>
          <w:highlight w:val="none"/>
          <w:lang w:val="en-US" w:eastAsia="zh-CN" w:bidi="ar-SA"/>
        </w:rPr>
        <w:t>。</w:t>
      </w:r>
    </w:p>
    <w:p w14:paraId="4511B534">
      <w:pPr>
        <w:pStyle w:val="35"/>
        <w:bidi w:val="0"/>
        <w:rPr>
          <w:rFonts w:hint="eastAsia" w:ascii="Times New Roman" w:hAnsi="Times New Roman" w:cs="Times New Roman"/>
          <w:color w:val="auto"/>
          <w:highlight w:val="none"/>
          <w:lang w:val="en-US" w:eastAsia="zh-CN"/>
        </w:rPr>
      </w:pPr>
      <w:bookmarkStart w:id="57" w:name="_Toc13369"/>
      <w:r>
        <w:rPr>
          <w:rFonts w:hint="eastAsia" w:ascii="Times New Roman" w:hAnsi="Times New Roman" w:cs="Times New Roman"/>
          <w:color w:val="auto"/>
          <w:highlight w:val="none"/>
          <w:lang w:val="en-US" w:eastAsia="zh-CN"/>
        </w:rPr>
        <w:t>入河污水所含主要污染物种类及其排放浓度和总量</w:t>
      </w:r>
      <w:bookmarkEnd w:id="57"/>
    </w:p>
    <w:p w14:paraId="3925DEF4">
      <w:pPr>
        <w:pStyle w:val="36"/>
        <w:bidi w:val="0"/>
        <w:rPr>
          <w:rFonts w:hint="eastAsia" w:ascii="Times New Roman" w:hAnsi="Times New Roman" w:cs="Times New Roman"/>
          <w:color w:val="auto"/>
          <w:highlight w:val="none"/>
          <w:lang w:val="en-US" w:eastAsia="zh-CN"/>
        </w:rPr>
      </w:pPr>
      <w:bookmarkStart w:id="58" w:name="_Toc31660"/>
      <w:r>
        <w:rPr>
          <w:rFonts w:hint="eastAsia" w:ascii="Times New Roman" w:hAnsi="Times New Roman" w:cs="Times New Roman"/>
          <w:color w:val="auto"/>
          <w:highlight w:val="none"/>
          <w:lang w:val="en-US" w:eastAsia="zh-CN"/>
        </w:rPr>
        <w:t>入河排污口废污水来源、构成</w:t>
      </w:r>
      <w:bookmarkEnd w:id="58"/>
    </w:p>
    <w:p w14:paraId="057ED143">
      <w:pPr>
        <w:pStyle w:val="2"/>
        <w:rPr>
          <w:rFonts w:hint="eastAsia" w:cs="Times New Roman"/>
          <w:color w:val="auto"/>
          <w:highlight w:val="none"/>
          <w:lang w:val="en-US" w:eastAsia="zh-CN"/>
        </w:rPr>
      </w:pPr>
      <w:r>
        <w:rPr>
          <w:rFonts w:hint="eastAsia" w:cs="Times New Roman"/>
          <w:color w:val="auto"/>
          <w:highlight w:val="none"/>
          <w:lang w:val="en-US" w:eastAsia="zh-CN"/>
        </w:rPr>
        <w:t>由于下游渣滓溪、白茅溪等河流锑浓度均超标，根据调查，矿区排放的锑，不仅包括企业生产废水，还包括了项目区域的山体渗水。为了进一步减轻锑的排放强度，渣滓溪通过调整工程，进一步加强了对山体渗水的收集和处理力度。本次论证，对企业排放废水及区域排放的山体渗水通盘考虑和预测。</w:t>
      </w:r>
    </w:p>
    <w:p w14:paraId="3BA7BD5D">
      <w:pPr>
        <w:widowControl w:val="0"/>
        <w:tabs>
          <w:tab w:val="left" w:pos="1021"/>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一、生产废水</w:t>
      </w:r>
    </w:p>
    <w:p w14:paraId="45234D24">
      <w:pPr>
        <w:widowControl w:val="0"/>
        <w:tabs>
          <w:tab w:val="left" w:pos="1021"/>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（1）</w:t>
      </w:r>
      <w:r>
        <w:rPr>
          <w:rFonts w:hint="eastAsia" w:cs="Times New Roman"/>
          <w:b/>
          <w:bCs/>
          <w:color w:val="auto"/>
          <w:kern w:val="2"/>
          <w:sz w:val="24"/>
          <w:szCs w:val="20"/>
          <w:highlight w:val="none"/>
          <w:lang w:val="en-US" w:eastAsia="zh-CN" w:bidi="ar-SA"/>
        </w:rPr>
        <w:t>废水处理站</w:t>
      </w:r>
      <w:r>
        <w:rPr>
          <w:rFonts w:hint="eastAsia" w:ascii="Times New Roman" w:hAnsi="Times New Roman" w:eastAsia="宋体" w:cs="Times New Roman"/>
          <w:b/>
          <w:bCs/>
          <w:color w:val="auto"/>
          <w:kern w:val="2"/>
          <w:sz w:val="24"/>
          <w:szCs w:val="20"/>
          <w:highlight w:val="none"/>
          <w:lang w:val="en-US" w:eastAsia="zh-CN" w:bidi="ar-SA"/>
        </w:rPr>
        <w:t>处理水量</w:t>
      </w:r>
    </w:p>
    <w:p w14:paraId="0BEE24FC">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进入下游渣滓溪的水，主要包括两部分：一、废水处理站出水；二、隧洞出水（不包括进入废水处理站部分）。根据前文水平衡，调整完成后，枯水期，进入废水处理站的生产废水为434.95m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/d、生活污水为43.2m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/d、隧洞水为1550.2m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/d，共计</w:t>
      </w:r>
      <w:r>
        <w:rPr>
          <w:rFonts w:hint="eastAsia" w:cs="Times New Roman"/>
          <w:color w:val="auto"/>
          <w:kern w:val="2"/>
          <w:sz w:val="24"/>
          <w:szCs w:val="20"/>
          <w:highlight w:val="none"/>
          <w:lang w:val="en-US" w:eastAsia="zh-CN" w:bidi="ar-SA"/>
        </w:rPr>
        <w:t>2028.35</w:t>
      </w:r>
      <w:r>
        <w:rPr>
          <w:rFonts w:hint="eastAsia" w:ascii="Times New Roman" w:hAnsi="Times New Roman" w:eastAsia="宋体" w:cs="Times New Roman"/>
          <w:color w:val="auto"/>
          <w:kern w:val="2"/>
          <w:sz w:val="24"/>
          <w:szCs w:val="20"/>
          <w:highlight w:val="none"/>
          <w:lang w:val="en-US" w:eastAsia="zh-CN" w:bidi="ar-SA"/>
        </w:rPr>
        <w:t>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/d，处理后的废水中有326m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/d回用于选矿厂，有1702.75m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/d达标外排；平水期，进入废水处理站的生产废水为1155.35m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/d、生活污水为43.2m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/d、隧洞水为2161.45m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/d，共计3360m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/d，处理后的废水中有326m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/d回用于选矿厂，有3024m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/d达标外排；丰水期，进入废水处理站的生产废水为2115.95m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/d、生活污水为43.2m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/d、隧洞水为1200.85m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/d，共计3360m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/d，处理后的废水中有326m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/d回用于选矿厂，有3024m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/d达标外排。全年废水处理站排水水量为86.64万t/a。</w:t>
      </w:r>
    </w:p>
    <w:p w14:paraId="06F15F0E">
      <w:pPr>
        <w:widowControl w:val="0"/>
        <w:tabs>
          <w:tab w:val="left" w:pos="1021"/>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（2）</w:t>
      </w:r>
      <w:r>
        <w:rPr>
          <w:rFonts w:hint="eastAsia" w:cs="Times New Roman"/>
          <w:b/>
          <w:bCs/>
          <w:color w:val="auto"/>
          <w:kern w:val="2"/>
          <w:sz w:val="24"/>
          <w:szCs w:val="20"/>
          <w:highlight w:val="none"/>
          <w:lang w:val="en-US" w:eastAsia="zh-CN" w:bidi="ar-SA"/>
        </w:rPr>
        <w:t>废水处理站</w:t>
      </w:r>
      <w:r>
        <w:rPr>
          <w:rFonts w:hint="eastAsia" w:ascii="Times New Roman" w:hAnsi="Times New Roman" w:eastAsia="宋体" w:cs="Times New Roman"/>
          <w:b/>
          <w:bCs/>
          <w:color w:val="auto"/>
          <w:kern w:val="2"/>
          <w:sz w:val="24"/>
          <w:szCs w:val="20"/>
          <w:highlight w:val="none"/>
          <w:lang w:val="en-US" w:eastAsia="zh-CN" w:bidi="ar-SA"/>
        </w:rPr>
        <w:t>工艺</w:t>
      </w:r>
    </w:p>
    <w:p w14:paraId="59DCB319">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鉴于目前</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出水水质情况，本次</w:t>
      </w:r>
      <w:r>
        <w:rPr>
          <w:rFonts w:hint="eastAsia" w:cs="Times New Roman"/>
          <w:color w:val="auto"/>
          <w:kern w:val="2"/>
          <w:sz w:val="24"/>
          <w:szCs w:val="20"/>
          <w:highlight w:val="none"/>
          <w:lang w:val="en-US" w:eastAsia="zh-CN" w:bidi="ar-SA"/>
        </w:rPr>
        <w:t>调整</w:t>
      </w:r>
      <w:r>
        <w:rPr>
          <w:rFonts w:hint="eastAsia" w:ascii="Times New Roman" w:hAnsi="Times New Roman" w:eastAsia="宋体" w:cs="Times New Roman"/>
          <w:color w:val="auto"/>
          <w:kern w:val="2"/>
          <w:sz w:val="24"/>
          <w:szCs w:val="20"/>
          <w:highlight w:val="none"/>
          <w:lang w:val="en-US" w:eastAsia="zh-CN" w:bidi="ar-SA"/>
        </w:rPr>
        <w:t>工程，不对</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工艺进行调整，仅要求企业严格控制</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加药量，并尽可能实现自动加药，确保废水中锑排放浓度低于0.15mg/L。</w:t>
      </w:r>
    </w:p>
    <w:p w14:paraId="576DB378">
      <w:pPr>
        <w:widowControl w:val="0"/>
        <w:tabs>
          <w:tab w:val="left" w:pos="1021"/>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（3）</w:t>
      </w:r>
      <w:r>
        <w:rPr>
          <w:rFonts w:hint="eastAsia" w:cs="Times New Roman"/>
          <w:b/>
          <w:bCs/>
          <w:color w:val="auto"/>
          <w:kern w:val="2"/>
          <w:sz w:val="24"/>
          <w:szCs w:val="20"/>
          <w:highlight w:val="none"/>
          <w:lang w:val="en-US" w:eastAsia="zh-CN" w:bidi="ar-SA"/>
        </w:rPr>
        <w:t>废水处理站</w:t>
      </w:r>
      <w:r>
        <w:rPr>
          <w:rFonts w:hint="eastAsia" w:ascii="Times New Roman" w:hAnsi="Times New Roman" w:eastAsia="宋体" w:cs="Times New Roman"/>
          <w:b/>
          <w:bCs/>
          <w:color w:val="auto"/>
          <w:kern w:val="2"/>
          <w:sz w:val="24"/>
          <w:szCs w:val="20"/>
          <w:highlight w:val="none"/>
          <w:lang w:val="en-US" w:eastAsia="zh-CN" w:bidi="ar-SA"/>
        </w:rPr>
        <w:t>进出水水质及排放总量</w:t>
      </w:r>
    </w:p>
    <w:p w14:paraId="281CE648">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根据上文可知，由于将生活污水引入奎溪镇污水处理厂，不再进入企业</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，因此，废水中进出水的COD、氨氮、总磷含量将进一步降低，但由于生活污水水量仅为60</w:t>
      </w:r>
      <w:r>
        <w:rPr>
          <w:rFonts w:hint="eastAsia" w:cs="Times New Roman"/>
          <w:color w:val="auto"/>
          <w:kern w:val="2"/>
          <w:sz w:val="24"/>
          <w:szCs w:val="20"/>
          <w:highlight w:val="none"/>
          <w:lang w:val="en-US" w:eastAsia="zh-CN" w:bidi="ar-SA"/>
        </w:rPr>
        <w:t>m</w:t>
      </w:r>
      <w:r>
        <w:rPr>
          <w:rFonts w:hint="eastAsia"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/d</w:t>
      </w:r>
      <w:r>
        <w:rPr>
          <w:rFonts w:hint="eastAsia" w:ascii="Times New Roman" w:hAnsi="Times New Roman" w:eastAsia="宋体" w:cs="Times New Roman"/>
          <w:color w:val="auto"/>
          <w:kern w:val="2"/>
          <w:sz w:val="24"/>
          <w:szCs w:val="20"/>
          <w:highlight w:val="none"/>
          <w:lang w:val="en-US" w:eastAsia="zh-CN" w:bidi="ar-SA"/>
        </w:rPr>
        <w:t>，相对区域排水总水量很低，对其水质影响很小，因此，</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COD、氨氮、总磷仍采用现状监测浓度。</w:t>
      </w:r>
    </w:p>
    <w:p w14:paraId="2F7CADCD">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废水中锑含量按本项目废水排放浓度限值计算，即0.15mg/L。</w:t>
      </w:r>
    </w:p>
    <w:p w14:paraId="5F90552C">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p>
    <w:p w14:paraId="65BA4CCA">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p>
    <w:p w14:paraId="21608393">
      <w:pPr>
        <w:widowControl w:val="0"/>
        <w:tabs>
          <w:tab w:val="left" w:pos="1021"/>
        </w:tabs>
        <w:bidi w:val="0"/>
        <w:spacing w:line="300" w:lineRule="auto"/>
        <w:jc w:val="center"/>
        <w:outlineLvl w:val="4"/>
        <w:rPr>
          <w:rFonts w:hint="default" w:ascii="Times New Roman" w:hAnsi="Times New Roman" w:eastAsia="黑体" w:cs="Times New Roman"/>
          <w:color w:val="auto"/>
          <w:kern w:val="2"/>
          <w:sz w:val="24"/>
          <w:szCs w:val="20"/>
          <w:highlight w:val="none"/>
          <w:lang w:val="en-US" w:eastAsia="zh-CN" w:bidi="ar-SA"/>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6.1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w:t>
      </w:r>
      <w:r>
        <w:rPr>
          <w:rFonts w:hint="eastAsia" w:eastAsia="黑体" w:cs="Times New Roman"/>
          <w:color w:val="auto"/>
          <w:kern w:val="2"/>
          <w:sz w:val="24"/>
          <w:szCs w:val="20"/>
          <w:highlight w:val="none"/>
          <w:lang w:val="en-US" w:eastAsia="zh-CN" w:bidi="ar-SA"/>
        </w:rPr>
        <w:t>调整</w:t>
      </w:r>
      <w:r>
        <w:rPr>
          <w:rFonts w:hint="eastAsia" w:ascii="Times New Roman" w:hAnsi="Times New Roman" w:eastAsia="黑体" w:cs="Times New Roman"/>
          <w:color w:val="auto"/>
          <w:kern w:val="2"/>
          <w:sz w:val="24"/>
          <w:szCs w:val="20"/>
          <w:highlight w:val="none"/>
          <w:lang w:val="en-US" w:eastAsia="zh-CN" w:bidi="ar-SA"/>
        </w:rPr>
        <w:t>后</w:t>
      </w:r>
      <w:r>
        <w:rPr>
          <w:rFonts w:hint="default" w:ascii="Times New Roman" w:hAnsi="Times New Roman" w:eastAsia="黑体" w:cs="Times New Roman"/>
          <w:color w:val="auto"/>
          <w:kern w:val="2"/>
          <w:sz w:val="24"/>
          <w:szCs w:val="20"/>
          <w:highlight w:val="none"/>
          <w:lang w:val="en-US" w:eastAsia="zh-CN" w:bidi="ar-SA"/>
        </w:rPr>
        <w:t>矿山废水污染物排放一览表</w:t>
      </w:r>
    </w:p>
    <w:tbl>
      <w:tblPr>
        <w:tblStyle w:val="21"/>
        <w:tblW w:w="508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 w:type="dxa"/>
          <w:bottom w:w="0" w:type="dxa"/>
          <w:right w:w="11" w:type="dxa"/>
        </w:tblCellMar>
      </w:tblPr>
      <w:tblGrid>
        <w:gridCol w:w="517"/>
        <w:gridCol w:w="1202"/>
        <w:gridCol w:w="596"/>
        <w:gridCol w:w="713"/>
        <w:gridCol w:w="1058"/>
        <w:gridCol w:w="1193"/>
        <w:gridCol w:w="1018"/>
        <w:gridCol w:w="1091"/>
        <w:gridCol w:w="1818"/>
      </w:tblGrid>
      <w:tr w14:paraId="748420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946" w:hRule="atLeast"/>
          <w:jc w:val="center"/>
        </w:trPr>
        <w:tc>
          <w:tcPr>
            <w:tcW w:w="280" w:type="pct"/>
            <w:tcBorders>
              <w:tl2br w:val="nil"/>
              <w:tr2bl w:val="nil"/>
            </w:tcBorders>
            <w:shd w:val="clear" w:color="auto" w:fill="auto"/>
            <w:noWrap/>
            <w:vAlign w:val="center"/>
          </w:tcPr>
          <w:p w14:paraId="68173F17">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因子</w:t>
            </w:r>
          </w:p>
        </w:tc>
        <w:tc>
          <w:tcPr>
            <w:tcW w:w="652" w:type="pct"/>
            <w:tcBorders>
              <w:tl2br w:val="nil"/>
              <w:tr2bl w:val="nil"/>
            </w:tcBorders>
            <w:shd w:val="clear" w:color="auto" w:fill="auto"/>
            <w:noWrap/>
            <w:vAlign w:val="center"/>
          </w:tcPr>
          <w:p w14:paraId="02E24B05">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平均</w:t>
            </w:r>
            <w:r>
              <w:rPr>
                <w:rFonts w:hint="default"/>
                <w:color w:val="auto"/>
                <w:highlight w:val="none"/>
                <w:lang w:val="en-US" w:eastAsia="zh-CN"/>
              </w:rPr>
              <w:t>排放浓度（mg/L）</w:t>
            </w:r>
          </w:p>
        </w:tc>
        <w:tc>
          <w:tcPr>
            <w:tcW w:w="323" w:type="pct"/>
            <w:tcBorders>
              <w:tl2br w:val="nil"/>
              <w:tr2bl w:val="nil"/>
            </w:tcBorders>
            <w:shd w:val="clear" w:color="auto" w:fill="auto"/>
            <w:noWrap/>
            <w:vAlign w:val="center"/>
          </w:tcPr>
          <w:p w14:paraId="1F6D7BAB">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排放</w:t>
            </w:r>
          </w:p>
          <w:p w14:paraId="115BC6DE">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w:t>
            </w:r>
          </w:p>
          <w:p w14:paraId="7C8B898F">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（mg/L）</w:t>
            </w:r>
          </w:p>
        </w:tc>
        <w:tc>
          <w:tcPr>
            <w:tcW w:w="387" w:type="pct"/>
            <w:tcBorders>
              <w:tl2br w:val="nil"/>
              <w:tr2bl w:val="nil"/>
            </w:tcBorders>
            <w:shd w:val="clear" w:color="auto" w:fill="auto"/>
            <w:noWrap/>
            <w:vAlign w:val="center"/>
          </w:tcPr>
          <w:p w14:paraId="2D3EEC41">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废水排放量</w:t>
            </w:r>
          </w:p>
          <w:p w14:paraId="62F163B0">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（万t/a）</w:t>
            </w:r>
          </w:p>
        </w:tc>
        <w:tc>
          <w:tcPr>
            <w:tcW w:w="574" w:type="pct"/>
            <w:tcBorders>
              <w:tl2br w:val="nil"/>
              <w:tr2bl w:val="nil"/>
            </w:tcBorders>
            <w:shd w:val="clear" w:color="auto" w:fill="auto"/>
            <w:noWrap/>
            <w:vAlign w:val="center"/>
          </w:tcPr>
          <w:p w14:paraId="5C14164D">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预测排放总量</w:t>
            </w:r>
          </w:p>
          <w:p w14:paraId="3D863B5C">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（t/a）</w:t>
            </w:r>
          </w:p>
        </w:tc>
        <w:tc>
          <w:tcPr>
            <w:tcW w:w="647" w:type="pct"/>
            <w:tcBorders>
              <w:tl2br w:val="nil"/>
              <w:tr2bl w:val="nil"/>
            </w:tcBorders>
            <w:shd w:val="clear" w:color="auto" w:fill="auto"/>
            <w:noWrap/>
            <w:vAlign w:val="center"/>
          </w:tcPr>
          <w:p w14:paraId="41D28F83">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现状排放总量</w:t>
            </w:r>
          </w:p>
          <w:p w14:paraId="45329E7C">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（t/a）</w:t>
            </w:r>
          </w:p>
        </w:tc>
        <w:tc>
          <w:tcPr>
            <w:tcW w:w="552" w:type="pct"/>
            <w:tcBorders>
              <w:tl2br w:val="nil"/>
              <w:tr2bl w:val="nil"/>
            </w:tcBorders>
            <w:shd w:val="clear" w:color="auto" w:fill="auto"/>
            <w:noWrap/>
            <w:vAlign w:val="center"/>
          </w:tcPr>
          <w:p w14:paraId="0192DAE9">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变化</w:t>
            </w:r>
          </w:p>
          <w:p w14:paraId="67DEB22C">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情况</w:t>
            </w:r>
          </w:p>
          <w:p w14:paraId="6E24D15F">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（t/a）</w:t>
            </w:r>
          </w:p>
        </w:tc>
        <w:tc>
          <w:tcPr>
            <w:tcW w:w="592" w:type="pct"/>
            <w:tcBorders>
              <w:tl2br w:val="nil"/>
              <w:tr2bl w:val="nil"/>
            </w:tcBorders>
            <w:shd w:val="clear" w:color="auto" w:fill="auto"/>
            <w:noWrap/>
            <w:vAlign w:val="center"/>
          </w:tcPr>
          <w:p w14:paraId="3B3C724B">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排污权量</w:t>
            </w:r>
          </w:p>
          <w:p w14:paraId="16F0836E">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（t/a）</w:t>
            </w:r>
          </w:p>
        </w:tc>
        <w:tc>
          <w:tcPr>
            <w:tcW w:w="987" w:type="pct"/>
            <w:tcBorders>
              <w:tl2br w:val="nil"/>
              <w:tr2bl w:val="nil"/>
            </w:tcBorders>
            <w:shd w:val="clear" w:color="auto" w:fill="auto"/>
            <w:noWrap/>
            <w:vAlign w:val="center"/>
          </w:tcPr>
          <w:p w14:paraId="7DD3DAB4">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备注</w:t>
            </w:r>
          </w:p>
        </w:tc>
      </w:tr>
      <w:tr w14:paraId="7DED26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394DF14F">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COD</w:t>
            </w:r>
          </w:p>
        </w:tc>
        <w:tc>
          <w:tcPr>
            <w:tcW w:w="652" w:type="pct"/>
            <w:tcBorders>
              <w:tl2br w:val="nil"/>
              <w:tr2bl w:val="nil"/>
            </w:tcBorders>
            <w:shd w:val="clear" w:color="auto" w:fill="auto"/>
            <w:noWrap/>
            <w:vAlign w:val="center"/>
          </w:tcPr>
          <w:p w14:paraId="6B8BF4AD">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6.15</w:t>
            </w:r>
          </w:p>
        </w:tc>
        <w:tc>
          <w:tcPr>
            <w:tcW w:w="323" w:type="pct"/>
            <w:tcBorders>
              <w:tl2br w:val="nil"/>
              <w:tr2bl w:val="nil"/>
            </w:tcBorders>
            <w:shd w:val="clear" w:color="auto" w:fill="auto"/>
            <w:noWrap/>
            <w:vAlign w:val="center"/>
          </w:tcPr>
          <w:p w14:paraId="7D4063F7">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60</w:t>
            </w:r>
          </w:p>
        </w:tc>
        <w:tc>
          <w:tcPr>
            <w:tcW w:w="387" w:type="pct"/>
            <w:vMerge w:val="restart"/>
            <w:tcBorders>
              <w:tl2br w:val="nil"/>
              <w:tr2bl w:val="nil"/>
            </w:tcBorders>
            <w:shd w:val="clear" w:color="auto" w:fill="auto"/>
            <w:noWrap/>
            <w:vAlign w:val="center"/>
          </w:tcPr>
          <w:p w14:paraId="7FCAB01F">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86.64</w:t>
            </w:r>
          </w:p>
        </w:tc>
        <w:tc>
          <w:tcPr>
            <w:tcW w:w="574" w:type="pct"/>
            <w:tcBorders>
              <w:tl2br w:val="nil"/>
              <w:tr2bl w:val="nil"/>
            </w:tcBorders>
            <w:shd w:val="clear" w:color="auto" w:fill="auto"/>
            <w:noWrap/>
            <w:vAlign w:val="center"/>
          </w:tcPr>
          <w:p w14:paraId="3BE875CF">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5.328</w:t>
            </w:r>
          </w:p>
        </w:tc>
        <w:tc>
          <w:tcPr>
            <w:tcW w:w="647" w:type="pct"/>
            <w:tcBorders>
              <w:tl2br w:val="nil"/>
              <w:tr2bl w:val="nil"/>
            </w:tcBorders>
            <w:shd w:val="clear" w:color="auto" w:fill="auto"/>
            <w:noWrap/>
            <w:vAlign w:val="center"/>
          </w:tcPr>
          <w:p w14:paraId="6D397A88">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5.123</w:t>
            </w:r>
          </w:p>
        </w:tc>
        <w:tc>
          <w:tcPr>
            <w:tcW w:w="552" w:type="pct"/>
            <w:tcBorders>
              <w:tl2br w:val="nil"/>
              <w:tr2bl w:val="nil"/>
            </w:tcBorders>
            <w:shd w:val="clear" w:color="auto" w:fill="auto"/>
            <w:noWrap/>
            <w:vAlign w:val="center"/>
          </w:tcPr>
          <w:p w14:paraId="17E30849">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0.205</w:t>
            </w:r>
          </w:p>
        </w:tc>
        <w:tc>
          <w:tcPr>
            <w:tcW w:w="592" w:type="pct"/>
            <w:tcBorders>
              <w:tl2br w:val="nil"/>
              <w:tr2bl w:val="nil"/>
            </w:tcBorders>
            <w:shd w:val="clear" w:color="auto" w:fill="auto"/>
            <w:noWrap/>
            <w:vAlign w:val="center"/>
          </w:tcPr>
          <w:p w14:paraId="1FE65FFE">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6.83</w:t>
            </w:r>
          </w:p>
        </w:tc>
        <w:tc>
          <w:tcPr>
            <w:tcW w:w="987" w:type="pct"/>
            <w:tcBorders>
              <w:tl2br w:val="nil"/>
              <w:tr2bl w:val="nil"/>
            </w:tcBorders>
            <w:shd w:val="clear" w:color="auto" w:fill="auto"/>
            <w:noWrap/>
            <w:vAlign w:val="center"/>
          </w:tcPr>
          <w:p w14:paraId="16102082">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w:t>
            </w:r>
          </w:p>
        </w:tc>
      </w:tr>
      <w:tr w14:paraId="6BA246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559E75A8">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氨氮</w:t>
            </w:r>
          </w:p>
        </w:tc>
        <w:tc>
          <w:tcPr>
            <w:tcW w:w="652" w:type="pct"/>
            <w:tcBorders>
              <w:tl2br w:val="nil"/>
              <w:tr2bl w:val="nil"/>
            </w:tcBorders>
            <w:shd w:val="clear" w:color="auto" w:fill="auto"/>
            <w:noWrap/>
            <w:vAlign w:val="center"/>
          </w:tcPr>
          <w:p w14:paraId="6E272A4F">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0.32</w:t>
            </w:r>
          </w:p>
        </w:tc>
        <w:tc>
          <w:tcPr>
            <w:tcW w:w="323" w:type="pct"/>
            <w:tcBorders>
              <w:tl2br w:val="nil"/>
              <w:tr2bl w:val="nil"/>
            </w:tcBorders>
            <w:shd w:val="clear" w:color="auto" w:fill="auto"/>
            <w:noWrap/>
            <w:vAlign w:val="center"/>
          </w:tcPr>
          <w:p w14:paraId="419EDEE3">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8.0</w:t>
            </w:r>
          </w:p>
        </w:tc>
        <w:tc>
          <w:tcPr>
            <w:tcW w:w="387" w:type="pct"/>
            <w:vMerge w:val="continue"/>
            <w:tcBorders>
              <w:tl2br w:val="nil"/>
              <w:tr2bl w:val="nil"/>
            </w:tcBorders>
            <w:shd w:val="clear" w:color="auto" w:fill="auto"/>
            <w:noWrap/>
            <w:vAlign w:val="center"/>
          </w:tcPr>
          <w:p w14:paraId="4E89306F">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18054E65">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0.277</w:t>
            </w:r>
          </w:p>
        </w:tc>
        <w:tc>
          <w:tcPr>
            <w:tcW w:w="647" w:type="pct"/>
            <w:tcBorders>
              <w:tl2br w:val="nil"/>
              <w:tr2bl w:val="nil"/>
            </w:tcBorders>
            <w:shd w:val="clear" w:color="auto" w:fill="auto"/>
            <w:noWrap/>
            <w:vAlign w:val="center"/>
          </w:tcPr>
          <w:p w14:paraId="40A0915B">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0.267</w:t>
            </w:r>
          </w:p>
        </w:tc>
        <w:tc>
          <w:tcPr>
            <w:tcW w:w="552" w:type="pct"/>
            <w:tcBorders>
              <w:tl2br w:val="nil"/>
              <w:tr2bl w:val="nil"/>
            </w:tcBorders>
            <w:shd w:val="clear" w:color="auto" w:fill="auto"/>
            <w:noWrap/>
            <w:vAlign w:val="center"/>
          </w:tcPr>
          <w:p w14:paraId="57EE148B">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0.010</w:t>
            </w:r>
          </w:p>
        </w:tc>
        <w:tc>
          <w:tcPr>
            <w:tcW w:w="592" w:type="pct"/>
            <w:tcBorders>
              <w:tl2br w:val="nil"/>
              <w:tr2bl w:val="nil"/>
            </w:tcBorders>
            <w:shd w:val="clear" w:color="auto" w:fill="auto"/>
            <w:noWrap/>
            <w:vAlign w:val="center"/>
          </w:tcPr>
          <w:p w14:paraId="1BE84A1B">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0.37</w:t>
            </w:r>
          </w:p>
        </w:tc>
        <w:tc>
          <w:tcPr>
            <w:tcW w:w="987" w:type="pct"/>
            <w:tcBorders>
              <w:tl2br w:val="nil"/>
              <w:tr2bl w:val="nil"/>
            </w:tcBorders>
            <w:shd w:val="clear" w:color="auto" w:fill="auto"/>
            <w:noWrap/>
            <w:vAlign w:val="center"/>
          </w:tcPr>
          <w:p w14:paraId="107617EC">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w:t>
            </w:r>
          </w:p>
        </w:tc>
      </w:tr>
      <w:tr w14:paraId="6FE936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0DC19019">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总磷</w:t>
            </w:r>
          </w:p>
        </w:tc>
        <w:tc>
          <w:tcPr>
            <w:tcW w:w="652" w:type="pct"/>
            <w:tcBorders>
              <w:tl2br w:val="nil"/>
              <w:tr2bl w:val="nil"/>
            </w:tcBorders>
            <w:shd w:val="clear" w:color="auto" w:fill="auto"/>
            <w:noWrap/>
            <w:vAlign w:val="center"/>
          </w:tcPr>
          <w:p w14:paraId="42FE0205">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0.04</w:t>
            </w:r>
          </w:p>
        </w:tc>
        <w:tc>
          <w:tcPr>
            <w:tcW w:w="323" w:type="pct"/>
            <w:tcBorders>
              <w:tl2br w:val="nil"/>
              <w:tr2bl w:val="nil"/>
            </w:tcBorders>
            <w:shd w:val="clear" w:color="auto" w:fill="auto"/>
            <w:noWrap/>
            <w:vAlign w:val="center"/>
          </w:tcPr>
          <w:p w14:paraId="085CCC6D">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1.0</w:t>
            </w:r>
          </w:p>
        </w:tc>
        <w:tc>
          <w:tcPr>
            <w:tcW w:w="387" w:type="pct"/>
            <w:vMerge w:val="continue"/>
            <w:tcBorders>
              <w:tl2br w:val="nil"/>
              <w:tr2bl w:val="nil"/>
            </w:tcBorders>
            <w:shd w:val="clear" w:color="auto" w:fill="auto"/>
            <w:noWrap/>
            <w:vAlign w:val="center"/>
          </w:tcPr>
          <w:p w14:paraId="1EF2BF53">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0309D76E">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0.035</w:t>
            </w:r>
          </w:p>
        </w:tc>
        <w:tc>
          <w:tcPr>
            <w:tcW w:w="647" w:type="pct"/>
            <w:tcBorders>
              <w:tl2br w:val="nil"/>
              <w:tr2bl w:val="nil"/>
            </w:tcBorders>
            <w:shd w:val="clear" w:color="auto" w:fill="auto"/>
            <w:noWrap/>
            <w:vAlign w:val="center"/>
          </w:tcPr>
          <w:p w14:paraId="3998FBE1">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0.033</w:t>
            </w:r>
          </w:p>
        </w:tc>
        <w:tc>
          <w:tcPr>
            <w:tcW w:w="552" w:type="pct"/>
            <w:tcBorders>
              <w:tl2br w:val="nil"/>
              <w:tr2bl w:val="nil"/>
            </w:tcBorders>
            <w:shd w:val="clear" w:color="auto" w:fill="auto"/>
            <w:noWrap/>
            <w:vAlign w:val="center"/>
          </w:tcPr>
          <w:p w14:paraId="14269BA1">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0.002</w:t>
            </w:r>
          </w:p>
        </w:tc>
        <w:tc>
          <w:tcPr>
            <w:tcW w:w="592" w:type="pct"/>
            <w:tcBorders>
              <w:tl2br w:val="nil"/>
              <w:tr2bl w:val="nil"/>
            </w:tcBorders>
            <w:shd w:val="clear" w:color="auto" w:fill="auto"/>
            <w:noWrap/>
            <w:vAlign w:val="center"/>
          </w:tcPr>
          <w:p w14:paraId="58D1C14B">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w:t>
            </w:r>
          </w:p>
        </w:tc>
        <w:tc>
          <w:tcPr>
            <w:tcW w:w="987" w:type="pct"/>
            <w:tcBorders>
              <w:tl2br w:val="nil"/>
              <w:tr2bl w:val="nil"/>
            </w:tcBorders>
            <w:shd w:val="clear" w:color="auto" w:fill="auto"/>
            <w:noWrap/>
            <w:vAlign w:val="center"/>
          </w:tcPr>
          <w:p w14:paraId="22153103">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w:t>
            </w:r>
          </w:p>
        </w:tc>
      </w:tr>
      <w:tr w14:paraId="7BC082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071AA51F">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砷</w:t>
            </w:r>
          </w:p>
        </w:tc>
        <w:tc>
          <w:tcPr>
            <w:tcW w:w="652" w:type="pct"/>
            <w:tcBorders>
              <w:tl2br w:val="nil"/>
              <w:tr2bl w:val="nil"/>
            </w:tcBorders>
            <w:shd w:val="clear" w:color="auto" w:fill="auto"/>
            <w:noWrap/>
            <w:vAlign w:val="center"/>
          </w:tcPr>
          <w:p w14:paraId="60A6D858">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0.034</w:t>
            </w:r>
          </w:p>
        </w:tc>
        <w:tc>
          <w:tcPr>
            <w:tcW w:w="323" w:type="pct"/>
            <w:tcBorders>
              <w:tl2br w:val="nil"/>
              <w:tr2bl w:val="nil"/>
            </w:tcBorders>
            <w:shd w:val="clear" w:color="auto" w:fill="auto"/>
            <w:noWrap/>
            <w:vAlign w:val="center"/>
          </w:tcPr>
          <w:p w14:paraId="5B2539CD">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0.1</w:t>
            </w:r>
          </w:p>
        </w:tc>
        <w:tc>
          <w:tcPr>
            <w:tcW w:w="387" w:type="pct"/>
            <w:vMerge w:val="continue"/>
            <w:tcBorders>
              <w:tl2br w:val="nil"/>
              <w:tr2bl w:val="nil"/>
            </w:tcBorders>
            <w:shd w:val="clear" w:color="auto" w:fill="auto"/>
            <w:noWrap/>
            <w:vAlign w:val="center"/>
          </w:tcPr>
          <w:p w14:paraId="1DE842F9">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61FA3190">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29.458kg/a</w:t>
            </w:r>
          </w:p>
        </w:tc>
        <w:tc>
          <w:tcPr>
            <w:tcW w:w="647" w:type="pct"/>
            <w:tcBorders>
              <w:tl2br w:val="nil"/>
              <w:tr2bl w:val="nil"/>
            </w:tcBorders>
            <w:shd w:val="clear" w:color="auto" w:fill="auto"/>
            <w:noWrap/>
            <w:vAlign w:val="center"/>
          </w:tcPr>
          <w:p w14:paraId="7F03DA24">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28.322kg/a</w:t>
            </w:r>
          </w:p>
        </w:tc>
        <w:tc>
          <w:tcPr>
            <w:tcW w:w="552" w:type="pct"/>
            <w:tcBorders>
              <w:tl2br w:val="nil"/>
              <w:tr2bl w:val="nil"/>
            </w:tcBorders>
            <w:shd w:val="clear" w:color="auto" w:fill="auto"/>
            <w:noWrap/>
            <w:vAlign w:val="center"/>
          </w:tcPr>
          <w:p w14:paraId="7560F042">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1.136kg/a</w:t>
            </w:r>
          </w:p>
        </w:tc>
        <w:tc>
          <w:tcPr>
            <w:tcW w:w="592" w:type="pct"/>
            <w:tcBorders>
              <w:tl2br w:val="nil"/>
              <w:tr2bl w:val="nil"/>
            </w:tcBorders>
            <w:shd w:val="clear" w:color="auto" w:fill="auto"/>
            <w:noWrap/>
            <w:vAlign w:val="center"/>
          </w:tcPr>
          <w:p w14:paraId="392626F5">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169.61kg/a</w:t>
            </w:r>
          </w:p>
        </w:tc>
        <w:tc>
          <w:tcPr>
            <w:tcW w:w="987" w:type="pct"/>
            <w:vMerge w:val="restart"/>
            <w:tcBorders>
              <w:tl2br w:val="nil"/>
              <w:tr2bl w:val="nil"/>
            </w:tcBorders>
            <w:shd w:val="clear" w:color="auto" w:fill="auto"/>
            <w:noWrap/>
            <w:vAlign w:val="center"/>
          </w:tcPr>
          <w:p w14:paraId="6588F33F">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default"/>
                <w:color w:val="auto"/>
                <w:highlight w:val="none"/>
                <w:lang w:val="en-US" w:eastAsia="zh-CN"/>
              </w:rPr>
              <w:t>铅、汞、镉、铬、砷重点重金属总量指标可相互替换使用</w:t>
            </w:r>
          </w:p>
        </w:tc>
      </w:tr>
      <w:tr w14:paraId="42BCAF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177AA190">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铅</w:t>
            </w:r>
          </w:p>
        </w:tc>
        <w:tc>
          <w:tcPr>
            <w:tcW w:w="652" w:type="pct"/>
            <w:tcBorders>
              <w:tl2br w:val="nil"/>
              <w:tr2bl w:val="nil"/>
            </w:tcBorders>
            <w:shd w:val="clear" w:color="auto" w:fill="auto"/>
            <w:noWrap/>
            <w:vAlign w:val="center"/>
          </w:tcPr>
          <w:p w14:paraId="6A49AA63">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0.024</w:t>
            </w:r>
          </w:p>
        </w:tc>
        <w:tc>
          <w:tcPr>
            <w:tcW w:w="323" w:type="pct"/>
            <w:tcBorders>
              <w:tl2br w:val="nil"/>
              <w:tr2bl w:val="nil"/>
            </w:tcBorders>
            <w:shd w:val="clear" w:color="auto" w:fill="auto"/>
            <w:noWrap/>
            <w:vAlign w:val="center"/>
          </w:tcPr>
          <w:p w14:paraId="6AEE98D0">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w:t>
            </w:r>
          </w:p>
        </w:tc>
        <w:tc>
          <w:tcPr>
            <w:tcW w:w="387" w:type="pct"/>
            <w:vMerge w:val="continue"/>
            <w:tcBorders>
              <w:tl2br w:val="nil"/>
              <w:tr2bl w:val="nil"/>
            </w:tcBorders>
            <w:shd w:val="clear" w:color="auto" w:fill="auto"/>
            <w:noWrap/>
            <w:vAlign w:val="center"/>
          </w:tcPr>
          <w:p w14:paraId="1160C115">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735429FA">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20.794kg/a</w:t>
            </w:r>
          </w:p>
        </w:tc>
        <w:tc>
          <w:tcPr>
            <w:tcW w:w="647" w:type="pct"/>
            <w:tcBorders>
              <w:tl2br w:val="nil"/>
              <w:tr2bl w:val="nil"/>
            </w:tcBorders>
            <w:shd w:val="clear" w:color="auto" w:fill="auto"/>
            <w:noWrap/>
            <w:vAlign w:val="center"/>
          </w:tcPr>
          <w:p w14:paraId="1639C530">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19.992kg/a</w:t>
            </w:r>
          </w:p>
        </w:tc>
        <w:tc>
          <w:tcPr>
            <w:tcW w:w="552" w:type="pct"/>
            <w:tcBorders>
              <w:tl2br w:val="nil"/>
              <w:tr2bl w:val="nil"/>
            </w:tcBorders>
            <w:shd w:val="clear" w:color="auto" w:fill="auto"/>
            <w:noWrap/>
            <w:vAlign w:val="center"/>
          </w:tcPr>
          <w:p w14:paraId="73CEAEFB">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0.802kg/a</w:t>
            </w:r>
          </w:p>
        </w:tc>
        <w:tc>
          <w:tcPr>
            <w:tcW w:w="592" w:type="pct"/>
            <w:tcBorders>
              <w:tl2br w:val="nil"/>
              <w:tr2bl w:val="nil"/>
            </w:tcBorders>
            <w:shd w:val="clear" w:color="auto" w:fill="auto"/>
            <w:noWrap/>
            <w:vAlign w:val="center"/>
          </w:tcPr>
          <w:p w14:paraId="3B0930DF">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384.31kg/a</w:t>
            </w:r>
          </w:p>
        </w:tc>
        <w:tc>
          <w:tcPr>
            <w:tcW w:w="987" w:type="pct"/>
            <w:vMerge w:val="continue"/>
            <w:tcBorders>
              <w:tl2br w:val="nil"/>
              <w:tr2bl w:val="nil"/>
            </w:tcBorders>
            <w:shd w:val="clear" w:color="auto" w:fill="auto"/>
            <w:noWrap/>
            <w:vAlign w:val="center"/>
          </w:tcPr>
          <w:p w14:paraId="12B9B290">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p>
        </w:tc>
      </w:tr>
      <w:tr w14:paraId="2474FF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29C2C2F9">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汞</w:t>
            </w:r>
          </w:p>
        </w:tc>
        <w:tc>
          <w:tcPr>
            <w:tcW w:w="652" w:type="pct"/>
            <w:tcBorders>
              <w:tl2br w:val="nil"/>
              <w:tr2bl w:val="nil"/>
            </w:tcBorders>
            <w:shd w:val="clear" w:color="auto" w:fill="auto"/>
            <w:noWrap/>
            <w:vAlign w:val="center"/>
          </w:tcPr>
          <w:p w14:paraId="3163F36D">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0.00007</w:t>
            </w:r>
          </w:p>
        </w:tc>
        <w:tc>
          <w:tcPr>
            <w:tcW w:w="323" w:type="pct"/>
            <w:tcBorders>
              <w:tl2br w:val="nil"/>
              <w:tr2bl w:val="nil"/>
            </w:tcBorders>
            <w:shd w:val="clear" w:color="auto" w:fill="auto"/>
            <w:noWrap/>
            <w:vAlign w:val="center"/>
          </w:tcPr>
          <w:p w14:paraId="22398A68">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0.005</w:t>
            </w:r>
          </w:p>
        </w:tc>
        <w:tc>
          <w:tcPr>
            <w:tcW w:w="387" w:type="pct"/>
            <w:vMerge w:val="continue"/>
            <w:tcBorders>
              <w:tl2br w:val="nil"/>
              <w:tr2bl w:val="nil"/>
            </w:tcBorders>
            <w:shd w:val="clear" w:color="auto" w:fill="auto"/>
            <w:noWrap/>
            <w:vAlign w:val="center"/>
          </w:tcPr>
          <w:p w14:paraId="6667603A">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5F745633">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0.061kg/a</w:t>
            </w:r>
          </w:p>
        </w:tc>
        <w:tc>
          <w:tcPr>
            <w:tcW w:w="647" w:type="pct"/>
            <w:tcBorders>
              <w:tl2br w:val="nil"/>
              <w:tr2bl w:val="nil"/>
            </w:tcBorders>
            <w:shd w:val="clear" w:color="auto" w:fill="auto"/>
            <w:noWrap/>
            <w:vAlign w:val="center"/>
          </w:tcPr>
          <w:p w14:paraId="3EC50A20">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0.058kg/a</w:t>
            </w:r>
          </w:p>
        </w:tc>
        <w:tc>
          <w:tcPr>
            <w:tcW w:w="552" w:type="pct"/>
            <w:tcBorders>
              <w:tl2br w:val="nil"/>
              <w:tr2bl w:val="nil"/>
            </w:tcBorders>
            <w:shd w:val="clear" w:color="auto" w:fill="auto"/>
            <w:noWrap/>
            <w:vAlign w:val="center"/>
          </w:tcPr>
          <w:p w14:paraId="3800AE21">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0.003kg/a</w:t>
            </w:r>
          </w:p>
        </w:tc>
        <w:tc>
          <w:tcPr>
            <w:tcW w:w="592" w:type="pct"/>
            <w:tcBorders>
              <w:tl2br w:val="nil"/>
              <w:tr2bl w:val="nil"/>
            </w:tcBorders>
            <w:shd w:val="clear" w:color="auto" w:fill="auto"/>
            <w:noWrap/>
            <w:vAlign w:val="center"/>
          </w:tcPr>
          <w:p w14:paraId="3A283195">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0kg/a</w:t>
            </w:r>
          </w:p>
        </w:tc>
        <w:tc>
          <w:tcPr>
            <w:tcW w:w="987" w:type="pct"/>
            <w:vMerge w:val="continue"/>
            <w:tcBorders>
              <w:tl2br w:val="nil"/>
              <w:tr2bl w:val="nil"/>
            </w:tcBorders>
            <w:shd w:val="clear" w:color="auto" w:fill="auto"/>
            <w:noWrap/>
            <w:vAlign w:val="center"/>
          </w:tcPr>
          <w:p w14:paraId="1CD16350">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p>
        </w:tc>
      </w:tr>
      <w:tr w14:paraId="31C130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197DF7BC">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镉</w:t>
            </w:r>
          </w:p>
        </w:tc>
        <w:tc>
          <w:tcPr>
            <w:tcW w:w="652" w:type="pct"/>
            <w:tcBorders>
              <w:tl2br w:val="nil"/>
              <w:tr2bl w:val="nil"/>
            </w:tcBorders>
            <w:shd w:val="clear" w:color="auto" w:fill="auto"/>
            <w:noWrap/>
            <w:vAlign w:val="center"/>
          </w:tcPr>
          <w:p w14:paraId="61FEC1AA">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0.003</w:t>
            </w:r>
          </w:p>
        </w:tc>
        <w:tc>
          <w:tcPr>
            <w:tcW w:w="323" w:type="pct"/>
            <w:tcBorders>
              <w:tl2br w:val="nil"/>
              <w:tr2bl w:val="nil"/>
            </w:tcBorders>
            <w:shd w:val="clear" w:color="auto" w:fill="auto"/>
            <w:noWrap/>
            <w:vAlign w:val="center"/>
          </w:tcPr>
          <w:p w14:paraId="75AFC25A">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0.02</w:t>
            </w:r>
          </w:p>
        </w:tc>
        <w:tc>
          <w:tcPr>
            <w:tcW w:w="387" w:type="pct"/>
            <w:vMerge w:val="continue"/>
            <w:tcBorders>
              <w:tl2br w:val="nil"/>
              <w:tr2bl w:val="nil"/>
            </w:tcBorders>
            <w:shd w:val="clear" w:color="auto" w:fill="auto"/>
            <w:noWrap/>
            <w:vAlign w:val="center"/>
          </w:tcPr>
          <w:p w14:paraId="7C3AD3D3">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79B2793F">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2.599kg/a</w:t>
            </w:r>
          </w:p>
        </w:tc>
        <w:tc>
          <w:tcPr>
            <w:tcW w:w="647" w:type="pct"/>
            <w:tcBorders>
              <w:tl2br w:val="nil"/>
              <w:tr2bl w:val="nil"/>
            </w:tcBorders>
            <w:shd w:val="clear" w:color="auto" w:fill="auto"/>
            <w:noWrap/>
            <w:vAlign w:val="center"/>
          </w:tcPr>
          <w:p w14:paraId="5BB3569C">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2.499kg/a</w:t>
            </w:r>
          </w:p>
        </w:tc>
        <w:tc>
          <w:tcPr>
            <w:tcW w:w="552" w:type="pct"/>
            <w:tcBorders>
              <w:tl2br w:val="nil"/>
              <w:tr2bl w:val="nil"/>
            </w:tcBorders>
            <w:shd w:val="clear" w:color="auto" w:fill="auto"/>
            <w:noWrap/>
            <w:vAlign w:val="center"/>
          </w:tcPr>
          <w:p w14:paraId="1BF1D872">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0.100kg/a</w:t>
            </w:r>
          </w:p>
        </w:tc>
        <w:tc>
          <w:tcPr>
            <w:tcW w:w="592" w:type="pct"/>
            <w:tcBorders>
              <w:tl2br w:val="nil"/>
              <w:tr2bl w:val="nil"/>
            </w:tcBorders>
            <w:shd w:val="clear" w:color="auto" w:fill="auto"/>
            <w:noWrap/>
            <w:vAlign w:val="center"/>
          </w:tcPr>
          <w:p w14:paraId="100DD9B4">
            <w:pPr>
              <w:pStyle w:val="26"/>
              <w:keepNext w:val="0"/>
              <w:keepLines w:val="0"/>
              <w:suppressLineNumbers w:val="0"/>
              <w:tabs>
                <w:tab w:val="left" w:pos="2520"/>
              </w:tabs>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1.37kg/a</w:t>
            </w:r>
          </w:p>
        </w:tc>
        <w:tc>
          <w:tcPr>
            <w:tcW w:w="987" w:type="pct"/>
            <w:vMerge w:val="continue"/>
            <w:tcBorders>
              <w:tl2br w:val="nil"/>
              <w:tr2bl w:val="nil"/>
            </w:tcBorders>
            <w:shd w:val="clear" w:color="auto" w:fill="auto"/>
            <w:noWrap/>
            <w:vAlign w:val="center"/>
          </w:tcPr>
          <w:p w14:paraId="5B7BD564">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p>
        </w:tc>
      </w:tr>
      <w:tr w14:paraId="5D2A4C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jc w:val="center"/>
        </w:trPr>
        <w:tc>
          <w:tcPr>
            <w:tcW w:w="280" w:type="pct"/>
            <w:tcBorders>
              <w:tl2br w:val="nil"/>
              <w:tr2bl w:val="nil"/>
            </w:tcBorders>
            <w:shd w:val="clear" w:color="auto" w:fill="auto"/>
            <w:noWrap/>
            <w:vAlign w:val="center"/>
          </w:tcPr>
          <w:p w14:paraId="5C2F41E3">
            <w:pPr>
              <w:pStyle w:val="26"/>
              <w:keepNext w:val="0"/>
              <w:keepLines w:val="0"/>
              <w:suppressLineNumbers w:val="0"/>
              <w:tabs>
                <w:tab w:val="left" w:pos="2520"/>
              </w:tabs>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锑</w:t>
            </w:r>
          </w:p>
        </w:tc>
        <w:tc>
          <w:tcPr>
            <w:tcW w:w="652" w:type="pct"/>
            <w:tcBorders>
              <w:tl2br w:val="nil"/>
              <w:tr2bl w:val="nil"/>
            </w:tcBorders>
            <w:shd w:val="clear" w:color="auto" w:fill="auto"/>
            <w:noWrap/>
            <w:vAlign w:val="center"/>
          </w:tcPr>
          <w:p w14:paraId="304CE1CA">
            <w:pPr>
              <w:pStyle w:val="26"/>
              <w:keepNext w:val="0"/>
              <w:keepLines w:val="0"/>
              <w:widowControl/>
              <w:suppressLineNumbers w:val="0"/>
              <w:pBdr>
                <w:top w:val="none" w:color="auto" w:sz="0" w:space="0"/>
                <w:left w:val="none" w:color="auto" w:sz="0" w:space="0"/>
                <w:bottom w:val="none" w:color="auto" w:sz="0" w:space="0"/>
                <w:right w:val="none" w:color="auto" w:sz="0" w:space="0"/>
              </w:pBdr>
              <w:tabs>
                <w:tab w:val="left" w:pos="2520"/>
              </w:tabs>
              <w:bidi w:val="0"/>
              <w:spacing w:before="0" w:beforeAutospacing="0" w:after="0" w:afterAutospacing="0" w:line="240" w:lineRule="auto"/>
              <w:ind w:left="0" w:leftChars="0" w:right="0" w:rightChars="0"/>
              <w:jc w:val="center"/>
              <w:outlineLvl w:val="9"/>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15</w:t>
            </w:r>
          </w:p>
        </w:tc>
        <w:tc>
          <w:tcPr>
            <w:tcW w:w="323" w:type="pct"/>
            <w:tcBorders>
              <w:tl2br w:val="nil"/>
              <w:tr2bl w:val="nil"/>
            </w:tcBorders>
            <w:shd w:val="clear" w:color="auto" w:fill="auto"/>
            <w:noWrap/>
            <w:vAlign w:val="center"/>
          </w:tcPr>
          <w:p w14:paraId="50A3E558">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0.15</w:t>
            </w:r>
          </w:p>
        </w:tc>
        <w:tc>
          <w:tcPr>
            <w:tcW w:w="387" w:type="pct"/>
            <w:vMerge w:val="continue"/>
            <w:tcBorders>
              <w:tl2br w:val="nil"/>
              <w:tr2bl w:val="nil"/>
            </w:tcBorders>
            <w:shd w:val="clear" w:color="auto" w:fill="auto"/>
            <w:noWrap/>
            <w:vAlign w:val="center"/>
          </w:tcPr>
          <w:p w14:paraId="5C9800EB">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p>
        </w:tc>
        <w:tc>
          <w:tcPr>
            <w:tcW w:w="574" w:type="pct"/>
            <w:tcBorders>
              <w:tl2br w:val="nil"/>
              <w:tr2bl w:val="nil"/>
            </w:tcBorders>
            <w:shd w:val="clear" w:color="auto" w:fill="auto"/>
            <w:noWrap/>
            <w:vAlign w:val="center"/>
          </w:tcPr>
          <w:p w14:paraId="26787D35">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0.130</w:t>
            </w:r>
          </w:p>
        </w:tc>
        <w:tc>
          <w:tcPr>
            <w:tcW w:w="647" w:type="pct"/>
            <w:tcBorders>
              <w:tl2br w:val="nil"/>
              <w:tr2bl w:val="nil"/>
            </w:tcBorders>
            <w:shd w:val="clear" w:color="auto" w:fill="auto"/>
            <w:noWrap/>
            <w:vAlign w:val="center"/>
          </w:tcPr>
          <w:p w14:paraId="37CB119F">
            <w:pPr>
              <w:pStyle w:val="26"/>
              <w:keepNext w:val="0"/>
              <w:keepLines w:val="0"/>
              <w:widowControl/>
              <w:suppressLineNumbers w:val="0"/>
              <w:tabs>
                <w:tab w:val="left" w:pos="2520"/>
              </w:tabs>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0.083</w:t>
            </w:r>
          </w:p>
        </w:tc>
        <w:tc>
          <w:tcPr>
            <w:tcW w:w="552" w:type="pct"/>
            <w:tcBorders>
              <w:tl2br w:val="nil"/>
              <w:tr2bl w:val="nil"/>
            </w:tcBorders>
            <w:shd w:val="clear" w:color="auto" w:fill="auto"/>
            <w:noWrap/>
            <w:vAlign w:val="center"/>
          </w:tcPr>
          <w:p w14:paraId="7259DB9F">
            <w:pPr>
              <w:pStyle w:val="26"/>
              <w:keepNext w:val="0"/>
              <w:keepLines w:val="0"/>
              <w:suppressLineNumbers w:val="0"/>
              <w:tabs>
                <w:tab w:val="left" w:pos="2520"/>
              </w:tabs>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0.047</w:t>
            </w:r>
          </w:p>
        </w:tc>
        <w:tc>
          <w:tcPr>
            <w:tcW w:w="592" w:type="pct"/>
            <w:tcBorders>
              <w:tl2br w:val="nil"/>
              <w:tr2bl w:val="nil"/>
            </w:tcBorders>
            <w:shd w:val="clear" w:color="auto" w:fill="auto"/>
            <w:noWrap/>
            <w:vAlign w:val="center"/>
          </w:tcPr>
          <w:p w14:paraId="4EBAA1DE">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w:t>
            </w:r>
          </w:p>
        </w:tc>
        <w:tc>
          <w:tcPr>
            <w:tcW w:w="987" w:type="pct"/>
            <w:tcBorders>
              <w:tl2br w:val="nil"/>
              <w:tr2bl w:val="nil"/>
            </w:tcBorders>
            <w:shd w:val="clear" w:color="auto" w:fill="auto"/>
            <w:noWrap/>
            <w:vAlign w:val="center"/>
          </w:tcPr>
          <w:p w14:paraId="426B9F79">
            <w:pPr>
              <w:pStyle w:val="26"/>
              <w:keepNext w:val="0"/>
              <w:keepLines w:val="0"/>
              <w:suppressLineNumbers w:val="0"/>
              <w:tabs>
                <w:tab w:val="left" w:pos="2520"/>
              </w:tabs>
              <w:spacing w:before="0" w:beforeAutospacing="0" w:after="0" w:afterAutospacing="0"/>
              <w:ind w:left="0" w:leftChars="0" w:right="0" w:rightChars="0"/>
              <w:rPr>
                <w:rFonts w:hint="default"/>
                <w:color w:val="auto"/>
                <w:highlight w:val="none"/>
                <w:lang w:val="en-US" w:eastAsia="zh-CN"/>
              </w:rPr>
            </w:pPr>
          </w:p>
        </w:tc>
      </w:tr>
    </w:tbl>
    <w:p w14:paraId="133D12D2">
      <w:pPr>
        <w:widowControl w:val="0"/>
        <w:tabs>
          <w:tab w:val="left" w:pos="1021"/>
        </w:tabs>
        <w:bidi w:val="0"/>
        <w:spacing w:line="360" w:lineRule="auto"/>
        <w:ind w:firstLine="482" w:firstLineChars="200"/>
        <w:jc w:val="both"/>
        <w:outlineLvl w:val="9"/>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二、排洪隧洞水</w:t>
      </w:r>
    </w:p>
    <w:p w14:paraId="750D9154">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b w:val="0"/>
          <w:bCs w:val="0"/>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（1）浓度</w:t>
      </w:r>
    </w:p>
    <w:p w14:paraId="6A27923E">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b w:val="0"/>
          <w:bCs w:val="0"/>
          <w:color w:val="auto"/>
          <w:kern w:val="2"/>
          <w:sz w:val="24"/>
          <w:szCs w:val="20"/>
          <w:highlight w:val="none"/>
          <w:lang w:val="en-US" w:eastAsia="zh-CN" w:bidi="ar-SA"/>
        </w:rPr>
        <w:t>对于渣滓溪水、山体渗水水质，仍沿用现状浓度。即渣滓溪锑浓度背景值</w:t>
      </w:r>
      <w:r>
        <w:rPr>
          <w:rFonts w:hint="eastAsia" w:cs="Times New Roman"/>
          <w:b w:val="0"/>
          <w:bCs w:val="0"/>
          <w:color w:val="auto"/>
          <w:kern w:val="2"/>
          <w:sz w:val="24"/>
          <w:szCs w:val="20"/>
          <w:highlight w:val="none"/>
          <w:lang w:val="en-US" w:eastAsia="zh-CN" w:bidi="ar-SA"/>
        </w:rPr>
        <w:t>枯水期取0.0566mg/L</w:t>
      </w:r>
      <w:r>
        <w:rPr>
          <w:rFonts w:hint="eastAsia" w:ascii="Times New Roman" w:hAnsi="Times New Roman" w:eastAsia="宋体" w:cs="Times New Roman"/>
          <w:b w:val="0"/>
          <w:bCs w:val="0"/>
          <w:color w:val="auto"/>
          <w:kern w:val="2"/>
          <w:sz w:val="24"/>
          <w:szCs w:val="20"/>
          <w:highlight w:val="none"/>
          <w:lang w:val="en-US" w:eastAsia="zh-CN" w:bidi="ar-SA"/>
        </w:rPr>
        <w:t>，</w:t>
      </w:r>
      <w:r>
        <w:rPr>
          <w:rFonts w:hint="eastAsia" w:cs="Times New Roman"/>
          <w:b w:val="0"/>
          <w:bCs w:val="0"/>
          <w:color w:val="auto"/>
          <w:kern w:val="2"/>
          <w:sz w:val="24"/>
          <w:szCs w:val="20"/>
          <w:highlight w:val="none"/>
          <w:lang w:val="en-US" w:eastAsia="zh-CN" w:bidi="ar-SA"/>
        </w:rPr>
        <w:t>平水期取0.036</w:t>
      </w:r>
      <w:r>
        <w:rPr>
          <w:rFonts w:hint="eastAsia" w:ascii="Times New Roman" w:hAnsi="Times New Roman" w:eastAsia="宋体" w:cs="Times New Roman"/>
          <w:b w:val="0"/>
          <w:bCs w:val="0"/>
          <w:color w:val="auto"/>
          <w:kern w:val="2"/>
          <w:sz w:val="24"/>
          <w:szCs w:val="20"/>
          <w:highlight w:val="none"/>
          <w:lang w:val="en-US" w:eastAsia="zh-CN" w:bidi="ar-SA"/>
        </w:rPr>
        <w:t>mg/L，</w:t>
      </w:r>
      <w:r>
        <w:rPr>
          <w:rFonts w:hint="eastAsia" w:cs="Times New Roman"/>
          <w:b w:val="0"/>
          <w:bCs w:val="0"/>
          <w:color w:val="auto"/>
          <w:kern w:val="2"/>
          <w:sz w:val="24"/>
          <w:szCs w:val="20"/>
          <w:highlight w:val="none"/>
          <w:lang w:val="en-US" w:eastAsia="zh-CN" w:bidi="ar-SA"/>
        </w:rPr>
        <w:t>丰水期取0.0574mg/L</w:t>
      </w:r>
      <w:r>
        <w:rPr>
          <w:rFonts w:hint="eastAsia" w:ascii="Times New Roman" w:hAnsi="Times New Roman" w:eastAsia="宋体" w:cs="Times New Roman"/>
          <w:b w:val="0"/>
          <w:bCs w:val="0"/>
          <w:color w:val="auto"/>
          <w:kern w:val="2"/>
          <w:sz w:val="24"/>
          <w:szCs w:val="20"/>
          <w:highlight w:val="none"/>
          <w:lang w:val="en-US" w:eastAsia="zh-CN" w:bidi="ar-SA"/>
        </w:rPr>
        <w:t>，山体渗水锑浓度枯水期取1.51mg/L，平水期1.84mg/L，丰水期取0.623mg/L。</w:t>
      </w:r>
    </w:p>
    <w:p w14:paraId="744ED824">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进入隧洞内的雨水主要是后期雨水，锑含量较低，不纳入计算。</w:t>
      </w:r>
    </w:p>
    <w:p w14:paraId="25D4816E">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（2）水量</w:t>
      </w:r>
    </w:p>
    <w:p w14:paraId="27050F5E">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根据水平衡，调整完成后，枯水期，渣滓溪引流后排入下游，排水量为4536m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/d，渣滓溪隧洞水1550.2m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/d全部经矿山废水处理站处理；平水期，渣滓溪引流后排入下游的水量为11001.6m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/d，山体渗水水量为3755.4m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/d，出水中2161.45m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/d进入废水处理站，剩余1593.95m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/d直接排放；丰水期，渣滓溪引流后排入下游的水量为19526.4m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/d，山体渗水水量为6671.3m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/d，出水中1200.85m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/d进入废水处理站，剩余5470.45m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/d直接排放。</w:t>
      </w:r>
    </w:p>
    <w:p w14:paraId="42FEFB7F">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排洪隧洞除进入</w:t>
      </w: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水量外，直接排放的水量及水质见下表。</w:t>
      </w:r>
    </w:p>
    <w:p w14:paraId="34F9DD56">
      <w:pPr>
        <w:pStyle w:val="28"/>
        <w:bidi w:val="0"/>
        <w:rPr>
          <w:rFonts w:hint="default"/>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6.1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2</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渣滓溪及隧洞内直接排水锑排放情况一览表</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435"/>
        <w:gridCol w:w="2946"/>
        <w:gridCol w:w="1355"/>
        <w:gridCol w:w="1573"/>
        <w:gridCol w:w="1927"/>
      </w:tblGrid>
      <w:tr w14:paraId="28CAA1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777" w:type="pct"/>
            <w:tcBorders>
              <w:tl2br w:val="nil"/>
              <w:tr2bl w:val="nil"/>
            </w:tcBorders>
            <w:shd w:val="clear" w:color="auto" w:fill="auto"/>
            <w:noWrap/>
            <w:vAlign w:val="center"/>
          </w:tcPr>
          <w:p w14:paraId="5AEDA4C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季节</w:t>
            </w:r>
          </w:p>
        </w:tc>
        <w:tc>
          <w:tcPr>
            <w:tcW w:w="1594" w:type="pct"/>
            <w:tcBorders>
              <w:tl2br w:val="nil"/>
              <w:tr2bl w:val="nil"/>
            </w:tcBorders>
            <w:shd w:val="clear" w:color="auto" w:fill="auto"/>
            <w:noWrap/>
            <w:vAlign w:val="center"/>
          </w:tcPr>
          <w:p w14:paraId="276DF7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编号</w:t>
            </w:r>
          </w:p>
        </w:tc>
        <w:tc>
          <w:tcPr>
            <w:tcW w:w="733" w:type="pct"/>
            <w:tcBorders>
              <w:tl2br w:val="nil"/>
              <w:tr2bl w:val="nil"/>
            </w:tcBorders>
            <w:shd w:val="clear" w:color="auto" w:fill="auto"/>
            <w:noWrap/>
            <w:vAlign w:val="center"/>
          </w:tcPr>
          <w:p w14:paraId="4495BD9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流量</w:t>
            </w:r>
          </w:p>
          <w:p w14:paraId="4E3EEB3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/d</w:t>
            </w:r>
            <w:r>
              <w:rPr>
                <w:rFonts w:hint="default"/>
                <w:color w:val="auto"/>
                <w:highlight w:val="none"/>
                <w:lang w:val="en-US" w:eastAsia="zh-CN"/>
              </w:rPr>
              <w:t>)</w:t>
            </w:r>
          </w:p>
        </w:tc>
        <w:tc>
          <w:tcPr>
            <w:tcW w:w="851" w:type="pct"/>
            <w:tcBorders>
              <w:tl2br w:val="nil"/>
              <w:tr2bl w:val="nil"/>
            </w:tcBorders>
            <w:shd w:val="clear" w:color="auto" w:fill="auto"/>
            <w:noWrap/>
            <w:vAlign w:val="center"/>
          </w:tcPr>
          <w:p w14:paraId="0A00062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锑浓度</w:t>
            </w:r>
          </w:p>
          <w:p w14:paraId="6279DF2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（mg/L）</w:t>
            </w:r>
          </w:p>
        </w:tc>
        <w:tc>
          <w:tcPr>
            <w:tcW w:w="1043" w:type="pct"/>
            <w:tcBorders>
              <w:tl2br w:val="nil"/>
              <w:tr2bl w:val="nil"/>
            </w:tcBorders>
            <w:shd w:val="clear" w:color="auto" w:fill="auto"/>
            <w:noWrap/>
            <w:vAlign w:val="center"/>
          </w:tcPr>
          <w:p w14:paraId="313B288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天数</w:t>
            </w:r>
          </w:p>
          <w:p w14:paraId="2C3ED09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（d）</w:t>
            </w:r>
          </w:p>
        </w:tc>
      </w:tr>
      <w:tr w14:paraId="4DE3F4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77" w:type="pct"/>
            <w:tcBorders>
              <w:tl2br w:val="nil"/>
              <w:tr2bl w:val="nil"/>
            </w:tcBorders>
            <w:shd w:val="clear" w:color="auto" w:fill="auto"/>
            <w:noWrap/>
            <w:vAlign w:val="center"/>
          </w:tcPr>
          <w:p w14:paraId="4C1B3D9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枯水期</w:t>
            </w:r>
          </w:p>
        </w:tc>
        <w:tc>
          <w:tcPr>
            <w:tcW w:w="1594" w:type="pct"/>
            <w:tcBorders>
              <w:tl2br w:val="nil"/>
              <w:tr2bl w:val="nil"/>
            </w:tcBorders>
            <w:shd w:val="clear" w:color="auto" w:fill="auto"/>
            <w:noWrap/>
            <w:vAlign w:val="center"/>
          </w:tcPr>
          <w:p w14:paraId="259EFC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渣滓溪溪水（引流）</w:t>
            </w:r>
          </w:p>
        </w:tc>
        <w:tc>
          <w:tcPr>
            <w:tcW w:w="733" w:type="pct"/>
            <w:tcBorders>
              <w:tl2br w:val="nil"/>
              <w:tr2bl w:val="nil"/>
            </w:tcBorders>
            <w:shd w:val="clear" w:color="auto" w:fill="auto"/>
            <w:noWrap/>
            <w:vAlign w:val="center"/>
          </w:tcPr>
          <w:p w14:paraId="4893CE7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4536</w:t>
            </w:r>
          </w:p>
        </w:tc>
        <w:tc>
          <w:tcPr>
            <w:tcW w:w="851" w:type="pct"/>
            <w:tcBorders>
              <w:tl2br w:val="nil"/>
              <w:tr2bl w:val="nil"/>
            </w:tcBorders>
            <w:shd w:val="clear" w:color="auto" w:fill="auto"/>
            <w:noWrap/>
            <w:vAlign w:val="center"/>
          </w:tcPr>
          <w:p w14:paraId="53D77A1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566</w:t>
            </w:r>
          </w:p>
        </w:tc>
        <w:tc>
          <w:tcPr>
            <w:tcW w:w="1043" w:type="pct"/>
            <w:tcBorders>
              <w:tl2br w:val="nil"/>
              <w:tr2bl w:val="nil"/>
            </w:tcBorders>
            <w:shd w:val="clear" w:color="auto" w:fill="auto"/>
            <w:noWrap/>
            <w:vAlign w:val="center"/>
          </w:tcPr>
          <w:p w14:paraId="02B50DD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181</w:t>
            </w:r>
          </w:p>
        </w:tc>
      </w:tr>
      <w:tr w14:paraId="1FBE40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77" w:type="pct"/>
            <w:vMerge w:val="restart"/>
            <w:tcBorders>
              <w:tl2br w:val="nil"/>
              <w:tr2bl w:val="nil"/>
            </w:tcBorders>
            <w:shd w:val="clear" w:color="auto" w:fill="auto"/>
            <w:noWrap/>
            <w:vAlign w:val="center"/>
          </w:tcPr>
          <w:p w14:paraId="2C0404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平水期</w:t>
            </w:r>
          </w:p>
        </w:tc>
        <w:tc>
          <w:tcPr>
            <w:tcW w:w="2946" w:type="dxa"/>
            <w:tcBorders>
              <w:tl2br w:val="nil"/>
              <w:tr2bl w:val="nil"/>
            </w:tcBorders>
            <w:shd w:val="clear" w:color="auto" w:fill="auto"/>
            <w:noWrap/>
            <w:vAlign w:val="center"/>
          </w:tcPr>
          <w:p w14:paraId="2B8B4F7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隧洞山体渗水</w:t>
            </w:r>
          </w:p>
        </w:tc>
        <w:tc>
          <w:tcPr>
            <w:tcW w:w="733" w:type="pct"/>
            <w:tcBorders>
              <w:tl2br w:val="nil"/>
              <w:tr2bl w:val="nil"/>
            </w:tcBorders>
            <w:shd w:val="clear" w:color="auto" w:fill="auto"/>
            <w:noWrap/>
            <w:vAlign w:val="center"/>
          </w:tcPr>
          <w:p w14:paraId="5388D24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1593.95</w:t>
            </w:r>
          </w:p>
        </w:tc>
        <w:tc>
          <w:tcPr>
            <w:tcW w:w="851" w:type="pct"/>
            <w:tcBorders>
              <w:tl2br w:val="nil"/>
              <w:tr2bl w:val="nil"/>
            </w:tcBorders>
            <w:shd w:val="clear" w:color="auto" w:fill="auto"/>
            <w:noWrap/>
            <w:vAlign w:val="center"/>
          </w:tcPr>
          <w:p w14:paraId="2B94CCF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1.84</w:t>
            </w:r>
          </w:p>
        </w:tc>
        <w:tc>
          <w:tcPr>
            <w:tcW w:w="1043" w:type="pct"/>
            <w:tcBorders>
              <w:tl2br w:val="nil"/>
              <w:tr2bl w:val="nil"/>
            </w:tcBorders>
            <w:shd w:val="clear" w:color="auto" w:fill="auto"/>
            <w:noWrap/>
            <w:vAlign w:val="center"/>
          </w:tcPr>
          <w:p w14:paraId="7CF64E0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92</w:t>
            </w:r>
          </w:p>
        </w:tc>
      </w:tr>
      <w:tr w14:paraId="3DF993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77" w:type="pct"/>
            <w:vMerge w:val="continue"/>
            <w:tcBorders>
              <w:tl2br w:val="nil"/>
              <w:tr2bl w:val="nil"/>
            </w:tcBorders>
            <w:shd w:val="clear" w:color="auto" w:fill="auto"/>
            <w:noWrap/>
            <w:vAlign w:val="center"/>
          </w:tcPr>
          <w:p w14:paraId="15FB34D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2946" w:type="dxa"/>
            <w:tcBorders>
              <w:tl2br w:val="nil"/>
              <w:tr2bl w:val="nil"/>
            </w:tcBorders>
            <w:shd w:val="clear" w:color="auto" w:fill="auto"/>
            <w:noWrap/>
            <w:vAlign w:val="center"/>
          </w:tcPr>
          <w:p w14:paraId="61A2CC8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渣滓溪溪水（引流）</w:t>
            </w:r>
          </w:p>
        </w:tc>
        <w:tc>
          <w:tcPr>
            <w:tcW w:w="733" w:type="pct"/>
            <w:tcBorders>
              <w:tl2br w:val="nil"/>
              <w:tr2bl w:val="nil"/>
            </w:tcBorders>
            <w:shd w:val="clear" w:color="auto" w:fill="auto"/>
            <w:noWrap/>
            <w:vAlign w:val="center"/>
          </w:tcPr>
          <w:p w14:paraId="26DEB7D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11001.6</w:t>
            </w:r>
          </w:p>
        </w:tc>
        <w:tc>
          <w:tcPr>
            <w:tcW w:w="851" w:type="pct"/>
            <w:tcBorders>
              <w:tl2br w:val="nil"/>
              <w:tr2bl w:val="nil"/>
            </w:tcBorders>
            <w:shd w:val="clear" w:color="auto" w:fill="auto"/>
            <w:noWrap/>
            <w:vAlign w:val="center"/>
          </w:tcPr>
          <w:p w14:paraId="43EE416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0.036</w:t>
            </w:r>
          </w:p>
        </w:tc>
        <w:tc>
          <w:tcPr>
            <w:tcW w:w="1043" w:type="pct"/>
            <w:tcBorders>
              <w:tl2br w:val="nil"/>
              <w:tr2bl w:val="nil"/>
            </w:tcBorders>
            <w:shd w:val="clear" w:color="auto" w:fill="auto"/>
            <w:noWrap/>
            <w:vAlign w:val="center"/>
          </w:tcPr>
          <w:p w14:paraId="4928FFC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92</w:t>
            </w:r>
          </w:p>
        </w:tc>
      </w:tr>
      <w:tr w14:paraId="57BBC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77" w:type="pct"/>
            <w:vMerge w:val="restart"/>
            <w:tcBorders>
              <w:tl2br w:val="nil"/>
              <w:tr2bl w:val="nil"/>
            </w:tcBorders>
            <w:shd w:val="clear" w:color="auto" w:fill="auto"/>
            <w:noWrap/>
            <w:vAlign w:val="center"/>
          </w:tcPr>
          <w:p w14:paraId="443F99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丰水期</w:t>
            </w:r>
          </w:p>
        </w:tc>
        <w:tc>
          <w:tcPr>
            <w:tcW w:w="1594" w:type="pct"/>
            <w:tcBorders>
              <w:tl2br w:val="nil"/>
              <w:tr2bl w:val="nil"/>
            </w:tcBorders>
            <w:shd w:val="clear" w:color="auto" w:fill="auto"/>
            <w:noWrap/>
            <w:vAlign w:val="center"/>
          </w:tcPr>
          <w:p w14:paraId="50183B9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隧洞山体渗水</w:t>
            </w:r>
          </w:p>
        </w:tc>
        <w:tc>
          <w:tcPr>
            <w:tcW w:w="733" w:type="pct"/>
            <w:tcBorders>
              <w:tl2br w:val="nil"/>
              <w:tr2bl w:val="nil"/>
            </w:tcBorders>
            <w:shd w:val="clear" w:color="auto" w:fill="auto"/>
            <w:noWrap/>
            <w:vAlign w:val="center"/>
          </w:tcPr>
          <w:p w14:paraId="5FB3B85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5470.45</w:t>
            </w:r>
          </w:p>
        </w:tc>
        <w:tc>
          <w:tcPr>
            <w:tcW w:w="851" w:type="pct"/>
            <w:tcBorders>
              <w:tl2br w:val="nil"/>
              <w:tr2bl w:val="nil"/>
            </w:tcBorders>
            <w:shd w:val="clear" w:color="auto" w:fill="auto"/>
            <w:noWrap/>
            <w:vAlign w:val="center"/>
          </w:tcPr>
          <w:p w14:paraId="4490AA2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1.84</w:t>
            </w:r>
          </w:p>
        </w:tc>
        <w:tc>
          <w:tcPr>
            <w:tcW w:w="1043" w:type="pct"/>
            <w:tcBorders>
              <w:tl2br w:val="nil"/>
              <w:tr2bl w:val="nil"/>
            </w:tcBorders>
            <w:shd w:val="clear" w:color="auto" w:fill="auto"/>
            <w:noWrap/>
            <w:vAlign w:val="center"/>
          </w:tcPr>
          <w:p w14:paraId="3B2A7A0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92</w:t>
            </w:r>
          </w:p>
        </w:tc>
      </w:tr>
      <w:tr w14:paraId="5C4312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777" w:type="pct"/>
            <w:vMerge w:val="continue"/>
            <w:tcBorders>
              <w:tl2br w:val="nil"/>
              <w:tr2bl w:val="nil"/>
            </w:tcBorders>
            <w:shd w:val="clear" w:color="auto" w:fill="auto"/>
            <w:noWrap/>
            <w:vAlign w:val="center"/>
          </w:tcPr>
          <w:p w14:paraId="6709657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594" w:type="pct"/>
            <w:tcBorders>
              <w:tl2br w:val="nil"/>
              <w:tr2bl w:val="nil"/>
            </w:tcBorders>
            <w:shd w:val="clear" w:color="auto" w:fill="auto"/>
            <w:noWrap/>
            <w:vAlign w:val="center"/>
          </w:tcPr>
          <w:p w14:paraId="1A9CDA5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渣滓溪溪水（引流）</w:t>
            </w:r>
          </w:p>
        </w:tc>
        <w:tc>
          <w:tcPr>
            <w:tcW w:w="733" w:type="pct"/>
            <w:tcBorders>
              <w:tl2br w:val="nil"/>
              <w:tr2bl w:val="nil"/>
            </w:tcBorders>
            <w:shd w:val="clear" w:color="auto" w:fill="auto"/>
            <w:noWrap/>
            <w:vAlign w:val="center"/>
          </w:tcPr>
          <w:p w14:paraId="156EDE8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19526.4</w:t>
            </w:r>
          </w:p>
        </w:tc>
        <w:tc>
          <w:tcPr>
            <w:tcW w:w="851" w:type="pct"/>
            <w:tcBorders>
              <w:tl2br w:val="nil"/>
              <w:tr2bl w:val="nil"/>
            </w:tcBorders>
            <w:shd w:val="clear" w:color="auto" w:fill="auto"/>
            <w:noWrap/>
            <w:vAlign w:val="center"/>
          </w:tcPr>
          <w:p w14:paraId="1AB2778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574</w:t>
            </w:r>
          </w:p>
        </w:tc>
        <w:tc>
          <w:tcPr>
            <w:tcW w:w="1043" w:type="pct"/>
            <w:tcBorders>
              <w:tl2br w:val="nil"/>
              <w:tr2bl w:val="nil"/>
            </w:tcBorders>
            <w:shd w:val="clear" w:color="auto" w:fill="auto"/>
            <w:noWrap/>
            <w:vAlign w:val="center"/>
          </w:tcPr>
          <w:p w14:paraId="02A873A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92</w:t>
            </w:r>
          </w:p>
        </w:tc>
      </w:tr>
    </w:tbl>
    <w:p w14:paraId="767FCF96">
      <w:pPr>
        <w:keepNext w:val="0"/>
        <w:keepLines w:val="0"/>
        <w:widowControl w:val="0"/>
        <w:suppressLineNumbers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u w:val="none" w:color="auto"/>
          <w:lang w:val="en-US" w:eastAsia="zh-CN" w:bidi="ar-SA"/>
        </w:rPr>
      </w:pPr>
      <w:r>
        <w:rPr>
          <w:rFonts w:hint="eastAsia" w:ascii="Times New Roman" w:hAnsi="Times New Roman" w:eastAsia="宋体" w:cs="Times New Roman"/>
          <w:color w:val="auto"/>
          <w:kern w:val="2"/>
          <w:sz w:val="24"/>
          <w:szCs w:val="20"/>
          <w:highlight w:val="none"/>
          <w:u w:val="none" w:color="auto"/>
          <w:lang w:val="en-US" w:eastAsia="zh-CN" w:bidi="ar-SA"/>
        </w:rPr>
        <w:t>全年隧洞水直接排放的锑=[0.0</w:t>
      </w:r>
      <w:r>
        <w:rPr>
          <w:rFonts w:hint="eastAsia" w:cs="Times New Roman"/>
          <w:color w:val="auto"/>
          <w:kern w:val="2"/>
          <w:sz w:val="24"/>
          <w:szCs w:val="20"/>
          <w:highlight w:val="none"/>
          <w:u w:val="none" w:color="auto"/>
          <w:lang w:val="en-US" w:eastAsia="zh-CN" w:bidi="ar-SA"/>
        </w:rPr>
        <w:t>57</w:t>
      </w:r>
      <w:r>
        <w:rPr>
          <w:rFonts w:hint="eastAsia" w:ascii="Times New Roman" w:hAnsi="Times New Roman" w:eastAsia="宋体" w:cs="Times New Roman"/>
          <w:color w:val="auto"/>
          <w:kern w:val="2"/>
          <w:sz w:val="24"/>
          <w:szCs w:val="20"/>
          <w:highlight w:val="none"/>
          <w:u w:val="none" w:color="auto"/>
          <w:lang w:val="en-US" w:eastAsia="zh-CN" w:bidi="ar-SA"/>
        </w:rPr>
        <w:t>×</w:t>
      </w:r>
      <w:r>
        <w:rPr>
          <w:rFonts w:hint="eastAsia" w:cs="Times New Roman"/>
          <w:color w:val="auto"/>
          <w:kern w:val="2"/>
          <w:sz w:val="24"/>
          <w:szCs w:val="20"/>
          <w:highlight w:val="none"/>
          <w:u w:val="none" w:color="auto"/>
          <w:lang w:val="en-US" w:eastAsia="zh-CN" w:bidi="ar-SA"/>
        </w:rPr>
        <w:t>4536</w:t>
      </w:r>
      <w:r>
        <w:rPr>
          <w:rFonts w:hint="eastAsia" w:ascii="Times New Roman" w:hAnsi="Times New Roman" w:eastAsia="宋体" w:cs="Times New Roman"/>
          <w:color w:val="auto"/>
          <w:kern w:val="2"/>
          <w:sz w:val="24"/>
          <w:szCs w:val="20"/>
          <w:highlight w:val="none"/>
          <w:u w:val="none" w:color="auto"/>
          <w:lang w:val="en-US" w:eastAsia="zh-CN" w:bidi="ar-SA"/>
        </w:rPr>
        <w:t>×</w:t>
      </w:r>
      <w:r>
        <w:rPr>
          <w:rFonts w:hint="eastAsia" w:cs="Times New Roman"/>
          <w:color w:val="auto"/>
          <w:kern w:val="2"/>
          <w:sz w:val="24"/>
          <w:szCs w:val="20"/>
          <w:highlight w:val="none"/>
          <w:u w:val="none" w:color="auto"/>
          <w:lang w:val="en-US" w:eastAsia="zh-CN" w:bidi="ar-SA"/>
        </w:rPr>
        <w:t>181</w:t>
      </w:r>
      <w:r>
        <w:rPr>
          <w:rFonts w:hint="eastAsia" w:ascii="Times New Roman" w:hAnsi="Times New Roman" w:eastAsia="宋体" w:cs="Times New Roman"/>
          <w:color w:val="auto"/>
          <w:kern w:val="2"/>
          <w:sz w:val="24"/>
          <w:szCs w:val="20"/>
          <w:highlight w:val="none"/>
          <w:u w:val="none" w:color="auto"/>
          <w:lang w:val="en-US" w:eastAsia="zh-CN" w:bidi="ar-SA"/>
        </w:rPr>
        <w:t>(天)+</w:t>
      </w:r>
      <w:r>
        <w:rPr>
          <w:rFonts w:hint="eastAsia" w:cs="Times New Roman"/>
          <w:color w:val="auto"/>
          <w:kern w:val="2"/>
          <w:sz w:val="24"/>
          <w:szCs w:val="20"/>
          <w:highlight w:val="none"/>
          <w:u w:val="none" w:color="auto"/>
          <w:lang w:val="en-US" w:eastAsia="zh-CN" w:bidi="ar-SA"/>
        </w:rPr>
        <w:t>1</w:t>
      </w:r>
      <w:r>
        <w:rPr>
          <w:rFonts w:hint="eastAsia" w:ascii="Times New Roman" w:hAnsi="Times New Roman" w:eastAsia="宋体" w:cs="Times New Roman"/>
          <w:color w:val="auto"/>
          <w:kern w:val="2"/>
          <w:sz w:val="24"/>
          <w:szCs w:val="20"/>
          <w:highlight w:val="none"/>
          <w:u w:val="none" w:color="auto"/>
          <w:lang w:val="en-US" w:eastAsia="zh-CN" w:bidi="ar-SA"/>
        </w:rPr>
        <w:t>.</w:t>
      </w:r>
      <w:r>
        <w:rPr>
          <w:rFonts w:hint="eastAsia" w:cs="Times New Roman"/>
          <w:color w:val="auto"/>
          <w:kern w:val="2"/>
          <w:sz w:val="24"/>
          <w:szCs w:val="20"/>
          <w:highlight w:val="none"/>
          <w:u w:val="none" w:color="auto"/>
          <w:lang w:val="en-US" w:eastAsia="zh-CN" w:bidi="ar-SA"/>
        </w:rPr>
        <w:t>84</w:t>
      </w:r>
      <w:r>
        <w:rPr>
          <w:rFonts w:hint="eastAsia" w:ascii="Times New Roman" w:hAnsi="Times New Roman" w:eastAsia="宋体" w:cs="Times New Roman"/>
          <w:color w:val="auto"/>
          <w:kern w:val="2"/>
          <w:sz w:val="24"/>
          <w:szCs w:val="20"/>
          <w:highlight w:val="none"/>
          <w:u w:val="none" w:color="auto"/>
          <w:lang w:val="en-US" w:eastAsia="zh-CN" w:bidi="ar-SA"/>
        </w:rPr>
        <w:t>×</w:t>
      </w:r>
      <w:r>
        <w:rPr>
          <w:rFonts w:hint="eastAsia" w:cs="Times New Roman"/>
          <w:color w:val="auto"/>
          <w:kern w:val="2"/>
          <w:sz w:val="24"/>
          <w:szCs w:val="20"/>
          <w:highlight w:val="none"/>
          <w:u w:val="none" w:color="auto"/>
          <w:lang w:val="en-US" w:eastAsia="zh-CN" w:bidi="ar-SA"/>
        </w:rPr>
        <w:t>1593.95</w:t>
      </w:r>
      <w:r>
        <w:rPr>
          <w:rFonts w:hint="eastAsia" w:ascii="Times New Roman" w:hAnsi="Times New Roman" w:eastAsia="宋体" w:cs="Times New Roman"/>
          <w:color w:val="auto"/>
          <w:kern w:val="2"/>
          <w:sz w:val="24"/>
          <w:szCs w:val="20"/>
          <w:highlight w:val="none"/>
          <w:u w:val="none" w:color="auto"/>
          <w:lang w:val="en-US" w:eastAsia="zh-CN" w:bidi="ar-SA"/>
        </w:rPr>
        <w:t>×</w:t>
      </w:r>
      <w:r>
        <w:rPr>
          <w:rFonts w:hint="eastAsia" w:cs="Times New Roman"/>
          <w:color w:val="auto"/>
          <w:kern w:val="2"/>
          <w:sz w:val="24"/>
          <w:szCs w:val="20"/>
          <w:highlight w:val="none"/>
          <w:u w:val="none" w:color="auto"/>
          <w:lang w:val="en-US" w:eastAsia="zh-CN" w:bidi="ar-SA"/>
        </w:rPr>
        <w:t>9</w:t>
      </w:r>
      <w:r>
        <w:rPr>
          <w:rFonts w:hint="eastAsia" w:ascii="Times New Roman" w:hAnsi="Times New Roman" w:eastAsia="宋体" w:cs="Times New Roman"/>
          <w:color w:val="auto"/>
          <w:kern w:val="2"/>
          <w:sz w:val="24"/>
          <w:szCs w:val="20"/>
          <w:highlight w:val="none"/>
          <w:u w:val="none" w:color="auto"/>
          <w:lang w:val="en-US" w:eastAsia="zh-CN" w:bidi="ar-SA"/>
        </w:rPr>
        <w:t>2(天)+0.0</w:t>
      </w:r>
      <w:r>
        <w:rPr>
          <w:rFonts w:hint="eastAsia" w:cs="Times New Roman"/>
          <w:color w:val="auto"/>
          <w:kern w:val="2"/>
          <w:sz w:val="24"/>
          <w:szCs w:val="20"/>
          <w:highlight w:val="none"/>
          <w:u w:val="none" w:color="auto"/>
          <w:lang w:val="en-US" w:eastAsia="zh-CN" w:bidi="ar-SA"/>
        </w:rPr>
        <w:t>36</w:t>
      </w:r>
      <w:r>
        <w:rPr>
          <w:rFonts w:hint="eastAsia" w:ascii="Times New Roman" w:hAnsi="Times New Roman" w:eastAsia="宋体" w:cs="Times New Roman"/>
          <w:color w:val="auto"/>
          <w:kern w:val="2"/>
          <w:sz w:val="24"/>
          <w:szCs w:val="20"/>
          <w:highlight w:val="none"/>
          <w:u w:val="none" w:color="auto"/>
          <w:lang w:val="en-US" w:eastAsia="zh-CN" w:bidi="ar-SA"/>
        </w:rPr>
        <w:t>×11001.6×</w:t>
      </w:r>
      <w:r>
        <w:rPr>
          <w:rFonts w:hint="eastAsia" w:cs="Times New Roman"/>
          <w:color w:val="auto"/>
          <w:kern w:val="2"/>
          <w:sz w:val="24"/>
          <w:szCs w:val="20"/>
          <w:highlight w:val="none"/>
          <w:u w:val="none" w:color="auto"/>
          <w:lang w:val="en-US" w:eastAsia="zh-CN" w:bidi="ar-SA"/>
        </w:rPr>
        <w:t>9</w:t>
      </w:r>
      <w:r>
        <w:rPr>
          <w:rFonts w:hint="eastAsia" w:ascii="Times New Roman" w:hAnsi="Times New Roman" w:eastAsia="宋体" w:cs="Times New Roman"/>
          <w:color w:val="auto"/>
          <w:kern w:val="2"/>
          <w:sz w:val="24"/>
          <w:szCs w:val="20"/>
          <w:highlight w:val="none"/>
          <w:u w:val="none" w:color="auto"/>
          <w:lang w:val="en-US" w:eastAsia="zh-CN" w:bidi="ar-SA"/>
        </w:rPr>
        <w:t>2(天)+</w:t>
      </w:r>
      <w:r>
        <w:rPr>
          <w:rFonts w:hint="eastAsia" w:cs="Times New Roman"/>
          <w:color w:val="auto"/>
          <w:kern w:val="2"/>
          <w:sz w:val="24"/>
          <w:szCs w:val="20"/>
          <w:highlight w:val="none"/>
          <w:u w:val="none" w:color="auto"/>
          <w:lang w:val="en-US" w:eastAsia="zh-CN" w:bidi="ar-SA"/>
        </w:rPr>
        <w:t>1</w:t>
      </w:r>
      <w:r>
        <w:rPr>
          <w:rFonts w:hint="eastAsia" w:ascii="Times New Roman" w:hAnsi="Times New Roman" w:eastAsia="宋体" w:cs="Times New Roman"/>
          <w:color w:val="auto"/>
          <w:kern w:val="2"/>
          <w:sz w:val="24"/>
          <w:szCs w:val="20"/>
          <w:highlight w:val="none"/>
          <w:u w:val="none" w:color="auto"/>
          <w:lang w:val="en-US" w:eastAsia="zh-CN" w:bidi="ar-SA"/>
        </w:rPr>
        <w:t>.</w:t>
      </w:r>
      <w:r>
        <w:rPr>
          <w:rFonts w:hint="eastAsia" w:cs="Times New Roman"/>
          <w:color w:val="auto"/>
          <w:kern w:val="2"/>
          <w:sz w:val="24"/>
          <w:szCs w:val="20"/>
          <w:highlight w:val="none"/>
          <w:u w:val="none" w:color="auto"/>
          <w:lang w:val="en-US" w:eastAsia="zh-CN" w:bidi="ar-SA"/>
        </w:rPr>
        <w:t>84</w:t>
      </w:r>
      <w:r>
        <w:rPr>
          <w:rFonts w:hint="eastAsia" w:ascii="Times New Roman" w:hAnsi="Times New Roman" w:eastAsia="宋体" w:cs="Times New Roman"/>
          <w:color w:val="auto"/>
          <w:kern w:val="2"/>
          <w:sz w:val="24"/>
          <w:szCs w:val="20"/>
          <w:highlight w:val="none"/>
          <w:u w:val="none" w:color="auto"/>
          <w:lang w:val="en-US" w:eastAsia="zh-CN" w:bidi="ar-SA"/>
        </w:rPr>
        <w:t>×</w:t>
      </w:r>
      <w:r>
        <w:rPr>
          <w:rFonts w:hint="eastAsia" w:cs="Times New Roman"/>
          <w:color w:val="auto"/>
          <w:kern w:val="2"/>
          <w:sz w:val="24"/>
          <w:szCs w:val="20"/>
          <w:highlight w:val="none"/>
          <w:u w:val="none" w:color="auto"/>
          <w:lang w:val="en-US" w:eastAsia="zh-CN" w:bidi="ar-SA"/>
        </w:rPr>
        <w:t>5470.45</w:t>
      </w:r>
      <w:r>
        <w:rPr>
          <w:rFonts w:hint="eastAsia" w:ascii="Times New Roman" w:hAnsi="Times New Roman" w:eastAsia="宋体" w:cs="Times New Roman"/>
          <w:color w:val="auto"/>
          <w:kern w:val="2"/>
          <w:sz w:val="24"/>
          <w:szCs w:val="20"/>
          <w:highlight w:val="none"/>
          <w:u w:val="none" w:color="auto"/>
          <w:lang w:val="en-US" w:eastAsia="zh-CN" w:bidi="ar-SA"/>
        </w:rPr>
        <w:t>×</w:t>
      </w:r>
      <w:r>
        <w:rPr>
          <w:rFonts w:hint="eastAsia" w:cs="Times New Roman"/>
          <w:color w:val="auto"/>
          <w:kern w:val="2"/>
          <w:sz w:val="24"/>
          <w:szCs w:val="20"/>
          <w:highlight w:val="none"/>
          <w:u w:val="none" w:color="auto"/>
          <w:lang w:val="en-US" w:eastAsia="zh-CN" w:bidi="ar-SA"/>
        </w:rPr>
        <w:t>9</w:t>
      </w:r>
      <w:r>
        <w:rPr>
          <w:rFonts w:hint="eastAsia" w:ascii="Times New Roman" w:hAnsi="Times New Roman" w:eastAsia="宋体" w:cs="Times New Roman"/>
          <w:color w:val="auto"/>
          <w:kern w:val="2"/>
          <w:sz w:val="24"/>
          <w:szCs w:val="20"/>
          <w:highlight w:val="none"/>
          <w:u w:val="none" w:color="auto"/>
          <w:lang w:val="en-US" w:eastAsia="zh-CN" w:bidi="ar-SA"/>
        </w:rPr>
        <w:t>2(天)+0.0</w:t>
      </w:r>
      <w:r>
        <w:rPr>
          <w:rFonts w:hint="eastAsia" w:cs="Times New Roman"/>
          <w:color w:val="auto"/>
          <w:kern w:val="2"/>
          <w:sz w:val="24"/>
          <w:szCs w:val="20"/>
          <w:highlight w:val="none"/>
          <w:u w:val="none" w:color="auto"/>
          <w:lang w:val="en-US" w:eastAsia="zh-CN" w:bidi="ar-SA"/>
        </w:rPr>
        <w:t>574</w:t>
      </w:r>
      <w:r>
        <w:rPr>
          <w:rFonts w:hint="eastAsia" w:ascii="Times New Roman" w:hAnsi="Times New Roman" w:eastAsia="宋体" w:cs="Times New Roman"/>
          <w:color w:val="auto"/>
          <w:kern w:val="2"/>
          <w:sz w:val="24"/>
          <w:szCs w:val="20"/>
          <w:highlight w:val="none"/>
          <w:u w:val="none" w:color="auto"/>
          <w:lang w:val="en-US" w:eastAsia="zh-CN" w:bidi="ar-SA"/>
        </w:rPr>
        <w:t>×19526.4×</w:t>
      </w:r>
      <w:r>
        <w:rPr>
          <w:rFonts w:hint="eastAsia" w:cs="Times New Roman"/>
          <w:color w:val="auto"/>
          <w:kern w:val="2"/>
          <w:sz w:val="24"/>
          <w:szCs w:val="20"/>
          <w:highlight w:val="none"/>
          <w:u w:val="none" w:color="auto"/>
          <w:lang w:val="en-US" w:eastAsia="zh-CN" w:bidi="ar-SA"/>
        </w:rPr>
        <w:t>9</w:t>
      </w:r>
      <w:r>
        <w:rPr>
          <w:rFonts w:hint="eastAsia" w:ascii="Times New Roman" w:hAnsi="Times New Roman" w:eastAsia="宋体" w:cs="Times New Roman"/>
          <w:color w:val="auto"/>
          <w:kern w:val="2"/>
          <w:sz w:val="24"/>
          <w:szCs w:val="20"/>
          <w:highlight w:val="none"/>
          <w:u w:val="none" w:color="auto"/>
          <w:lang w:val="en-US" w:eastAsia="zh-CN" w:bidi="ar-SA"/>
        </w:rPr>
        <w:t>2(天)]÷1000000=</w:t>
      </w:r>
      <w:r>
        <w:rPr>
          <w:rFonts w:hint="eastAsia" w:cs="Times New Roman"/>
          <w:color w:val="auto"/>
          <w:kern w:val="2"/>
          <w:sz w:val="24"/>
          <w:szCs w:val="20"/>
          <w:highlight w:val="none"/>
          <w:u w:val="none" w:color="auto"/>
          <w:lang w:val="en-US" w:eastAsia="zh-CN" w:bidi="ar-SA"/>
        </w:rPr>
        <w:t>0.769t</w:t>
      </w:r>
      <w:r>
        <w:rPr>
          <w:rFonts w:hint="eastAsia" w:ascii="Times New Roman" w:hAnsi="Times New Roman" w:eastAsia="宋体" w:cs="Times New Roman"/>
          <w:color w:val="auto"/>
          <w:kern w:val="2"/>
          <w:sz w:val="24"/>
          <w:szCs w:val="20"/>
          <w:highlight w:val="none"/>
          <w:u w:val="none" w:color="auto"/>
          <w:lang w:val="en-US" w:eastAsia="zh-CN" w:bidi="ar-SA"/>
        </w:rPr>
        <w:t>。</w:t>
      </w:r>
    </w:p>
    <w:p w14:paraId="52F2BB38">
      <w:pPr>
        <w:keepNext w:val="0"/>
        <w:keepLines w:val="0"/>
        <w:widowControl w:val="0"/>
        <w:suppressLineNumbers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u w:val="none" w:color="auto"/>
          <w:lang w:val="en-US" w:eastAsia="zh-CN" w:bidi="ar-SA"/>
        </w:rPr>
      </w:pPr>
      <w:r>
        <w:rPr>
          <w:rFonts w:hint="eastAsia" w:ascii="Times New Roman" w:hAnsi="Times New Roman" w:eastAsia="宋体" w:cs="Times New Roman"/>
          <w:color w:val="auto"/>
          <w:kern w:val="2"/>
          <w:sz w:val="24"/>
          <w:szCs w:val="20"/>
          <w:highlight w:val="none"/>
          <w:u w:val="none" w:color="auto"/>
          <w:lang w:val="en-US" w:eastAsia="zh-CN" w:bidi="ar-SA"/>
        </w:rPr>
        <w:t>综上，通过矿山废水处理站排放的锑为0.1</w:t>
      </w:r>
      <w:r>
        <w:rPr>
          <w:rFonts w:hint="eastAsia" w:cs="Times New Roman"/>
          <w:color w:val="auto"/>
          <w:kern w:val="2"/>
          <w:sz w:val="24"/>
          <w:szCs w:val="20"/>
          <w:highlight w:val="none"/>
          <w:u w:val="none" w:color="auto"/>
          <w:lang w:val="en-US" w:eastAsia="zh-CN" w:bidi="ar-SA"/>
        </w:rPr>
        <w:t>30</w:t>
      </w:r>
      <w:r>
        <w:rPr>
          <w:rFonts w:hint="eastAsia" w:ascii="Times New Roman" w:hAnsi="Times New Roman" w:eastAsia="宋体" w:cs="Times New Roman"/>
          <w:color w:val="auto"/>
          <w:kern w:val="2"/>
          <w:sz w:val="24"/>
          <w:szCs w:val="20"/>
          <w:highlight w:val="none"/>
          <w:u w:val="none" w:color="auto"/>
          <w:lang w:val="en-US" w:eastAsia="zh-CN" w:bidi="ar-SA"/>
        </w:rPr>
        <w:t>t/a，通过隧洞直接排放的锑（含未引流的渣滓溪溪水）为</w:t>
      </w:r>
      <w:r>
        <w:rPr>
          <w:rFonts w:hint="eastAsia" w:cs="Times New Roman"/>
          <w:color w:val="auto"/>
          <w:kern w:val="2"/>
          <w:sz w:val="24"/>
          <w:szCs w:val="20"/>
          <w:highlight w:val="none"/>
          <w:u w:val="none" w:color="auto"/>
          <w:lang w:val="en-US" w:eastAsia="zh-CN" w:bidi="ar-SA"/>
        </w:rPr>
        <w:t>0.769t</w:t>
      </w:r>
      <w:r>
        <w:rPr>
          <w:rFonts w:hint="eastAsia" w:ascii="Times New Roman" w:hAnsi="Times New Roman" w:eastAsia="宋体" w:cs="Times New Roman"/>
          <w:color w:val="auto"/>
          <w:kern w:val="2"/>
          <w:sz w:val="24"/>
          <w:szCs w:val="20"/>
          <w:highlight w:val="none"/>
          <w:u w:val="none" w:color="auto"/>
          <w:lang w:val="en-US" w:eastAsia="zh-CN" w:bidi="ar-SA"/>
        </w:rPr>
        <w:t>/a，两种渠道向下游排放的锑为</w:t>
      </w:r>
      <w:r>
        <w:rPr>
          <w:rFonts w:hint="eastAsia" w:cs="Times New Roman"/>
          <w:color w:val="auto"/>
          <w:kern w:val="2"/>
          <w:sz w:val="24"/>
          <w:szCs w:val="20"/>
          <w:highlight w:val="none"/>
          <w:u w:val="none" w:color="auto"/>
          <w:lang w:val="en-US" w:eastAsia="zh-CN" w:bidi="ar-SA"/>
        </w:rPr>
        <w:t>0.899t</w:t>
      </w:r>
      <w:r>
        <w:rPr>
          <w:rFonts w:hint="eastAsia" w:ascii="Times New Roman" w:hAnsi="Times New Roman" w:eastAsia="宋体" w:cs="Times New Roman"/>
          <w:color w:val="auto"/>
          <w:kern w:val="2"/>
          <w:sz w:val="24"/>
          <w:szCs w:val="20"/>
          <w:highlight w:val="none"/>
          <w:u w:val="none" w:color="auto"/>
          <w:lang w:val="en-US" w:eastAsia="zh-CN" w:bidi="ar-SA"/>
        </w:rPr>
        <w:t>/a。</w:t>
      </w:r>
    </w:p>
    <w:p w14:paraId="2E2D31DB">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p>
    <w:p w14:paraId="5B1A667E">
      <w:pPr>
        <w:pStyle w:val="36"/>
        <w:bidi w:val="0"/>
        <w:rPr>
          <w:rFonts w:hint="eastAsia" w:ascii="Times New Roman" w:hAnsi="Times New Roman" w:cs="Times New Roman"/>
          <w:color w:val="auto"/>
          <w:highlight w:val="none"/>
          <w:lang w:val="en-US" w:eastAsia="zh-CN"/>
        </w:rPr>
      </w:pPr>
      <w:bookmarkStart w:id="59" w:name="_Toc21725"/>
      <w:r>
        <w:rPr>
          <w:rFonts w:hint="eastAsia" w:ascii="Times New Roman" w:hAnsi="Times New Roman" w:cs="Times New Roman"/>
          <w:color w:val="auto"/>
          <w:highlight w:val="none"/>
          <w:lang w:val="en-US" w:eastAsia="zh-CN"/>
        </w:rPr>
        <w:t>入河排污口废污水主要污染物种类、排放浓度和总量</w:t>
      </w:r>
      <w:bookmarkEnd w:id="59"/>
    </w:p>
    <w:p w14:paraId="1CB95C18">
      <w:pPr>
        <w:pStyle w:val="37"/>
        <w:rPr>
          <w:rFonts w:hint="default"/>
          <w:color w:val="auto"/>
          <w:highlight w:val="none"/>
          <w:lang w:val="en-US" w:eastAsia="zh-CN"/>
        </w:rPr>
      </w:pPr>
      <w:r>
        <w:rPr>
          <w:rFonts w:hint="eastAsia"/>
          <w:color w:val="auto"/>
          <w:highlight w:val="none"/>
          <w:lang w:val="en-US" w:eastAsia="zh-CN"/>
        </w:rPr>
        <w:t>引用监测</w:t>
      </w:r>
    </w:p>
    <w:p w14:paraId="6516B3A2">
      <w:pPr>
        <w:pStyle w:val="2"/>
        <w:rPr>
          <w:rFonts w:hint="eastAsia" w:cs="Times New Roman"/>
          <w:color w:val="auto"/>
          <w:highlight w:val="none"/>
          <w:lang w:val="en-US" w:eastAsia="zh-CN"/>
        </w:rPr>
      </w:pPr>
      <w:r>
        <w:rPr>
          <w:rFonts w:hint="eastAsia" w:cs="Times New Roman"/>
          <w:color w:val="auto"/>
          <w:highlight w:val="none"/>
          <w:lang w:val="en-US" w:eastAsia="zh-CN"/>
        </w:rPr>
        <w:t>本次论证，引用锑矿升级改造环评的废水处理站出水浓度监测数据，监测单位为湖南乾诚检测有限公司，监测时间为2024年5月7日~8日，监测结果如下：</w:t>
      </w:r>
    </w:p>
    <w:p w14:paraId="183AF2D6">
      <w:pPr>
        <w:pStyle w:val="28"/>
        <w:bidi w:val="0"/>
        <w:rPr>
          <w:rFonts w:hint="default"/>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6.2</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1</w:t>
      </w:r>
      <w:r>
        <w:rPr>
          <w:rFonts w:hint="default"/>
          <w:color w:val="auto"/>
          <w:highlight w:val="none"/>
          <w:lang w:val="en-US" w:eastAsia="zh-CN"/>
        </w:rPr>
        <w:fldChar w:fldCharType="end"/>
      </w:r>
      <w:r>
        <w:rPr>
          <w:rFonts w:hint="eastAsia"/>
          <w:color w:val="auto"/>
          <w:highlight w:val="none"/>
          <w:lang w:val="en-US" w:eastAsia="zh-CN"/>
        </w:rPr>
        <w:t xml:space="preserve">  废水处理站进出水监测情况表  单位：mg/L，pH，水温除外</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1230"/>
        <w:gridCol w:w="1542"/>
        <w:gridCol w:w="1540"/>
        <w:gridCol w:w="1542"/>
        <w:gridCol w:w="1541"/>
      </w:tblGrid>
      <w:tr w14:paraId="77EE9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restart"/>
            <w:tcBorders>
              <w:tl2br w:val="nil"/>
              <w:tr2bl w:val="nil"/>
            </w:tcBorders>
            <w:vAlign w:val="center"/>
          </w:tcPr>
          <w:p w14:paraId="56CD6AE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firstLine="0" w:firstLineChars="0"/>
              <w:jc w:val="center"/>
              <w:rPr>
                <w:rFonts w:hint="default"/>
                <w:color w:val="auto"/>
                <w:highlight w:val="none"/>
                <w:lang w:val="en-US" w:eastAsia="zh-CN"/>
              </w:rPr>
            </w:pPr>
            <w:r>
              <w:rPr>
                <w:rFonts w:hint="eastAsia"/>
                <w:color w:val="auto"/>
                <w:highlight w:val="none"/>
                <w:lang w:val="en-US" w:eastAsia="zh-CN"/>
              </w:rPr>
              <w:t>检测项目</w:t>
            </w:r>
          </w:p>
        </w:tc>
        <w:tc>
          <w:tcPr>
            <w:tcW w:w="1499" w:type="pct"/>
            <w:gridSpan w:val="2"/>
            <w:tcBorders>
              <w:tl2br w:val="nil"/>
              <w:tr2bl w:val="nil"/>
            </w:tcBorders>
            <w:vAlign w:val="center"/>
          </w:tcPr>
          <w:p w14:paraId="73AE6D2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进水水质</w:t>
            </w:r>
          </w:p>
        </w:tc>
        <w:tc>
          <w:tcPr>
            <w:tcW w:w="1667" w:type="pct"/>
            <w:gridSpan w:val="2"/>
            <w:tcBorders>
              <w:tl2br w:val="nil"/>
              <w:tr2bl w:val="nil"/>
            </w:tcBorders>
            <w:vAlign w:val="center"/>
          </w:tcPr>
          <w:p w14:paraId="08C2008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出水水质</w:t>
            </w:r>
          </w:p>
        </w:tc>
        <w:tc>
          <w:tcPr>
            <w:tcW w:w="833" w:type="pct"/>
            <w:vMerge w:val="restart"/>
            <w:tcBorders>
              <w:tl2br w:val="nil"/>
              <w:tr2bl w:val="nil"/>
            </w:tcBorders>
            <w:vAlign w:val="center"/>
          </w:tcPr>
          <w:p w14:paraId="49605F1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标准值</w:t>
            </w:r>
          </w:p>
        </w:tc>
      </w:tr>
      <w:tr w14:paraId="0A804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continue"/>
            <w:tcBorders>
              <w:tl2br w:val="nil"/>
              <w:tr2bl w:val="nil"/>
            </w:tcBorders>
            <w:vAlign w:val="center"/>
          </w:tcPr>
          <w:p w14:paraId="4BBFD906">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p>
        </w:tc>
        <w:tc>
          <w:tcPr>
            <w:tcW w:w="665" w:type="pct"/>
            <w:tcBorders>
              <w:tl2br w:val="nil"/>
              <w:tr2bl w:val="nil"/>
            </w:tcBorders>
            <w:vAlign w:val="center"/>
          </w:tcPr>
          <w:p w14:paraId="15C8CCE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2024.05.07</w:t>
            </w:r>
          </w:p>
        </w:tc>
        <w:tc>
          <w:tcPr>
            <w:tcW w:w="833" w:type="pct"/>
            <w:tcBorders>
              <w:tl2br w:val="nil"/>
              <w:tr2bl w:val="nil"/>
            </w:tcBorders>
            <w:vAlign w:val="center"/>
          </w:tcPr>
          <w:p w14:paraId="7C2998C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2024.05.08</w:t>
            </w:r>
          </w:p>
        </w:tc>
        <w:tc>
          <w:tcPr>
            <w:tcW w:w="833" w:type="pct"/>
            <w:tcBorders>
              <w:tl2br w:val="nil"/>
              <w:tr2bl w:val="nil"/>
            </w:tcBorders>
            <w:vAlign w:val="center"/>
          </w:tcPr>
          <w:p w14:paraId="1D6132B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2024.05.07</w:t>
            </w:r>
          </w:p>
        </w:tc>
        <w:tc>
          <w:tcPr>
            <w:tcW w:w="833" w:type="pct"/>
            <w:tcBorders>
              <w:tl2br w:val="nil"/>
              <w:tr2bl w:val="nil"/>
            </w:tcBorders>
            <w:vAlign w:val="center"/>
          </w:tcPr>
          <w:p w14:paraId="0A1683CB">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2024.05.08</w:t>
            </w:r>
          </w:p>
        </w:tc>
        <w:tc>
          <w:tcPr>
            <w:tcW w:w="833" w:type="pct"/>
            <w:vMerge w:val="continue"/>
            <w:tcBorders>
              <w:tl2br w:val="nil"/>
              <w:tr2bl w:val="nil"/>
            </w:tcBorders>
            <w:vAlign w:val="center"/>
          </w:tcPr>
          <w:p w14:paraId="603155E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p>
        </w:tc>
      </w:tr>
      <w:tr w14:paraId="306C7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27BF6A7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pH值</w:t>
            </w:r>
          </w:p>
        </w:tc>
        <w:tc>
          <w:tcPr>
            <w:tcW w:w="665" w:type="pct"/>
            <w:tcBorders>
              <w:tl2br w:val="nil"/>
              <w:tr2bl w:val="nil"/>
            </w:tcBorders>
            <w:vAlign w:val="center"/>
          </w:tcPr>
          <w:p w14:paraId="359A88D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7.5</w:t>
            </w:r>
          </w:p>
        </w:tc>
        <w:tc>
          <w:tcPr>
            <w:tcW w:w="833" w:type="pct"/>
            <w:tcBorders>
              <w:tl2br w:val="nil"/>
              <w:tr2bl w:val="nil"/>
            </w:tcBorders>
            <w:vAlign w:val="center"/>
          </w:tcPr>
          <w:p w14:paraId="42DBF11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7.4</w:t>
            </w:r>
          </w:p>
        </w:tc>
        <w:tc>
          <w:tcPr>
            <w:tcW w:w="833" w:type="pct"/>
            <w:tcBorders>
              <w:tl2br w:val="nil"/>
              <w:tr2bl w:val="nil"/>
            </w:tcBorders>
            <w:vAlign w:val="center"/>
          </w:tcPr>
          <w:p w14:paraId="16995FB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7.2</w:t>
            </w:r>
          </w:p>
        </w:tc>
        <w:tc>
          <w:tcPr>
            <w:tcW w:w="833" w:type="pct"/>
            <w:tcBorders>
              <w:tl2br w:val="nil"/>
              <w:tr2bl w:val="nil"/>
            </w:tcBorders>
            <w:vAlign w:val="center"/>
          </w:tcPr>
          <w:p w14:paraId="6B12D7A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7.1</w:t>
            </w:r>
          </w:p>
        </w:tc>
        <w:tc>
          <w:tcPr>
            <w:tcW w:w="833" w:type="pct"/>
            <w:tcBorders>
              <w:tl2br w:val="nil"/>
              <w:tr2bl w:val="nil"/>
            </w:tcBorders>
            <w:vAlign w:val="center"/>
          </w:tcPr>
          <w:p w14:paraId="4A07400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6~9</w:t>
            </w:r>
          </w:p>
        </w:tc>
      </w:tr>
      <w:tr w14:paraId="0D38B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1999F15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水温</w:t>
            </w:r>
          </w:p>
        </w:tc>
        <w:tc>
          <w:tcPr>
            <w:tcW w:w="665" w:type="pct"/>
            <w:tcBorders>
              <w:tl2br w:val="nil"/>
              <w:tr2bl w:val="nil"/>
            </w:tcBorders>
            <w:vAlign w:val="center"/>
          </w:tcPr>
          <w:p w14:paraId="3C440FA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19.25</w:t>
            </w:r>
          </w:p>
        </w:tc>
        <w:tc>
          <w:tcPr>
            <w:tcW w:w="833" w:type="pct"/>
            <w:tcBorders>
              <w:tl2br w:val="nil"/>
              <w:tr2bl w:val="nil"/>
            </w:tcBorders>
            <w:vAlign w:val="center"/>
          </w:tcPr>
          <w:p w14:paraId="4FCDDCC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21.5</w:t>
            </w:r>
          </w:p>
        </w:tc>
        <w:tc>
          <w:tcPr>
            <w:tcW w:w="833" w:type="pct"/>
            <w:tcBorders>
              <w:tl2br w:val="nil"/>
              <w:tr2bl w:val="nil"/>
            </w:tcBorders>
            <w:vAlign w:val="center"/>
          </w:tcPr>
          <w:p w14:paraId="7B1FCAA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19.4</w:t>
            </w:r>
          </w:p>
        </w:tc>
        <w:tc>
          <w:tcPr>
            <w:tcW w:w="833" w:type="pct"/>
            <w:tcBorders>
              <w:tl2br w:val="nil"/>
              <w:tr2bl w:val="nil"/>
            </w:tcBorders>
            <w:vAlign w:val="center"/>
          </w:tcPr>
          <w:p w14:paraId="4742CE8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21.2</w:t>
            </w:r>
          </w:p>
        </w:tc>
        <w:tc>
          <w:tcPr>
            <w:tcW w:w="833" w:type="pct"/>
            <w:tcBorders>
              <w:tl2br w:val="nil"/>
              <w:tr2bl w:val="nil"/>
            </w:tcBorders>
            <w:vAlign w:val="center"/>
          </w:tcPr>
          <w:p w14:paraId="1AE9941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4A1F4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3E83943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溶解氧</w:t>
            </w:r>
          </w:p>
        </w:tc>
        <w:tc>
          <w:tcPr>
            <w:tcW w:w="665" w:type="pct"/>
            <w:tcBorders>
              <w:tl2br w:val="nil"/>
              <w:tr2bl w:val="nil"/>
            </w:tcBorders>
            <w:vAlign w:val="center"/>
          </w:tcPr>
          <w:p w14:paraId="3B22B30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6.85</w:t>
            </w:r>
          </w:p>
        </w:tc>
        <w:tc>
          <w:tcPr>
            <w:tcW w:w="833" w:type="pct"/>
            <w:tcBorders>
              <w:tl2br w:val="nil"/>
              <w:tr2bl w:val="nil"/>
            </w:tcBorders>
            <w:vAlign w:val="center"/>
          </w:tcPr>
          <w:p w14:paraId="4499E8B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7.11</w:t>
            </w:r>
          </w:p>
        </w:tc>
        <w:tc>
          <w:tcPr>
            <w:tcW w:w="833" w:type="pct"/>
            <w:tcBorders>
              <w:tl2br w:val="nil"/>
              <w:tr2bl w:val="nil"/>
            </w:tcBorders>
            <w:vAlign w:val="center"/>
          </w:tcPr>
          <w:p w14:paraId="4B7C863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6.83</w:t>
            </w:r>
          </w:p>
        </w:tc>
        <w:tc>
          <w:tcPr>
            <w:tcW w:w="833" w:type="pct"/>
            <w:tcBorders>
              <w:tl2br w:val="nil"/>
              <w:tr2bl w:val="nil"/>
            </w:tcBorders>
            <w:vAlign w:val="center"/>
          </w:tcPr>
          <w:p w14:paraId="015A8AF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7.05</w:t>
            </w:r>
          </w:p>
        </w:tc>
        <w:tc>
          <w:tcPr>
            <w:tcW w:w="833" w:type="pct"/>
            <w:tcBorders>
              <w:tl2br w:val="nil"/>
              <w:tr2bl w:val="nil"/>
            </w:tcBorders>
            <w:vAlign w:val="center"/>
          </w:tcPr>
          <w:p w14:paraId="7D2FB43B">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1941F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7E5CEDC6">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化学需氧量</w:t>
            </w:r>
          </w:p>
        </w:tc>
        <w:tc>
          <w:tcPr>
            <w:tcW w:w="665" w:type="pct"/>
            <w:tcBorders>
              <w:tl2br w:val="nil"/>
              <w:tr2bl w:val="nil"/>
            </w:tcBorders>
            <w:vAlign w:val="center"/>
          </w:tcPr>
          <w:p w14:paraId="432E10C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71</w:t>
            </w:r>
          </w:p>
        </w:tc>
        <w:tc>
          <w:tcPr>
            <w:tcW w:w="833" w:type="pct"/>
            <w:tcBorders>
              <w:tl2br w:val="nil"/>
              <w:tr2bl w:val="nil"/>
            </w:tcBorders>
            <w:vAlign w:val="center"/>
          </w:tcPr>
          <w:p w14:paraId="65B8368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69</w:t>
            </w:r>
          </w:p>
        </w:tc>
        <w:tc>
          <w:tcPr>
            <w:tcW w:w="833" w:type="pct"/>
            <w:tcBorders>
              <w:tl2br w:val="nil"/>
              <w:tr2bl w:val="nil"/>
            </w:tcBorders>
            <w:vAlign w:val="center"/>
          </w:tcPr>
          <w:p w14:paraId="0BDA602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35</w:t>
            </w:r>
          </w:p>
        </w:tc>
        <w:tc>
          <w:tcPr>
            <w:tcW w:w="833" w:type="pct"/>
            <w:tcBorders>
              <w:tl2br w:val="nil"/>
              <w:tr2bl w:val="nil"/>
            </w:tcBorders>
            <w:vAlign w:val="center"/>
          </w:tcPr>
          <w:p w14:paraId="1E0CB503">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32</w:t>
            </w:r>
          </w:p>
        </w:tc>
        <w:tc>
          <w:tcPr>
            <w:tcW w:w="833" w:type="pct"/>
            <w:tcBorders>
              <w:tl2br w:val="nil"/>
              <w:tr2bl w:val="nil"/>
            </w:tcBorders>
            <w:vAlign w:val="center"/>
          </w:tcPr>
          <w:p w14:paraId="04C102D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60</w:t>
            </w:r>
          </w:p>
        </w:tc>
      </w:tr>
      <w:tr w14:paraId="158B5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5C52FCD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总磷</w:t>
            </w:r>
          </w:p>
        </w:tc>
        <w:tc>
          <w:tcPr>
            <w:tcW w:w="665" w:type="pct"/>
            <w:tcBorders>
              <w:tl2br w:val="nil"/>
              <w:tr2bl w:val="nil"/>
            </w:tcBorders>
            <w:vAlign w:val="center"/>
          </w:tcPr>
          <w:p w14:paraId="7CF71893">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0.46</w:t>
            </w:r>
          </w:p>
        </w:tc>
        <w:tc>
          <w:tcPr>
            <w:tcW w:w="833" w:type="pct"/>
            <w:tcBorders>
              <w:tl2br w:val="nil"/>
              <w:tr2bl w:val="nil"/>
            </w:tcBorders>
            <w:vAlign w:val="center"/>
          </w:tcPr>
          <w:p w14:paraId="6B5CEF9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0.44</w:t>
            </w:r>
          </w:p>
        </w:tc>
        <w:tc>
          <w:tcPr>
            <w:tcW w:w="833" w:type="pct"/>
            <w:tcBorders>
              <w:tl2br w:val="nil"/>
              <w:tr2bl w:val="nil"/>
            </w:tcBorders>
            <w:vAlign w:val="center"/>
          </w:tcPr>
          <w:p w14:paraId="74F3B1E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0.13</w:t>
            </w:r>
          </w:p>
        </w:tc>
        <w:tc>
          <w:tcPr>
            <w:tcW w:w="833" w:type="pct"/>
            <w:tcBorders>
              <w:tl2br w:val="nil"/>
              <w:tr2bl w:val="nil"/>
            </w:tcBorders>
            <w:vAlign w:val="center"/>
          </w:tcPr>
          <w:p w14:paraId="60D659F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0.11</w:t>
            </w:r>
          </w:p>
        </w:tc>
        <w:tc>
          <w:tcPr>
            <w:tcW w:w="833" w:type="pct"/>
            <w:tcBorders>
              <w:tl2br w:val="nil"/>
              <w:tr2bl w:val="nil"/>
            </w:tcBorders>
            <w:vAlign w:val="center"/>
          </w:tcPr>
          <w:p w14:paraId="0FADE1DC">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1.0</w:t>
            </w:r>
          </w:p>
        </w:tc>
      </w:tr>
      <w:tr w14:paraId="30058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3F1DA89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氨氮</w:t>
            </w:r>
          </w:p>
        </w:tc>
        <w:tc>
          <w:tcPr>
            <w:tcW w:w="665" w:type="pct"/>
            <w:tcBorders>
              <w:tl2br w:val="nil"/>
              <w:tr2bl w:val="nil"/>
            </w:tcBorders>
            <w:vAlign w:val="center"/>
          </w:tcPr>
          <w:p w14:paraId="659FA9E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1.45</w:t>
            </w:r>
          </w:p>
        </w:tc>
        <w:tc>
          <w:tcPr>
            <w:tcW w:w="833" w:type="pct"/>
            <w:tcBorders>
              <w:tl2br w:val="nil"/>
              <w:tr2bl w:val="nil"/>
            </w:tcBorders>
            <w:vAlign w:val="center"/>
          </w:tcPr>
          <w:p w14:paraId="3267655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1.46</w:t>
            </w:r>
          </w:p>
        </w:tc>
        <w:tc>
          <w:tcPr>
            <w:tcW w:w="833" w:type="pct"/>
            <w:tcBorders>
              <w:tl2br w:val="nil"/>
              <w:tr2bl w:val="nil"/>
            </w:tcBorders>
            <w:vAlign w:val="center"/>
          </w:tcPr>
          <w:p w14:paraId="62E87C0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0.25</w:t>
            </w:r>
          </w:p>
        </w:tc>
        <w:tc>
          <w:tcPr>
            <w:tcW w:w="833" w:type="pct"/>
            <w:tcBorders>
              <w:tl2br w:val="nil"/>
              <w:tr2bl w:val="nil"/>
            </w:tcBorders>
            <w:vAlign w:val="center"/>
          </w:tcPr>
          <w:p w14:paraId="562D24A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0.26</w:t>
            </w:r>
          </w:p>
        </w:tc>
        <w:tc>
          <w:tcPr>
            <w:tcW w:w="833" w:type="pct"/>
            <w:tcBorders>
              <w:tl2br w:val="nil"/>
              <w:tr2bl w:val="nil"/>
            </w:tcBorders>
            <w:vAlign w:val="center"/>
          </w:tcPr>
          <w:p w14:paraId="57E3517C">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8</w:t>
            </w:r>
          </w:p>
        </w:tc>
      </w:tr>
      <w:tr w14:paraId="45A63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08158643">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五日生化需氧量</w:t>
            </w:r>
          </w:p>
        </w:tc>
        <w:tc>
          <w:tcPr>
            <w:tcW w:w="665" w:type="pct"/>
            <w:tcBorders>
              <w:tl2br w:val="nil"/>
              <w:tr2bl w:val="nil"/>
            </w:tcBorders>
            <w:vAlign w:val="center"/>
          </w:tcPr>
          <w:p w14:paraId="3CFD2B8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17.8</w:t>
            </w:r>
          </w:p>
        </w:tc>
        <w:tc>
          <w:tcPr>
            <w:tcW w:w="833" w:type="pct"/>
            <w:tcBorders>
              <w:tl2br w:val="nil"/>
              <w:tr2bl w:val="nil"/>
            </w:tcBorders>
            <w:vAlign w:val="center"/>
          </w:tcPr>
          <w:p w14:paraId="294CEEF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16.9</w:t>
            </w:r>
          </w:p>
        </w:tc>
        <w:tc>
          <w:tcPr>
            <w:tcW w:w="833" w:type="pct"/>
            <w:tcBorders>
              <w:tl2br w:val="nil"/>
              <w:tr2bl w:val="nil"/>
            </w:tcBorders>
            <w:vAlign w:val="center"/>
          </w:tcPr>
          <w:p w14:paraId="51417C5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8.9</w:t>
            </w:r>
          </w:p>
        </w:tc>
        <w:tc>
          <w:tcPr>
            <w:tcW w:w="833" w:type="pct"/>
            <w:tcBorders>
              <w:tl2br w:val="nil"/>
              <w:tr2bl w:val="nil"/>
            </w:tcBorders>
            <w:vAlign w:val="center"/>
          </w:tcPr>
          <w:p w14:paraId="02A4DA6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8.1</w:t>
            </w:r>
          </w:p>
        </w:tc>
        <w:tc>
          <w:tcPr>
            <w:tcW w:w="833" w:type="pct"/>
            <w:tcBorders>
              <w:tl2br w:val="nil"/>
              <w:tr2bl w:val="nil"/>
            </w:tcBorders>
            <w:vAlign w:val="center"/>
          </w:tcPr>
          <w:p w14:paraId="71D744A3">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2C227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63DF7CE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悬浮物</w:t>
            </w:r>
          </w:p>
        </w:tc>
        <w:tc>
          <w:tcPr>
            <w:tcW w:w="665" w:type="pct"/>
            <w:tcBorders>
              <w:tl2br w:val="nil"/>
              <w:tr2bl w:val="nil"/>
            </w:tcBorders>
            <w:vAlign w:val="center"/>
          </w:tcPr>
          <w:p w14:paraId="440A61B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26</w:t>
            </w:r>
          </w:p>
        </w:tc>
        <w:tc>
          <w:tcPr>
            <w:tcW w:w="833" w:type="pct"/>
            <w:tcBorders>
              <w:tl2br w:val="nil"/>
              <w:tr2bl w:val="nil"/>
            </w:tcBorders>
            <w:vAlign w:val="center"/>
          </w:tcPr>
          <w:p w14:paraId="18CD1AC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28</w:t>
            </w:r>
          </w:p>
        </w:tc>
        <w:tc>
          <w:tcPr>
            <w:tcW w:w="833" w:type="pct"/>
            <w:tcBorders>
              <w:tl2br w:val="nil"/>
              <w:tr2bl w:val="nil"/>
            </w:tcBorders>
            <w:vAlign w:val="center"/>
          </w:tcPr>
          <w:p w14:paraId="6C7BF73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8</w:t>
            </w:r>
          </w:p>
        </w:tc>
        <w:tc>
          <w:tcPr>
            <w:tcW w:w="833" w:type="pct"/>
            <w:tcBorders>
              <w:tl2br w:val="nil"/>
              <w:tr2bl w:val="nil"/>
            </w:tcBorders>
            <w:vAlign w:val="center"/>
          </w:tcPr>
          <w:p w14:paraId="46661346">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9</w:t>
            </w:r>
          </w:p>
        </w:tc>
        <w:tc>
          <w:tcPr>
            <w:tcW w:w="833" w:type="pct"/>
            <w:tcBorders>
              <w:tl2br w:val="nil"/>
              <w:tr2bl w:val="nil"/>
            </w:tcBorders>
            <w:vAlign w:val="center"/>
          </w:tcPr>
          <w:p w14:paraId="066515F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70</w:t>
            </w:r>
          </w:p>
        </w:tc>
      </w:tr>
      <w:tr w14:paraId="439B8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2FD6D03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石油类</w:t>
            </w:r>
          </w:p>
        </w:tc>
        <w:tc>
          <w:tcPr>
            <w:tcW w:w="665" w:type="pct"/>
            <w:tcBorders>
              <w:tl2br w:val="nil"/>
              <w:tr2bl w:val="nil"/>
            </w:tcBorders>
            <w:vAlign w:val="center"/>
          </w:tcPr>
          <w:p w14:paraId="277E7A0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0.22</w:t>
            </w:r>
          </w:p>
        </w:tc>
        <w:tc>
          <w:tcPr>
            <w:tcW w:w="833" w:type="pct"/>
            <w:tcBorders>
              <w:tl2br w:val="nil"/>
              <w:tr2bl w:val="nil"/>
            </w:tcBorders>
            <w:vAlign w:val="center"/>
          </w:tcPr>
          <w:p w14:paraId="24327DD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0.21</w:t>
            </w:r>
          </w:p>
        </w:tc>
        <w:tc>
          <w:tcPr>
            <w:tcW w:w="833" w:type="pct"/>
            <w:tcBorders>
              <w:tl2br w:val="nil"/>
              <w:tr2bl w:val="nil"/>
            </w:tcBorders>
            <w:vAlign w:val="center"/>
          </w:tcPr>
          <w:p w14:paraId="7FCB13A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0.11</w:t>
            </w:r>
          </w:p>
        </w:tc>
        <w:tc>
          <w:tcPr>
            <w:tcW w:w="833" w:type="pct"/>
            <w:tcBorders>
              <w:tl2br w:val="nil"/>
              <w:tr2bl w:val="nil"/>
            </w:tcBorders>
            <w:vAlign w:val="center"/>
          </w:tcPr>
          <w:p w14:paraId="1F078426">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0.13</w:t>
            </w:r>
          </w:p>
        </w:tc>
        <w:tc>
          <w:tcPr>
            <w:tcW w:w="833" w:type="pct"/>
            <w:tcBorders>
              <w:tl2br w:val="nil"/>
              <w:tr2bl w:val="nil"/>
            </w:tcBorders>
            <w:vAlign w:val="center"/>
          </w:tcPr>
          <w:p w14:paraId="4CCCC3D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w:t>
            </w:r>
          </w:p>
        </w:tc>
      </w:tr>
      <w:tr w14:paraId="578BA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4BC8AD9B">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挥发酚</w:t>
            </w:r>
          </w:p>
        </w:tc>
        <w:tc>
          <w:tcPr>
            <w:tcW w:w="665" w:type="pct"/>
            <w:tcBorders>
              <w:tl2br w:val="nil"/>
              <w:tr2bl w:val="nil"/>
            </w:tcBorders>
            <w:vAlign w:val="center"/>
          </w:tcPr>
          <w:p w14:paraId="270487E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4BEA5246">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018BDE6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67B570E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48E28EC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50DE0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3959D7D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六价铬</w:t>
            </w:r>
          </w:p>
        </w:tc>
        <w:tc>
          <w:tcPr>
            <w:tcW w:w="665" w:type="pct"/>
            <w:tcBorders>
              <w:tl2br w:val="nil"/>
              <w:tr2bl w:val="nil"/>
            </w:tcBorders>
            <w:vAlign w:val="center"/>
          </w:tcPr>
          <w:p w14:paraId="74321F0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3C03E52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7DF20DA3">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3B0A310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7E724E66">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0.2</w:t>
            </w:r>
          </w:p>
        </w:tc>
      </w:tr>
      <w:tr w14:paraId="2FCF7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3FBBD0D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氟化物</w:t>
            </w:r>
          </w:p>
        </w:tc>
        <w:tc>
          <w:tcPr>
            <w:tcW w:w="665" w:type="pct"/>
            <w:tcBorders>
              <w:tl2br w:val="nil"/>
              <w:tr2bl w:val="nil"/>
            </w:tcBorders>
            <w:vAlign w:val="center"/>
          </w:tcPr>
          <w:p w14:paraId="306DADAC">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0.11</w:t>
            </w:r>
          </w:p>
        </w:tc>
        <w:tc>
          <w:tcPr>
            <w:tcW w:w="833" w:type="pct"/>
            <w:tcBorders>
              <w:tl2br w:val="nil"/>
              <w:tr2bl w:val="nil"/>
            </w:tcBorders>
            <w:vAlign w:val="center"/>
          </w:tcPr>
          <w:p w14:paraId="4A895FD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0.10</w:t>
            </w:r>
          </w:p>
        </w:tc>
        <w:tc>
          <w:tcPr>
            <w:tcW w:w="833" w:type="pct"/>
            <w:tcBorders>
              <w:tl2br w:val="nil"/>
              <w:tr2bl w:val="nil"/>
            </w:tcBorders>
            <w:vAlign w:val="center"/>
          </w:tcPr>
          <w:p w14:paraId="09811EE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0.09</w:t>
            </w:r>
          </w:p>
        </w:tc>
        <w:tc>
          <w:tcPr>
            <w:tcW w:w="833" w:type="pct"/>
            <w:tcBorders>
              <w:tl2br w:val="nil"/>
              <w:tr2bl w:val="nil"/>
            </w:tcBorders>
            <w:vAlign w:val="center"/>
          </w:tcPr>
          <w:p w14:paraId="6F7E22E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0.07</w:t>
            </w:r>
          </w:p>
        </w:tc>
        <w:tc>
          <w:tcPr>
            <w:tcW w:w="833" w:type="pct"/>
            <w:tcBorders>
              <w:tl2br w:val="nil"/>
              <w:tr2bl w:val="nil"/>
            </w:tcBorders>
            <w:vAlign w:val="center"/>
          </w:tcPr>
          <w:p w14:paraId="6CCAEF5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5</w:t>
            </w:r>
          </w:p>
        </w:tc>
      </w:tr>
      <w:tr w14:paraId="11F55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260D282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硫化物</w:t>
            </w:r>
          </w:p>
        </w:tc>
        <w:tc>
          <w:tcPr>
            <w:tcW w:w="665" w:type="pct"/>
            <w:tcBorders>
              <w:tl2br w:val="nil"/>
              <w:tr2bl w:val="nil"/>
            </w:tcBorders>
            <w:vAlign w:val="center"/>
          </w:tcPr>
          <w:p w14:paraId="11863AF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781B200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39D3C77C">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517C19D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0.01L</w:t>
            </w:r>
          </w:p>
        </w:tc>
        <w:tc>
          <w:tcPr>
            <w:tcW w:w="833" w:type="pct"/>
            <w:tcBorders>
              <w:tl2br w:val="nil"/>
              <w:tr2bl w:val="nil"/>
            </w:tcBorders>
            <w:vAlign w:val="center"/>
          </w:tcPr>
          <w:p w14:paraId="6BD1498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0.5</w:t>
            </w:r>
          </w:p>
        </w:tc>
      </w:tr>
      <w:tr w14:paraId="61799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662924D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汞</w:t>
            </w:r>
          </w:p>
        </w:tc>
        <w:tc>
          <w:tcPr>
            <w:tcW w:w="665" w:type="pct"/>
            <w:tcBorders>
              <w:tl2br w:val="nil"/>
              <w:tr2bl w:val="nil"/>
            </w:tcBorders>
            <w:vAlign w:val="center"/>
          </w:tcPr>
          <w:p w14:paraId="0E73B3A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0.00004L</w:t>
            </w:r>
          </w:p>
        </w:tc>
        <w:tc>
          <w:tcPr>
            <w:tcW w:w="833" w:type="pct"/>
            <w:tcBorders>
              <w:tl2br w:val="nil"/>
              <w:tr2bl w:val="nil"/>
            </w:tcBorders>
            <w:vAlign w:val="center"/>
          </w:tcPr>
          <w:p w14:paraId="4DFA9E9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0.00004L</w:t>
            </w:r>
          </w:p>
        </w:tc>
        <w:tc>
          <w:tcPr>
            <w:tcW w:w="833" w:type="pct"/>
            <w:tcBorders>
              <w:tl2br w:val="nil"/>
              <w:tr2bl w:val="nil"/>
            </w:tcBorders>
            <w:vAlign w:val="center"/>
          </w:tcPr>
          <w:p w14:paraId="7141C21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0.00004L</w:t>
            </w:r>
          </w:p>
        </w:tc>
        <w:tc>
          <w:tcPr>
            <w:tcW w:w="833" w:type="pct"/>
            <w:tcBorders>
              <w:tl2br w:val="nil"/>
              <w:tr2bl w:val="nil"/>
            </w:tcBorders>
            <w:vAlign w:val="center"/>
          </w:tcPr>
          <w:p w14:paraId="5FAF380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0.00004L</w:t>
            </w:r>
          </w:p>
        </w:tc>
        <w:tc>
          <w:tcPr>
            <w:tcW w:w="833" w:type="pct"/>
            <w:tcBorders>
              <w:tl2br w:val="nil"/>
              <w:tr2bl w:val="nil"/>
            </w:tcBorders>
            <w:vAlign w:val="center"/>
          </w:tcPr>
          <w:p w14:paraId="24C79F6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0.005</w:t>
            </w:r>
          </w:p>
        </w:tc>
      </w:tr>
      <w:tr w14:paraId="58FB6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46D3D08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砷</w:t>
            </w:r>
          </w:p>
        </w:tc>
        <w:tc>
          <w:tcPr>
            <w:tcW w:w="665" w:type="pct"/>
            <w:tcBorders>
              <w:tl2br w:val="nil"/>
              <w:tr2bl w:val="nil"/>
            </w:tcBorders>
            <w:vAlign w:val="center"/>
          </w:tcPr>
          <w:p w14:paraId="3CC8CFC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0.0212</w:t>
            </w:r>
          </w:p>
        </w:tc>
        <w:tc>
          <w:tcPr>
            <w:tcW w:w="833" w:type="pct"/>
            <w:tcBorders>
              <w:tl2br w:val="nil"/>
              <w:tr2bl w:val="nil"/>
            </w:tcBorders>
            <w:vAlign w:val="center"/>
          </w:tcPr>
          <w:p w14:paraId="5BF2500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0.0221</w:t>
            </w:r>
          </w:p>
        </w:tc>
        <w:tc>
          <w:tcPr>
            <w:tcW w:w="833" w:type="pct"/>
            <w:tcBorders>
              <w:tl2br w:val="nil"/>
              <w:tr2bl w:val="nil"/>
            </w:tcBorders>
            <w:vAlign w:val="center"/>
          </w:tcPr>
          <w:p w14:paraId="180510EB">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0.0004</w:t>
            </w:r>
          </w:p>
        </w:tc>
        <w:tc>
          <w:tcPr>
            <w:tcW w:w="833" w:type="pct"/>
            <w:tcBorders>
              <w:tl2br w:val="nil"/>
              <w:tr2bl w:val="nil"/>
            </w:tcBorders>
            <w:vAlign w:val="center"/>
          </w:tcPr>
          <w:p w14:paraId="279F9B4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0.0003L</w:t>
            </w:r>
          </w:p>
        </w:tc>
        <w:tc>
          <w:tcPr>
            <w:tcW w:w="833" w:type="pct"/>
            <w:tcBorders>
              <w:tl2br w:val="nil"/>
              <w:tr2bl w:val="nil"/>
            </w:tcBorders>
            <w:vAlign w:val="center"/>
          </w:tcPr>
          <w:p w14:paraId="6C5A148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0.1</w:t>
            </w:r>
          </w:p>
        </w:tc>
      </w:tr>
      <w:tr w14:paraId="1D63A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129969A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硒</w:t>
            </w:r>
          </w:p>
        </w:tc>
        <w:tc>
          <w:tcPr>
            <w:tcW w:w="665" w:type="pct"/>
            <w:tcBorders>
              <w:tl2br w:val="nil"/>
              <w:tr2bl w:val="nil"/>
            </w:tcBorders>
            <w:vAlign w:val="center"/>
          </w:tcPr>
          <w:p w14:paraId="31C935E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0.0004L</w:t>
            </w:r>
          </w:p>
        </w:tc>
        <w:tc>
          <w:tcPr>
            <w:tcW w:w="833" w:type="pct"/>
            <w:tcBorders>
              <w:tl2br w:val="nil"/>
              <w:tr2bl w:val="nil"/>
            </w:tcBorders>
            <w:vAlign w:val="center"/>
          </w:tcPr>
          <w:p w14:paraId="75B2A37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0.0004L</w:t>
            </w:r>
          </w:p>
        </w:tc>
        <w:tc>
          <w:tcPr>
            <w:tcW w:w="833" w:type="pct"/>
            <w:tcBorders>
              <w:tl2br w:val="nil"/>
              <w:tr2bl w:val="nil"/>
            </w:tcBorders>
            <w:vAlign w:val="center"/>
          </w:tcPr>
          <w:p w14:paraId="6BBAA47B">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0.0004L</w:t>
            </w:r>
          </w:p>
        </w:tc>
        <w:tc>
          <w:tcPr>
            <w:tcW w:w="833" w:type="pct"/>
            <w:tcBorders>
              <w:tl2br w:val="nil"/>
              <w:tr2bl w:val="nil"/>
            </w:tcBorders>
            <w:vAlign w:val="center"/>
          </w:tcPr>
          <w:p w14:paraId="1D490E8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0.0004L</w:t>
            </w:r>
          </w:p>
        </w:tc>
        <w:tc>
          <w:tcPr>
            <w:tcW w:w="833" w:type="pct"/>
            <w:tcBorders>
              <w:tl2br w:val="nil"/>
              <w:tr2bl w:val="nil"/>
            </w:tcBorders>
            <w:vAlign w:val="center"/>
          </w:tcPr>
          <w:p w14:paraId="215B401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2B472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0D089F7C">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锑</w:t>
            </w:r>
          </w:p>
        </w:tc>
        <w:tc>
          <w:tcPr>
            <w:tcW w:w="665" w:type="pct"/>
            <w:tcBorders>
              <w:tl2br w:val="nil"/>
              <w:tr2bl w:val="nil"/>
            </w:tcBorders>
            <w:vAlign w:val="center"/>
          </w:tcPr>
          <w:p w14:paraId="2647364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2.33</w:t>
            </w:r>
          </w:p>
        </w:tc>
        <w:tc>
          <w:tcPr>
            <w:tcW w:w="833" w:type="pct"/>
            <w:tcBorders>
              <w:tl2br w:val="nil"/>
              <w:tr2bl w:val="nil"/>
            </w:tcBorders>
            <w:vAlign w:val="center"/>
          </w:tcPr>
          <w:p w14:paraId="4019536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2.26</w:t>
            </w:r>
          </w:p>
        </w:tc>
        <w:tc>
          <w:tcPr>
            <w:tcW w:w="833" w:type="pct"/>
            <w:tcBorders>
              <w:tl2br w:val="nil"/>
              <w:tr2bl w:val="nil"/>
            </w:tcBorders>
            <w:vAlign w:val="center"/>
          </w:tcPr>
          <w:p w14:paraId="3BD5AA8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0.0836</w:t>
            </w:r>
          </w:p>
        </w:tc>
        <w:tc>
          <w:tcPr>
            <w:tcW w:w="833" w:type="pct"/>
            <w:tcBorders>
              <w:tl2br w:val="nil"/>
              <w:tr2bl w:val="nil"/>
            </w:tcBorders>
            <w:vAlign w:val="center"/>
          </w:tcPr>
          <w:p w14:paraId="6A48F11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0.0635</w:t>
            </w:r>
          </w:p>
        </w:tc>
        <w:tc>
          <w:tcPr>
            <w:tcW w:w="833" w:type="pct"/>
            <w:tcBorders>
              <w:tl2br w:val="nil"/>
              <w:tr2bl w:val="nil"/>
            </w:tcBorders>
            <w:vAlign w:val="center"/>
          </w:tcPr>
          <w:p w14:paraId="347C058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0.15</w:t>
            </w:r>
          </w:p>
        </w:tc>
      </w:tr>
      <w:tr w14:paraId="44E87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5541A0B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铅</w:t>
            </w:r>
          </w:p>
        </w:tc>
        <w:tc>
          <w:tcPr>
            <w:tcW w:w="665" w:type="pct"/>
            <w:tcBorders>
              <w:tl2br w:val="nil"/>
              <w:tr2bl w:val="nil"/>
            </w:tcBorders>
            <w:vAlign w:val="center"/>
          </w:tcPr>
          <w:p w14:paraId="7933E9C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0.001L</w:t>
            </w:r>
          </w:p>
        </w:tc>
        <w:tc>
          <w:tcPr>
            <w:tcW w:w="833" w:type="pct"/>
            <w:tcBorders>
              <w:tl2br w:val="nil"/>
              <w:tr2bl w:val="nil"/>
            </w:tcBorders>
            <w:vAlign w:val="center"/>
          </w:tcPr>
          <w:p w14:paraId="0ED0D64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0.001L</w:t>
            </w:r>
          </w:p>
        </w:tc>
        <w:tc>
          <w:tcPr>
            <w:tcW w:w="833" w:type="pct"/>
            <w:tcBorders>
              <w:tl2br w:val="nil"/>
              <w:tr2bl w:val="nil"/>
            </w:tcBorders>
            <w:vAlign w:val="center"/>
          </w:tcPr>
          <w:p w14:paraId="0A000EC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0.001L</w:t>
            </w:r>
          </w:p>
        </w:tc>
        <w:tc>
          <w:tcPr>
            <w:tcW w:w="833" w:type="pct"/>
            <w:tcBorders>
              <w:tl2br w:val="nil"/>
              <w:tr2bl w:val="nil"/>
            </w:tcBorders>
            <w:vAlign w:val="center"/>
          </w:tcPr>
          <w:p w14:paraId="7A5BCECC">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0.001L</w:t>
            </w:r>
          </w:p>
        </w:tc>
        <w:tc>
          <w:tcPr>
            <w:tcW w:w="833" w:type="pct"/>
            <w:tcBorders>
              <w:tl2br w:val="nil"/>
              <w:tr2bl w:val="nil"/>
            </w:tcBorders>
            <w:vAlign w:val="center"/>
          </w:tcPr>
          <w:p w14:paraId="1DD6679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0.2</w:t>
            </w:r>
          </w:p>
        </w:tc>
      </w:tr>
      <w:tr w14:paraId="43FFC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295D4A7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铬</w:t>
            </w:r>
          </w:p>
        </w:tc>
        <w:tc>
          <w:tcPr>
            <w:tcW w:w="665" w:type="pct"/>
            <w:tcBorders>
              <w:tl2br w:val="nil"/>
              <w:tr2bl w:val="nil"/>
            </w:tcBorders>
            <w:vAlign w:val="center"/>
          </w:tcPr>
          <w:p w14:paraId="76BE399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10B0118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5C241F2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0D893AE3">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0.004L</w:t>
            </w:r>
          </w:p>
        </w:tc>
        <w:tc>
          <w:tcPr>
            <w:tcW w:w="833" w:type="pct"/>
            <w:tcBorders>
              <w:tl2br w:val="nil"/>
              <w:tr2bl w:val="nil"/>
            </w:tcBorders>
            <w:vAlign w:val="center"/>
          </w:tcPr>
          <w:p w14:paraId="40FFB1EB">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3B247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352DC91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锌</w:t>
            </w:r>
          </w:p>
        </w:tc>
        <w:tc>
          <w:tcPr>
            <w:tcW w:w="665" w:type="pct"/>
            <w:tcBorders>
              <w:tl2br w:val="nil"/>
              <w:tr2bl w:val="nil"/>
            </w:tcBorders>
            <w:vAlign w:val="center"/>
          </w:tcPr>
          <w:p w14:paraId="4A2B7DE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0CD1B76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051C0DB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52298FD6">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48B3ADDB">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1.0</w:t>
            </w:r>
          </w:p>
        </w:tc>
      </w:tr>
      <w:tr w14:paraId="0D9B3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27405C5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铜</w:t>
            </w:r>
          </w:p>
        </w:tc>
        <w:tc>
          <w:tcPr>
            <w:tcW w:w="665" w:type="pct"/>
            <w:tcBorders>
              <w:tl2br w:val="nil"/>
              <w:tr2bl w:val="nil"/>
            </w:tcBorders>
            <w:vAlign w:val="center"/>
          </w:tcPr>
          <w:p w14:paraId="68640ED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41144466">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30D92B93">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2ACA3BD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4E82E05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0.2</w:t>
            </w:r>
          </w:p>
        </w:tc>
      </w:tr>
      <w:tr w14:paraId="1B41E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3F5055C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镉</w:t>
            </w:r>
          </w:p>
        </w:tc>
        <w:tc>
          <w:tcPr>
            <w:tcW w:w="665" w:type="pct"/>
            <w:tcBorders>
              <w:tl2br w:val="nil"/>
              <w:tr2bl w:val="nil"/>
            </w:tcBorders>
            <w:vAlign w:val="center"/>
          </w:tcPr>
          <w:p w14:paraId="6271F2A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0.0001L</w:t>
            </w:r>
          </w:p>
        </w:tc>
        <w:tc>
          <w:tcPr>
            <w:tcW w:w="833" w:type="pct"/>
            <w:tcBorders>
              <w:tl2br w:val="nil"/>
              <w:tr2bl w:val="nil"/>
            </w:tcBorders>
            <w:vAlign w:val="center"/>
          </w:tcPr>
          <w:p w14:paraId="4368F7A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0.0001L</w:t>
            </w:r>
          </w:p>
        </w:tc>
        <w:tc>
          <w:tcPr>
            <w:tcW w:w="833" w:type="pct"/>
            <w:tcBorders>
              <w:tl2br w:val="nil"/>
              <w:tr2bl w:val="nil"/>
            </w:tcBorders>
            <w:vAlign w:val="center"/>
          </w:tcPr>
          <w:p w14:paraId="10376DE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0.0001L</w:t>
            </w:r>
          </w:p>
        </w:tc>
        <w:tc>
          <w:tcPr>
            <w:tcW w:w="833" w:type="pct"/>
            <w:tcBorders>
              <w:tl2br w:val="nil"/>
              <w:tr2bl w:val="nil"/>
            </w:tcBorders>
            <w:vAlign w:val="center"/>
          </w:tcPr>
          <w:p w14:paraId="517CDC2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0.0001L</w:t>
            </w:r>
          </w:p>
        </w:tc>
        <w:tc>
          <w:tcPr>
            <w:tcW w:w="833" w:type="pct"/>
            <w:tcBorders>
              <w:tl2br w:val="nil"/>
              <w:tr2bl w:val="nil"/>
            </w:tcBorders>
            <w:vAlign w:val="center"/>
          </w:tcPr>
          <w:p w14:paraId="39947CF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0.02</w:t>
            </w:r>
          </w:p>
        </w:tc>
      </w:tr>
      <w:tr w14:paraId="63868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62B0821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铁</w:t>
            </w:r>
          </w:p>
        </w:tc>
        <w:tc>
          <w:tcPr>
            <w:tcW w:w="665" w:type="pct"/>
            <w:tcBorders>
              <w:tl2br w:val="nil"/>
              <w:tr2bl w:val="nil"/>
            </w:tcBorders>
            <w:vAlign w:val="center"/>
          </w:tcPr>
          <w:p w14:paraId="7FA5C51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43EC110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3144DB2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22BEDA2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7C02E65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5F0DF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704F32E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铍</w:t>
            </w:r>
          </w:p>
        </w:tc>
        <w:tc>
          <w:tcPr>
            <w:tcW w:w="665" w:type="pct"/>
            <w:tcBorders>
              <w:tl2br w:val="nil"/>
              <w:tr2bl w:val="nil"/>
            </w:tcBorders>
            <w:vAlign w:val="center"/>
          </w:tcPr>
          <w:p w14:paraId="0DC0842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0.0002L</w:t>
            </w:r>
          </w:p>
        </w:tc>
        <w:tc>
          <w:tcPr>
            <w:tcW w:w="833" w:type="pct"/>
            <w:tcBorders>
              <w:tl2br w:val="nil"/>
              <w:tr2bl w:val="nil"/>
            </w:tcBorders>
            <w:vAlign w:val="center"/>
          </w:tcPr>
          <w:p w14:paraId="6C69FEA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0.0002L</w:t>
            </w:r>
          </w:p>
        </w:tc>
        <w:tc>
          <w:tcPr>
            <w:tcW w:w="833" w:type="pct"/>
            <w:tcBorders>
              <w:tl2br w:val="nil"/>
              <w:tr2bl w:val="nil"/>
            </w:tcBorders>
            <w:vAlign w:val="center"/>
          </w:tcPr>
          <w:p w14:paraId="4E75867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0.0002L</w:t>
            </w:r>
          </w:p>
        </w:tc>
        <w:tc>
          <w:tcPr>
            <w:tcW w:w="833" w:type="pct"/>
            <w:tcBorders>
              <w:tl2br w:val="nil"/>
              <w:tr2bl w:val="nil"/>
            </w:tcBorders>
            <w:vAlign w:val="center"/>
          </w:tcPr>
          <w:p w14:paraId="716E72B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0.0002L</w:t>
            </w:r>
          </w:p>
        </w:tc>
        <w:tc>
          <w:tcPr>
            <w:tcW w:w="833" w:type="pct"/>
            <w:tcBorders>
              <w:tl2br w:val="nil"/>
              <w:tr2bl w:val="nil"/>
            </w:tcBorders>
            <w:vAlign w:val="center"/>
          </w:tcPr>
          <w:p w14:paraId="3FDFCDF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22835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33B7F76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镍</w:t>
            </w:r>
          </w:p>
        </w:tc>
        <w:tc>
          <w:tcPr>
            <w:tcW w:w="665" w:type="pct"/>
            <w:tcBorders>
              <w:tl2br w:val="nil"/>
              <w:tr2bl w:val="nil"/>
            </w:tcBorders>
            <w:vAlign w:val="center"/>
          </w:tcPr>
          <w:p w14:paraId="7F1DD30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7194791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50A5071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2206ABF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0.05L</w:t>
            </w:r>
          </w:p>
        </w:tc>
        <w:tc>
          <w:tcPr>
            <w:tcW w:w="833" w:type="pct"/>
            <w:tcBorders>
              <w:tl2br w:val="nil"/>
              <w:tr2bl w:val="nil"/>
            </w:tcBorders>
            <w:vAlign w:val="center"/>
          </w:tcPr>
          <w:p w14:paraId="4C88D335">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03FCB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6BE86276">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银</w:t>
            </w:r>
          </w:p>
        </w:tc>
        <w:tc>
          <w:tcPr>
            <w:tcW w:w="665" w:type="pct"/>
            <w:tcBorders>
              <w:tl2br w:val="nil"/>
              <w:tr2bl w:val="nil"/>
            </w:tcBorders>
            <w:vAlign w:val="center"/>
          </w:tcPr>
          <w:p w14:paraId="254D1A7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573107F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19B0F30A">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2EC997B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0.03L</w:t>
            </w:r>
          </w:p>
        </w:tc>
        <w:tc>
          <w:tcPr>
            <w:tcW w:w="833" w:type="pct"/>
            <w:tcBorders>
              <w:tl2br w:val="nil"/>
              <w:tr2bl w:val="nil"/>
            </w:tcBorders>
            <w:vAlign w:val="center"/>
          </w:tcPr>
          <w:p w14:paraId="2591BBE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6C4F9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7CC4CF8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铊</w:t>
            </w:r>
          </w:p>
        </w:tc>
        <w:tc>
          <w:tcPr>
            <w:tcW w:w="665" w:type="pct"/>
            <w:tcBorders>
              <w:tl2br w:val="nil"/>
              <w:tr2bl w:val="nil"/>
            </w:tcBorders>
            <w:vAlign w:val="center"/>
          </w:tcPr>
          <w:p w14:paraId="499CDF5F">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w:t>
            </w:r>
            <w:r>
              <w:rPr>
                <w:rFonts w:hint="eastAsia"/>
                <w:color w:val="auto"/>
                <w:highlight w:val="none"/>
                <w:lang w:val="en-US" w:eastAsia="zh-CN"/>
              </w:rPr>
              <w:t>0</w:t>
            </w:r>
            <w:r>
              <w:rPr>
                <w:rFonts w:hint="default"/>
                <w:color w:val="auto"/>
                <w:highlight w:val="none"/>
                <w:lang w:val="en-US" w:eastAsia="zh-CN"/>
              </w:rPr>
              <w:t>2L</w:t>
            </w:r>
          </w:p>
        </w:tc>
        <w:tc>
          <w:tcPr>
            <w:tcW w:w="833" w:type="pct"/>
            <w:tcBorders>
              <w:tl2br w:val="nil"/>
              <w:tr2bl w:val="nil"/>
            </w:tcBorders>
            <w:vAlign w:val="center"/>
          </w:tcPr>
          <w:p w14:paraId="47755B7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w:t>
            </w:r>
            <w:r>
              <w:rPr>
                <w:rFonts w:hint="eastAsia"/>
                <w:color w:val="auto"/>
                <w:highlight w:val="none"/>
                <w:lang w:val="en-US" w:eastAsia="zh-CN"/>
              </w:rPr>
              <w:t>0</w:t>
            </w:r>
            <w:r>
              <w:rPr>
                <w:rFonts w:hint="default"/>
                <w:color w:val="auto"/>
                <w:highlight w:val="none"/>
                <w:lang w:val="en-US" w:eastAsia="zh-CN"/>
              </w:rPr>
              <w:t>2L</w:t>
            </w:r>
          </w:p>
        </w:tc>
        <w:tc>
          <w:tcPr>
            <w:tcW w:w="833" w:type="pct"/>
            <w:tcBorders>
              <w:tl2br w:val="nil"/>
              <w:tr2bl w:val="nil"/>
            </w:tcBorders>
            <w:vAlign w:val="center"/>
          </w:tcPr>
          <w:p w14:paraId="7FC9501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w:t>
            </w:r>
            <w:r>
              <w:rPr>
                <w:rFonts w:hint="eastAsia"/>
                <w:color w:val="auto"/>
                <w:highlight w:val="none"/>
                <w:lang w:val="en-US" w:eastAsia="zh-CN"/>
              </w:rPr>
              <w:t>0</w:t>
            </w:r>
            <w:r>
              <w:rPr>
                <w:rFonts w:hint="default"/>
                <w:color w:val="auto"/>
                <w:highlight w:val="none"/>
                <w:lang w:val="en-US" w:eastAsia="zh-CN"/>
              </w:rPr>
              <w:t>2L</w:t>
            </w:r>
          </w:p>
        </w:tc>
        <w:tc>
          <w:tcPr>
            <w:tcW w:w="833" w:type="pct"/>
            <w:tcBorders>
              <w:tl2br w:val="nil"/>
              <w:tr2bl w:val="nil"/>
            </w:tcBorders>
            <w:vAlign w:val="center"/>
          </w:tcPr>
          <w:p w14:paraId="6C524D8D">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lang w:val="en-US" w:eastAsia="zh-CN"/>
              </w:rPr>
              <w:t>0.000</w:t>
            </w:r>
            <w:r>
              <w:rPr>
                <w:rFonts w:hint="eastAsia"/>
                <w:color w:val="auto"/>
                <w:highlight w:val="none"/>
                <w:lang w:val="en-US" w:eastAsia="zh-CN"/>
              </w:rPr>
              <w:t>0</w:t>
            </w:r>
            <w:r>
              <w:rPr>
                <w:rFonts w:hint="default"/>
                <w:color w:val="auto"/>
                <w:highlight w:val="none"/>
                <w:lang w:val="en-US" w:eastAsia="zh-CN"/>
              </w:rPr>
              <w:t>2L</w:t>
            </w:r>
          </w:p>
        </w:tc>
        <w:tc>
          <w:tcPr>
            <w:tcW w:w="833" w:type="pct"/>
            <w:tcBorders>
              <w:tl2br w:val="nil"/>
              <w:tr2bl w:val="nil"/>
            </w:tcBorders>
            <w:vAlign w:val="center"/>
          </w:tcPr>
          <w:p w14:paraId="59180DF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0.005</w:t>
            </w:r>
          </w:p>
        </w:tc>
      </w:tr>
    </w:tbl>
    <w:p w14:paraId="45B7C4A9">
      <w:pPr>
        <w:pStyle w:val="26"/>
        <w:bidi w:val="0"/>
        <w:ind w:firstLine="0" w:firstLineChars="0"/>
        <w:jc w:val="left"/>
        <w:rPr>
          <w:rFonts w:hint="default"/>
          <w:color w:val="auto"/>
          <w:highlight w:val="none"/>
          <w:lang w:val="en-US" w:eastAsia="zh-CN"/>
        </w:rPr>
      </w:pPr>
      <w:r>
        <w:rPr>
          <w:rFonts w:hint="eastAsia"/>
          <w:color w:val="auto"/>
          <w:highlight w:val="none"/>
          <w:lang w:val="en-US" w:eastAsia="zh-CN"/>
        </w:rPr>
        <w:t>注：</w:t>
      </w:r>
      <w:r>
        <w:rPr>
          <w:rFonts w:hint="eastAsia" w:ascii="宋体" w:hAnsi="宋体" w:eastAsia="宋体" w:cs="宋体"/>
          <w:color w:val="auto"/>
          <w:highlight w:val="none"/>
          <w:lang w:val="en-US" w:eastAsia="zh-CN"/>
        </w:rPr>
        <w:t>①</w:t>
      </w:r>
      <w:r>
        <w:rPr>
          <w:rFonts w:hint="default" w:ascii="Times New Roman" w:hAnsi="Times New Roman" w:eastAsia="宋体" w:cs="Times New Roman"/>
          <w:color w:val="auto"/>
          <w:highlight w:val="none"/>
          <w:lang w:val="en-US" w:eastAsia="zh-CN"/>
        </w:rPr>
        <w:t>执行《锡、锑、汞工业污染物排放标准》表</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水污染物排放限值</w:t>
      </w:r>
      <w:r>
        <w:rPr>
          <w:rFonts w:hint="eastAsia" w:ascii="Times New Roman" w:hAnsi="Times New Roman" w:eastAsia="宋体" w:cs="Times New Roman"/>
          <w:color w:val="auto"/>
          <w:highlight w:val="none"/>
          <w:lang w:val="en-US" w:eastAsia="zh-CN"/>
        </w:rPr>
        <w:t>，锑再严格50%执行</w:t>
      </w:r>
      <w:r>
        <w:rPr>
          <w:rFonts w:hint="default"/>
          <w:color w:val="auto"/>
          <w:highlight w:val="none"/>
          <w:lang w:val="en-US" w:eastAsia="zh-CN"/>
        </w:rPr>
        <w:t>；</w:t>
      </w:r>
    </w:p>
    <w:p w14:paraId="7757F58B">
      <w:pPr>
        <w:pStyle w:val="26"/>
        <w:bidi w:val="0"/>
        <w:ind w:firstLine="418" w:firstLineChars="190"/>
        <w:jc w:val="left"/>
        <w:rPr>
          <w:rFonts w:hint="default"/>
          <w:color w:val="auto"/>
          <w:highlight w:val="none"/>
          <w:lang w:val="en-US" w:eastAsia="zh-CN"/>
        </w:rPr>
      </w:pPr>
      <w:r>
        <w:rPr>
          <w:rFonts w:hint="default" w:ascii="Times New Roman" w:hAnsi="Times New Roman" w:eastAsia="宋体" w:cs="Times New Roman"/>
          <w:color w:val="auto"/>
          <w:highlight w:val="none"/>
          <w:lang w:val="en-US" w:eastAsia="zh-CN"/>
        </w:rPr>
        <w:t>②</w:t>
      </w:r>
      <w:r>
        <w:rPr>
          <w:rFonts w:hint="default"/>
          <w:color w:val="auto"/>
          <w:highlight w:val="none"/>
          <w:lang w:val="en-US" w:eastAsia="zh-CN"/>
        </w:rPr>
        <w:t>铊</w:t>
      </w:r>
      <w:r>
        <w:rPr>
          <w:rFonts w:hint="default" w:ascii="Times New Roman" w:hAnsi="Times New Roman" w:eastAsia="宋体" w:cs="Times New Roman"/>
          <w:color w:val="auto"/>
          <w:highlight w:val="none"/>
          <w:lang w:val="en-US" w:eastAsia="zh-CN"/>
        </w:rPr>
        <w:t>执行《工业废水铊污染物排放标准》（DB43/968-2021）标准。</w:t>
      </w:r>
    </w:p>
    <w:p w14:paraId="41DF1CB6">
      <w:pPr>
        <w:pStyle w:val="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通过上表可知，废水处理站出水水质可满足本项目排放标准。</w:t>
      </w:r>
    </w:p>
    <w:p w14:paraId="7379C4CA">
      <w:pPr>
        <w:pStyle w:val="37"/>
        <w:tabs>
          <w:tab w:val="clear" w:pos="0"/>
          <w:tab w:val="clear" w:pos="862"/>
        </w:tabs>
        <w:rPr>
          <w:rFonts w:hint="default"/>
          <w:color w:val="auto"/>
          <w:highlight w:val="none"/>
          <w:lang w:val="en-US" w:eastAsia="zh-CN"/>
        </w:rPr>
      </w:pPr>
      <w:r>
        <w:rPr>
          <w:rFonts w:hint="eastAsia"/>
          <w:color w:val="auto"/>
          <w:highlight w:val="none"/>
          <w:lang w:val="en-US" w:eastAsia="zh-CN"/>
        </w:rPr>
        <w:t>企业自行监测</w:t>
      </w:r>
    </w:p>
    <w:p w14:paraId="2587B6AC">
      <w:pPr>
        <w:pStyle w:val="2"/>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本次论证，</w:t>
      </w:r>
      <w:r>
        <w:rPr>
          <w:rFonts w:hint="eastAsia" w:cs="Times New Roman"/>
          <w:color w:val="auto"/>
          <w:highlight w:val="none"/>
          <w:lang w:val="en-US" w:eastAsia="zh-CN"/>
        </w:rPr>
        <w:t>还收集了渣滓溪锑矿2023年全年月度监测报告，废水处理站出水水质见下表。该废水处理站出口为全厂排放口。</w:t>
      </w:r>
    </w:p>
    <w:p w14:paraId="333581EB">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表</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STYLEREF guo-二级标题 \n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6.2</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SEQ 表 \* ARABIC \s 2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fldChar w:fldCharType="end"/>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202</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年</w:t>
      </w:r>
      <w:r>
        <w:rPr>
          <w:rFonts w:hint="eastAsia" w:cs="Times New Roman"/>
          <w:color w:val="auto"/>
          <w:highlight w:val="none"/>
          <w:lang w:val="en-US" w:eastAsia="zh-CN"/>
        </w:rPr>
        <w:t>渣滓溪锑矿</w:t>
      </w:r>
      <w:r>
        <w:rPr>
          <w:rFonts w:hint="default" w:ascii="Times New Roman" w:hAnsi="Times New Roman" w:cs="Times New Roman"/>
          <w:color w:val="auto"/>
          <w:highlight w:val="none"/>
          <w:lang w:val="en-US" w:eastAsia="zh-CN"/>
        </w:rPr>
        <w:t>废水处理站出水</w:t>
      </w:r>
      <w:r>
        <w:rPr>
          <w:rFonts w:hint="eastAsia" w:cs="Times New Roman"/>
          <w:color w:val="auto"/>
          <w:highlight w:val="none"/>
          <w:lang w:val="en-US" w:eastAsia="zh-CN"/>
        </w:rPr>
        <w:t>口</w:t>
      </w:r>
      <w:r>
        <w:rPr>
          <w:rFonts w:hint="default" w:ascii="Times New Roman" w:hAnsi="Times New Roman" w:cs="Times New Roman"/>
          <w:color w:val="auto"/>
          <w:highlight w:val="none"/>
          <w:lang w:val="en-US" w:eastAsia="zh-CN"/>
        </w:rPr>
        <w:t>浓度（单位：mg/L,pH无量纲）</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551"/>
        <w:gridCol w:w="726"/>
        <w:gridCol w:w="409"/>
        <w:gridCol w:w="364"/>
        <w:gridCol w:w="364"/>
        <w:gridCol w:w="541"/>
        <w:gridCol w:w="385"/>
        <w:gridCol w:w="207"/>
        <w:gridCol w:w="266"/>
        <w:gridCol w:w="498"/>
        <w:gridCol w:w="266"/>
        <w:gridCol w:w="266"/>
        <w:gridCol w:w="541"/>
        <w:gridCol w:w="498"/>
        <w:gridCol w:w="498"/>
        <w:gridCol w:w="498"/>
        <w:gridCol w:w="586"/>
        <w:gridCol w:w="498"/>
        <w:gridCol w:w="542"/>
        <w:gridCol w:w="552"/>
      </w:tblGrid>
      <w:tr w14:paraId="51850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4CD6125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月份</w:t>
            </w:r>
          </w:p>
        </w:tc>
        <w:tc>
          <w:tcPr>
            <w:tcW w:w="0" w:type="auto"/>
            <w:tcBorders>
              <w:tl2br w:val="nil"/>
              <w:tr2bl w:val="nil"/>
            </w:tcBorders>
            <w:shd w:val="clear" w:color="auto" w:fill="auto"/>
            <w:noWrap/>
            <w:vAlign w:val="center"/>
          </w:tcPr>
          <w:p w14:paraId="7C1BFD3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pH</w:t>
            </w:r>
          </w:p>
        </w:tc>
        <w:tc>
          <w:tcPr>
            <w:tcW w:w="0" w:type="auto"/>
            <w:tcBorders>
              <w:tl2br w:val="nil"/>
              <w:tr2bl w:val="nil"/>
            </w:tcBorders>
            <w:shd w:val="clear" w:color="auto" w:fill="auto"/>
            <w:noWrap/>
            <w:vAlign w:val="center"/>
          </w:tcPr>
          <w:p w14:paraId="2826828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氨氮</w:t>
            </w:r>
          </w:p>
        </w:tc>
        <w:tc>
          <w:tcPr>
            <w:tcW w:w="0" w:type="auto"/>
            <w:tcBorders>
              <w:tl2br w:val="nil"/>
              <w:tr2bl w:val="nil"/>
            </w:tcBorders>
            <w:shd w:val="clear" w:color="auto" w:fill="auto"/>
            <w:noWrap/>
            <w:vAlign w:val="center"/>
          </w:tcPr>
          <w:p w14:paraId="0990EA1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总磷</w:t>
            </w:r>
          </w:p>
        </w:tc>
        <w:tc>
          <w:tcPr>
            <w:tcW w:w="0" w:type="auto"/>
            <w:tcBorders>
              <w:tl2br w:val="nil"/>
              <w:tr2bl w:val="nil"/>
            </w:tcBorders>
            <w:shd w:val="clear" w:color="auto" w:fill="auto"/>
            <w:noWrap/>
            <w:vAlign w:val="center"/>
          </w:tcPr>
          <w:p w14:paraId="772B67A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总氮</w:t>
            </w:r>
          </w:p>
        </w:tc>
        <w:tc>
          <w:tcPr>
            <w:tcW w:w="0" w:type="auto"/>
            <w:tcBorders>
              <w:tl2br w:val="nil"/>
              <w:tr2bl w:val="nil"/>
            </w:tcBorders>
            <w:shd w:val="clear" w:color="auto" w:fill="auto"/>
            <w:noWrap/>
            <w:vAlign w:val="center"/>
          </w:tcPr>
          <w:p w14:paraId="1D89FE4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石油类</w:t>
            </w:r>
          </w:p>
        </w:tc>
        <w:tc>
          <w:tcPr>
            <w:tcW w:w="0" w:type="auto"/>
            <w:tcBorders>
              <w:tl2br w:val="nil"/>
              <w:tr2bl w:val="nil"/>
            </w:tcBorders>
            <w:shd w:val="clear" w:color="auto" w:fill="auto"/>
            <w:noWrap/>
            <w:vAlign w:val="center"/>
          </w:tcPr>
          <w:p w14:paraId="749D7BE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COD</w:t>
            </w:r>
          </w:p>
        </w:tc>
        <w:tc>
          <w:tcPr>
            <w:tcW w:w="0" w:type="auto"/>
            <w:tcBorders>
              <w:tl2br w:val="nil"/>
              <w:tr2bl w:val="nil"/>
            </w:tcBorders>
            <w:shd w:val="clear" w:color="auto" w:fill="auto"/>
            <w:noWrap/>
            <w:vAlign w:val="center"/>
          </w:tcPr>
          <w:p w14:paraId="725C6CE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SS</w:t>
            </w:r>
          </w:p>
        </w:tc>
        <w:tc>
          <w:tcPr>
            <w:tcW w:w="0" w:type="auto"/>
            <w:tcBorders>
              <w:tl2br w:val="nil"/>
              <w:tr2bl w:val="nil"/>
            </w:tcBorders>
            <w:shd w:val="clear" w:color="auto" w:fill="auto"/>
            <w:noWrap/>
            <w:vAlign w:val="center"/>
          </w:tcPr>
          <w:p w14:paraId="6F2BDB6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铜</w:t>
            </w:r>
          </w:p>
        </w:tc>
        <w:tc>
          <w:tcPr>
            <w:tcW w:w="0" w:type="auto"/>
            <w:tcBorders>
              <w:tl2br w:val="nil"/>
              <w:tr2bl w:val="nil"/>
            </w:tcBorders>
            <w:shd w:val="clear" w:color="auto" w:fill="auto"/>
            <w:noWrap/>
            <w:vAlign w:val="center"/>
          </w:tcPr>
          <w:p w14:paraId="4A39A9E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锑</w:t>
            </w:r>
          </w:p>
        </w:tc>
        <w:tc>
          <w:tcPr>
            <w:tcW w:w="0" w:type="auto"/>
            <w:tcBorders>
              <w:tl2br w:val="nil"/>
              <w:tr2bl w:val="nil"/>
            </w:tcBorders>
            <w:shd w:val="clear" w:color="auto" w:fill="auto"/>
            <w:noWrap/>
            <w:vAlign w:val="center"/>
          </w:tcPr>
          <w:p w14:paraId="0E973C3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锡</w:t>
            </w:r>
          </w:p>
        </w:tc>
        <w:tc>
          <w:tcPr>
            <w:tcW w:w="0" w:type="auto"/>
            <w:tcBorders>
              <w:tl2br w:val="nil"/>
              <w:tr2bl w:val="nil"/>
            </w:tcBorders>
            <w:shd w:val="clear" w:color="auto" w:fill="auto"/>
            <w:noWrap/>
            <w:vAlign w:val="center"/>
          </w:tcPr>
          <w:p w14:paraId="53E3EF9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锌</w:t>
            </w:r>
          </w:p>
        </w:tc>
        <w:tc>
          <w:tcPr>
            <w:tcW w:w="0" w:type="auto"/>
            <w:tcBorders>
              <w:tl2br w:val="nil"/>
              <w:tr2bl w:val="nil"/>
            </w:tcBorders>
            <w:shd w:val="clear" w:color="auto" w:fill="auto"/>
            <w:noWrap/>
            <w:vAlign w:val="center"/>
          </w:tcPr>
          <w:p w14:paraId="4F90809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六价铬</w:t>
            </w:r>
          </w:p>
        </w:tc>
        <w:tc>
          <w:tcPr>
            <w:tcW w:w="0" w:type="auto"/>
            <w:tcBorders>
              <w:tl2br w:val="nil"/>
              <w:tr2bl w:val="nil"/>
            </w:tcBorders>
            <w:shd w:val="clear" w:color="auto" w:fill="auto"/>
            <w:noWrap/>
            <w:vAlign w:val="center"/>
          </w:tcPr>
          <w:p w14:paraId="45C539A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铊</w:t>
            </w:r>
          </w:p>
        </w:tc>
        <w:tc>
          <w:tcPr>
            <w:tcW w:w="0" w:type="auto"/>
            <w:tcBorders>
              <w:tl2br w:val="nil"/>
              <w:tr2bl w:val="nil"/>
            </w:tcBorders>
            <w:shd w:val="clear" w:color="auto" w:fill="auto"/>
            <w:noWrap/>
            <w:vAlign w:val="center"/>
          </w:tcPr>
          <w:p w14:paraId="7EFBCE6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镉</w:t>
            </w:r>
          </w:p>
        </w:tc>
        <w:tc>
          <w:tcPr>
            <w:tcW w:w="0" w:type="auto"/>
            <w:tcBorders>
              <w:tl2br w:val="nil"/>
              <w:tr2bl w:val="nil"/>
            </w:tcBorders>
            <w:shd w:val="clear" w:color="auto" w:fill="auto"/>
            <w:noWrap/>
            <w:vAlign w:val="center"/>
          </w:tcPr>
          <w:p w14:paraId="0EE72A3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铅</w:t>
            </w:r>
          </w:p>
        </w:tc>
        <w:tc>
          <w:tcPr>
            <w:tcW w:w="0" w:type="auto"/>
            <w:tcBorders>
              <w:tl2br w:val="nil"/>
              <w:tr2bl w:val="nil"/>
            </w:tcBorders>
            <w:shd w:val="clear" w:color="auto" w:fill="auto"/>
            <w:noWrap/>
            <w:vAlign w:val="center"/>
          </w:tcPr>
          <w:p w14:paraId="0309226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汞</w:t>
            </w:r>
          </w:p>
        </w:tc>
        <w:tc>
          <w:tcPr>
            <w:tcW w:w="0" w:type="auto"/>
            <w:tcBorders>
              <w:tl2br w:val="nil"/>
              <w:tr2bl w:val="nil"/>
            </w:tcBorders>
            <w:shd w:val="clear" w:color="auto" w:fill="auto"/>
            <w:noWrap/>
            <w:vAlign w:val="center"/>
          </w:tcPr>
          <w:p w14:paraId="474E7B7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砷</w:t>
            </w:r>
          </w:p>
        </w:tc>
        <w:tc>
          <w:tcPr>
            <w:tcW w:w="0" w:type="auto"/>
            <w:tcBorders>
              <w:tl2br w:val="nil"/>
              <w:tr2bl w:val="nil"/>
            </w:tcBorders>
            <w:shd w:val="clear" w:color="auto" w:fill="auto"/>
            <w:noWrap/>
            <w:vAlign w:val="center"/>
          </w:tcPr>
          <w:p w14:paraId="4268714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氟化物</w:t>
            </w:r>
          </w:p>
        </w:tc>
        <w:tc>
          <w:tcPr>
            <w:tcW w:w="0" w:type="auto"/>
            <w:tcBorders>
              <w:tl2br w:val="nil"/>
              <w:tr2bl w:val="nil"/>
            </w:tcBorders>
            <w:shd w:val="clear" w:color="auto" w:fill="auto"/>
            <w:noWrap/>
            <w:vAlign w:val="center"/>
          </w:tcPr>
          <w:p w14:paraId="4F160C8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硫化物</w:t>
            </w:r>
          </w:p>
        </w:tc>
      </w:tr>
      <w:tr w14:paraId="74E05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78F09BC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1</w:t>
            </w:r>
          </w:p>
        </w:tc>
        <w:tc>
          <w:tcPr>
            <w:tcW w:w="0" w:type="auto"/>
            <w:tcBorders>
              <w:tl2br w:val="nil"/>
              <w:tr2bl w:val="nil"/>
            </w:tcBorders>
            <w:shd w:val="clear" w:color="auto" w:fill="auto"/>
            <w:noWrap/>
            <w:vAlign w:val="center"/>
          </w:tcPr>
          <w:p w14:paraId="0BA8C95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6.88~6.92</w:t>
            </w:r>
          </w:p>
        </w:tc>
        <w:tc>
          <w:tcPr>
            <w:tcW w:w="0" w:type="auto"/>
            <w:tcBorders>
              <w:tl2br w:val="nil"/>
              <w:tr2bl w:val="nil"/>
            </w:tcBorders>
            <w:shd w:val="clear" w:color="auto" w:fill="auto"/>
            <w:noWrap/>
            <w:vAlign w:val="center"/>
          </w:tcPr>
          <w:p w14:paraId="735E554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2.40</w:t>
            </w:r>
          </w:p>
        </w:tc>
        <w:tc>
          <w:tcPr>
            <w:tcW w:w="0" w:type="auto"/>
            <w:tcBorders>
              <w:tl2br w:val="nil"/>
              <w:tr2bl w:val="nil"/>
            </w:tcBorders>
            <w:shd w:val="clear" w:color="auto" w:fill="auto"/>
            <w:noWrap/>
            <w:vAlign w:val="center"/>
          </w:tcPr>
          <w:p w14:paraId="78F9176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5</w:t>
            </w:r>
          </w:p>
        </w:tc>
        <w:tc>
          <w:tcPr>
            <w:tcW w:w="0" w:type="auto"/>
            <w:tcBorders>
              <w:tl2br w:val="nil"/>
              <w:tr2bl w:val="nil"/>
            </w:tcBorders>
            <w:shd w:val="clear" w:color="auto" w:fill="auto"/>
            <w:noWrap/>
            <w:vAlign w:val="center"/>
          </w:tcPr>
          <w:p w14:paraId="6E23AA6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7.59</w:t>
            </w:r>
          </w:p>
        </w:tc>
        <w:tc>
          <w:tcPr>
            <w:tcW w:w="0" w:type="auto"/>
            <w:tcBorders>
              <w:tl2br w:val="nil"/>
              <w:tr2bl w:val="nil"/>
            </w:tcBorders>
            <w:shd w:val="clear" w:color="auto" w:fill="auto"/>
            <w:noWrap/>
            <w:vAlign w:val="center"/>
          </w:tcPr>
          <w:p w14:paraId="0CD1521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15</w:t>
            </w:r>
          </w:p>
        </w:tc>
        <w:tc>
          <w:tcPr>
            <w:tcW w:w="0" w:type="auto"/>
            <w:tcBorders>
              <w:tl2br w:val="nil"/>
              <w:tr2bl w:val="nil"/>
            </w:tcBorders>
            <w:shd w:val="clear" w:color="auto" w:fill="auto"/>
            <w:noWrap/>
            <w:vAlign w:val="center"/>
          </w:tcPr>
          <w:p w14:paraId="42DC81A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2</w:t>
            </w:r>
            <w:r>
              <w:rPr>
                <w:rFonts w:hint="eastAsia" w:ascii="Times New Roman" w:hAnsi="Times New Roman" w:eastAsia="宋体" w:cs="Times New Roman"/>
                <w:color w:val="auto"/>
                <w:kern w:val="2"/>
                <w:sz w:val="21"/>
                <w:szCs w:val="21"/>
                <w:highlight w:val="none"/>
                <w:u w:val="none"/>
                <w:lang w:val="en-US" w:eastAsia="zh-CN" w:bidi="ar-SA"/>
              </w:rPr>
              <w:t>4</w:t>
            </w:r>
          </w:p>
        </w:tc>
        <w:tc>
          <w:tcPr>
            <w:tcW w:w="0" w:type="auto"/>
            <w:tcBorders>
              <w:tl2br w:val="nil"/>
              <w:tr2bl w:val="nil"/>
            </w:tcBorders>
            <w:shd w:val="clear" w:color="auto" w:fill="auto"/>
            <w:noWrap/>
            <w:vAlign w:val="center"/>
          </w:tcPr>
          <w:p w14:paraId="44FDA59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6</w:t>
            </w:r>
          </w:p>
        </w:tc>
        <w:tc>
          <w:tcPr>
            <w:tcW w:w="0" w:type="auto"/>
            <w:tcBorders>
              <w:tl2br w:val="nil"/>
              <w:tr2bl w:val="nil"/>
            </w:tcBorders>
            <w:shd w:val="clear" w:color="auto" w:fill="auto"/>
            <w:noWrap/>
            <w:vAlign w:val="center"/>
          </w:tcPr>
          <w:p w14:paraId="08A8B1E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5C2A8E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0.00</w:t>
            </w:r>
            <w:r>
              <w:rPr>
                <w:rFonts w:hint="eastAsia" w:ascii="Times New Roman" w:hAnsi="Times New Roman" w:eastAsia="宋体" w:cs="Times New Roman"/>
                <w:color w:val="auto"/>
                <w:kern w:val="2"/>
                <w:sz w:val="21"/>
                <w:szCs w:val="21"/>
                <w:highlight w:val="none"/>
                <w:u w:val="none"/>
                <w:lang w:val="en-US" w:eastAsia="zh-CN" w:bidi="ar-SA"/>
              </w:rPr>
              <w:t>28</w:t>
            </w:r>
          </w:p>
        </w:tc>
        <w:tc>
          <w:tcPr>
            <w:tcW w:w="0" w:type="auto"/>
            <w:tcBorders>
              <w:tl2br w:val="nil"/>
              <w:tr2bl w:val="nil"/>
            </w:tcBorders>
            <w:shd w:val="clear" w:color="auto" w:fill="auto"/>
            <w:noWrap/>
            <w:vAlign w:val="center"/>
          </w:tcPr>
          <w:p w14:paraId="511F6E1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5B0F82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C5625A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3411D06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A5A215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025</w:t>
            </w:r>
          </w:p>
        </w:tc>
        <w:tc>
          <w:tcPr>
            <w:tcW w:w="0" w:type="auto"/>
            <w:tcBorders>
              <w:tl2br w:val="nil"/>
              <w:tr2bl w:val="nil"/>
            </w:tcBorders>
            <w:shd w:val="clear" w:color="auto" w:fill="auto"/>
            <w:noWrap/>
            <w:vAlign w:val="center"/>
          </w:tcPr>
          <w:p w14:paraId="48D4327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0.0053</w:t>
            </w:r>
          </w:p>
        </w:tc>
        <w:tc>
          <w:tcPr>
            <w:tcW w:w="0" w:type="auto"/>
            <w:tcBorders>
              <w:tl2br w:val="nil"/>
              <w:tr2bl w:val="nil"/>
            </w:tcBorders>
            <w:shd w:val="clear" w:color="auto" w:fill="auto"/>
            <w:noWrap/>
            <w:vAlign w:val="center"/>
          </w:tcPr>
          <w:p w14:paraId="19DA80E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3FCB892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0.0002</w:t>
            </w:r>
          </w:p>
        </w:tc>
        <w:tc>
          <w:tcPr>
            <w:tcW w:w="0" w:type="auto"/>
            <w:tcBorders>
              <w:tl2br w:val="nil"/>
              <w:tr2bl w:val="nil"/>
            </w:tcBorders>
            <w:shd w:val="clear" w:color="auto" w:fill="auto"/>
            <w:noWrap/>
            <w:vAlign w:val="center"/>
          </w:tcPr>
          <w:p w14:paraId="78EECD1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c>
          <w:tcPr>
            <w:tcW w:w="0" w:type="auto"/>
            <w:tcBorders>
              <w:tl2br w:val="nil"/>
              <w:tr2bl w:val="nil"/>
            </w:tcBorders>
            <w:shd w:val="clear" w:color="auto" w:fill="auto"/>
            <w:noWrap/>
            <w:vAlign w:val="center"/>
          </w:tcPr>
          <w:p w14:paraId="6DFE8B8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r>
      <w:tr w14:paraId="5215E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3D4931E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454086A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6.72~6.85</w:t>
            </w:r>
          </w:p>
        </w:tc>
        <w:tc>
          <w:tcPr>
            <w:tcW w:w="0" w:type="auto"/>
            <w:tcBorders>
              <w:tl2br w:val="nil"/>
              <w:tr2bl w:val="nil"/>
            </w:tcBorders>
            <w:shd w:val="clear" w:color="auto" w:fill="auto"/>
            <w:noWrap/>
            <w:vAlign w:val="center"/>
          </w:tcPr>
          <w:p w14:paraId="05C4E23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2.45</w:t>
            </w:r>
          </w:p>
        </w:tc>
        <w:tc>
          <w:tcPr>
            <w:tcW w:w="0" w:type="auto"/>
            <w:tcBorders>
              <w:tl2br w:val="nil"/>
              <w:tr2bl w:val="nil"/>
            </w:tcBorders>
            <w:shd w:val="clear" w:color="auto" w:fill="auto"/>
            <w:noWrap/>
            <w:vAlign w:val="center"/>
          </w:tcPr>
          <w:p w14:paraId="2E9812B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6</w:t>
            </w:r>
          </w:p>
        </w:tc>
        <w:tc>
          <w:tcPr>
            <w:tcW w:w="0" w:type="auto"/>
            <w:tcBorders>
              <w:tl2br w:val="nil"/>
              <w:tr2bl w:val="nil"/>
            </w:tcBorders>
            <w:shd w:val="clear" w:color="auto" w:fill="auto"/>
            <w:noWrap/>
            <w:vAlign w:val="center"/>
          </w:tcPr>
          <w:p w14:paraId="177FDB2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7.88</w:t>
            </w:r>
          </w:p>
        </w:tc>
        <w:tc>
          <w:tcPr>
            <w:tcW w:w="0" w:type="auto"/>
            <w:tcBorders>
              <w:tl2br w:val="nil"/>
              <w:tr2bl w:val="nil"/>
            </w:tcBorders>
            <w:shd w:val="clear" w:color="auto" w:fill="auto"/>
            <w:noWrap/>
            <w:vAlign w:val="center"/>
          </w:tcPr>
          <w:p w14:paraId="4C539AB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14</w:t>
            </w:r>
          </w:p>
        </w:tc>
        <w:tc>
          <w:tcPr>
            <w:tcW w:w="0" w:type="auto"/>
            <w:tcBorders>
              <w:tl2br w:val="nil"/>
              <w:tr2bl w:val="nil"/>
            </w:tcBorders>
            <w:shd w:val="clear" w:color="auto" w:fill="auto"/>
            <w:noWrap/>
            <w:vAlign w:val="center"/>
          </w:tcPr>
          <w:p w14:paraId="3EF283C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2</w:t>
            </w:r>
            <w:r>
              <w:rPr>
                <w:rFonts w:hint="eastAsia" w:ascii="Times New Roman" w:hAnsi="Times New Roman" w:eastAsia="宋体" w:cs="Times New Roman"/>
                <w:color w:val="auto"/>
                <w:kern w:val="2"/>
                <w:sz w:val="21"/>
                <w:szCs w:val="21"/>
                <w:highlight w:val="none"/>
                <w:u w:val="none"/>
                <w:lang w:val="en-US" w:eastAsia="zh-CN" w:bidi="ar-SA"/>
              </w:rPr>
              <w:t>8</w:t>
            </w:r>
          </w:p>
        </w:tc>
        <w:tc>
          <w:tcPr>
            <w:tcW w:w="0" w:type="auto"/>
            <w:tcBorders>
              <w:tl2br w:val="nil"/>
              <w:tr2bl w:val="nil"/>
            </w:tcBorders>
            <w:shd w:val="clear" w:color="auto" w:fill="auto"/>
            <w:noWrap/>
            <w:vAlign w:val="center"/>
          </w:tcPr>
          <w:p w14:paraId="74EA33E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7</w:t>
            </w:r>
          </w:p>
        </w:tc>
        <w:tc>
          <w:tcPr>
            <w:tcW w:w="0" w:type="auto"/>
            <w:tcBorders>
              <w:tl2br w:val="nil"/>
              <w:tr2bl w:val="nil"/>
            </w:tcBorders>
            <w:shd w:val="clear" w:color="auto" w:fill="auto"/>
            <w:noWrap/>
            <w:vAlign w:val="center"/>
          </w:tcPr>
          <w:p w14:paraId="1E91E4F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5106BF5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0.00</w:t>
            </w:r>
            <w:r>
              <w:rPr>
                <w:rFonts w:hint="eastAsia" w:ascii="Times New Roman" w:hAnsi="Times New Roman" w:eastAsia="宋体" w:cs="Times New Roman"/>
                <w:color w:val="auto"/>
                <w:kern w:val="2"/>
                <w:sz w:val="21"/>
                <w:szCs w:val="21"/>
                <w:highlight w:val="none"/>
                <w:u w:val="none"/>
                <w:lang w:val="en-US" w:eastAsia="zh-CN" w:bidi="ar-SA"/>
              </w:rPr>
              <w:t>37</w:t>
            </w:r>
          </w:p>
        </w:tc>
        <w:tc>
          <w:tcPr>
            <w:tcW w:w="0" w:type="auto"/>
            <w:tcBorders>
              <w:tl2br w:val="nil"/>
              <w:tr2bl w:val="nil"/>
            </w:tcBorders>
            <w:shd w:val="clear" w:color="auto" w:fill="auto"/>
            <w:noWrap/>
            <w:vAlign w:val="center"/>
          </w:tcPr>
          <w:p w14:paraId="66888F3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0.3</w:t>
            </w:r>
          </w:p>
        </w:tc>
        <w:tc>
          <w:tcPr>
            <w:tcW w:w="0" w:type="auto"/>
            <w:tcBorders>
              <w:tl2br w:val="nil"/>
              <w:tr2bl w:val="nil"/>
            </w:tcBorders>
            <w:shd w:val="clear" w:color="auto" w:fill="auto"/>
            <w:noWrap/>
            <w:vAlign w:val="center"/>
          </w:tcPr>
          <w:p w14:paraId="1F6CFF0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596DCB5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21B3B90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6115177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027</w:t>
            </w:r>
          </w:p>
        </w:tc>
        <w:tc>
          <w:tcPr>
            <w:tcW w:w="0" w:type="auto"/>
            <w:tcBorders>
              <w:tl2br w:val="nil"/>
              <w:tr2bl w:val="nil"/>
            </w:tcBorders>
            <w:shd w:val="clear" w:color="auto" w:fill="auto"/>
            <w:noWrap/>
            <w:vAlign w:val="center"/>
          </w:tcPr>
          <w:p w14:paraId="3D93E09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0.0052</w:t>
            </w:r>
          </w:p>
        </w:tc>
        <w:tc>
          <w:tcPr>
            <w:tcW w:w="0" w:type="auto"/>
            <w:tcBorders>
              <w:tl2br w:val="nil"/>
              <w:tr2bl w:val="nil"/>
            </w:tcBorders>
            <w:shd w:val="clear" w:color="auto" w:fill="auto"/>
            <w:noWrap/>
            <w:vAlign w:val="center"/>
          </w:tcPr>
          <w:p w14:paraId="22336BE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0.00035</w:t>
            </w:r>
          </w:p>
        </w:tc>
        <w:tc>
          <w:tcPr>
            <w:tcW w:w="0" w:type="auto"/>
            <w:tcBorders>
              <w:tl2br w:val="nil"/>
              <w:tr2bl w:val="nil"/>
            </w:tcBorders>
            <w:shd w:val="clear" w:color="auto" w:fill="auto"/>
            <w:noWrap/>
            <w:vAlign w:val="center"/>
          </w:tcPr>
          <w:p w14:paraId="40C2E56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0.0004</w:t>
            </w:r>
          </w:p>
        </w:tc>
        <w:tc>
          <w:tcPr>
            <w:tcW w:w="0" w:type="auto"/>
            <w:tcBorders>
              <w:tl2br w:val="nil"/>
              <w:tr2bl w:val="nil"/>
            </w:tcBorders>
            <w:shd w:val="clear" w:color="auto" w:fill="auto"/>
            <w:noWrap/>
            <w:vAlign w:val="center"/>
          </w:tcPr>
          <w:p w14:paraId="7CAF6B9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c>
          <w:tcPr>
            <w:tcW w:w="0" w:type="auto"/>
            <w:tcBorders>
              <w:tl2br w:val="nil"/>
              <w:tr2bl w:val="nil"/>
            </w:tcBorders>
            <w:shd w:val="clear" w:color="auto" w:fill="auto"/>
            <w:noWrap/>
            <w:vAlign w:val="center"/>
          </w:tcPr>
          <w:p w14:paraId="44B7B48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r>
      <w:tr w14:paraId="64842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57CCFB3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3</w:t>
            </w:r>
          </w:p>
        </w:tc>
        <w:tc>
          <w:tcPr>
            <w:tcW w:w="0" w:type="auto"/>
            <w:tcBorders>
              <w:tl2br w:val="nil"/>
              <w:tr2bl w:val="nil"/>
            </w:tcBorders>
            <w:shd w:val="clear" w:color="auto" w:fill="auto"/>
            <w:noWrap/>
            <w:vAlign w:val="center"/>
          </w:tcPr>
          <w:p w14:paraId="7D0E707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6.35~6.45</w:t>
            </w:r>
          </w:p>
        </w:tc>
        <w:tc>
          <w:tcPr>
            <w:tcW w:w="0" w:type="auto"/>
            <w:tcBorders>
              <w:tl2br w:val="nil"/>
              <w:tr2bl w:val="nil"/>
            </w:tcBorders>
            <w:shd w:val="clear" w:color="auto" w:fill="auto"/>
            <w:noWrap/>
            <w:vAlign w:val="center"/>
          </w:tcPr>
          <w:p w14:paraId="3D74532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0.88</w:t>
            </w:r>
          </w:p>
        </w:tc>
        <w:tc>
          <w:tcPr>
            <w:tcW w:w="0" w:type="auto"/>
            <w:tcBorders>
              <w:tl2br w:val="nil"/>
              <w:tr2bl w:val="nil"/>
            </w:tcBorders>
            <w:shd w:val="clear" w:color="auto" w:fill="auto"/>
            <w:noWrap/>
            <w:vAlign w:val="center"/>
          </w:tcPr>
          <w:p w14:paraId="6678DEA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6AF488F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5.3</w:t>
            </w:r>
          </w:p>
        </w:tc>
        <w:tc>
          <w:tcPr>
            <w:tcW w:w="0" w:type="auto"/>
            <w:tcBorders>
              <w:tl2br w:val="nil"/>
              <w:tr2bl w:val="nil"/>
            </w:tcBorders>
            <w:shd w:val="clear" w:color="auto" w:fill="auto"/>
            <w:noWrap/>
            <w:vAlign w:val="center"/>
          </w:tcPr>
          <w:p w14:paraId="7D5F425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13</w:t>
            </w:r>
          </w:p>
        </w:tc>
        <w:tc>
          <w:tcPr>
            <w:tcW w:w="0" w:type="auto"/>
            <w:tcBorders>
              <w:tl2br w:val="nil"/>
              <w:tr2bl w:val="nil"/>
            </w:tcBorders>
            <w:shd w:val="clear" w:color="auto" w:fill="auto"/>
            <w:noWrap/>
            <w:vAlign w:val="center"/>
          </w:tcPr>
          <w:p w14:paraId="1487B77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16</w:t>
            </w:r>
          </w:p>
        </w:tc>
        <w:tc>
          <w:tcPr>
            <w:tcW w:w="0" w:type="auto"/>
            <w:tcBorders>
              <w:tl2br w:val="nil"/>
              <w:tr2bl w:val="nil"/>
            </w:tcBorders>
            <w:shd w:val="clear" w:color="auto" w:fill="auto"/>
            <w:noWrap/>
            <w:vAlign w:val="center"/>
          </w:tcPr>
          <w:p w14:paraId="381F613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8</w:t>
            </w:r>
          </w:p>
        </w:tc>
        <w:tc>
          <w:tcPr>
            <w:tcW w:w="0" w:type="auto"/>
            <w:tcBorders>
              <w:tl2br w:val="nil"/>
              <w:tr2bl w:val="nil"/>
            </w:tcBorders>
            <w:shd w:val="clear" w:color="auto" w:fill="auto"/>
            <w:noWrap/>
            <w:vAlign w:val="center"/>
          </w:tcPr>
          <w:p w14:paraId="2D0D934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51D10F1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0.00</w:t>
            </w:r>
            <w:r>
              <w:rPr>
                <w:rFonts w:hint="eastAsia" w:ascii="Times New Roman" w:hAnsi="Times New Roman" w:eastAsia="宋体" w:cs="Times New Roman"/>
                <w:color w:val="auto"/>
                <w:kern w:val="2"/>
                <w:sz w:val="21"/>
                <w:szCs w:val="21"/>
                <w:highlight w:val="none"/>
                <w:u w:val="none"/>
                <w:lang w:val="en-US" w:eastAsia="zh-CN" w:bidi="ar-SA"/>
              </w:rPr>
              <w:t>66</w:t>
            </w:r>
          </w:p>
        </w:tc>
        <w:tc>
          <w:tcPr>
            <w:tcW w:w="0" w:type="auto"/>
            <w:tcBorders>
              <w:tl2br w:val="nil"/>
              <w:tr2bl w:val="nil"/>
            </w:tcBorders>
            <w:shd w:val="clear" w:color="auto" w:fill="auto"/>
            <w:noWrap/>
            <w:vAlign w:val="center"/>
          </w:tcPr>
          <w:p w14:paraId="63F97F8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066247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179A43C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5E43107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34AFBE4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013</w:t>
            </w:r>
          </w:p>
        </w:tc>
        <w:tc>
          <w:tcPr>
            <w:tcW w:w="0" w:type="auto"/>
            <w:tcBorders>
              <w:tl2br w:val="nil"/>
              <w:tr2bl w:val="nil"/>
            </w:tcBorders>
            <w:shd w:val="clear" w:color="auto" w:fill="auto"/>
            <w:noWrap/>
            <w:vAlign w:val="center"/>
          </w:tcPr>
          <w:p w14:paraId="326693E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0.0053</w:t>
            </w:r>
          </w:p>
        </w:tc>
        <w:tc>
          <w:tcPr>
            <w:tcW w:w="0" w:type="auto"/>
            <w:tcBorders>
              <w:tl2br w:val="nil"/>
              <w:tr2bl w:val="nil"/>
            </w:tcBorders>
            <w:shd w:val="clear" w:color="auto" w:fill="auto"/>
            <w:noWrap/>
            <w:vAlign w:val="center"/>
          </w:tcPr>
          <w:p w14:paraId="6D14E9C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2E41BA7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0.0005</w:t>
            </w:r>
          </w:p>
        </w:tc>
        <w:tc>
          <w:tcPr>
            <w:tcW w:w="0" w:type="auto"/>
            <w:tcBorders>
              <w:tl2br w:val="nil"/>
              <w:tr2bl w:val="nil"/>
            </w:tcBorders>
            <w:shd w:val="clear" w:color="auto" w:fill="auto"/>
            <w:noWrap/>
            <w:vAlign w:val="center"/>
          </w:tcPr>
          <w:p w14:paraId="346B69C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0.7</w:t>
            </w:r>
          </w:p>
        </w:tc>
        <w:tc>
          <w:tcPr>
            <w:tcW w:w="0" w:type="auto"/>
            <w:tcBorders>
              <w:tl2br w:val="nil"/>
              <w:tr2bl w:val="nil"/>
            </w:tcBorders>
            <w:shd w:val="clear" w:color="auto" w:fill="auto"/>
            <w:noWrap/>
            <w:vAlign w:val="center"/>
          </w:tcPr>
          <w:p w14:paraId="5DF3B62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r>
      <w:tr w14:paraId="64D7A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18304C6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4</w:t>
            </w:r>
          </w:p>
        </w:tc>
        <w:tc>
          <w:tcPr>
            <w:tcW w:w="0" w:type="auto"/>
            <w:tcBorders>
              <w:tl2br w:val="nil"/>
              <w:tr2bl w:val="nil"/>
            </w:tcBorders>
            <w:shd w:val="clear" w:color="auto" w:fill="auto"/>
            <w:noWrap/>
            <w:vAlign w:val="center"/>
          </w:tcPr>
          <w:p w14:paraId="0A509F3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6.80~7.10</w:t>
            </w:r>
          </w:p>
        </w:tc>
        <w:tc>
          <w:tcPr>
            <w:tcW w:w="0" w:type="auto"/>
            <w:tcBorders>
              <w:tl2br w:val="nil"/>
              <w:tr2bl w:val="nil"/>
            </w:tcBorders>
            <w:shd w:val="clear" w:color="auto" w:fill="auto"/>
            <w:noWrap/>
            <w:vAlign w:val="center"/>
          </w:tcPr>
          <w:p w14:paraId="59DB775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0.205</w:t>
            </w:r>
          </w:p>
        </w:tc>
        <w:tc>
          <w:tcPr>
            <w:tcW w:w="0" w:type="auto"/>
            <w:tcBorders>
              <w:tl2br w:val="nil"/>
              <w:tr2bl w:val="nil"/>
            </w:tcBorders>
            <w:shd w:val="clear" w:color="auto" w:fill="auto"/>
            <w:noWrap/>
            <w:vAlign w:val="center"/>
          </w:tcPr>
          <w:p w14:paraId="6BBACBE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1238CBB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8.86</w:t>
            </w:r>
          </w:p>
        </w:tc>
        <w:tc>
          <w:tcPr>
            <w:tcW w:w="0" w:type="auto"/>
            <w:tcBorders>
              <w:tl2br w:val="nil"/>
              <w:tr2bl w:val="nil"/>
            </w:tcBorders>
            <w:shd w:val="clear" w:color="auto" w:fill="auto"/>
            <w:noWrap/>
            <w:vAlign w:val="center"/>
          </w:tcPr>
          <w:p w14:paraId="4C1BD80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w:t>
            </w:r>
            <w:r>
              <w:rPr>
                <w:rFonts w:hint="eastAsia"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4C3D990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12</w:t>
            </w:r>
          </w:p>
        </w:tc>
        <w:tc>
          <w:tcPr>
            <w:tcW w:w="0" w:type="auto"/>
            <w:tcBorders>
              <w:tl2br w:val="nil"/>
              <w:tr2bl w:val="nil"/>
            </w:tcBorders>
            <w:shd w:val="clear" w:color="auto" w:fill="auto"/>
            <w:noWrap/>
            <w:vAlign w:val="center"/>
          </w:tcPr>
          <w:p w14:paraId="678F34C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9</w:t>
            </w:r>
          </w:p>
        </w:tc>
        <w:tc>
          <w:tcPr>
            <w:tcW w:w="0" w:type="auto"/>
            <w:tcBorders>
              <w:tl2br w:val="nil"/>
              <w:tr2bl w:val="nil"/>
            </w:tcBorders>
            <w:shd w:val="clear" w:color="auto" w:fill="auto"/>
            <w:noWrap/>
            <w:vAlign w:val="center"/>
          </w:tcPr>
          <w:p w14:paraId="72B3241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80E09E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904</w:t>
            </w:r>
          </w:p>
        </w:tc>
        <w:tc>
          <w:tcPr>
            <w:tcW w:w="0" w:type="auto"/>
            <w:tcBorders>
              <w:tl2br w:val="nil"/>
              <w:tr2bl w:val="nil"/>
            </w:tcBorders>
            <w:shd w:val="clear" w:color="auto" w:fill="auto"/>
            <w:noWrap/>
            <w:vAlign w:val="center"/>
          </w:tcPr>
          <w:p w14:paraId="6E36BF1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DD74DF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4EBCDF4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6A2BD56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390E988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025</w:t>
            </w:r>
          </w:p>
        </w:tc>
        <w:tc>
          <w:tcPr>
            <w:tcW w:w="0" w:type="auto"/>
            <w:tcBorders>
              <w:tl2br w:val="nil"/>
              <w:tr2bl w:val="nil"/>
            </w:tcBorders>
            <w:shd w:val="clear" w:color="auto" w:fill="auto"/>
            <w:noWrap/>
            <w:vAlign w:val="center"/>
          </w:tcPr>
          <w:p w14:paraId="35F8991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40</w:t>
            </w:r>
          </w:p>
        </w:tc>
        <w:tc>
          <w:tcPr>
            <w:tcW w:w="0" w:type="auto"/>
            <w:tcBorders>
              <w:tl2br w:val="nil"/>
              <w:tr2bl w:val="nil"/>
            </w:tcBorders>
            <w:shd w:val="clear" w:color="auto" w:fill="auto"/>
            <w:noWrap/>
            <w:vAlign w:val="center"/>
          </w:tcPr>
          <w:p w14:paraId="1A62F27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475C538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0.000</w:t>
            </w:r>
            <w:r>
              <w:rPr>
                <w:rFonts w:hint="eastAsia" w:cs="Times New Roman"/>
                <w:color w:val="auto"/>
                <w:kern w:val="2"/>
                <w:sz w:val="21"/>
                <w:szCs w:val="21"/>
                <w:highlight w:val="none"/>
                <w:u w:val="none"/>
                <w:lang w:val="en-US" w:eastAsia="zh-CN" w:bidi="ar-SA"/>
              </w:rPr>
              <w:t>8</w:t>
            </w:r>
          </w:p>
        </w:tc>
        <w:tc>
          <w:tcPr>
            <w:tcW w:w="0" w:type="auto"/>
            <w:tcBorders>
              <w:tl2br w:val="nil"/>
              <w:tr2bl w:val="nil"/>
            </w:tcBorders>
            <w:shd w:val="clear" w:color="auto" w:fill="auto"/>
            <w:noWrap/>
            <w:vAlign w:val="center"/>
          </w:tcPr>
          <w:p w14:paraId="3942654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c>
          <w:tcPr>
            <w:tcW w:w="0" w:type="auto"/>
            <w:tcBorders>
              <w:tl2br w:val="nil"/>
              <w:tr2bl w:val="nil"/>
            </w:tcBorders>
            <w:shd w:val="clear" w:color="auto" w:fill="auto"/>
            <w:noWrap/>
            <w:vAlign w:val="center"/>
          </w:tcPr>
          <w:p w14:paraId="68E33BF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r>
      <w:tr w14:paraId="6B741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328E6CB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5</w:t>
            </w:r>
          </w:p>
        </w:tc>
        <w:tc>
          <w:tcPr>
            <w:tcW w:w="0" w:type="auto"/>
            <w:tcBorders>
              <w:tl2br w:val="nil"/>
              <w:tr2bl w:val="nil"/>
            </w:tcBorders>
            <w:shd w:val="clear" w:color="auto" w:fill="auto"/>
            <w:noWrap/>
            <w:vAlign w:val="center"/>
          </w:tcPr>
          <w:p w14:paraId="3BF7EC0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7.1</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7.</w:t>
            </w:r>
            <w:r>
              <w:rPr>
                <w:rFonts w:hint="eastAsia" w:ascii="Times New Roman" w:hAnsi="Times New Roman" w:eastAsia="宋体"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7BFADFA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0.870</w:t>
            </w:r>
          </w:p>
        </w:tc>
        <w:tc>
          <w:tcPr>
            <w:tcW w:w="0" w:type="auto"/>
            <w:tcBorders>
              <w:tl2br w:val="nil"/>
              <w:tr2bl w:val="nil"/>
            </w:tcBorders>
            <w:shd w:val="clear" w:color="auto" w:fill="auto"/>
            <w:noWrap/>
            <w:vAlign w:val="center"/>
          </w:tcPr>
          <w:p w14:paraId="76B09C4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60B2C32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5.62</w:t>
            </w:r>
          </w:p>
        </w:tc>
        <w:tc>
          <w:tcPr>
            <w:tcW w:w="0" w:type="auto"/>
            <w:tcBorders>
              <w:tl2br w:val="nil"/>
              <w:tr2bl w:val="nil"/>
            </w:tcBorders>
            <w:shd w:val="clear" w:color="auto" w:fill="auto"/>
            <w:noWrap/>
            <w:vAlign w:val="center"/>
          </w:tcPr>
          <w:p w14:paraId="58585AF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w:t>
            </w:r>
            <w:r>
              <w:rPr>
                <w:rFonts w:hint="eastAsia"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48575FD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18</w:t>
            </w:r>
          </w:p>
        </w:tc>
        <w:tc>
          <w:tcPr>
            <w:tcW w:w="0" w:type="auto"/>
            <w:tcBorders>
              <w:tl2br w:val="nil"/>
              <w:tr2bl w:val="nil"/>
            </w:tcBorders>
            <w:shd w:val="clear" w:color="auto" w:fill="auto"/>
            <w:noWrap/>
            <w:vAlign w:val="center"/>
          </w:tcPr>
          <w:p w14:paraId="5703EDE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10</w:t>
            </w:r>
          </w:p>
        </w:tc>
        <w:tc>
          <w:tcPr>
            <w:tcW w:w="0" w:type="auto"/>
            <w:tcBorders>
              <w:tl2br w:val="nil"/>
              <w:tr2bl w:val="nil"/>
            </w:tcBorders>
            <w:shd w:val="clear" w:color="auto" w:fill="auto"/>
            <w:noWrap/>
            <w:vAlign w:val="center"/>
          </w:tcPr>
          <w:p w14:paraId="013E8D7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6C9DB6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b/>
                <w:bCs/>
                <w:color w:val="auto"/>
                <w:kern w:val="2"/>
                <w:sz w:val="21"/>
                <w:szCs w:val="21"/>
                <w:highlight w:val="none"/>
                <w:u w:val="none"/>
                <w:lang w:val="en-US" w:eastAsia="zh-CN" w:bidi="ar-SA"/>
              </w:rPr>
              <w:t>0.</w:t>
            </w:r>
            <w:r>
              <w:rPr>
                <w:rFonts w:hint="eastAsia" w:ascii="Times New Roman" w:hAnsi="Times New Roman" w:eastAsia="宋体" w:cs="Times New Roman"/>
                <w:b/>
                <w:bCs/>
                <w:color w:val="auto"/>
                <w:kern w:val="2"/>
                <w:sz w:val="21"/>
                <w:szCs w:val="21"/>
                <w:highlight w:val="none"/>
                <w:u w:val="none"/>
                <w:lang w:val="en-US" w:eastAsia="zh-CN" w:bidi="ar-SA"/>
              </w:rPr>
              <w:t>2</w:t>
            </w:r>
            <w:r>
              <w:rPr>
                <w:rFonts w:hint="eastAsia" w:cs="Times New Roman"/>
                <w:b/>
                <w:bCs/>
                <w:color w:val="auto"/>
                <w:kern w:val="2"/>
                <w:sz w:val="21"/>
                <w:szCs w:val="21"/>
                <w:highlight w:val="none"/>
                <w:u w:val="none"/>
                <w:lang w:val="en-US" w:eastAsia="zh-CN" w:bidi="ar-SA"/>
              </w:rPr>
              <w:t>1</w:t>
            </w:r>
            <w:r>
              <w:rPr>
                <w:rFonts w:hint="eastAsia" w:ascii="Times New Roman" w:hAnsi="Times New Roman" w:eastAsia="宋体" w:cs="Times New Roman"/>
                <w:b/>
                <w:bCs/>
                <w:color w:val="auto"/>
                <w:kern w:val="2"/>
                <w:sz w:val="21"/>
                <w:szCs w:val="21"/>
                <w:highlight w:val="none"/>
                <w:u w:val="none"/>
                <w:lang w:val="en-US" w:eastAsia="zh-CN" w:bidi="ar-SA"/>
              </w:rPr>
              <w:t>8</w:t>
            </w:r>
          </w:p>
        </w:tc>
        <w:tc>
          <w:tcPr>
            <w:tcW w:w="0" w:type="auto"/>
            <w:tcBorders>
              <w:tl2br w:val="nil"/>
              <w:tr2bl w:val="nil"/>
            </w:tcBorders>
            <w:shd w:val="clear" w:color="auto" w:fill="auto"/>
            <w:noWrap/>
            <w:vAlign w:val="center"/>
          </w:tcPr>
          <w:p w14:paraId="77240E9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6C58DAE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169C9FF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6E0508C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A165EE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02</w:t>
            </w:r>
            <w:r>
              <w:rPr>
                <w:rFonts w:hint="eastAsia"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0A369E6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25</w:t>
            </w:r>
          </w:p>
        </w:tc>
        <w:tc>
          <w:tcPr>
            <w:tcW w:w="0" w:type="auto"/>
            <w:tcBorders>
              <w:tl2br w:val="nil"/>
              <w:tr2bl w:val="nil"/>
            </w:tcBorders>
            <w:shd w:val="clear" w:color="auto" w:fill="auto"/>
            <w:noWrap/>
            <w:vAlign w:val="center"/>
          </w:tcPr>
          <w:p w14:paraId="186499C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52301D7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0.000</w:t>
            </w:r>
            <w:r>
              <w:rPr>
                <w:rFonts w:hint="eastAsia" w:cs="Times New Roman"/>
                <w:color w:val="auto"/>
                <w:kern w:val="2"/>
                <w:sz w:val="21"/>
                <w:szCs w:val="21"/>
                <w:highlight w:val="none"/>
                <w:u w:val="none"/>
                <w:lang w:val="en-US" w:eastAsia="zh-CN" w:bidi="ar-SA"/>
              </w:rPr>
              <w:t>8</w:t>
            </w:r>
          </w:p>
        </w:tc>
        <w:tc>
          <w:tcPr>
            <w:tcW w:w="0" w:type="auto"/>
            <w:tcBorders>
              <w:tl2br w:val="nil"/>
              <w:tr2bl w:val="nil"/>
            </w:tcBorders>
            <w:shd w:val="clear" w:color="auto" w:fill="auto"/>
            <w:noWrap/>
            <w:vAlign w:val="center"/>
          </w:tcPr>
          <w:p w14:paraId="3FD85E6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0.78</w:t>
            </w:r>
          </w:p>
        </w:tc>
        <w:tc>
          <w:tcPr>
            <w:tcW w:w="0" w:type="auto"/>
            <w:tcBorders>
              <w:tl2br w:val="nil"/>
              <w:tr2bl w:val="nil"/>
            </w:tcBorders>
            <w:shd w:val="clear" w:color="auto" w:fill="auto"/>
            <w:noWrap/>
            <w:vAlign w:val="center"/>
          </w:tcPr>
          <w:p w14:paraId="74537A0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r>
      <w:tr w14:paraId="09A58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36708C3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6</w:t>
            </w:r>
          </w:p>
        </w:tc>
        <w:tc>
          <w:tcPr>
            <w:tcW w:w="0" w:type="auto"/>
            <w:tcBorders>
              <w:tl2br w:val="nil"/>
              <w:tr2bl w:val="nil"/>
            </w:tcBorders>
            <w:shd w:val="clear" w:color="auto" w:fill="auto"/>
            <w:noWrap/>
            <w:vAlign w:val="center"/>
          </w:tcPr>
          <w:p w14:paraId="71AD765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7.0</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7.</w:t>
            </w:r>
            <w:r>
              <w:rPr>
                <w:rFonts w:hint="eastAsia" w:ascii="Times New Roman" w:hAnsi="Times New Roman" w:eastAsia="宋体"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7E726C3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0.781</w:t>
            </w:r>
          </w:p>
        </w:tc>
        <w:tc>
          <w:tcPr>
            <w:tcW w:w="0" w:type="auto"/>
            <w:tcBorders>
              <w:tl2br w:val="nil"/>
              <w:tr2bl w:val="nil"/>
            </w:tcBorders>
            <w:shd w:val="clear" w:color="auto" w:fill="auto"/>
            <w:noWrap/>
            <w:vAlign w:val="center"/>
          </w:tcPr>
          <w:p w14:paraId="77F61C8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3</w:t>
            </w:r>
          </w:p>
        </w:tc>
        <w:tc>
          <w:tcPr>
            <w:tcW w:w="0" w:type="auto"/>
            <w:tcBorders>
              <w:tl2br w:val="nil"/>
              <w:tr2bl w:val="nil"/>
            </w:tcBorders>
            <w:shd w:val="clear" w:color="auto" w:fill="auto"/>
            <w:noWrap/>
            <w:vAlign w:val="center"/>
          </w:tcPr>
          <w:p w14:paraId="28AC0D3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4.41</w:t>
            </w:r>
          </w:p>
        </w:tc>
        <w:tc>
          <w:tcPr>
            <w:tcW w:w="0" w:type="auto"/>
            <w:tcBorders>
              <w:tl2br w:val="nil"/>
              <w:tr2bl w:val="nil"/>
            </w:tcBorders>
            <w:shd w:val="clear" w:color="auto" w:fill="auto"/>
            <w:noWrap/>
            <w:vAlign w:val="center"/>
          </w:tcPr>
          <w:p w14:paraId="2656E77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w:t>
            </w:r>
            <w:r>
              <w:rPr>
                <w:rFonts w:hint="eastAsia" w:cs="Times New Roman"/>
                <w:color w:val="auto"/>
                <w:kern w:val="2"/>
                <w:sz w:val="21"/>
                <w:szCs w:val="21"/>
                <w:highlight w:val="none"/>
                <w:u w:val="none"/>
                <w:lang w:val="en-US" w:eastAsia="zh-CN" w:bidi="ar-SA"/>
              </w:rPr>
              <w:t>1</w:t>
            </w:r>
          </w:p>
        </w:tc>
        <w:tc>
          <w:tcPr>
            <w:tcW w:w="0" w:type="auto"/>
            <w:tcBorders>
              <w:tl2br w:val="nil"/>
              <w:tr2bl w:val="nil"/>
            </w:tcBorders>
            <w:shd w:val="clear" w:color="auto" w:fill="auto"/>
            <w:noWrap/>
            <w:vAlign w:val="center"/>
          </w:tcPr>
          <w:p w14:paraId="63A925B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18</w:t>
            </w:r>
          </w:p>
        </w:tc>
        <w:tc>
          <w:tcPr>
            <w:tcW w:w="0" w:type="auto"/>
            <w:tcBorders>
              <w:tl2br w:val="nil"/>
              <w:tr2bl w:val="nil"/>
            </w:tcBorders>
            <w:shd w:val="clear" w:color="auto" w:fill="auto"/>
            <w:noWrap/>
            <w:vAlign w:val="center"/>
          </w:tcPr>
          <w:p w14:paraId="32C9576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10</w:t>
            </w:r>
          </w:p>
        </w:tc>
        <w:tc>
          <w:tcPr>
            <w:tcW w:w="0" w:type="auto"/>
            <w:tcBorders>
              <w:tl2br w:val="nil"/>
              <w:tr2bl w:val="nil"/>
            </w:tcBorders>
            <w:shd w:val="clear" w:color="auto" w:fill="auto"/>
            <w:noWrap/>
            <w:vAlign w:val="center"/>
          </w:tcPr>
          <w:p w14:paraId="59F04BF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1B6AE0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106</w:t>
            </w:r>
          </w:p>
        </w:tc>
        <w:tc>
          <w:tcPr>
            <w:tcW w:w="0" w:type="auto"/>
            <w:tcBorders>
              <w:tl2br w:val="nil"/>
              <w:tr2bl w:val="nil"/>
            </w:tcBorders>
            <w:shd w:val="clear" w:color="auto" w:fill="auto"/>
            <w:noWrap/>
            <w:vAlign w:val="center"/>
          </w:tcPr>
          <w:p w14:paraId="70E4583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4D9F9C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14C7A5D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16FDA74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3081480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36</w:t>
            </w:r>
          </w:p>
        </w:tc>
        <w:tc>
          <w:tcPr>
            <w:tcW w:w="0" w:type="auto"/>
            <w:tcBorders>
              <w:tl2br w:val="nil"/>
              <w:tr2bl w:val="nil"/>
            </w:tcBorders>
            <w:shd w:val="clear" w:color="auto" w:fill="auto"/>
            <w:noWrap/>
            <w:vAlign w:val="center"/>
          </w:tcPr>
          <w:p w14:paraId="0548630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w:t>
            </w:r>
            <w:r>
              <w:rPr>
                <w:rFonts w:hint="eastAsia" w:cs="Times New Roman"/>
                <w:color w:val="auto"/>
                <w:kern w:val="2"/>
                <w:sz w:val="21"/>
                <w:szCs w:val="21"/>
                <w:highlight w:val="none"/>
                <w:u w:val="none"/>
                <w:lang w:val="en-US" w:eastAsia="zh-CN" w:bidi="ar-SA"/>
              </w:rPr>
              <w:t>66</w:t>
            </w:r>
          </w:p>
        </w:tc>
        <w:tc>
          <w:tcPr>
            <w:tcW w:w="0" w:type="auto"/>
            <w:tcBorders>
              <w:tl2br w:val="nil"/>
              <w:tr2bl w:val="nil"/>
            </w:tcBorders>
            <w:shd w:val="clear" w:color="auto" w:fill="auto"/>
            <w:noWrap/>
            <w:vAlign w:val="center"/>
          </w:tcPr>
          <w:p w14:paraId="0A60551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0.00005</w:t>
            </w:r>
          </w:p>
        </w:tc>
        <w:tc>
          <w:tcPr>
            <w:tcW w:w="0" w:type="auto"/>
            <w:tcBorders>
              <w:tl2br w:val="nil"/>
              <w:tr2bl w:val="nil"/>
            </w:tcBorders>
            <w:shd w:val="clear" w:color="auto" w:fill="auto"/>
            <w:noWrap/>
            <w:vAlign w:val="center"/>
          </w:tcPr>
          <w:p w14:paraId="1E6FD7C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BB20BE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c>
          <w:tcPr>
            <w:tcW w:w="0" w:type="auto"/>
            <w:tcBorders>
              <w:tl2br w:val="nil"/>
              <w:tr2bl w:val="nil"/>
            </w:tcBorders>
            <w:shd w:val="clear" w:color="auto" w:fill="auto"/>
            <w:noWrap/>
            <w:vAlign w:val="center"/>
          </w:tcPr>
          <w:p w14:paraId="5501C70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r>
      <w:tr w14:paraId="5D5C4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258CC17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7</w:t>
            </w:r>
          </w:p>
        </w:tc>
        <w:tc>
          <w:tcPr>
            <w:tcW w:w="0" w:type="auto"/>
            <w:tcBorders>
              <w:tl2br w:val="nil"/>
              <w:tr2bl w:val="nil"/>
            </w:tcBorders>
            <w:shd w:val="clear" w:color="auto" w:fill="auto"/>
            <w:noWrap/>
            <w:vAlign w:val="center"/>
          </w:tcPr>
          <w:p w14:paraId="2F815C6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7.1</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7.</w:t>
            </w:r>
            <w:r>
              <w:rPr>
                <w:rFonts w:hint="eastAsia" w:ascii="Times New Roman" w:hAnsi="Times New Roman" w:eastAsia="宋体"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4C02DEA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0.820</w:t>
            </w:r>
          </w:p>
        </w:tc>
        <w:tc>
          <w:tcPr>
            <w:tcW w:w="0" w:type="auto"/>
            <w:tcBorders>
              <w:tl2br w:val="nil"/>
              <w:tr2bl w:val="nil"/>
            </w:tcBorders>
            <w:shd w:val="clear" w:color="auto" w:fill="auto"/>
            <w:noWrap/>
            <w:vAlign w:val="center"/>
          </w:tcPr>
          <w:p w14:paraId="0E82C0B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5</w:t>
            </w:r>
          </w:p>
        </w:tc>
        <w:tc>
          <w:tcPr>
            <w:tcW w:w="0" w:type="auto"/>
            <w:tcBorders>
              <w:tl2br w:val="nil"/>
              <w:tr2bl w:val="nil"/>
            </w:tcBorders>
            <w:shd w:val="clear" w:color="auto" w:fill="auto"/>
            <w:noWrap/>
            <w:vAlign w:val="center"/>
          </w:tcPr>
          <w:p w14:paraId="2E6D648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3.92</w:t>
            </w:r>
          </w:p>
        </w:tc>
        <w:tc>
          <w:tcPr>
            <w:tcW w:w="0" w:type="auto"/>
            <w:tcBorders>
              <w:tl2br w:val="nil"/>
              <w:tr2bl w:val="nil"/>
            </w:tcBorders>
            <w:shd w:val="clear" w:color="auto" w:fill="auto"/>
            <w:noWrap/>
            <w:vAlign w:val="center"/>
          </w:tcPr>
          <w:p w14:paraId="4DF4570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15</w:t>
            </w:r>
          </w:p>
        </w:tc>
        <w:tc>
          <w:tcPr>
            <w:tcW w:w="0" w:type="auto"/>
            <w:tcBorders>
              <w:tl2br w:val="nil"/>
              <w:tr2bl w:val="nil"/>
            </w:tcBorders>
            <w:shd w:val="clear" w:color="auto" w:fill="auto"/>
            <w:noWrap/>
            <w:vAlign w:val="center"/>
          </w:tcPr>
          <w:p w14:paraId="4C469E7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2</w:t>
            </w:r>
            <w:r>
              <w:rPr>
                <w:rFonts w:hint="eastAsia" w:cs="Times New Roman"/>
                <w:color w:val="auto"/>
                <w:kern w:val="2"/>
                <w:sz w:val="21"/>
                <w:szCs w:val="21"/>
                <w:highlight w:val="none"/>
                <w:u w:val="none"/>
                <w:lang w:val="en-US" w:eastAsia="zh-CN" w:bidi="ar-SA"/>
              </w:rPr>
              <w:t>5</w:t>
            </w:r>
          </w:p>
        </w:tc>
        <w:tc>
          <w:tcPr>
            <w:tcW w:w="0" w:type="auto"/>
            <w:tcBorders>
              <w:tl2br w:val="nil"/>
              <w:tr2bl w:val="nil"/>
            </w:tcBorders>
            <w:shd w:val="clear" w:color="auto" w:fill="auto"/>
            <w:noWrap/>
            <w:vAlign w:val="center"/>
          </w:tcPr>
          <w:p w14:paraId="0FD6091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7</w:t>
            </w:r>
          </w:p>
        </w:tc>
        <w:tc>
          <w:tcPr>
            <w:tcW w:w="0" w:type="auto"/>
            <w:tcBorders>
              <w:tl2br w:val="nil"/>
              <w:tr2bl w:val="nil"/>
            </w:tcBorders>
            <w:shd w:val="clear" w:color="auto" w:fill="auto"/>
            <w:noWrap/>
            <w:vAlign w:val="center"/>
          </w:tcPr>
          <w:p w14:paraId="40EC697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5373784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147</w:t>
            </w:r>
          </w:p>
        </w:tc>
        <w:tc>
          <w:tcPr>
            <w:tcW w:w="0" w:type="auto"/>
            <w:tcBorders>
              <w:tl2br w:val="nil"/>
              <w:tr2bl w:val="nil"/>
            </w:tcBorders>
            <w:shd w:val="clear" w:color="auto" w:fill="auto"/>
            <w:noWrap/>
            <w:vAlign w:val="center"/>
          </w:tcPr>
          <w:p w14:paraId="6335F15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3169315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F853FC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4EFF102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42</w:t>
            </w:r>
          </w:p>
        </w:tc>
        <w:tc>
          <w:tcPr>
            <w:tcW w:w="0" w:type="auto"/>
            <w:tcBorders>
              <w:tl2br w:val="nil"/>
              <w:tr2bl w:val="nil"/>
            </w:tcBorders>
            <w:shd w:val="clear" w:color="auto" w:fill="auto"/>
            <w:noWrap/>
            <w:vAlign w:val="center"/>
          </w:tcPr>
          <w:p w14:paraId="6D39DA0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23</w:t>
            </w:r>
          </w:p>
        </w:tc>
        <w:tc>
          <w:tcPr>
            <w:tcW w:w="0" w:type="auto"/>
            <w:tcBorders>
              <w:tl2br w:val="nil"/>
              <w:tr2bl w:val="nil"/>
            </w:tcBorders>
            <w:shd w:val="clear" w:color="auto" w:fill="auto"/>
            <w:noWrap/>
            <w:vAlign w:val="center"/>
          </w:tcPr>
          <w:p w14:paraId="6FCD066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32</w:t>
            </w:r>
          </w:p>
        </w:tc>
        <w:tc>
          <w:tcPr>
            <w:tcW w:w="0" w:type="auto"/>
            <w:tcBorders>
              <w:tl2br w:val="nil"/>
              <w:tr2bl w:val="nil"/>
            </w:tcBorders>
            <w:shd w:val="clear" w:color="auto" w:fill="auto"/>
            <w:noWrap/>
            <w:vAlign w:val="center"/>
          </w:tcPr>
          <w:p w14:paraId="2C742D9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CEBC1D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0.000</w:t>
            </w:r>
            <w:r>
              <w:rPr>
                <w:rFonts w:hint="eastAsia" w:cs="Times New Roman"/>
                <w:color w:val="auto"/>
                <w:kern w:val="2"/>
                <w:sz w:val="21"/>
                <w:szCs w:val="21"/>
                <w:highlight w:val="none"/>
                <w:u w:val="none"/>
                <w:lang w:val="en-US" w:eastAsia="zh-CN" w:bidi="ar-SA"/>
              </w:rPr>
              <w:t>9</w:t>
            </w:r>
          </w:p>
        </w:tc>
        <w:tc>
          <w:tcPr>
            <w:tcW w:w="0" w:type="auto"/>
            <w:tcBorders>
              <w:tl2br w:val="nil"/>
              <w:tr2bl w:val="nil"/>
            </w:tcBorders>
            <w:shd w:val="clear" w:color="auto" w:fill="auto"/>
            <w:noWrap/>
            <w:vAlign w:val="center"/>
          </w:tcPr>
          <w:p w14:paraId="186951F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c>
          <w:tcPr>
            <w:tcW w:w="0" w:type="auto"/>
            <w:tcBorders>
              <w:tl2br w:val="nil"/>
              <w:tr2bl w:val="nil"/>
            </w:tcBorders>
            <w:shd w:val="clear" w:color="auto" w:fill="auto"/>
            <w:noWrap/>
            <w:vAlign w:val="center"/>
          </w:tcPr>
          <w:p w14:paraId="30235F2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r>
      <w:tr w14:paraId="04FAB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795620E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8</w:t>
            </w:r>
          </w:p>
        </w:tc>
        <w:tc>
          <w:tcPr>
            <w:tcW w:w="0" w:type="auto"/>
            <w:tcBorders>
              <w:tl2br w:val="nil"/>
              <w:tr2bl w:val="nil"/>
            </w:tcBorders>
            <w:shd w:val="clear" w:color="auto" w:fill="auto"/>
            <w:noWrap/>
            <w:vAlign w:val="center"/>
          </w:tcPr>
          <w:p w14:paraId="06D76A3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7.2</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7.3</w:t>
            </w:r>
          </w:p>
        </w:tc>
        <w:tc>
          <w:tcPr>
            <w:tcW w:w="0" w:type="auto"/>
            <w:tcBorders>
              <w:tl2br w:val="nil"/>
              <w:tr2bl w:val="nil"/>
            </w:tcBorders>
            <w:shd w:val="clear" w:color="auto" w:fill="auto"/>
            <w:noWrap/>
            <w:vAlign w:val="center"/>
          </w:tcPr>
          <w:p w14:paraId="1682908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0.820</w:t>
            </w:r>
          </w:p>
        </w:tc>
        <w:tc>
          <w:tcPr>
            <w:tcW w:w="0" w:type="auto"/>
            <w:tcBorders>
              <w:tl2br w:val="nil"/>
              <w:tr2bl w:val="nil"/>
            </w:tcBorders>
            <w:shd w:val="clear" w:color="auto" w:fill="auto"/>
            <w:noWrap/>
            <w:vAlign w:val="center"/>
          </w:tcPr>
          <w:p w14:paraId="300F948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6</w:t>
            </w:r>
          </w:p>
        </w:tc>
        <w:tc>
          <w:tcPr>
            <w:tcW w:w="0" w:type="auto"/>
            <w:tcBorders>
              <w:tl2br w:val="nil"/>
              <w:tr2bl w:val="nil"/>
            </w:tcBorders>
            <w:shd w:val="clear" w:color="auto" w:fill="auto"/>
            <w:noWrap/>
            <w:vAlign w:val="center"/>
          </w:tcPr>
          <w:p w14:paraId="18A2BB8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2.15</w:t>
            </w:r>
          </w:p>
        </w:tc>
        <w:tc>
          <w:tcPr>
            <w:tcW w:w="0" w:type="auto"/>
            <w:tcBorders>
              <w:tl2br w:val="nil"/>
              <w:tr2bl w:val="nil"/>
            </w:tcBorders>
            <w:shd w:val="clear" w:color="auto" w:fill="auto"/>
            <w:noWrap/>
            <w:vAlign w:val="center"/>
          </w:tcPr>
          <w:p w14:paraId="6FE538B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w:t>
            </w:r>
            <w:r>
              <w:rPr>
                <w:rFonts w:hint="eastAsia" w:cs="Times New Roman"/>
                <w:color w:val="auto"/>
                <w:kern w:val="2"/>
                <w:sz w:val="21"/>
                <w:szCs w:val="21"/>
                <w:highlight w:val="none"/>
                <w:u w:val="none"/>
                <w:lang w:val="en-US" w:eastAsia="zh-CN" w:bidi="ar-SA"/>
              </w:rPr>
              <w:t>1</w:t>
            </w:r>
          </w:p>
        </w:tc>
        <w:tc>
          <w:tcPr>
            <w:tcW w:w="0" w:type="auto"/>
            <w:tcBorders>
              <w:tl2br w:val="nil"/>
              <w:tr2bl w:val="nil"/>
            </w:tcBorders>
            <w:shd w:val="clear" w:color="auto" w:fill="auto"/>
            <w:noWrap/>
            <w:vAlign w:val="center"/>
          </w:tcPr>
          <w:p w14:paraId="285D883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17</w:t>
            </w:r>
          </w:p>
        </w:tc>
        <w:tc>
          <w:tcPr>
            <w:tcW w:w="0" w:type="auto"/>
            <w:tcBorders>
              <w:tl2br w:val="nil"/>
              <w:tr2bl w:val="nil"/>
            </w:tcBorders>
            <w:shd w:val="clear" w:color="auto" w:fill="auto"/>
            <w:noWrap/>
            <w:vAlign w:val="center"/>
          </w:tcPr>
          <w:p w14:paraId="695A88C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10</w:t>
            </w:r>
          </w:p>
        </w:tc>
        <w:tc>
          <w:tcPr>
            <w:tcW w:w="0" w:type="auto"/>
            <w:tcBorders>
              <w:tl2br w:val="nil"/>
              <w:tr2bl w:val="nil"/>
            </w:tcBorders>
            <w:shd w:val="clear" w:color="auto" w:fill="auto"/>
            <w:noWrap/>
            <w:vAlign w:val="center"/>
          </w:tcPr>
          <w:p w14:paraId="4E8D7EA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1FD6CB6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127</w:t>
            </w:r>
          </w:p>
        </w:tc>
        <w:tc>
          <w:tcPr>
            <w:tcW w:w="0" w:type="auto"/>
            <w:tcBorders>
              <w:tl2br w:val="nil"/>
              <w:tr2bl w:val="nil"/>
            </w:tcBorders>
            <w:shd w:val="clear" w:color="auto" w:fill="auto"/>
            <w:noWrap/>
            <w:vAlign w:val="center"/>
          </w:tcPr>
          <w:p w14:paraId="445FED9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626161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F20318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BF34B4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44</w:t>
            </w:r>
          </w:p>
        </w:tc>
        <w:tc>
          <w:tcPr>
            <w:tcW w:w="0" w:type="auto"/>
            <w:tcBorders>
              <w:tl2br w:val="nil"/>
              <w:tr2bl w:val="nil"/>
            </w:tcBorders>
            <w:shd w:val="clear" w:color="auto" w:fill="auto"/>
            <w:noWrap/>
            <w:vAlign w:val="center"/>
          </w:tcPr>
          <w:p w14:paraId="65F185D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29</w:t>
            </w:r>
          </w:p>
        </w:tc>
        <w:tc>
          <w:tcPr>
            <w:tcW w:w="0" w:type="auto"/>
            <w:tcBorders>
              <w:tl2br w:val="nil"/>
              <w:tr2bl w:val="nil"/>
            </w:tcBorders>
            <w:shd w:val="clear" w:color="auto" w:fill="auto"/>
            <w:noWrap/>
            <w:vAlign w:val="center"/>
          </w:tcPr>
          <w:p w14:paraId="4200FB9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3</w:t>
            </w:r>
            <w:r>
              <w:rPr>
                <w:rFonts w:hint="eastAsia" w:ascii="Times New Roman" w:hAnsi="Times New Roman" w:eastAsia="宋体" w:cs="Times New Roman"/>
                <w:color w:val="auto"/>
                <w:kern w:val="2"/>
                <w:sz w:val="21"/>
                <w:szCs w:val="21"/>
                <w:highlight w:val="none"/>
                <w:u w:val="none"/>
                <w:lang w:val="en-US" w:eastAsia="zh-CN" w:bidi="ar-SA"/>
              </w:rPr>
              <w:t>3</w:t>
            </w:r>
          </w:p>
        </w:tc>
        <w:tc>
          <w:tcPr>
            <w:tcW w:w="0" w:type="auto"/>
            <w:tcBorders>
              <w:tl2br w:val="nil"/>
              <w:tr2bl w:val="nil"/>
            </w:tcBorders>
            <w:shd w:val="clear" w:color="auto" w:fill="auto"/>
            <w:noWrap/>
            <w:vAlign w:val="center"/>
          </w:tcPr>
          <w:p w14:paraId="691A23B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6B37975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w:t>
            </w:r>
            <w:r>
              <w:rPr>
                <w:rFonts w:hint="eastAsia" w:cs="Times New Roman"/>
                <w:color w:val="auto"/>
                <w:kern w:val="2"/>
                <w:sz w:val="21"/>
                <w:szCs w:val="21"/>
                <w:highlight w:val="none"/>
                <w:u w:val="none"/>
                <w:lang w:val="en-US" w:eastAsia="zh-CN" w:bidi="ar-SA"/>
              </w:rPr>
              <w:t>14</w:t>
            </w:r>
          </w:p>
        </w:tc>
        <w:tc>
          <w:tcPr>
            <w:tcW w:w="0" w:type="auto"/>
            <w:tcBorders>
              <w:tl2br w:val="nil"/>
              <w:tr2bl w:val="nil"/>
            </w:tcBorders>
            <w:shd w:val="clear" w:color="auto" w:fill="auto"/>
            <w:noWrap/>
            <w:vAlign w:val="center"/>
          </w:tcPr>
          <w:p w14:paraId="6AAA2BE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0.70</w:t>
            </w:r>
          </w:p>
        </w:tc>
        <w:tc>
          <w:tcPr>
            <w:tcW w:w="0" w:type="auto"/>
            <w:tcBorders>
              <w:tl2br w:val="nil"/>
              <w:tr2bl w:val="nil"/>
            </w:tcBorders>
            <w:shd w:val="clear" w:color="auto" w:fill="auto"/>
            <w:noWrap/>
            <w:vAlign w:val="center"/>
          </w:tcPr>
          <w:p w14:paraId="597A0C6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r>
      <w:tr w14:paraId="40C93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67F2D73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9</w:t>
            </w:r>
          </w:p>
        </w:tc>
        <w:tc>
          <w:tcPr>
            <w:tcW w:w="0" w:type="auto"/>
            <w:tcBorders>
              <w:tl2br w:val="nil"/>
              <w:tr2bl w:val="nil"/>
            </w:tcBorders>
            <w:shd w:val="clear" w:color="auto" w:fill="auto"/>
            <w:noWrap/>
            <w:vAlign w:val="center"/>
          </w:tcPr>
          <w:p w14:paraId="0C942E1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7.1</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7.</w:t>
            </w:r>
            <w:r>
              <w:rPr>
                <w:rFonts w:hint="eastAsia" w:ascii="Times New Roman" w:hAnsi="Times New Roman" w:eastAsia="宋体"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42CCBF6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0.673</w:t>
            </w:r>
          </w:p>
        </w:tc>
        <w:tc>
          <w:tcPr>
            <w:tcW w:w="0" w:type="auto"/>
            <w:tcBorders>
              <w:tl2br w:val="nil"/>
              <w:tr2bl w:val="nil"/>
            </w:tcBorders>
            <w:shd w:val="clear" w:color="auto" w:fill="auto"/>
            <w:noWrap/>
            <w:vAlign w:val="center"/>
          </w:tcPr>
          <w:p w14:paraId="62DD8F4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48F4B2F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2.81</w:t>
            </w:r>
          </w:p>
        </w:tc>
        <w:tc>
          <w:tcPr>
            <w:tcW w:w="0" w:type="auto"/>
            <w:tcBorders>
              <w:tl2br w:val="nil"/>
              <w:tr2bl w:val="nil"/>
            </w:tcBorders>
            <w:shd w:val="clear" w:color="auto" w:fill="auto"/>
            <w:noWrap/>
            <w:vAlign w:val="center"/>
          </w:tcPr>
          <w:p w14:paraId="312417D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w:t>
            </w:r>
            <w:r>
              <w:rPr>
                <w:rFonts w:hint="eastAsia" w:cs="Times New Roman"/>
                <w:color w:val="auto"/>
                <w:kern w:val="2"/>
                <w:sz w:val="21"/>
                <w:szCs w:val="21"/>
                <w:highlight w:val="none"/>
                <w:u w:val="none"/>
                <w:lang w:val="en-US" w:eastAsia="zh-CN" w:bidi="ar-SA"/>
              </w:rPr>
              <w:t>4</w:t>
            </w:r>
          </w:p>
        </w:tc>
        <w:tc>
          <w:tcPr>
            <w:tcW w:w="0" w:type="auto"/>
            <w:tcBorders>
              <w:tl2br w:val="nil"/>
              <w:tr2bl w:val="nil"/>
            </w:tcBorders>
            <w:shd w:val="clear" w:color="auto" w:fill="auto"/>
            <w:noWrap/>
            <w:vAlign w:val="center"/>
          </w:tcPr>
          <w:p w14:paraId="027CECF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2</w:t>
            </w:r>
            <w:r>
              <w:rPr>
                <w:rFonts w:hint="eastAsia" w:cs="Times New Roman"/>
                <w:color w:val="auto"/>
                <w:kern w:val="2"/>
                <w:sz w:val="21"/>
                <w:szCs w:val="21"/>
                <w:highlight w:val="none"/>
                <w:u w:val="none"/>
                <w:lang w:val="en-US" w:eastAsia="zh-CN" w:bidi="ar-SA"/>
              </w:rPr>
              <w:t>8</w:t>
            </w:r>
          </w:p>
        </w:tc>
        <w:tc>
          <w:tcPr>
            <w:tcW w:w="0" w:type="auto"/>
            <w:tcBorders>
              <w:tl2br w:val="nil"/>
              <w:tr2bl w:val="nil"/>
            </w:tcBorders>
            <w:shd w:val="clear" w:color="auto" w:fill="auto"/>
            <w:noWrap/>
            <w:vAlign w:val="center"/>
          </w:tcPr>
          <w:p w14:paraId="1BB9CBC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9</w:t>
            </w:r>
          </w:p>
        </w:tc>
        <w:tc>
          <w:tcPr>
            <w:tcW w:w="0" w:type="auto"/>
            <w:tcBorders>
              <w:tl2br w:val="nil"/>
              <w:tr2bl w:val="nil"/>
            </w:tcBorders>
            <w:shd w:val="clear" w:color="auto" w:fill="auto"/>
            <w:noWrap/>
            <w:vAlign w:val="center"/>
          </w:tcPr>
          <w:p w14:paraId="2EDFB5B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28F1F99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952</w:t>
            </w:r>
          </w:p>
        </w:tc>
        <w:tc>
          <w:tcPr>
            <w:tcW w:w="0" w:type="auto"/>
            <w:tcBorders>
              <w:tl2br w:val="nil"/>
              <w:tr2bl w:val="nil"/>
            </w:tcBorders>
            <w:shd w:val="clear" w:color="auto" w:fill="auto"/>
            <w:noWrap/>
            <w:vAlign w:val="center"/>
          </w:tcPr>
          <w:p w14:paraId="402DD1E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473363C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5E472F6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50FD601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9A41E2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37</w:t>
            </w:r>
          </w:p>
        </w:tc>
        <w:tc>
          <w:tcPr>
            <w:tcW w:w="0" w:type="auto"/>
            <w:tcBorders>
              <w:tl2br w:val="nil"/>
              <w:tr2bl w:val="nil"/>
            </w:tcBorders>
            <w:shd w:val="clear" w:color="auto" w:fill="auto"/>
            <w:noWrap/>
            <w:vAlign w:val="center"/>
          </w:tcPr>
          <w:p w14:paraId="7AB2849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62</w:t>
            </w:r>
          </w:p>
        </w:tc>
        <w:tc>
          <w:tcPr>
            <w:tcW w:w="0" w:type="auto"/>
            <w:tcBorders>
              <w:tl2br w:val="nil"/>
              <w:tr2bl w:val="nil"/>
            </w:tcBorders>
            <w:shd w:val="clear" w:color="auto" w:fill="auto"/>
            <w:noWrap/>
            <w:vAlign w:val="center"/>
          </w:tcPr>
          <w:p w14:paraId="2A4BEE6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17F23AD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0.000</w:t>
            </w:r>
            <w:r>
              <w:rPr>
                <w:rFonts w:hint="eastAsia" w:cs="Times New Roman"/>
                <w:color w:val="auto"/>
                <w:kern w:val="2"/>
                <w:sz w:val="21"/>
                <w:szCs w:val="21"/>
                <w:highlight w:val="none"/>
                <w:u w:val="none"/>
                <w:lang w:val="en-US" w:eastAsia="zh-CN" w:bidi="ar-SA"/>
              </w:rPr>
              <w:t>4</w:t>
            </w:r>
          </w:p>
        </w:tc>
        <w:tc>
          <w:tcPr>
            <w:tcW w:w="0" w:type="auto"/>
            <w:tcBorders>
              <w:tl2br w:val="nil"/>
              <w:tr2bl w:val="nil"/>
            </w:tcBorders>
            <w:shd w:val="clear" w:color="auto" w:fill="auto"/>
            <w:noWrap/>
            <w:vAlign w:val="center"/>
          </w:tcPr>
          <w:p w14:paraId="625878B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c>
          <w:tcPr>
            <w:tcW w:w="0" w:type="auto"/>
            <w:tcBorders>
              <w:tl2br w:val="nil"/>
              <w:tr2bl w:val="nil"/>
            </w:tcBorders>
            <w:shd w:val="clear" w:color="auto" w:fill="auto"/>
            <w:noWrap/>
            <w:vAlign w:val="center"/>
          </w:tcPr>
          <w:p w14:paraId="0BF8974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r>
      <w:tr w14:paraId="1B33C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706EADF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10</w:t>
            </w:r>
          </w:p>
        </w:tc>
        <w:tc>
          <w:tcPr>
            <w:tcW w:w="0" w:type="auto"/>
            <w:tcBorders>
              <w:tl2br w:val="nil"/>
              <w:tr2bl w:val="nil"/>
            </w:tcBorders>
            <w:shd w:val="clear" w:color="auto" w:fill="auto"/>
            <w:noWrap/>
            <w:vAlign w:val="center"/>
          </w:tcPr>
          <w:p w14:paraId="079A65C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7.1</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7.</w:t>
            </w:r>
            <w:r>
              <w:rPr>
                <w:rFonts w:hint="eastAsia" w:ascii="Times New Roman" w:hAnsi="Times New Roman" w:eastAsia="宋体"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25BDD14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2.40</w:t>
            </w:r>
          </w:p>
        </w:tc>
        <w:tc>
          <w:tcPr>
            <w:tcW w:w="0" w:type="auto"/>
            <w:tcBorders>
              <w:tl2br w:val="nil"/>
              <w:tr2bl w:val="nil"/>
            </w:tcBorders>
            <w:shd w:val="clear" w:color="auto" w:fill="auto"/>
            <w:noWrap/>
            <w:vAlign w:val="center"/>
          </w:tcPr>
          <w:p w14:paraId="6287944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5</w:t>
            </w:r>
          </w:p>
        </w:tc>
        <w:tc>
          <w:tcPr>
            <w:tcW w:w="0" w:type="auto"/>
            <w:tcBorders>
              <w:tl2br w:val="nil"/>
              <w:tr2bl w:val="nil"/>
            </w:tcBorders>
            <w:shd w:val="clear" w:color="auto" w:fill="auto"/>
            <w:noWrap/>
            <w:vAlign w:val="center"/>
          </w:tcPr>
          <w:p w14:paraId="0D01118B">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7.59</w:t>
            </w:r>
          </w:p>
        </w:tc>
        <w:tc>
          <w:tcPr>
            <w:tcW w:w="0" w:type="auto"/>
            <w:tcBorders>
              <w:tl2br w:val="nil"/>
              <w:tr2bl w:val="nil"/>
            </w:tcBorders>
            <w:shd w:val="clear" w:color="auto" w:fill="auto"/>
            <w:noWrap/>
            <w:vAlign w:val="center"/>
          </w:tcPr>
          <w:p w14:paraId="01E7784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15</w:t>
            </w:r>
          </w:p>
        </w:tc>
        <w:tc>
          <w:tcPr>
            <w:tcW w:w="0" w:type="auto"/>
            <w:tcBorders>
              <w:tl2br w:val="nil"/>
              <w:tr2bl w:val="nil"/>
            </w:tcBorders>
            <w:shd w:val="clear" w:color="auto" w:fill="auto"/>
            <w:noWrap/>
            <w:vAlign w:val="center"/>
          </w:tcPr>
          <w:p w14:paraId="59053C6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2</w:t>
            </w:r>
            <w:r>
              <w:rPr>
                <w:rFonts w:hint="eastAsia" w:ascii="Times New Roman" w:hAnsi="Times New Roman" w:eastAsia="宋体" w:cs="Times New Roman"/>
                <w:color w:val="auto"/>
                <w:kern w:val="2"/>
                <w:sz w:val="21"/>
                <w:szCs w:val="21"/>
                <w:highlight w:val="none"/>
                <w:u w:val="none"/>
                <w:lang w:val="en-US" w:eastAsia="zh-CN" w:bidi="ar-SA"/>
              </w:rPr>
              <w:t>4</w:t>
            </w:r>
          </w:p>
        </w:tc>
        <w:tc>
          <w:tcPr>
            <w:tcW w:w="0" w:type="auto"/>
            <w:tcBorders>
              <w:tl2br w:val="nil"/>
              <w:tr2bl w:val="nil"/>
            </w:tcBorders>
            <w:shd w:val="clear" w:color="auto" w:fill="auto"/>
            <w:noWrap/>
            <w:vAlign w:val="center"/>
          </w:tcPr>
          <w:p w14:paraId="096625D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6</w:t>
            </w:r>
          </w:p>
        </w:tc>
        <w:tc>
          <w:tcPr>
            <w:tcW w:w="0" w:type="auto"/>
            <w:tcBorders>
              <w:tl2br w:val="nil"/>
              <w:tr2bl w:val="nil"/>
            </w:tcBorders>
            <w:shd w:val="clear" w:color="auto" w:fill="auto"/>
            <w:noWrap/>
            <w:vAlign w:val="center"/>
          </w:tcPr>
          <w:p w14:paraId="7CC09B9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2551D31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0.00</w:t>
            </w:r>
            <w:r>
              <w:rPr>
                <w:rFonts w:hint="eastAsia" w:ascii="Times New Roman" w:hAnsi="Times New Roman" w:eastAsia="宋体" w:cs="Times New Roman"/>
                <w:color w:val="auto"/>
                <w:kern w:val="2"/>
                <w:sz w:val="21"/>
                <w:szCs w:val="21"/>
                <w:highlight w:val="none"/>
                <w:u w:val="none"/>
                <w:lang w:val="en-US" w:eastAsia="zh-CN" w:bidi="ar-SA"/>
              </w:rPr>
              <w:t>28</w:t>
            </w:r>
          </w:p>
        </w:tc>
        <w:tc>
          <w:tcPr>
            <w:tcW w:w="0" w:type="auto"/>
            <w:tcBorders>
              <w:tl2br w:val="nil"/>
              <w:tr2bl w:val="nil"/>
            </w:tcBorders>
            <w:shd w:val="clear" w:color="auto" w:fill="auto"/>
            <w:noWrap/>
            <w:vAlign w:val="center"/>
          </w:tcPr>
          <w:p w14:paraId="6B7E7FA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29BECB1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96F172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7F7EE6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282DC4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025</w:t>
            </w:r>
          </w:p>
        </w:tc>
        <w:tc>
          <w:tcPr>
            <w:tcW w:w="0" w:type="auto"/>
            <w:tcBorders>
              <w:tl2br w:val="nil"/>
              <w:tr2bl w:val="nil"/>
            </w:tcBorders>
            <w:shd w:val="clear" w:color="auto" w:fill="auto"/>
            <w:noWrap/>
            <w:vAlign w:val="center"/>
          </w:tcPr>
          <w:p w14:paraId="428F118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0.0053</w:t>
            </w:r>
          </w:p>
        </w:tc>
        <w:tc>
          <w:tcPr>
            <w:tcW w:w="0" w:type="auto"/>
            <w:tcBorders>
              <w:tl2br w:val="nil"/>
              <w:tr2bl w:val="nil"/>
            </w:tcBorders>
            <w:shd w:val="clear" w:color="auto" w:fill="auto"/>
            <w:noWrap/>
            <w:vAlign w:val="center"/>
          </w:tcPr>
          <w:p w14:paraId="7AB36EF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95B3EE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0.0002</w:t>
            </w:r>
          </w:p>
        </w:tc>
        <w:tc>
          <w:tcPr>
            <w:tcW w:w="0" w:type="auto"/>
            <w:tcBorders>
              <w:tl2br w:val="nil"/>
              <w:tr2bl w:val="nil"/>
            </w:tcBorders>
            <w:shd w:val="clear" w:color="auto" w:fill="auto"/>
            <w:noWrap/>
            <w:vAlign w:val="center"/>
          </w:tcPr>
          <w:p w14:paraId="02AD598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c>
          <w:tcPr>
            <w:tcW w:w="0" w:type="auto"/>
            <w:tcBorders>
              <w:tl2br w:val="nil"/>
              <w:tr2bl w:val="nil"/>
            </w:tcBorders>
            <w:shd w:val="clear" w:color="auto" w:fill="auto"/>
            <w:noWrap/>
            <w:vAlign w:val="center"/>
          </w:tcPr>
          <w:p w14:paraId="791734D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r>
      <w:tr w14:paraId="4D8F3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08A2AED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11</w:t>
            </w:r>
          </w:p>
        </w:tc>
        <w:tc>
          <w:tcPr>
            <w:tcW w:w="0" w:type="auto"/>
            <w:tcBorders>
              <w:tl2br w:val="nil"/>
              <w:tr2bl w:val="nil"/>
            </w:tcBorders>
            <w:shd w:val="clear" w:color="auto" w:fill="auto"/>
            <w:noWrap/>
            <w:vAlign w:val="center"/>
          </w:tcPr>
          <w:p w14:paraId="18289469">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7.1</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cs="Times New Roman"/>
                <w:color w:val="auto"/>
                <w:kern w:val="2"/>
                <w:sz w:val="21"/>
                <w:szCs w:val="21"/>
                <w:highlight w:val="none"/>
                <w:u w:val="none"/>
                <w:lang w:val="en-US" w:eastAsia="zh-CN" w:bidi="ar-SA"/>
              </w:rPr>
              <w:t>7.</w:t>
            </w:r>
            <w:r>
              <w:rPr>
                <w:rFonts w:hint="eastAsia" w:ascii="Times New Roman" w:hAnsi="Times New Roman" w:eastAsia="宋体"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40C29BE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0.592</w:t>
            </w:r>
          </w:p>
        </w:tc>
        <w:tc>
          <w:tcPr>
            <w:tcW w:w="0" w:type="auto"/>
            <w:tcBorders>
              <w:tl2br w:val="nil"/>
              <w:tr2bl w:val="nil"/>
            </w:tcBorders>
            <w:shd w:val="clear" w:color="auto" w:fill="auto"/>
            <w:noWrap/>
            <w:vAlign w:val="center"/>
          </w:tcPr>
          <w:p w14:paraId="0D35716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3</w:t>
            </w:r>
          </w:p>
        </w:tc>
        <w:tc>
          <w:tcPr>
            <w:tcW w:w="0" w:type="auto"/>
            <w:tcBorders>
              <w:tl2br w:val="nil"/>
              <w:tr2bl w:val="nil"/>
            </w:tcBorders>
            <w:shd w:val="clear" w:color="auto" w:fill="auto"/>
            <w:noWrap/>
            <w:vAlign w:val="center"/>
          </w:tcPr>
          <w:p w14:paraId="7C65B56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2.72</w:t>
            </w:r>
          </w:p>
        </w:tc>
        <w:tc>
          <w:tcPr>
            <w:tcW w:w="0" w:type="auto"/>
            <w:tcBorders>
              <w:tl2br w:val="nil"/>
              <w:tr2bl w:val="nil"/>
            </w:tcBorders>
            <w:shd w:val="clear" w:color="auto" w:fill="auto"/>
            <w:noWrap/>
            <w:vAlign w:val="center"/>
          </w:tcPr>
          <w:p w14:paraId="31F75A9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w:t>
            </w:r>
            <w:r>
              <w:rPr>
                <w:rFonts w:hint="eastAsia" w:cs="Times New Roman"/>
                <w:color w:val="auto"/>
                <w:kern w:val="2"/>
                <w:sz w:val="21"/>
                <w:szCs w:val="21"/>
                <w:highlight w:val="none"/>
                <w:u w:val="none"/>
                <w:lang w:val="en-US" w:eastAsia="zh-CN" w:bidi="ar-SA"/>
              </w:rPr>
              <w:t>4</w:t>
            </w:r>
          </w:p>
        </w:tc>
        <w:tc>
          <w:tcPr>
            <w:tcW w:w="0" w:type="auto"/>
            <w:tcBorders>
              <w:tl2br w:val="nil"/>
              <w:tr2bl w:val="nil"/>
            </w:tcBorders>
            <w:shd w:val="clear" w:color="auto" w:fill="auto"/>
            <w:noWrap/>
            <w:vAlign w:val="center"/>
          </w:tcPr>
          <w:p w14:paraId="0293B1E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30</w:t>
            </w:r>
          </w:p>
        </w:tc>
        <w:tc>
          <w:tcPr>
            <w:tcW w:w="0" w:type="auto"/>
            <w:tcBorders>
              <w:tl2br w:val="nil"/>
              <w:tr2bl w:val="nil"/>
            </w:tcBorders>
            <w:shd w:val="clear" w:color="auto" w:fill="auto"/>
            <w:noWrap/>
            <w:vAlign w:val="center"/>
          </w:tcPr>
          <w:p w14:paraId="0DAB946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9</w:t>
            </w:r>
          </w:p>
        </w:tc>
        <w:tc>
          <w:tcPr>
            <w:tcW w:w="0" w:type="auto"/>
            <w:tcBorders>
              <w:tl2br w:val="nil"/>
              <w:tr2bl w:val="nil"/>
            </w:tcBorders>
            <w:shd w:val="clear" w:color="auto" w:fill="auto"/>
            <w:noWrap/>
            <w:vAlign w:val="center"/>
          </w:tcPr>
          <w:p w14:paraId="4B8CCE9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1FC3A58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u w:val="none"/>
                <w:lang w:val="en-US" w:eastAsia="zh-CN" w:bidi="ar-SA"/>
              </w:rPr>
            </w:pPr>
            <w:r>
              <w:rPr>
                <w:rFonts w:hint="default" w:ascii="Times New Roman" w:hAnsi="Times New Roman" w:eastAsia="宋体" w:cs="Times New Roman"/>
                <w:b/>
                <w:bCs/>
                <w:color w:val="auto"/>
                <w:kern w:val="2"/>
                <w:sz w:val="21"/>
                <w:szCs w:val="21"/>
                <w:highlight w:val="none"/>
                <w:u w:val="none"/>
                <w:lang w:val="en-US" w:eastAsia="zh-CN" w:bidi="ar-SA"/>
              </w:rPr>
              <w:t>0.</w:t>
            </w:r>
            <w:r>
              <w:rPr>
                <w:rFonts w:hint="eastAsia" w:cs="Times New Roman"/>
                <w:b/>
                <w:bCs/>
                <w:color w:val="auto"/>
                <w:kern w:val="2"/>
                <w:sz w:val="21"/>
                <w:szCs w:val="21"/>
                <w:highlight w:val="none"/>
                <w:u w:val="none"/>
                <w:lang w:val="en-US" w:eastAsia="zh-CN" w:bidi="ar-SA"/>
              </w:rPr>
              <w:t>152</w:t>
            </w:r>
          </w:p>
        </w:tc>
        <w:tc>
          <w:tcPr>
            <w:tcW w:w="0" w:type="auto"/>
            <w:tcBorders>
              <w:tl2br w:val="nil"/>
              <w:tr2bl w:val="nil"/>
            </w:tcBorders>
            <w:shd w:val="clear" w:color="auto" w:fill="auto"/>
            <w:noWrap/>
            <w:vAlign w:val="center"/>
          </w:tcPr>
          <w:p w14:paraId="1161370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129E7656">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31E63D3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5258FA01">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413DEE5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17</w:t>
            </w:r>
          </w:p>
        </w:tc>
        <w:tc>
          <w:tcPr>
            <w:tcW w:w="0" w:type="auto"/>
            <w:tcBorders>
              <w:tl2br w:val="nil"/>
              <w:tr2bl w:val="nil"/>
            </w:tcBorders>
            <w:shd w:val="clear" w:color="auto" w:fill="auto"/>
            <w:noWrap/>
            <w:vAlign w:val="center"/>
          </w:tcPr>
          <w:p w14:paraId="251DB61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0.005</w:t>
            </w:r>
            <w:r>
              <w:rPr>
                <w:rFonts w:hint="eastAsia" w:cs="Times New Roman"/>
                <w:color w:val="auto"/>
                <w:kern w:val="2"/>
                <w:sz w:val="21"/>
                <w:szCs w:val="21"/>
                <w:highlight w:val="none"/>
                <w:u w:val="none"/>
                <w:lang w:val="en-US" w:eastAsia="zh-CN" w:bidi="ar-SA"/>
              </w:rPr>
              <w:t>4</w:t>
            </w:r>
          </w:p>
        </w:tc>
        <w:tc>
          <w:tcPr>
            <w:tcW w:w="0" w:type="auto"/>
            <w:tcBorders>
              <w:tl2br w:val="nil"/>
              <w:tr2bl w:val="nil"/>
            </w:tcBorders>
            <w:shd w:val="clear" w:color="auto" w:fill="auto"/>
            <w:noWrap/>
            <w:vAlign w:val="center"/>
          </w:tcPr>
          <w:p w14:paraId="2C0EB78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8DE9B6C">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w:t>
            </w:r>
            <w:r>
              <w:rPr>
                <w:rFonts w:hint="eastAsia" w:cs="Times New Roman"/>
                <w:color w:val="auto"/>
                <w:kern w:val="2"/>
                <w:sz w:val="21"/>
                <w:szCs w:val="21"/>
                <w:highlight w:val="none"/>
                <w:u w:val="none"/>
                <w:lang w:val="en-US" w:eastAsia="zh-CN" w:bidi="ar-SA"/>
              </w:rPr>
              <w:t>21</w:t>
            </w:r>
          </w:p>
        </w:tc>
        <w:tc>
          <w:tcPr>
            <w:tcW w:w="0" w:type="auto"/>
            <w:tcBorders>
              <w:tl2br w:val="nil"/>
              <w:tr2bl w:val="nil"/>
            </w:tcBorders>
            <w:shd w:val="clear" w:color="auto" w:fill="auto"/>
            <w:noWrap/>
            <w:vAlign w:val="center"/>
          </w:tcPr>
          <w:p w14:paraId="74C7382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c>
          <w:tcPr>
            <w:tcW w:w="0" w:type="auto"/>
            <w:tcBorders>
              <w:tl2br w:val="nil"/>
              <w:tr2bl w:val="nil"/>
            </w:tcBorders>
            <w:shd w:val="clear" w:color="auto" w:fill="auto"/>
            <w:noWrap/>
            <w:vAlign w:val="center"/>
          </w:tcPr>
          <w:p w14:paraId="5BD9479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r>
      <w:tr w14:paraId="07152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200A893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12</w:t>
            </w:r>
          </w:p>
        </w:tc>
        <w:tc>
          <w:tcPr>
            <w:tcW w:w="0" w:type="auto"/>
            <w:tcBorders>
              <w:tl2br w:val="nil"/>
              <w:tr2bl w:val="nil"/>
            </w:tcBorders>
            <w:shd w:val="clear" w:color="auto" w:fill="auto"/>
            <w:noWrap/>
            <w:vAlign w:val="center"/>
          </w:tcPr>
          <w:p w14:paraId="2041831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6.</w:t>
            </w:r>
            <w:r>
              <w:rPr>
                <w:rFonts w:hint="eastAsia" w:cs="Times New Roman"/>
                <w:color w:val="auto"/>
                <w:kern w:val="2"/>
                <w:sz w:val="21"/>
                <w:szCs w:val="21"/>
                <w:highlight w:val="none"/>
                <w:u w:val="none"/>
                <w:lang w:val="en-US" w:eastAsia="zh-CN" w:bidi="ar-SA"/>
              </w:rPr>
              <w:t>3</w:t>
            </w:r>
            <w:r>
              <w:rPr>
                <w:rFonts w:hint="eastAsia" w:ascii="Times New Roman" w:hAnsi="Times New Roman" w:eastAsia="宋体" w:cs="Times New Roman"/>
                <w:color w:val="auto"/>
                <w:kern w:val="2"/>
                <w:sz w:val="21"/>
                <w:szCs w:val="21"/>
                <w:highlight w:val="none"/>
                <w:u w:val="none"/>
                <w:lang w:val="en-US" w:eastAsia="zh-CN" w:bidi="ar-SA"/>
              </w:rPr>
              <w:t>~6.</w:t>
            </w:r>
            <w:r>
              <w:rPr>
                <w:rFonts w:hint="eastAsia" w:cs="Times New Roman"/>
                <w:color w:val="auto"/>
                <w:kern w:val="2"/>
                <w:sz w:val="21"/>
                <w:szCs w:val="21"/>
                <w:highlight w:val="none"/>
                <w:u w:val="none"/>
                <w:lang w:val="en-US" w:eastAsia="zh-CN" w:bidi="ar-SA"/>
              </w:rPr>
              <w:t>4</w:t>
            </w:r>
          </w:p>
        </w:tc>
        <w:tc>
          <w:tcPr>
            <w:tcW w:w="0" w:type="auto"/>
            <w:tcBorders>
              <w:tl2br w:val="nil"/>
              <w:tr2bl w:val="nil"/>
            </w:tcBorders>
            <w:shd w:val="clear" w:color="auto" w:fill="auto"/>
            <w:noWrap/>
            <w:vAlign w:val="center"/>
          </w:tcPr>
          <w:p w14:paraId="4C23EBA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0.791</w:t>
            </w:r>
          </w:p>
        </w:tc>
        <w:tc>
          <w:tcPr>
            <w:tcW w:w="0" w:type="auto"/>
            <w:tcBorders>
              <w:tl2br w:val="nil"/>
              <w:tr2bl w:val="nil"/>
            </w:tcBorders>
            <w:shd w:val="clear" w:color="auto" w:fill="auto"/>
            <w:noWrap/>
            <w:vAlign w:val="center"/>
          </w:tcPr>
          <w:p w14:paraId="6CEE273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56449B9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7.</w:t>
            </w:r>
            <w:r>
              <w:rPr>
                <w:rFonts w:hint="eastAsia" w:cs="Times New Roman"/>
                <w:color w:val="auto"/>
                <w:kern w:val="2"/>
                <w:sz w:val="21"/>
                <w:szCs w:val="21"/>
                <w:highlight w:val="none"/>
                <w:u w:val="none"/>
                <w:lang w:val="en-US" w:eastAsia="zh-CN" w:bidi="ar-SA"/>
              </w:rPr>
              <w:t>14</w:t>
            </w:r>
          </w:p>
        </w:tc>
        <w:tc>
          <w:tcPr>
            <w:tcW w:w="0" w:type="auto"/>
            <w:tcBorders>
              <w:tl2br w:val="nil"/>
              <w:tr2bl w:val="nil"/>
            </w:tcBorders>
            <w:shd w:val="clear" w:color="auto" w:fill="auto"/>
            <w:noWrap/>
            <w:vAlign w:val="center"/>
          </w:tcPr>
          <w:p w14:paraId="4719FD5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w:t>
            </w:r>
            <w:r>
              <w:rPr>
                <w:rFonts w:hint="eastAsia" w:ascii="Times New Roman" w:hAnsi="Times New Roman" w:eastAsia="宋体" w:cs="Times New Roman"/>
                <w:color w:val="auto"/>
                <w:kern w:val="2"/>
                <w:sz w:val="21"/>
                <w:szCs w:val="21"/>
                <w:highlight w:val="none"/>
                <w:u w:val="none"/>
                <w:lang w:val="en-US" w:eastAsia="zh-CN" w:bidi="ar-SA"/>
              </w:rPr>
              <w:t>1</w:t>
            </w:r>
            <w:r>
              <w:rPr>
                <w:rFonts w:hint="eastAsia" w:cs="Times New Roman"/>
                <w:color w:val="auto"/>
                <w:kern w:val="2"/>
                <w:sz w:val="21"/>
                <w:szCs w:val="21"/>
                <w:highlight w:val="none"/>
                <w:u w:val="none"/>
                <w:lang w:val="en-US" w:eastAsia="zh-CN" w:bidi="ar-SA"/>
              </w:rPr>
              <w:t>2</w:t>
            </w:r>
          </w:p>
        </w:tc>
        <w:tc>
          <w:tcPr>
            <w:tcW w:w="0" w:type="auto"/>
            <w:tcBorders>
              <w:tl2br w:val="nil"/>
              <w:tr2bl w:val="nil"/>
            </w:tcBorders>
            <w:shd w:val="clear" w:color="auto" w:fill="auto"/>
            <w:noWrap/>
            <w:vAlign w:val="center"/>
          </w:tcPr>
          <w:p w14:paraId="112316BA">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2</w:t>
            </w:r>
            <w:r>
              <w:rPr>
                <w:rFonts w:hint="eastAsia" w:cs="Times New Roman"/>
                <w:color w:val="auto"/>
                <w:kern w:val="2"/>
                <w:sz w:val="21"/>
                <w:szCs w:val="21"/>
                <w:highlight w:val="none"/>
                <w:u w:val="none"/>
                <w:lang w:val="en-US" w:eastAsia="zh-CN" w:bidi="ar-SA"/>
              </w:rPr>
              <w:t>7</w:t>
            </w:r>
          </w:p>
        </w:tc>
        <w:tc>
          <w:tcPr>
            <w:tcW w:w="0" w:type="auto"/>
            <w:tcBorders>
              <w:tl2br w:val="nil"/>
              <w:tr2bl w:val="nil"/>
            </w:tcBorders>
            <w:shd w:val="clear" w:color="auto" w:fill="auto"/>
            <w:noWrap/>
            <w:vAlign w:val="center"/>
          </w:tcPr>
          <w:p w14:paraId="6CC55AF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7</w:t>
            </w:r>
          </w:p>
        </w:tc>
        <w:tc>
          <w:tcPr>
            <w:tcW w:w="0" w:type="auto"/>
            <w:tcBorders>
              <w:tl2br w:val="nil"/>
              <w:tr2bl w:val="nil"/>
            </w:tcBorders>
            <w:shd w:val="clear" w:color="auto" w:fill="auto"/>
            <w:noWrap/>
            <w:vAlign w:val="center"/>
          </w:tcPr>
          <w:p w14:paraId="3C57EBE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17B330D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u w:val="none"/>
                <w:lang w:val="en-US" w:eastAsia="zh-CN" w:bidi="ar-SA"/>
              </w:rPr>
            </w:pPr>
            <w:r>
              <w:rPr>
                <w:rFonts w:hint="default" w:ascii="Times New Roman" w:hAnsi="Times New Roman" w:eastAsia="宋体" w:cs="Times New Roman"/>
                <w:b/>
                <w:bCs/>
                <w:color w:val="auto"/>
                <w:kern w:val="2"/>
                <w:sz w:val="21"/>
                <w:szCs w:val="21"/>
                <w:highlight w:val="none"/>
                <w:u w:val="none"/>
                <w:lang w:val="en-US" w:eastAsia="zh-CN" w:bidi="ar-SA"/>
              </w:rPr>
              <w:t>0.</w:t>
            </w:r>
            <w:r>
              <w:rPr>
                <w:rFonts w:hint="eastAsia" w:cs="Times New Roman"/>
                <w:b/>
                <w:bCs/>
                <w:color w:val="auto"/>
                <w:kern w:val="2"/>
                <w:sz w:val="21"/>
                <w:szCs w:val="21"/>
                <w:highlight w:val="none"/>
                <w:u w:val="none"/>
                <w:lang w:val="en-US" w:eastAsia="zh-CN" w:bidi="ar-SA"/>
              </w:rPr>
              <w:t>249</w:t>
            </w:r>
          </w:p>
        </w:tc>
        <w:tc>
          <w:tcPr>
            <w:tcW w:w="0" w:type="auto"/>
            <w:tcBorders>
              <w:tl2br w:val="nil"/>
              <w:tr2bl w:val="nil"/>
            </w:tcBorders>
            <w:shd w:val="clear" w:color="auto" w:fill="auto"/>
            <w:noWrap/>
            <w:vAlign w:val="center"/>
          </w:tcPr>
          <w:p w14:paraId="5C154073">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63A41BA4">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B59DE7F">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7E03B3B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0DBAB43E">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0.0</w:t>
            </w:r>
            <w:r>
              <w:rPr>
                <w:rFonts w:hint="eastAsia" w:ascii="Times New Roman" w:hAnsi="Times New Roman" w:eastAsia="宋体" w:cs="Times New Roman"/>
                <w:color w:val="auto"/>
                <w:kern w:val="2"/>
                <w:sz w:val="21"/>
                <w:szCs w:val="21"/>
                <w:highlight w:val="none"/>
                <w:u w:val="none"/>
                <w:lang w:val="en-US" w:eastAsia="zh-CN" w:bidi="ar-SA"/>
              </w:rPr>
              <w:t>0</w:t>
            </w:r>
            <w:r>
              <w:rPr>
                <w:rFonts w:hint="eastAsia" w:cs="Times New Roman"/>
                <w:color w:val="auto"/>
                <w:kern w:val="2"/>
                <w:sz w:val="21"/>
                <w:szCs w:val="21"/>
                <w:highlight w:val="none"/>
                <w:u w:val="none"/>
                <w:lang w:val="en-US" w:eastAsia="zh-CN" w:bidi="ar-SA"/>
              </w:rPr>
              <w:t>18</w:t>
            </w:r>
          </w:p>
        </w:tc>
        <w:tc>
          <w:tcPr>
            <w:tcW w:w="0" w:type="auto"/>
            <w:tcBorders>
              <w:tl2br w:val="nil"/>
              <w:tr2bl w:val="nil"/>
            </w:tcBorders>
            <w:shd w:val="clear" w:color="auto" w:fill="auto"/>
            <w:noWrap/>
            <w:vAlign w:val="center"/>
          </w:tcPr>
          <w:p w14:paraId="3D15B938">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w:t>
            </w:r>
            <w:r>
              <w:rPr>
                <w:rFonts w:hint="eastAsia" w:cs="Times New Roman"/>
                <w:color w:val="auto"/>
                <w:kern w:val="2"/>
                <w:sz w:val="21"/>
                <w:szCs w:val="21"/>
                <w:highlight w:val="none"/>
                <w:u w:val="none"/>
                <w:lang w:val="en-US" w:eastAsia="zh-CN" w:bidi="ar-SA"/>
              </w:rPr>
              <w:t>30</w:t>
            </w:r>
          </w:p>
        </w:tc>
        <w:tc>
          <w:tcPr>
            <w:tcW w:w="0" w:type="auto"/>
            <w:tcBorders>
              <w:tl2br w:val="nil"/>
              <w:tr2bl w:val="nil"/>
            </w:tcBorders>
            <w:shd w:val="clear" w:color="auto" w:fill="auto"/>
            <w:noWrap/>
            <w:vAlign w:val="center"/>
          </w:tcPr>
          <w:p w14:paraId="4039D66D">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ND</w:t>
            </w:r>
          </w:p>
        </w:tc>
        <w:tc>
          <w:tcPr>
            <w:tcW w:w="0" w:type="auto"/>
            <w:tcBorders>
              <w:tl2br w:val="nil"/>
              <w:tr2bl w:val="nil"/>
            </w:tcBorders>
            <w:shd w:val="clear" w:color="auto" w:fill="auto"/>
            <w:noWrap/>
            <w:vAlign w:val="center"/>
          </w:tcPr>
          <w:p w14:paraId="42ED1920">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0.0002</w:t>
            </w:r>
          </w:p>
        </w:tc>
        <w:tc>
          <w:tcPr>
            <w:tcW w:w="0" w:type="auto"/>
            <w:tcBorders>
              <w:tl2br w:val="nil"/>
              <w:tr2bl w:val="nil"/>
            </w:tcBorders>
            <w:shd w:val="clear" w:color="auto" w:fill="auto"/>
            <w:noWrap/>
            <w:vAlign w:val="center"/>
          </w:tcPr>
          <w:p w14:paraId="081D3D45">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c>
          <w:tcPr>
            <w:tcW w:w="0" w:type="auto"/>
            <w:tcBorders>
              <w:tl2br w:val="nil"/>
              <w:tr2bl w:val="nil"/>
            </w:tcBorders>
            <w:shd w:val="clear" w:color="auto" w:fill="auto"/>
            <w:noWrap/>
            <w:vAlign w:val="center"/>
          </w:tcPr>
          <w:p w14:paraId="4D7F6B47">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cs="Times New Roman"/>
                <w:color w:val="auto"/>
                <w:kern w:val="2"/>
                <w:sz w:val="21"/>
                <w:szCs w:val="21"/>
                <w:highlight w:val="none"/>
                <w:u w:val="none"/>
                <w:lang w:val="en-US" w:eastAsia="zh-CN" w:bidi="ar-SA"/>
              </w:rPr>
              <w:t>/</w:t>
            </w:r>
          </w:p>
        </w:tc>
      </w:tr>
      <w:tr w14:paraId="6EE1B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0" w:type="auto"/>
            <w:tcBorders>
              <w:tl2br w:val="nil"/>
              <w:tr2bl w:val="nil"/>
            </w:tcBorders>
            <w:shd w:val="clear" w:color="auto" w:fill="auto"/>
            <w:noWrap/>
            <w:vAlign w:val="center"/>
          </w:tcPr>
          <w:p w14:paraId="0CB51152">
            <w:pPr>
              <w:keepNext w:val="0"/>
              <w:keepLines w:val="0"/>
              <w:widowControl w:val="0"/>
              <w:suppressLineNumbers w:val="0"/>
              <w:pBdr>
                <w:top w:val="none" w:color="auto" w:sz="0" w:space="1"/>
                <w:left w:val="none" w:color="auto" w:sz="0" w:space="4"/>
                <w:bottom w:val="none" w:color="auto" w:sz="0" w:space="1"/>
                <w:right w:val="none" w:color="auto" w:sz="0" w:space="4"/>
              </w:pBdr>
              <w:tabs>
                <w:tab w:val="left" w:pos="1021"/>
              </w:tabs>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标准</w:t>
            </w:r>
            <w:r>
              <w:rPr>
                <w:rFonts w:hint="default" w:ascii="Times New Roman" w:hAnsi="Times New Roman" w:eastAsia="宋体" w:cs="Times New Roman"/>
                <w:color w:val="auto"/>
                <w:kern w:val="2"/>
                <w:sz w:val="21"/>
                <w:szCs w:val="21"/>
                <w:highlight w:val="none"/>
                <w:u w:val="none"/>
                <w:lang w:val="en-US" w:eastAsia="zh-CN" w:bidi="ar-SA"/>
              </w:rPr>
              <w:t>值</w:t>
            </w:r>
          </w:p>
        </w:tc>
        <w:tc>
          <w:tcPr>
            <w:tcW w:w="726" w:type="dxa"/>
            <w:tcBorders>
              <w:tl2br w:val="nil"/>
              <w:tr2bl w:val="nil"/>
            </w:tcBorders>
            <w:shd w:val="clear" w:color="auto" w:fill="auto"/>
            <w:noWrap/>
            <w:vAlign w:val="center"/>
          </w:tcPr>
          <w:p w14:paraId="7EF7431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6~9</w:t>
            </w:r>
          </w:p>
        </w:tc>
        <w:tc>
          <w:tcPr>
            <w:tcW w:w="409" w:type="dxa"/>
            <w:tcBorders>
              <w:tl2br w:val="nil"/>
              <w:tr2bl w:val="nil"/>
            </w:tcBorders>
            <w:shd w:val="clear" w:color="auto" w:fill="auto"/>
            <w:noWrap/>
            <w:vAlign w:val="center"/>
          </w:tcPr>
          <w:p w14:paraId="35E65648">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8</w:t>
            </w:r>
          </w:p>
        </w:tc>
        <w:tc>
          <w:tcPr>
            <w:tcW w:w="364" w:type="dxa"/>
            <w:tcBorders>
              <w:tl2br w:val="nil"/>
              <w:tr2bl w:val="nil"/>
            </w:tcBorders>
            <w:shd w:val="clear" w:color="auto" w:fill="auto"/>
            <w:noWrap/>
            <w:vAlign w:val="center"/>
          </w:tcPr>
          <w:p w14:paraId="13F47C5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1.0</w:t>
            </w:r>
          </w:p>
        </w:tc>
        <w:tc>
          <w:tcPr>
            <w:tcW w:w="364" w:type="dxa"/>
            <w:tcBorders>
              <w:tl2br w:val="nil"/>
              <w:tr2bl w:val="nil"/>
            </w:tcBorders>
            <w:shd w:val="clear" w:color="auto" w:fill="auto"/>
            <w:noWrap/>
            <w:vAlign w:val="center"/>
          </w:tcPr>
          <w:p w14:paraId="60D97FD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15</w:t>
            </w:r>
          </w:p>
        </w:tc>
        <w:tc>
          <w:tcPr>
            <w:tcW w:w="541" w:type="dxa"/>
            <w:tcBorders>
              <w:tl2br w:val="nil"/>
              <w:tr2bl w:val="nil"/>
            </w:tcBorders>
            <w:shd w:val="clear" w:color="auto" w:fill="auto"/>
            <w:noWrap/>
            <w:vAlign w:val="center"/>
          </w:tcPr>
          <w:p w14:paraId="60B94127">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3</w:t>
            </w:r>
          </w:p>
        </w:tc>
        <w:tc>
          <w:tcPr>
            <w:tcW w:w="385" w:type="dxa"/>
            <w:tcBorders>
              <w:tl2br w:val="nil"/>
              <w:tr2bl w:val="nil"/>
            </w:tcBorders>
            <w:shd w:val="clear" w:color="auto" w:fill="auto"/>
            <w:noWrap/>
            <w:vAlign w:val="center"/>
          </w:tcPr>
          <w:p w14:paraId="5D0148E9">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60</w:t>
            </w:r>
          </w:p>
        </w:tc>
        <w:tc>
          <w:tcPr>
            <w:tcW w:w="207" w:type="dxa"/>
            <w:tcBorders>
              <w:tl2br w:val="nil"/>
              <w:tr2bl w:val="nil"/>
            </w:tcBorders>
            <w:shd w:val="clear" w:color="auto" w:fill="auto"/>
            <w:noWrap/>
            <w:vAlign w:val="center"/>
          </w:tcPr>
          <w:p w14:paraId="4AAECA7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70</w:t>
            </w:r>
          </w:p>
        </w:tc>
        <w:tc>
          <w:tcPr>
            <w:tcW w:w="266" w:type="dxa"/>
            <w:tcBorders>
              <w:tl2br w:val="nil"/>
              <w:tr2bl w:val="nil"/>
            </w:tcBorders>
            <w:shd w:val="clear" w:color="auto" w:fill="auto"/>
            <w:noWrap/>
            <w:vAlign w:val="center"/>
          </w:tcPr>
          <w:p w14:paraId="59296C4B">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default"/>
                <w:color w:val="auto"/>
                <w:highlight w:val="none"/>
                <w:lang w:val="en-US" w:eastAsia="zh-CN"/>
              </w:rPr>
              <w:t>0.</w:t>
            </w:r>
            <w:r>
              <w:rPr>
                <w:rFonts w:hint="eastAsia"/>
                <w:color w:val="auto"/>
                <w:highlight w:val="none"/>
                <w:lang w:val="en-US" w:eastAsia="zh-CN"/>
              </w:rPr>
              <w:t>2</w:t>
            </w:r>
          </w:p>
        </w:tc>
        <w:tc>
          <w:tcPr>
            <w:tcW w:w="498" w:type="dxa"/>
            <w:tcBorders>
              <w:tl2br w:val="nil"/>
              <w:tr2bl w:val="nil"/>
            </w:tcBorders>
            <w:shd w:val="clear" w:color="auto" w:fill="auto"/>
            <w:noWrap/>
            <w:vAlign w:val="center"/>
          </w:tcPr>
          <w:p w14:paraId="5A76F77B">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default"/>
                <w:color w:val="auto"/>
                <w:highlight w:val="none"/>
                <w:lang w:val="en-US" w:eastAsia="zh-CN"/>
              </w:rPr>
              <w:t>0.</w:t>
            </w:r>
            <w:r>
              <w:rPr>
                <w:rFonts w:hint="eastAsia"/>
                <w:color w:val="auto"/>
                <w:highlight w:val="none"/>
                <w:lang w:val="en-US" w:eastAsia="zh-CN"/>
              </w:rPr>
              <w:t>15</w:t>
            </w:r>
          </w:p>
        </w:tc>
        <w:tc>
          <w:tcPr>
            <w:tcW w:w="266" w:type="dxa"/>
            <w:tcBorders>
              <w:tl2br w:val="nil"/>
              <w:tr2bl w:val="nil"/>
            </w:tcBorders>
            <w:shd w:val="clear" w:color="auto" w:fill="auto"/>
            <w:noWrap/>
            <w:vAlign w:val="center"/>
          </w:tcPr>
          <w:p w14:paraId="6DD3F9A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2.0</w:t>
            </w:r>
            <w:r>
              <w:rPr>
                <w:rFonts w:hint="default"/>
                <w:color w:val="auto"/>
                <w:highlight w:val="none"/>
                <w:lang w:val="en-US" w:eastAsia="zh-CN"/>
              </w:rPr>
              <w:t xml:space="preserve"> </w:t>
            </w:r>
          </w:p>
        </w:tc>
        <w:tc>
          <w:tcPr>
            <w:tcW w:w="266" w:type="dxa"/>
            <w:tcBorders>
              <w:tl2br w:val="nil"/>
              <w:tr2bl w:val="nil"/>
            </w:tcBorders>
            <w:shd w:val="clear" w:color="auto" w:fill="auto"/>
            <w:noWrap/>
            <w:vAlign w:val="center"/>
          </w:tcPr>
          <w:p w14:paraId="02201B1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1.0</w:t>
            </w:r>
            <w:r>
              <w:rPr>
                <w:rFonts w:hint="default"/>
                <w:color w:val="auto"/>
                <w:highlight w:val="none"/>
                <w:lang w:val="en-US" w:eastAsia="zh-CN"/>
              </w:rPr>
              <w:t xml:space="preserve"> </w:t>
            </w:r>
          </w:p>
        </w:tc>
        <w:tc>
          <w:tcPr>
            <w:tcW w:w="541" w:type="dxa"/>
            <w:tcBorders>
              <w:tl2br w:val="nil"/>
              <w:tr2bl w:val="nil"/>
            </w:tcBorders>
            <w:shd w:val="clear" w:color="auto" w:fill="auto"/>
            <w:noWrap/>
            <w:vAlign w:val="center"/>
          </w:tcPr>
          <w:p w14:paraId="1737FB31">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default"/>
                <w:color w:val="auto"/>
                <w:highlight w:val="none"/>
                <w:lang w:val="en-US" w:eastAsia="zh-CN"/>
              </w:rPr>
              <w:t>0.</w:t>
            </w:r>
            <w:r>
              <w:rPr>
                <w:rFonts w:hint="eastAsia"/>
                <w:color w:val="auto"/>
                <w:highlight w:val="none"/>
                <w:lang w:val="en-US" w:eastAsia="zh-CN"/>
              </w:rPr>
              <w:t>2</w:t>
            </w:r>
            <w:r>
              <w:rPr>
                <w:rFonts w:hint="default"/>
                <w:color w:val="auto"/>
                <w:highlight w:val="none"/>
                <w:lang w:val="en-US" w:eastAsia="zh-CN"/>
              </w:rPr>
              <w:t xml:space="preserve"> </w:t>
            </w:r>
          </w:p>
        </w:tc>
        <w:tc>
          <w:tcPr>
            <w:tcW w:w="498" w:type="dxa"/>
            <w:tcBorders>
              <w:tl2br w:val="nil"/>
              <w:tr2bl w:val="nil"/>
            </w:tcBorders>
            <w:shd w:val="clear" w:color="auto" w:fill="auto"/>
            <w:noWrap/>
            <w:vAlign w:val="center"/>
          </w:tcPr>
          <w:p w14:paraId="6805CBE2">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default"/>
                <w:color w:val="auto"/>
                <w:highlight w:val="none"/>
                <w:lang w:val="en-US" w:eastAsia="zh-CN"/>
              </w:rPr>
              <w:t>0.00</w:t>
            </w:r>
            <w:r>
              <w:rPr>
                <w:rFonts w:hint="eastAsia"/>
                <w:color w:val="auto"/>
                <w:highlight w:val="none"/>
                <w:lang w:val="en-US" w:eastAsia="zh-CN"/>
              </w:rPr>
              <w:t>5</w:t>
            </w:r>
            <w:r>
              <w:rPr>
                <w:rFonts w:hint="default"/>
                <w:color w:val="auto"/>
                <w:highlight w:val="none"/>
                <w:lang w:val="en-US" w:eastAsia="zh-CN"/>
              </w:rPr>
              <w:t xml:space="preserve"> </w:t>
            </w:r>
          </w:p>
        </w:tc>
        <w:tc>
          <w:tcPr>
            <w:tcW w:w="498" w:type="dxa"/>
            <w:tcBorders>
              <w:tl2br w:val="nil"/>
              <w:tr2bl w:val="nil"/>
            </w:tcBorders>
            <w:shd w:val="clear" w:color="auto" w:fill="auto"/>
            <w:noWrap/>
            <w:vAlign w:val="center"/>
          </w:tcPr>
          <w:p w14:paraId="644653D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default"/>
                <w:color w:val="auto"/>
                <w:highlight w:val="none"/>
                <w:lang w:val="en-US" w:eastAsia="zh-CN"/>
              </w:rPr>
              <w:t>0.0</w:t>
            </w:r>
            <w:r>
              <w:rPr>
                <w:rFonts w:hint="eastAsia"/>
                <w:color w:val="auto"/>
                <w:highlight w:val="none"/>
                <w:lang w:val="en-US" w:eastAsia="zh-CN"/>
              </w:rPr>
              <w:t>2</w:t>
            </w:r>
          </w:p>
        </w:tc>
        <w:tc>
          <w:tcPr>
            <w:tcW w:w="498" w:type="dxa"/>
            <w:tcBorders>
              <w:tl2br w:val="nil"/>
              <w:tr2bl w:val="nil"/>
            </w:tcBorders>
            <w:shd w:val="clear" w:color="auto" w:fill="auto"/>
            <w:noWrap/>
            <w:vAlign w:val="center"/>
          </w:tcPr>
          <w:p w14:paraId="768F611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0.2</w:t>
            </w:r>
          </w:p>
        </w:tc>
        <w:tc>
          <w:tcPr>
            <w:tcW w:w="586" w:type="dxa"/>
            <w:tcBorders>
              <w:tl2br w:val="nil"/>
              <w:tr2bl w:val="nil"/>
            </w:tcBorders>
            <w:shd w:val="clear" w:color="auto" w:fill="auto"/>
            <w:noWrap/>
            <w:vAlign w:val="center"/>
          </w:tcPr>
          <w:p w14:paraId="2B286EB0">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ND</w:t>
            </w:r>
          </w:p>
        </w:tc>
        <w:tc>
          <w:tcPr>
            <w:tcW w:w="498" w:type="dxa"/>
            <w:tcBorders>
              <w:tl2br w:val="nil"/>
              <w:tr2bl w:val="nil"/>
            </w:tcBorders>
            <w:shd w:val="clear" w:color="auto" w:fill="auto"/>
            <w:noWrap/>
            <w:vAlign w:val="center"/>
          </w:tcPr>
          <w:p w14:paraId="1CF9985E">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0.1</w:t>
            </w:r>
          </w:p>
        </w:tc>
        <w:tc>
          <w:tcPr>
            <w:tcW w:w="542" w:type="dxa"/>
            <w:tcBorders>
              <w:tl2br w:val="nil"/>
              <w:tr2bl w:val="nil"/>
            </w:tcBorders>
            <w:shd w:val="clear" w:color="auto" w:fill="auto"/>
            <w:noWrap/>
            <w:vAlign w:val="center"/>
          </w:tcPr>
          <w:p w14:paraId="68CF6EDC">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5</w:t>
            </w:r>
          </w:p>
        </w:tc>
        <w:tc>
          <w:tcPr>
            <w:tcW w:w="552" w:type="dxa"/>
            <w:tcBorders>
              <w:tl2br w:val="nil"/>
              <w:tr2bl w:val="nil"/>
            </w:tcBorders>
            <w:shd w:val="clear" w:color="auto" w:fill="auto"/>
            <w:noWrap/>
            <w:vAlign w:val="center"/>
          </w:tcPr>
          <w:p w14:paraId="245F5E34">
            <w:pPr>
              <w:pStyle w:val="26"/>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highlight w:val="none"/>
                <w:lang w:val="en-US" w:eastAsia="zh-CN"/>
              </w:rPr>
              <w:t>0.5</w:t>
            </w:r>
          </w:p>
        </w:tc>
      </w:tr>
    </w:tbl>
    <w:p w14:paraId="731D7C24">
      <w:pPr>
        <w:pStyle w:val="26"/>
        <w:bidi w:val="0"/>
        <w:jc w:val="left"/>
        <w:rPr>
          <w:rFonts w:hint="default"/>
          <w:color w:val="auto"/>
          <w:highlight w:val="none"/>
          <w:lang w:val="en-US" w:eastAsia="zh-CN"/>
        </w:rPr>
      </w:pPr>
      <w:r>
        <w:rPr>
          <w:rFonts w:hint="eastAsia"/>
          <w:color w:val="auto"/>
          <w:highlight w:val="none"/>
          <w:lang w:val="en-US" w:eastAsia="zh-CN"/>
        </w:rPr>
        <w:t>注：</w:t>
      </w:r>
      <w:r>
        <w:rPr>
          <w:rFonts w:hint="default" w:ascii="Times New Roman" w:hAnsi="Times New Roman" w:eastAsia="宋体" w:cs="Times New Roman"/>
          <w:color w:val="auto"/>
          <w:highlight w:val="none"/>
          <w:lang w:val="en-US" w:eastAsia="zh-CN"/>
        </w:rPr>
        <w:t>①</w:t>
      </w:r>
      <w:r>
        <w:rPr>
          <w:rFonts w:hint="default"/>
          <w:color w:val="auto"/>
          <w:highlight w:val="none"/>
          <w:lang w:val="en-US" w:eastAsia="zh-CN"/>
        </w:rPr>
        <w:t>每次监测采样三次，本表格中为监测最大值；</w:t>
      </w:r>
    </w:p>
    <w:p w14:paraId="43C02C0E">
      <w:pPr>
        <w:pStyle w:val="26"/>
        <w:bidi w:val="0"/>
        <w:ind w:firstLine="418" w:firstLineChars="190"/>
        <w:jc w:val="left"/>
        <w:rPr>
          <w:rFonts w:hint="default"/>
          <w:color w:val="auto"/>
          <w:highlight w:val="none"/>
          <w:lang w:val="en-US" w:eastAsia="zh-CN"/>
        </w:rPr>
      </w:pPr>
      <w:r>
        <w:rPr>
          <w:rFonts w:hint="default" w:ascii="Times New Roman" w:hAnsi="Times New Roman" w:eastAsia="宋体" w:cs="Times New Roman"/>
          <w:color w:val="auto"/>
          <w:highlight w:val="none"/>
          <w:lang w:val="en-US" w:eastAsia="zh-CN"/>
        </w:rPr>
        <w:t>②执行《锡、锑、汞工业污染物排放标准》表</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水污染物排放限值</w:t>
      </w:r>
      <w:r>
        <w:rPr>
          <w:rFonts w:hint="eastAsia" w:ascii="Times New Roman" w:hAnsi="Times New Roman" w:eastAsia="宋体" w:cs="Times New Roman"/>
          <w:color w:val="auto"/>
          <w:highlight w:val="none"/>
          <w:lang w:val="en-US" w:eastAsia="zh-CN"/>
        </w:rPr>
        <w:t>，锑再严格50%执行</w:t>
      </w:r>
      <w:r>
        <w:rPr>
          <w:rFonts w:hint="default"/>
          <w:color w:val="auto"/>
          <w:highlight w:val="none"/>
          <w:lang w:val="en-US" w:eastAsia="zh-CN"/>
        </w:rPr>
        <w:t>；</w:t>
      </w:r>
    </w:p>
    <w:p w14:paraId="2DC898F2">
      <w:pPr>
        <w:pStyle w:val="26"/>
        <w:bidi w:val="0"/>
        <w:ind w:firstLine="418" w:firstLineChars="190"/>
        <w:jc w:val="left"/>
        <w:rPr>
          <w:rFonts w:hint="default"/>
          <w:color w:val="auto"/>
          <w:highlight w:val="none"/>
          <w:lang w:val="en-US" w:eastAsia="zh-CN"/>
        </w:rPr>
      </w:pPr>
      <w:r>
        <w:rPr>
          <w:rFonts w:hint="default" w:ascii="Times New Roman" w:hAnsi="Times New Roman" w:eastAsia="宋体" w:cs="Times New Roman"/>
          <w:color w:val="auto"/>
          <w:highlight w:val="none"/>
          <w:lang w:val="en-US" w:eastAsia="zh-CN"/>
        </w:rPr>
        <w:t>③</w:t>
      </w:r>
      <w:r>
        <w:rPr>
          <w:rFonts w:hint="default"/>
          <w:color w:val="auto"/>
          <w:highlight w:val="none"/>
          <w:lang w:val="en-US" w:eastAsia="zh-CN"/>
        </w:rPr>
        <w:t>铊</w:t>
      </w:r>
      <w:r>
        <w:rPr>
          <w:rFonts w:hint="default" w:ascii="Times New Roman" w:hAnsi="Times New Roman" w:eastAsia="宋体" w:cs="Times New Roman"/>
          <w:color w:val="auto"/>
          <w:highlight w:val="none"/>
          <w:lang w:val="en-US" w:eastAsia="zh-CN"/>
        </w:rPr>
        <w:t>执行《工业废水铊污染物排放标准》（DB43/968-2021）标准。</w:t>
      </w:r>
    </w:p>
    <w:p w14:paraId="0940E0FA">
      <w:pPr>
        <w:pStyle w:val="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根据2023年例行监测结果，废水处理站排放废水中，除部分月度锑超标外，其他监测因子均满足《</w:t>
      </w:r>
      <w:r>
        <w:rPr>
          <w:rFonts w:hint="eastAsia" w:ascii="Times New Roman" w:hAnsi="Times New Roman" w:cs="Times New Roman"/>
          <w:color w:val="auto"/>
          <w:highlight w:val="none"/>
          <w:lang w:val="en-US" w:eastAsia="zh-CN"/>
        </w:rPr>
        <w:fldChar w:fldCharType="begin"/>
      </w:r>
      <w:r>
        <w:rPr>
          <w:rFonts w:hint="eastAsia" w:ascii="Times New Roman" w:hAnsi="Times New Roman" w:cs="Times New Roman"/>
          <w:color w:val="auto"/>
          <w:highlight w:val="none"/>
          <w:lang w:val="en-US" w:eastAsia="zh-CN"/>
        </w:rPr>
        <w:instrText xml:space="preserve"> HYPERLINK "http://kjs.mep.gov.cn/hjbhbz/bzwb/dqhjbh/dqgdwrywrwpfbz/201405/W020140530533213253195.pdf" </w:instrText>
      </w:r>
      <w:r>
        <w:rPr>
          <w:rFonts w:hint="eastAsia" w:ascii="Times New Roman" w:hAnsi="Times New Roman" w:cs="Times New Roman"/>
          <w:color w:val="auto"/>
          <w:highlight w:val="none"/>
          <w:lang w:val="en-US" w:eastAsia="zh-CN"/>
        </w:rPr>
        <w:fldChar w:fldCharType="separate"/>
      </w:r>
      <w:r>
        <w:rPr>
          <w:rFonts w:hint="eastAsia" w:ascii="Times New Roman" w:hAnsi="Times New Roman" w:cs="Times New Roman"/>
          <w:color w:val="auto"/>
          <w:highlight w:val="none"/>
          <w:lang w:val="en-US" w:eastAsia="zh-CN"/>
        </w:rPr>
        <w:t>锡、锑、汞工业污染物排放标准</w:t>
      </w:r>
      <w:r>
        <w:rPr>
          <w:rFonts w:hint="eastAsia" w:ascii="Times New Roman" w:hAnsi="Times New Roman" w:cs="Times New Roman"/>
          <w:color w:val="auto"/>
          <w:highlight w:val="none"/>
          <w:lang w:val="en-US" w:eastAsia="zh-CN"/>
        </w:rPr>
        <w:fldChar w:fldCharType="end"/>
      </w:r>
      <w:r>
        <w:rPr>
          <w:rFonts w:hint="eastAsia" w:ascii="Times New Roman" w:hAnsi="Times New Roman" w:cs="Times New Roman"/>
          <w:color w:val="auto"/>
          <w:highlight w:val="none"/>
          <w:lang w:val="en-US" w:eastAsia="zh-CN"/>
        </w:rPr>
        <w:t>》（GB 30770-2014）表</w:t>
      </w:r>
      <w:r>
        <w:rPr>
          <w:rFonts w:hint="eastAsia" w:cs="Times New Roman"/>
          <w:color w:val="auto"/>
          <w:highlight w:val="none"/>
          <w:lang w:val="en-US" w:eastAsia="zh-CN"/>
        </w:rPr>
        <w:t>2</w:t>
      </w:r>
      <w:r>
        <w:rPr>
          <w:rFonts w:hint="eastAsia" w:ascii="Times New Roman" w:hAnsi="Times New Roman" w:cs="Times New Roman"/>
          <w:color w:val="auto"/>
          <w:highlight w:val="none"/>
          <w:lang w:val="en-US" w:eastAsia="zh-CN"/>
        </w:rPr>
        <w:t>限值</w:t>
      </w:r>
      <w:r>
        <w:rPr>
          <w:rFonts w:hint="eastAsia" w:cs="Times New Roman"/>
          <w:color w:val="auto"/>
          <w:highlight w:val="none"/>
          <w:lang w:val="en-US" w:eastAsia="zh-CN"/>
        </w:rPr>
        <w:t>，铊因子满足《工业废水铊污染物排放标准》（DB43/968-2021）</w:t>
      </w:r>
      <w:r>
        <w:rPr>
          <w:rFonts w:hint="eastAsia" w:ascii="Times New Roman" w:hAnsi="Times New Roman" w:cs="Times New Roman"/>
          <w:color w:val="auto"/>
          <w:highlight w:val="none"/>
          <w:lang w:val="en-US" w:eastAsia="zh-CN"/>
        </w:rPr>
        <w:t>。对于锑，仅5月、11月、12月3个月度超标，超标倍数分别为0.453倍、0.013倍、0.66倍。全年锑排放浓度均值为0.10mg/L，占标率为33%。</w:t>
      </w:r>
    </w:p>
    <w:p w14:paraId="7444BD6D">
      <w:pPr>
        <w:pStyle w:val="2"/>
        <w:bidi w:val="0"/>
        <w:rPr>
          <w:color w:val="auto"/>
          <w:highlight w:val="none"/>
        </w:rPr>
      </w:pPr>
      <w:r>
        <w:rPr>
          <w:rFonts w:hint="eastAsia"/>
          <w:color w:val="auto"/>
          <w:highlight w:val="none"/>
          <w:lang w:val="en-US" w:eastAsia="zh-CN"/>
        </w:rPr>
        <w:t>由监测结果可知，渣滓溪锑矿全年锑排放平均浓度低于本次评价执行的排放标准0.15mg/L，有3个月度监测指标超标，但均低于企业目前排污许可执行标准0.3mg/L。本次论证建议提高渣滓溪锑矿废水排放浓度要求，在排放限值0.3mg/L的基础上，再严格50%执行，即0.15mg/L。</w:t>
      </w:r>
    </w:p>
    <w:p w14:paraId="6B128247">
      <w:pPr>
        <w:pStyle w:val="37"/>
        <w:bidi w:val="0"/>
        <w:rPr>
          <w:rFonts w:hint="eastAsia"/>
          <w:color w:val="auto"/>
          <w:highlight w:val="none"/>
          <w:lang w:val="en-US" w:eastAsia="zh-CN"/>
        </w:rPr>
      </w:pPr>
      <w:r>
        <w:rPr>
          <w:rFonts w:hint="eastAsia"/>
          <w:color w:val="auto"/>
          <w:highlight w:val="none"/>
          <w:lang w:val="en-US" w:eastAsia="zh-CN"/>
        </w:rPr>
        <w:t>企业在线监测</w:t>
      </w:r>
    </w:p>
    <w:p w14:paraId="524C90ED">
      <w:pPr>
        <w:widowControl w:val="0"/>
        <w:tabs>
          <w:tab w:val="left" w:pos="1021"/>
        </w:tabs>
        <w:bidi w:val="0"/>
        <w:spacing w:line="360" w:lineRule="auto"/>
        <w:ind w:firstLine="480" w:firstLineChars="200"/>
        <w:jc w:val="both"/>
        <w:rPr>
          <w:rFonts w:hint="default" w:ascii="Times New Roman" w:hAnsi="Times New Roman" w:eastAsia="宋体" w:cs="Times New Roman"/>
          <w:color w:val="auto"/>
          <w:kern w:val="2"/>
          <w:sz w:val="24"/>
          <w:highlight w:val="none"/>
          <w:lang w:val="en-US" w:eastAsia="zh-CN" w:bidi="ar-SA"/>
        </w:rPr>
      </w:pPr>
      <w:r>
        <w:rPr>
          <w:rFonts w:hint="default" w:ascii="Times New Roman" w:hAnsi="Times New Roman" w:eastAsia="宋体" w:cs="Times New Roman"/>
          <w:color w:val="auto"/>
          <w:kern w:val="2"/>
          <w:sz w:val="24"/>
          <w:highlight w:val="none"/>
          <w:lang w:val="en-US" w:eastAsia="zh-CN" w:bidi="ar-SA"/>
        </w:rPr>
        <w:t>本次评价，收集了渣滓溪锑矿2023年总排口在线监测数据，检测结果见下表。</w:t>
      </w:r>
    </w:p>
    <w:p w14:paraId="38E5E959">
      <w:pPr>
        <w:pStyle w:val="28"/>
        <w:bidi w:val="0"/>
        <w:rPr>
          <w:rFonts w:hint="default"/>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6.2</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3</w:t>
      </w:r>
      <w:r>
        <w:rPr>
          <w:rFonts w:hint="default"/>
          <w:color w:val="auto"/>
          <w:highlight w:val="none"/>
          <w:lang w:val="en-US" w:eastAsia="zh-CN"/>
        </w:rPr>
        <w:fldChar w:fldCharType="end"/>
      </w:r>
      <w:r>
        <w:rPr>
          <w:rFonts w:hint="default"/>
          <w:color w:val="auto"/>
          <w:highlight w:val="none"/>
          <w:lang w:val="en-US" w:eastAsia="zh-CN"/>
        </w:rPr>
        <w:t xml:space="preserve">  202</w:t>
      </w:r>
      <w:r>
        <w:rPr>
          <w:rFonts w:hint="eastAsia"/>
          <w:color w:val="auto"/>
          <w:highlight w:val="none"/>
          <w:lang w:val="en-US" w:eastAsia="zh-CN"/>
        </w:rPr>
        <w:t>3</w:t>
      </w:r>
      <w:r>
        <w:rPr>
          <w:rFonts w:hint="default"/>
          <w:color w:val="auto"/>
          <w:highlight w:val="none"/>
          <w:lang w:val="en-US" w:eastAsia="zh-CN"/>
        </w:rPr>
        <w:t>年</w:t>
      </w:r>
      <w:r>
        <w:rPr>
          <w:rFonts w:hint="eastAsia"/>
          <w:color w:val="auto"/>
          <w:highlight w:val="none"/>
          <w:lang w:val="en-US" w:eastAsia="zh-CN"/>
        </w:rPr>
        <w:t>渣滓溪锑矿废水总排口在线监测结果</w:t>
      </w:r>
    </w:p>
    <w:tbl>
      <w:tblPr>
        <w:tblStyle w:val="2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727"/>
        <w:gridCol w:w="1389"/>
        <w:gridCol w:w="1167"/>
        <w:gridCol w:w="1167"/>
        <w:gridCol w:w="1167"/>
        <w:gridCol w:w="1167"/>
        <w:gridCol w:w="1734"/>
        <w:gridCol w:w="531"/>
      </w:tblGrid>
      <w:tr w14:paraId="4D1AE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454914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月份</w:t>
            </w:r>
          </w:p>
        </w:tc>
        <w:tc>
          <w:tcPr>
            <w:tcW w:w="767" w:type="pct"/>
            <w:tcBorders>
              <w:tl2br w:val="nil"/>
              <w:tr2bl w:val="nil"/>
            </w:tcBorders>
            <w:shd w:val="clear" w:color="auto" w:fill="auto"/>
            <w:noWrap/>
            <w:vAlign w:val="center"/>
          </w:tcPr>
          <w:p w14:paraId="18696B5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pH</w:t>
            </w:r>
          </w:p>
        </w:tc>
        <w:tc>
          <w:tcPr>
            <w:tcW w:w="689" w:type="pct"/>
            <w:tcBorders>
              <w:tl2br w:val="nil"/>
              <w:tr2bl w:val="nil"/>
            </w:tcBorders>
            <w:shd w:val="clear" w:color="auto" w:fill="auto"/>
            <w:noWrap/>
            <w:vAlign w:val="center"/>
          </w:tcPr>
          <w:p w14:paraId="1473E3C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氨氮</w:t>
            </w:r>
          </w:p>
        </w:tc>
        <w:tc>
          <w:tcPr>
            <w:tcW w:w="689" w:type="pct"/>
            <w:tcBorders>
              <w:tl2br w:val="nil"/>
              <w:tr2bl w:val="nil"/>
            </w:tcBorders>
            <w:shd w:val="clear" w:color="auto" w:fill="auto"/>
            <w:noWrap/>
            <w:vAlign w:val="center"/>
          </w:tcPr>
          <w:p w14:paraId="48434A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总磷</w:t>
            </w:r>
          </w:p>
        </w:tc>
        <w:tc>
          <w:tcPr>
            <w:tcW w:w="689" w:type="pct"/>
            <w:tcBorders>
              <w:tl2br w:val="nil"/>
              <w:tr2bl w:val="nil"/>
            </w:tcBorders>
            <w:shd w:val="clear" w:color="auto" w:fill="auto"/>
            <w:noWrap/>
            <w:vAlign w:val="center"/>
          </w:tcPr>
          <w:p w14:paraId="1E3BB65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总氮</w:t>
            </w:r>
          </w:p>
        </w:tc>
        <w:tc>
          <w:tcPr>
            <w:tcW w:w="689" w:type="pct"/>
            <w:tcBorders>
              <w:tl2br w:val="nil"/>
              <w:tr2bl w:val="nil"/>
            </w:tcBorders>
            <w:shd w:val="clear" w:color="auto" w:fill="auto"/>
            <w:noWrap/>
            <w:vAlign w:val="center"/>
          </w:tcPr>
          <w:p w14:paraId="2F55ED3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化学需氧量</w:t>
            </w:r>
          </w:p>
        </w:tc>
        <w:tc>
          <w:tcPr>
            <w:tcW w:w="689" w:type="pct"/>
            <w:tcBorders>
              <w:tl2br w:val="nil"/>
              <w:tr2bl w:val="nil"/>
            </w:tcBorders>
            <w:shd w:val="clear" w:color="auto" w:fill="auto"/>
            <w:noWrap/>
            <w:vAlign w:val="center"/>
          </w:tcPr>
          <w:p w14:paraId="753850C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总锑</w:t>
            </w:r>
          </w:p>
        </w:tc>
        <w:tc>
          <w:tcPr>
            <w:tcW w:w="338" w:type="pct"/>
            <w:tcBorders>
              <w:tl2br w:val="nil"/>
              <w:tr2bl w:val="nil"/>
            </w:tcBorders>
            <w:shd w:val="clear" w:color="auto" w:fill="auto"/>
            <w:noWrap/>
            <w:vAlign w:val="center"/>
          </w:tcPr>
          <w:p w14:paraId="2452F4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总砷</w:t>
            </w:r>
          </w:p>
        </w:tc>
      </w:tr>
      <w:tr w14:paraId="1476E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12DF2A4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w:t>
            </w:r>
          </w:p>
        </w:tc>
        <w:tc>
          <w:tcPr>
            <w:tcW w:w="1389" w:type="dxa"/>
            <w:tcBorders>
              <w:tl2br w:val="nil"/>
              <w:tr2bl w:val="nil"/>
            </w:tcBorders>
            <w:shd w:val="clear" w:color="auto" w:fill="auto"/>
            <w:noWrap/>
            <w:vAlign w:val="center"/>
          </w:tcPr>
          <w:p w14:paraId="51072B0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6.699</w:t>
            </w:r>
          </w:p>
        </w:tc>
        <w:tc>
          <w:tcPr>
            <w:tcW w:w="689" w:type="pct"/>
            <w:tcBorders>
              <w:tl2br w:val="nil"/>
              <w:tr2bl w:val="nil"/>
            </w:tcBorders>
            <w:shd w:val="clear" w:color="auto" w:fill="auto"/>
            <w:noWrap/>
            <w:vAlign w:val="center"/>
          </w:tcPr>
          <w:p w14:paraId="21C2048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0.244</w:t>
            </w:r>
          </w:p>
        </w:tc>
        <w:tc>
          <w:tcPr>
            <w:tcW w:w="689" w:type="pct"/>
            <w:tcBorders>
              <w:tl2br w:val="nil"/>
              <w:tr2bl w:val="nil"/>
            </w:tcBorders>
            <w:shd w:val="clear" w:color="auto" w:fill="auto"/>
            <w:noWrap/>
            <w:vAlign w:val="center"/>
          </w:tcPr>
          <w:p w14:paraId="1A5D4A3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0.019</w:t>
            </w:r>
          </w:p>
        </w:tc>
        <w:tc>
          <w:tcPr>
            <w:tcW w:w="689" w:type="pct"/>
            <w:tcBorders>
              <w:tl2br w:val="nil"/>
              <w:tr2bl w:val="nil"/>
            </w:tcBorders>
            <w:shd w:val="clear" w:color="auto" w:fill="auto"/>
            <w:noWrap/>
            <w:vAlign w:val="center"/>
          </w:tcPr>
          <w:p w14:paraId="0F04945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4.017</w:t>
            </w:r>
          </w:p>
        </w:tc>
        <w:tc>
          <w:tcPr>
            <w:tcW w:w="689" w:type="pct"/>
            <w:tcBorders>
              <w:tl2br w:val="nil"/>
              <w:tr2bl w:val="nil"/>
            </w:tcBorders>
            <w:shd w:val="clear" w:color="auto" w:fill="auto"/>
            <w:noWrap/>
            <w:vAlign w:val="center"/>
          </w:tcPr>
          <w:p w14:paraId="08E43CD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5.422</w:t>
            </w:r>
          </w:p>
        </w:tc>
        <w:tc>
          <w:tcPr>
            <w:tcW w:w="689" w:type="pct"/>
            <w:tcBorders>
              <w:tl2br w:val="nil"/>
              <w:tr2bl w:val="nil"/>
            </w:tcBorders>
            <w:shd w:val="clear" w:color="auto" w:fill="auto"/>
            <w:noWrap/>
            <w:vAlign w:val="center"/>
          </w:tcPr>
          <w:p w14:paraId="0F1A92E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b/>
                <w:bCs/>
                <w:color w:val="auto"/>
                <w:highlight w:val="none"/>
                <w:lang w:val="en-US" w:eastAsia="zh-CN"/>
              </w:rPr>
              <w:t>0.155</w:t>
            </w:r>
          </w:p>
        </w:tc>
        <w:tc>
          <w:tcPr>
            <w:tcW w:w="338" w:type="pct"/>
            <w:tcBorders>
              <w:tl2br w:val="nil"/>
              <w:tr2bl w:val="nil"/>
            </w:tcBorders>
            <w:shd w:val="clear" w:color="auto" w:fill="auto"/>
            <w:noWrap/>
            <w:vAlign w:val="center"/>
          </w:tcPr>
          <w:p w14:paraId="76D7CFF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0.013</w:t>
            </w:r>
          </w:p>
        </w:tc>
      </w:tr>
      <w:tr w14:paraId="4A154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4068D0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w:t>
            </w:r>
          </w:p>
        </w:tc>
        <w:tc>
          <w:tcPr>
            <w:tcW w:w="1389" w:type="dxa"/>
            <w:tcBorders>
              <w:tl2br w:val="nil"/>
              <w:tr2bl w:val="nil"/>
            </w:tcBorders>
            <w:shd w:val="clear" w:color="auto" w:fill="auto"/>
            <w:noWrap/>
            <w:vAlign w:val="center"/>
          </w:tcPr>
          <w:p w14:paraId="175EC82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6.934</w:t>
            </w:r>
          </w:p>
        </w:tc>
        <w:tc>
          <w:tcPr>
            <w:tcW w:w="689" w:type="pct"/>
            <w:tcBorders>
              <w:tl2br w:val="nil"/>
              <w:tr2bl w:val="nil"/>
            </w:tcBorders>
            <w:shd w:val="clear" w:color="auto" w:fill="auto"/>
            <w:noWrap/>
            <w:vAlign w:val="center"/>
          </w:tcPr>
          <w:p w14:paraId="4D43604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0.404</w:t>
            </w:r>
          </w:p>
        </w:tc>
        <w:tc>
          <w:tcPr>
            <w:tcW w:w="689" w:type="pct"/>
            <w:tcBorders>
              <w:tl2br w:val="nil"/>
              <w:tr2bl w:val="nil"/>
            </w:tcBorders>
            <w:shd w:val="clear" w:color="auto" w:fill="auto"/>
            <w:noWrap/>
            <w:vAlign w:val="center"/>
          </w:tcPr>
          <w:p w14:paraId="38D50A7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0.077</w:t>
            </w:r>
          </w:p>
        </w:tc>
        <w:tc>
          <w:tcPr>
            <w:tcW w:w="689" w:type="pct"/>
            <w:tcBorders>
              <w:tl2br w:val="nil"/>
              <w:tr2bl w:val="nil"/>
            </w:tcBorders>
            <w:shd w:val="clear" w:color="auto" w:fill="auto"/>
            <w:noWrap/>
            <w:vAlign w:val="center"/>
          </w:tcPr>
          <w:p w14:paraId="5F0DEEB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4.547</w:t>
            </w:r>
          </w:p>
        </w:tc>
        <w:tc>
          <w:tcPr>
            <w:tcW w:w="689" w:type="pct"/>
            <w:tcBorders>
              <w:tl2br w:val="nil"/>
              <w:tr2bl w:val="nil"/>
            </w:tcBorders>
            <w:shd w:val="clear" w:color="auto" w:fill="auto"/>
            <w:noWrap/>
            <w:vAlign w:val="center"/>
          </w:tcPr>
          <w:p w14:paraId="7573ACA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5.431</w:t>
            </w:r>
          </w:p>
        </w:tc>
        <w:tc>
          <w:tcPr>
            <w:tcW w:w="689" w:type="pct"/>
            <w:tcBorders>
              <w:tl2br w:val="nil"/>
              <w:tr2bl w:val="nil"/>
            </w:tcBorders>
            <w:shd w:val="clear" w:color="auto" w:fill="auto"/>
            <w:noWrap/>
            <w:vAlign w:val="center"/>
          </w:tcPr>
          <w:p w14:paraId="007BBE4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0.117</w:t>
            </w:r>
          </w:p>
        </w:tc>
        <w:tc>
          <w:tcPr>
            <w:tcW w:w="338" w:type="pct"/>
            <w:tcBorders>
              <w:tl2br w:val="nil"/>
              <w:tr2bl w:val="nil"/>
            </w:tcBorders>
            <w:shd w:val="clear" w:color="auto" w:fill="auto"/>
            <w:noWrap/>
            <w:vAlign w:val="center"/>
          </w:tcPr>
          <w:p w14:paraId="70DF429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0.004</w:t>
            </w:r>
          </w:p>
        </w:tc>
      </w:tr>
      <w:tr w14:paraId="089D5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60FF660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w:t>
            </w:r>
          </w:p>
        </w:tc>
        <w:tc>
          <w:tcPr>
            <w:tcW w:w="1389" w:type="dxa"/>
            <w:tcBorders>
              <w:tl2br w:val="nil"/>
              <w:tr2bl w:val="nil"/>
            </w:tcBorders>
            <w:shd w:val="clear" w:color="auto" w:fill="auto"/>
            <w:noWrap/>
            <w:vAlign w:val="center"/>
          </w:tcPr>
          <w:p w14:paraId="531C1B7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6.703</w:t>
            </w:r>
          </w:p>
        </w:tc>
        <w:tc>
          <w:tcPr>
            <w:tcW w:w="689" w:type="pct"/>
            <w:tcBorders>
              <w:tl2br w:val="nil"/>
              <w:tr2bl w:val="nil"/>
            </w:tcBorders>
            <w:shd w:val="clear" w:color="auto" w:fill="auto"/>
            <w:noWrap/>
            <w:vAlign w:val="center"/>
          </w:tcPr>
          <w:p w14:paraId="172D73D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0.458</w:t>
            </w:r>
          </w:p>
        </w:tc>
        <w:tc>
          <w:tcPr>
            <w:tcW w:w="689" w:type="pct"/>
            <w:tcBorders>
              <w:tl2br w:val="nil"/>
              <w:tr2bl w:val="nil"/>
            </w:tcBorders>
            <w:shd w:val="clear" w:color="auto" w:fill="auto"/>
            <w:noWrap/>
            <w:vAlign w:val="center"/>
          </w:tcPr>
          <w:p w14:paraId="400780B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0.025</w:t>
            </w:r>
          </w:p>
        </w:tc>
        <w:tc>
          <w:tcPr>
            <w:tcW w:w="689" w:type="pct"/>
            <w:tcBorders>
              <w:tl2br w:val="nil"/>
              <w:tr2bl w:val="nil"/>
            </w:tcBorders>
            <w:shd w:val="clear" w:color="auto" w:fill="auto"/>
            <w:noWrap/>
            <w:vAlign w:val="center"/>
          </w:tcPr>
          <w:p w14:paraId="0C974B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5.098</w:t>
            </w:r>
          </w:p>
        </w:tc>
        <w:tc>
          <w:tcPr>
            <w:tcW w:w="689" w:type="pct"/>
            <w:tcBorders>
              <w:tl2br w:val="nil"/>
              <w:tr2bl w:val="nil"/>
            </w:tcBorders>
            <w:shd w:val="clear" w:color="auto" w:fill="auto"/>
            <w:noWrap/>
            <w:vAlign w:val="center"/>
          </w:tcPr>
          <w:p w14:paraId="4CB7051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5.805</w:t>
            </w:r>
          </w:p>
        </w:tc>
        <w:tc>
          <w:tcPr>
            <w:tcW w:w="689" w:type="pct"/>
            <w:tcBorders>
              <w:tl2br w:val="nil"/>
              <w:tr2bl w:val="nil"/>
            </w:tcBorders>
            <w:shd w:val="clear" w:color="auto" w:fill="auto"/>
            <w:noWrap/>
            <w:vAlign w:val="center"/>
          </w:tcPr>
          <w:p w14:paraId="33CF052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0.071</w:t>
            </w:r>
          </w:p>
        </w:tc>
        <w:tc>
          <w:tcPr>
            <w:tcW w:w="338" w:type="pct"/>
            <w:tcBorders>
              <w:tl2br w:val="nil"/>
              <w:tr2bl w:val="nil"/>
            </w:tcBorders>
            <w:shd w:val="clear" w:color="auto" w:fill="auto"/>
            <w:noWrap/>
            <w:vAlign w:val="center"/>
          </w:tcPr>
          <w:p w14:paraId="3D9EE74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0.005</w:t>
            </w:r>
          </w:p>
        </w:tc>
      </w:tr>
      <w:tr w14:paraId="73FB6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23C98B5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w:t>
            </w:r>
          </w:p>
        </w:tc>
        <w:tc>
          <w:tcPr>
            <w:tcW w:w="1389" w:type="dxa"/>
            <w:tcBorders>
              <w:tl2br w:val="nil"/>
              <w:tr2bl w:val="nil"/>
            </w:tcBorders>
            <w:shd w:val="clear" w:color="auto" w:fill="auto"/>
            <w:noWrap/>
            <w:vAlign w:val="center"/>
          </w:tcPr>
          <w:p w14:paraId="528BE96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6.806</w:t>
            </w:r>
          </w:p>
        </w:tc>
        <w:tc>
          <w:tcPr>
            <w:tcW w:w="689" w:type="pct"/>
            <w:tcBorders>
              <w:tl2br w:val="nil"/>
              <w:tr2bl w:val="nil"/>
            </w:tcBorders>
            <w:shd w:val="clear" w:color="auto" w:fill="auto"/>
            <w:noWrap/>
            <w:vAlign w:val="center"/>
          </w:tcPr>
          <w:p w14:paraId="1637A82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1.074</w:t>
            </w:r>
          </w:p>
        </w:tc>
        <w:tc>
          <w:tcPr>
            <w:tcW w:w="689" w:type="pct"/>
            <w:tcBorders>
              <w:tl2br w:val="nil"/>
              <w:tr2bl w:val="nil"/>
            </w:tcBorders>
            <w:shd w:val="clear" w:color="auto" w:fill="auto"/>
            <w:noWrap/>
            <w:vAlign w:val="center"/>
          </w:tcPr>
          <w:p w14:paraId="21B5007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0.058</w:t>
            </w:r>
          </w:p>
        </w:tc>
        <w:tc>
          <w:tcPr>
            <w:tcW w:w="689" w:type="pct"/>
            <w:tcBorders>
              <w:tl2br w:val="nil"/>
              <w:tr2bl w:val="nil"/>
            </w:tcBorders>
            <w:shd w:val="clear" w:color="auto" w:fill="auto"/>
            <w:noWrap/>
            <w:vAlign w:val="center"/>
          </w:tcPr>
          <w:p w14:paraId="17A7593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4.844</w:t>
            </w:r>
          </w:p>
        </w:tc>
        <w:tc>
          <w:tcPr>
            <w:tcW w:w="689" w:type="pct"/>
            <w:tcBorders>
              <w:tl2br w:val="nil"/>
              <w:tr2bl w:val="nil"/>
            </w:tcBorders>
            <w:shd w:val="clear" w:color="auto" w:fill="auto"/>
            <w:noWrap/>
            <w:vAlign w:val="center"/>
          </w:tcPr>
          <w:p w14:paraId="7F400FA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6.706</w:t>
            </w:r>
          </w:p>
        </w:tc>
        <w:tc>
          <w:tcPr>
            <w:tcW w:w="689" w:type="pct"/>
            <w:tcBorders>
              <w:tl2br w:val="nil"/>
              <w:tr2bl w:val="nil"/>
            </w:tcBorders>
            <w:shd w:val="clear" w:color="auto" w:fill="auto"/>
            <w:noWrap/>
            <w:vAlign w:val="center"/>
          </w:tcPr>
          <w:p w14:paraId="5954F39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0.074</w:t>
            </w:r>
          </w:p>
        </w:tc>
        <w:tc>
          <w:tcPr>
            <w:tcW w:w="338" w:type="pct"/>
            <w:tcBorders>
              <w:tl2br w:val="nil"/>
              <w:tr2bl w:val="nil"/>
            </w:tcBorders>
            <w:shd w:val="clear" w:color="auto" w:fill="auto"/>
            <w:noWrap/>
            <w:vAlign w:val="center"/>
          </w:tcPr>
          <w:p w14:paraId="005A8EC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0.017</w:t>
            </w:r>
          </w:p>
        </w:tc>
      </w:tr>
      <w:tr w14:paraId="6F29F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3ABC84F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w:t>
            </w:r>
          </w:p>
        </w:tc>
        <w:tc>
          <w:tcPr>
            <w:tcW w:w="1389" w:type="dxa"/>
            <w:tcBorders>
              <w:tl2br w:val="nil"/>
              <w:tr2bl w:val="nil"/>
            </w:tcBorders>
            <w:shd w:val="clear" w:color="auto" w:fill="auto"/>
            <w:noWrap/>
            <w:vAlign w:val="center"/>
          </w:tcPr>
          <w:p w14:paraId="0C71C5E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7.387</w:t>
            </w:r>
          </w:p>
        </w:tc>
        <w:tc>
          <w:tcPr>
            <w:tcW w:w="689" w:type="pct"/>
            <w:tcBorders>
              <w:tl2br w:val="nil"/>
              <w:tr2bl w:val="nil"/>
            </w:tcBorders>
            <w:shd w:val="clear" w:color="auto" w:fill="auto"/>
            <w:noWrap/>
            <w:vAlign w:val="center"/>
          </w:tcPr>
          <w:p w14:paraId="5F7645B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0.313</w:t>
            </w:r>
          </w:p>
        </w:tc>
        <w:tc>
          <w:tcPr>
            <w:tcW w:w="689" w:type="pct"/>
            <w:tcBorders>
              <w:tl2br w:val="nil"/>
              <w:tr2bl w:val="nil"/>
            </w:tcBorders>
            <w:shd w:val="clear" w:color="auto" w:fill="auto"/>
            <w:noWrap/>
            <w:vAlign w:val="center"/>
          </w:tcPr>
          <w:p w14:paraId="4A54874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0.038</w:t>
            </w:r>
          </w:p>
        </w:tc>
        <w:tc>
          <w:tcPr>
            <w:tcW w:w="689" w:type="pct"/>
            <w:tcBorders>
              <w:tl2br w:val="nil"/>
              <w:tr2bl w:val="nil"/>
            </w:tcBorders>
            <w:shd w:val="clear" w:color="auto" w:fill="auto"/>
            <w:noWrap/>
            <w:vAlign w:val="center"/>
          </w:tcPr>
          <w:p w14:paraId="1C0B801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4.194</w:t>
            </w:r>
          </w:p>
        </w:tc>
        <w:tc>
          <w:tcPr>
            <w:tcW w:w="689" w:type="pct"/>
            <w:tcBorders>
              <w:tl2br w:val="nil"/>
              <w:tr2bl w:val="nil"/>
            </w:tcBorders>
            <w:shd w:val="clear" w:color="auto" w:fill="auto"/>
            <w:noWrap/>
            <w:vAlign w:val="center"/>
          </w:tcPr>
          <w:p w14:paraId="02969A6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6.429</w:t>
            </w:r>
          </w:p>
        </w:tc>
        <w:tc>
          <w:tcPr>
            <w:tcW w:w="689" w:type="pct"/>
            <w:tcBorders>
              <w:tl2br w:val="nil"/>
              <w:tr2bl w:val="nil"/>
            </w:tcBorders>
            <w:shd w:val="clear" w:color="auto" w:fill="auto"/>
            <w:noWrap/>
            <w:vAlign w:val="center"/>
          </w:tcPr>
          <w:p w14:paraId="34471F9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0.067</w:t>
            </w:r>
          </w:p>
        </w:tc>
        <w:tc>
          <w:tcPr>
            <w:tcW w:w="338" w:type="pct"/>
            <w:tcBorders>
              <w:tl2br w:val="nil"/>
              <w:tr2bl w:val="nil"/>
            </w:tcBorders>
            <w:shd w:val="clear" w:color="auto" w:fill="auto"/>
            <w:noWrap/>
            <w:vAlign w:val="center"/>
          </w:tcPr>
          <w:p w14:paraId="32BC929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0.004</w:t>
            </w:r>
          </w:p>
        </w:tc>
      </w:tr>
      <w:tr w14:paraId="52573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28ACCF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w:t>
            </w:r>
          </w:p>
        </w:tc>
        <w:tc>
          <w:tcPr>
            <w:tcW w:w="1389" w:type="dxa"/>
            <w:tcBorders>
              <w:tl2br w:val="nil"/>
              <w:tr2bl w:val="nil"/>
            </w:tcBorders>
            <w:shd w:val="clear" w:color="auto" w:fill="auto"/>
            <w:noWrap/>
            <w:vAlign w:val="center"/>
          </w:tcPr>
          <w:p w14:paraId="707A792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7.164</w:t>
            </w:r>
          </w:p>
        </w:tc>
        <w:tc>
          <w:tcPr>
            <w:tcW w:w="689" w:type="pct"/>
            <w:tcBorders>
              <w:tl2br w:val="nil"/>
              <w:tr2bl w:val="nil"/>
            </w:tcBorders>
            <w:shd w:val="clear" w:color="auto" w:fill="auto"/>
            <w:noWrap/>
            <w:vAlign w:val="center"/>
          </w:tcPr>
          <w:p w14:paraId="6929B0A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0.22</w:t>
            </w:r>
          </w:p>
        </w:tc>
        <w:tc>
          <w:tcPr>
            <w:tcW w:w="689" w:type="pct"/>
            <w:tcBorders>
              <w:tl2br w:val="nil"/>
              <w:tr2bl w:val="nil"/>
            </w:tcBorders>
            <w:shd w:val="clear" w:color="auto" w:fill="auto"/>
            <w:noWrap/>
            <w:vAlign w:val="center"/>
          </w:tcPr>
          <w:p w14:paraId="661C1AD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0.015</w:t>
            </w:r>
          </w:p>
        </w:tc>
        <w:tc>
          <w:tcPr>
            <w:tcW w:w="689" w:type="pct"/>
            <w:tcBorders>
              <w:tl2br w:val="nil"/>
              <w:tr2bl w:val="nil"/>
            </w:tcBorders>
            <w:shd w:val="clear" w:color="auto" w:fill="auto"/>
            <w:noWrap/>
            <w:vAlign w:val="center"/>
          </w:tcPr>
          <w:p w14:paraId="2D8ADC8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6.224</w:t>
            </w:r>
          </w:p>
        </w:tc>
        <w:tc>
          <w:tcPr>
            <w:tcW w:w="689" w:type="pct"/>
            <w:tcBorders>
              <w:tl2br w:val="nil"/>
              <w:tr2bl w:val="nil"/>
            </w:tcBorders>
            <w:shd w:val="clear" w:color="auto" w:fill="auto"/>
            <w:noWrap/>
            <w:vAlign w:val="center"/>
          </w:tcPr>
          <w:p w14:paraId="3C4F462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6.776</w:t>
            </w:r>
          </w:p>
        </w:tc>
        <w:tc>
          <w:tcPr>
            <w:tcW w:w="689" w:type="pct"/>
            <w:tcBorders>
              <w:tl2br w:val="nil"/>
              <w:tr2bl w:val="nil"/>
            </w:tcBorders>
            <w:shd w:val="clear" w:color="auto" w:fill="auto"/>
            <w:noWrap/>
            <w:vAlign w:val="center"/>
          </w:tcPr>
          <w:p w14:paraId="173C14E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0.022</w:t>
            </w:r>
          </w:p>
        </w:tc>
        <w:tc>
          <w:tcPr>
            <w:tcW w:w="338" w:type="pct"/>
            <w:tcBorders>
              <w:tl2br w:val="nil"/>
              <w:tr2bl w:val="nil"/>
            </w:tcBorders>
            <w:shd w:val="clear" w:color="auto" w:fill="auto"/>
            <w:noWrap/>
            <w:vAlign w:val="center"/>
          </w:tcPr>
          <w:p w14:paraId="550FC05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0.054</w:t>
            </w:r>
          </w:p>
        </w:tc>
      </w:tr>
      <w:tr w14:paraId="55A1F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1424410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7</w:t>
            </w:r>
          </w:p>
        </w:tc>
        <w:tc>
          <w:tcPr>
            <w:tcW w:w="1389" w:type="dxa"/>
            <w:tcBorders>
              <w:tl2br w:val="nil"/>
              <w:tr2bl w:val="nil"/>
            </w:tcBorders>
            <w:shd w:val="clear" w:color="auto" w:fill="auto"/>
            <w:noWrap/>
            <w:vAlign w:val="center"/>
          </w:tcPr>
          <w:p w14:paraId="6B11E99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7.464</w:t>
            </w:r>
          </w:p>
        </w:tc>
        <w:tc>
          <w:tcPr>
            <w:tcW w:w="689" w:type="pct"/>
            <w:tcBorders>
              <w:tl2br w:val="nil"/>
              <w:tr2bl w:val="nil"/>
            </w:tcBorders>
            <w:shd w:val="clear" w:color="auto" w:fill="auto"/>
            <w:noWrap/>
            <w:vAlign w:val="center"/>
          </w:tcPr>
          <w:p w14:paraId="66718AC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0.251</w:t>
            </w:r>
          </w:p>
        </w:tc>
        <w:tc>
          <w:tcPr>
            <w:tcW w:w="689" w:type="pct"/>
            <w:tcBorders>
              <w:tl2br w:val="nil"/>
              <w:tr2bl w:val="nil"/>
            </w:tcBorders>
            <w:shd w:val="clear" w:color="auto" w:fill="auto"/>
            <w:noWrap/>
            <w:vAlign w:val="center"/>
          </w:tcPr>
          <w:p w14:paraId="33C73CAB">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0.022</w:t>
            </w:r>
          </w:p>
        </w:tc>
        <w:tc>
          <w:tcPr>
            <w:tcW w:w="689" w:type="pct"/>
            <w:tcBorders>
              <w:tl2br w:val="nil"/>
              <w:tr2bl w:val="nil"/>
            </w:tcBorders>
            <w:shd w:val="clear" w:color="auto" w:fill="auto"/>
            <w:noWrap/>
            <w:vAlign w:val="center"/>
          </w:tcPr>
          <w:p w14:paraId="6DC9292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2.937</w:t>
            </w:r>
          </w:p>
        </w:tc>
        <w:tc>
          <w:tcPr>
            <w:tcW w:w="689" w:type="pct"/>
            <w:tcBorders>
              <w:tl2br w:val="nil"/>
              <w:tr2bl w:val="nil"/>
            </w:tcBorders>
            <w:shd w:val="clear" w:color="auto" w:fill="auto"/>
            <w:noWrap/>
            <w:vAlign w:val="center"/>
          </w:tcPr>
          <w:p w14:paraId="7C820D0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6.295</w:t>
            </w:r>
          </w:p>
        </w:tc>
        <w:tc>
          <w:tcPr>
            <w:tcW w:w="689" w:type="pct"/>
            <w:tcBorders>
              <w:tl2br w:val="nil"/>
              <w:tr2bl w:val="nil"/>
            </w:tcBorders>
            <w:shd w:val="clear" w:color="auto" w:fill="auto"/>
            <w:noWrap/>
            <w:vAlign w:val="center"/>
          </w:tcPr>
          <w:p w14:paraId="590EE92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0.134</w:t>
            </w:r>
          </w:p>
        </w:tc>
        <w:tc>
          <w:tcPr>
            <w:tcW w:w="338" w:type="pct"/>
            <w:tcBorders>
              <w:tl2br w:val="nil"/>
              <w:tr2bl w:val="nil"/>
            </w:tcBorders>
            <w:shd w:val="clear" w:color="auto" w:fill="auto"/>
            <w:noWrap/>
            <w:vAlign w:val="center"/>
          </w:tcPr>
          <w:p w14:paraId="2216B9B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0.102</w:t>
            </w:r>
          </w:p>
        </w:tc>
      </w:tr>
      <w:tr w14:paraId="3C53F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45C6B46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8</w:t>
            </w:r>
          </w:p>
        </w:tc>
        <w:tc>
          <w:tcPr>
            <w:tcW w:w="1389" w:type="dxa"/>
            <w:tcBorders>
              <w:tl2br w:val="nil"/>
              <w:tr2bl w:val="nil"/>
            </w:tcBorders>
            <w:shd w:val="clear" w:color="auto" w:fill="auto"/>
            <w:noWrap/>
            <w:vAlign w:val="center"/>
          </w:tcPr>
          <w:p w14:paraId="4C4092A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7.797</w:t>
            </w:r>
          </w:p>
        </w:tc>
        <w:tc>
          <w:tcPr>
            <w:tcW w:w="689" w:type="pct"/>
            <w:tcBorders>
              <w:tl2br w:val="nil"/>
              <w:tr2bl w:val="nil"/>
            </w:tcBorders>
            <w:shd w:val="clear" w:color="auto" w:fill="auto"/>
            <w:noWrap/>
            <w:vAlign w:val="center"/>
          </w:tcPr>
          <w:p w14:paraId="58230D3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0.196</w:t>
            </w:r>
          </w:p>
        </w:tc>
        <w:tc>
          <w:tcPr>
            <w:tcW w:w="689" w:type="pct"/>
            <w:tcBorders>
              <w:tl2br w:val="nil"/>
              <w:tr2bl w:val="nil"/>
            </w:tcBorders>
            <w:shd w:val="clear" w:color="auto" w:fill="auto"/>
            <w:noWrap/>
            <w:vAlign w:val="center"/>
          </w:tcPr>
          <w:p w14:paraId="2CB931F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0.043</w:t>
            </w:r>
          </w:p>
        </w:tc>
        <w:tc>
          <w:tcPr>
            <w:tcW w:w="689" w:type="pct"/>
            <w:tcBorders>
              <w:tl2br w:val="nil"/>
              <w:tr2bl w:val="nil"/>
            </w:tcBorders>
            <w:shd w:val="clear" w:color="auto" w:fill="auto"/>
            <w:noWrap/>
            <w:vAlign w:val="center"/>
          </w:tcPr>
          <w:p w14:paraId="05D41D5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3.233</w:t>
            </w:r>
          </w:p>
        </w:tc>
        <w:tc>
          <w:tcPr>
            <w:tcW w:w="689" w:type="pct"/>
            <w:tcBorders>
              <w:tl2br w:val="nil"/>
              <w:tr2bl w:val="nil"/>
            </w:tcBorders>
            <w:shd w:val="clear" w:color="auto" w:fill="auto"/>
            <w:noWrap/>
            <w:vAlign w:val="center"/>
          </w:tcPr>
          <w:p w14:paraId="00C0626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5.542</w:t>
            </w:r>
          </w:p>
        </w:tc>
        <w:tc>
          <w:tcPr>
            <w:tcW w:w="689" w:type="pct"/>
            <w:tcBorders>
              <w:tl2br w:val="nil"/>
              <w:tr2bl w:val="nil"/>
            </w:tcBorders>
            <w:shd w:val="clear" w:color="auto" w:fill="auto"/>
            <w:noWrap/>
            <w:vAlign w:val="center"/>
          </w:tcPr>
          <w:p w14:paraId="3503D48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b/>
                <w:bCs/>
                <w:color w:val="auto"/>
                <w:highlight w:val="none"/>
                <w:lang w:val="en-US" w:eastAsia="zh-CN"/>
              </w:rPr>
              <w:t>0.171</w:t>
            </w:r>
          </w:p>
        </w:tc>
        <w:tc>
          <w:tcPr>
            <w:tcW w:w="338" w:type="pct"/>
            <w:tcBorders>
              <w:tl2br w:val="nil"/>
              <w:tr2bl w:val="nil"/>
            </w:tcBorders>
            <w:shd w:val="clear" w:color="auto" w:fill="auto"/>
            <w:noWrap/>
            <w:vAlign w:val="center"/>
          </w:tcPr>
          <w:p w14:paraId="4A8FB65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0.094</w:t>
            </w:r>
          </w:p>
        </w:tc>
      </w:tr>
      <w:tr w14:paraId="72F17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56F0D1E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9</w:t>
            </w:r>
          </w:p>
        </w:tc>
        <w:tc>
          <w:tcPr>
            <w:tcW w:w="1389" w:type="dxa"/>
            <w:tcBorders>
              <w:tl2br w:val="nil"/>
              <w:tr2bl w:val="nil"/>
            </w:tcBorders>
            <w:shd w:val="clear" w:color="auto" w:fill="auto"/>
            <w:noWrap/>
            <w:vAlign w:val="center"/>
          </w:tcPr>
          <w:p w14:paraId="6716DE2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4.392</w:t>
            </w:r>
          </w:p>
        </w:tc>
        <w:tc>
          <w:tcPr>
            <w:tcW w:w="689" w:type="pct"/>
            <w:tcBorders>
              <w:tl2br w:val="nil"/>
              <w:tr2bl w:val="nil"/>
            </w:tcBorders>
            <w:shd w:val="clear" w:color="auto" w:fill="auto"/>
            <w:noWrap/>
            <w:vAlign w:val="center"/>
          </w:tcPr>
          <w:p w14:paraId="4F761F2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0.183</w:t>
            </w:r>
          </w:p>
        </w:tc>
        <w:tc>
          <w:tcPr>
            <w:tcW w:w="689" w:type="pct"/>
            <w:tcBorders>
              <w:tl2br w:val="nil"/>
              <w:tr2bl w:val="nil"/>
            </w:tcBorders>
            <w:shd w:val="clear" w:color="auto" w:fill="auto"/>
            <w:noWrap/>
            <w:vAlign w:val="center"/>
          </w:tcPr>
          <w:p w14:paraId="25FF52B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0.064</w:t>
            </w:r>
          </w:p>
        </w:tc>
        <w:tc>
          <w:tcPr>
            <w:tcW w:w="689" w:type="pct"/>
            <w:tcBorders>
              <w:tl2br w:val="nil"/>
              <w:tr2bl w:val="nil"/>
            </w:tcBorders>
            <w:shd w:val="clear" w:color="auto" w:fill="auto"/>
            <w:noWrap/>
            <w:vAlign w:val="center"/>
          </w:tcPr>
          <w:p w14:paraId="25E00EF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3.014</w:t>
            </w:r>
          </w:p>
        </w:tc>
        <w:tc>
          <w:tcPr>
            <w:tcW w:w="689" w:type="pct"/>
            <w:tcBorders>
              <w:tl2br w:val="nil"/>
              <w:tr2bl w:val="nil"/>
            </w:tcBorders>
            <w:shd w:val="clear" w:color="auto" w:fill="auto"/>
            <w:noWrap/>
            <w:vAlign w:val="center"/>
          </w:tcPr>
          <w:p w14:paraId="76A2FFF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7.229</w:t>
            </w:r>
          </w:p>
        </w:tc>
        <w:tc>
          <w:tcPr>
            <w:tcW w:w="689" w:type="pct"/>
            <w:tcBorders>
              <w:tl2br w:val="nil"/>
              <w:tr2bl w:val="nil"/>
            </w:tcBorders>
            <w:shd w:val="clear" w:color="auto" w:fill="auto"/>
            <w:noWrap/>
            <w:vAlign w:val="center"/>
          </w:tcPr>
          <w:p w14:paraId="106FD2E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0.126</w:t>
            </w:r>
          </w:p>
        </w:tc>
        <w:tc>
          <w:tcPr>
            <w:tcW w:w="338" w:type="pct"/>
            <w:tcBorders>
              <w:tl2br w:val="nil"/>
              <w:tr2bl w:val="nil"/>
            </w:tcBorders>
            <w:shd w:val="clear" w:color="auto" w:fill="auto"/>
            <w:noWrap/>
            <w:vAlign w:val="center"/>
          </w:tcPr>
          <w:p w14:paraId="47E3126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0.049</w:t>
            </w:r>
          </w:p>
        </w:tc>
      </w:tr>
      <w:tr w14:paraId="041BB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20F40E8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10</w:t>
            </w:r>
          </w:p>
        </w:tc>
        <w:tc>
          <w:tcPr>
            <w:tcW w:w="1389" w:type="dxa"/>
            <w:tcBorders>
              <w:tl2br w:val="nil"/>
              <w:tr2bl w:val="nil"/>
            </w:tcBorders>
            <w:shd w:val="clear" w:color="auto" w:fill="auto"/>
            <w:noWrap/>
            <w:vAlign w:val="center"/>
          </w:tcPr>
          <w:p w14:paraId="5964DD4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6.378</w:t>
            </w:r>
          </w:p>
        </w:tc>
        <w:tc>
          <w:tcPr>
            <w:tcW w:w="689" w:type="pct"/>
            <w:tcBorders>
              <w:tl2br w:val="nil"/>
              <w:tr2bl w:val="nil"/>
            </w:tcBorders>
            <w:shd w:val="clear" w:color="auto" w:fill="auto"/>
            <w:noWrap/>
            <w:vAlign w:val="center"/>
          </w:tcPr>
          <w:p w14:paraId="26C6319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0.113</w:t>
            </w:r>
          </w:p>
        </w:tc>
        <w:tc>
          <w:tcPr>
            <w:tcW w:w="689" w:type="pct"/>
            <w:tcBorders>
              <w:tl2br w:val="nil"/>
              <w:tr2bl w:val="nil"/>
            </w:tcBorders>
            <w:shd w:val="clear" w:color="auto" w:fill="auto"/>
            <w:noWrap/>
            <w:vAlign w:val="center"/>
          </w:tcPr>
          <w:p w14:paraId="68B78463">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0.018</w:t>
            </w:r>
          </w:p>
        </w:tc>
        <w:tc>
          <w:tcPr>
            <w:tcW w:w="689" w:type="pct"/>
            <w:tcBorders>
              <w:tl2br w:val="nil"/>
              <w:tr2bl w:val="nil"/>
            </w:tcBorders>
            <w:shd w:val="clear" w:color="auto" w:fill="auto"/>
            <w:noWrap/>
            <w:vAlign w:val="center"/>
          </w:tcPr>
          <w:p w14:paraId="485F8BC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2.801</w:t>
            </w:r>
          </w:p>
        </w:tc>
        <w:tc>
          <w:tcPr>
            <w:tcW w:w="689" w:type="pct"/>
            <w:tcBorders>
              <w:tl2br w:val="nil"/>
              <w:tr2bl w:val="nil"/>
            </w:tcBorders>
            <w:shd w:val="clear" w:color="auto" w:fill="auto"/>
            <w:noWrap/>
            <w:vAlign w:val="center"/>
          </w:tcPr>
          <w:p w14:paraId="1B3F80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6.296</w:t>
            </w:r>
          </w:p>
        </w:tc>
        <w:tc>
          <w:tcPr>
            <w:tcW w:w="689" w:type="pct"/>
            <w:tcBorders>
              <w:tl2br w:val="nil"/>
              <w:tr2bl w:val="nil"/>
            </w:tcBorders>
            <w:shd w:val="clear" w:color="auto" w:fill="auto"/>
            <w:noWrap/>
            <w:vAlign w:val="center"/>
          </w:tcPr>
          <w:p w14:paraId="7B008A8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0.123</w:t>
            </w:r>
          </w:p>
        </w:tc>
        <w:tc>
          <w:tcPr>
            <w:tcW w:w="338" w:type="pct"/>
            <w:tcBorders>
              <w:tl2br w:val="nil"/>
              <w:tr2bl w:val="nil"/>
            </w:tcBorders>
            <w:shd w:val="clear" w:color="auto" w:fill="auto"/>
            <w:noWrap/>
            <w:vAlign w:val="center"/>
          </w:tcPr>
          <w:p w14:paraId="170403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0.03</w:t>
            </w:r>
          </w:p>
        </w:tc>
      </w:tr>
      <w:tr w14:paraId="738E7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63D2F62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11</w:t>
            </w:r>
          </w:p>
        </w:tc>
        <w:tc>
          <w:tcPr>
            <w:tcW w:w="1389" w:type="dxa"/>
            <w:tcBorders>
              <w:tl2br w:val="nil"/>
              <w:tr2bl w:val="nil"/>
            </w:tcBorders>
            <w:shd w:val="clear" w:color="auto" w:fill="auto"/>
            <w:noWrap/>
            <w:vAlign w:val="center"/>
          </w:tcPr>
          <w:p w14:paraId="6D1594F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7.117</w:t>
            </w:r>
          </w:p>
        </w:tc>
        <w:tc>
          <w:tcPr>
            <w:tcW w:w="689" w:type="pct"/>
            <w:tcBorders>
              <w:tl2br w:val="nil"/>
              <w:tr2bl w:val="nil"/>
            </w:tcBorders>
            <w:shd w:val="clear" w:color="auto" w:fill="auto"/>
            <w:noWrap/>
            <w:vAlign w:val="center"/>
          </w:tcPr>
          <w:p w14:paraId="244D0BE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0.135</w:t>
            </w:r>
          </w:p>
        </w:tc>
        <w:tc>
          <w:tcPr>
            <w:tcW w:w="689" w:type="pct"/>
            <w:tcBorders>
              <w:tl2br w:val="nil"/>
              <w:tr2bl w:val="nil"/>
            </w:tcBorders>
            <w:shd w:val="clear" w:color="auto" w:fill="auto"/>
            <w:noWrap/>
            <w:vAlign w:val="center"/>
          </w:tcPr>
          <w:p w14:paraId="6A1127C5">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0.099</w:t>
            </w:r>
          </w:p>
        </w:tc>
        <w:tc>
          <w:tcPr>
            <w:tcW w:w="689" w:type="pct"/>
            <w:tcBorders>
              <w:tl2br w:val="nil"/>
              <w:tr2bl w:val="nil"/>
            </w:tcBorders>
            <w:shd w:val="clear" w:color="auto" w:fill="auto"/>
            <w:noWrap/>
            <w:vAlign w:val="center"/>
          </w:tcPr>
          <w:p w14:paraId="3B0E921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2.958</w:t>
            </w:r>
          </w:p>
        </w:tc>
        <w:tc>
          <w:tcPr>
            <w:tcW w:w="689" w:type="pct"/>
            <w:tcBorders>
              <w:tl2br w:val="nil"/>
              <w:tr2bl w:val="nil"/>
            </w:tcBorders>
            <w:shd w:val="clear" w:color="auto" w:fill="auto"/>
            <w:noWrap/>
            <w:vAlign w:val="center"/>
          </w:tcPr>
          <w:p w14:paraId="48F42FD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6.078</w:t>
            </w:r>
          </w:p>
        </w:tc>
        <w:tc>
          <w:tcPr>
            <w:tcW w:w="689" w:type="pct"/>
            <w:tcBorders>
              <w:tl2br w:val="nil"/>
              <w:tr2bl w:val="nil"/>
            </w:tcBorders>
            <w:shd w:val="clear" w:color="auto" w:fill="auto"/>
            <w:noWrap/>
            <w:vAlign w:val="center"/>
          </w:tcPr>
          <w:p w14:paraId="08E95AD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0.052</w:t>
            </w:r>
          </w:p>
        </w:tc>
        <w:tc>
          <w:tcPr>
            <w:tcW w:w="338" w:type="pct"/>
            <w:tcBorders>
              <w:tl2br w:val="nil"/>
              <w:tr2bl w:val="nil"/>
            </w:tcBorders>
            <w:shd w:val="clear" w:color="auto" w:fill="auto"/>
            <w:noWrap/>
            <w:vAlign w:val="center"/>
          </w:tcPr>
          <w:p w14:paraId="3144C497">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0.034</w:t>
            </w:r>
          </w:p>
        </w:tc>
      </w:tr>
      <w:tr w14:paraId="3EEF1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3B95A07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12</w:t>
            </w:r>
          </w:p>
        </w:tc>
        <w:tc>
          <w:tcPr>
            <w:tcW w:w="1389" w:type="dxa"/>
            <w:tcBorders>
              <w:tl2br w:val="nil"/>
              <w:tr2bl w:val="nil"/>
            </w:tcBorders>
            <w:shd w:val="clear" w:color="auto" w:fill="auto"/>
            <w:noWrap/>
            <w:vAlign w:val="center"/>
          </w:tcPr>
          <w:p w14:paraId="5738F00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6.81</w:t>
            </w:r>
          </w:p>
        </w:tc>
        <w:tc>
          <w:tcPr>
            <w:tcW w:w="689" w:type="pct"/>
            <w:tcBorders>
              <w:tl2br w:val="nil"/>
              <w:tr2bl w:val="nil"/>
            </w:tcBorders>
            <w:shd w:val="clear" w:color="auto" w:fill="auto"/>
            <w:noWrap/>
            <w:vAlign w:val="center"/>
          </w:tcPr>
          <w:p w14:paraId="3935CE2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0.149</w:t>
            </w:r>
          </w:p>
        </w:tc>
        <w:tc>
          <w:tcPr>
            <w:tcW w:w="689" w:type="pct"/>
            <w:tcBorders>
              <w:tl2br w:val="nil"/>
              <w:tr2bl w:val="nil"/>
            </w:tcBorders>
            <w:shd w:val="clear" w:color="auto" w:fill="auto"/>
            <w:noWrap/>
            <w:vAlign w:val="center"/>
          </w:tcPr>
          <w:p w14:paraId="514AAD8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0.012</w:t>
            </w:r>
          </w:p>
        </w:tc>
        <w:tc>
          <w:tcPr>
            <w:tcW w:w="689" w:type="pct"/>
            <w:tcBorders>
              <w:tl2br w:val="nil"/>
              <w:tr2bl w:val="nil"/>
            </w:tcBorders>
            <w:shd w:val="clear" w:color="auto" w:fill="auto"/>
            <w:noWrap/>
            <w:vAlign w:val="center"/>
          </w:tcPr>
          <w:p w14:paraId="2A99B0B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3.956</w:t>
            </w:r>
          </w:p>
        </w:tc>
        <w:tc>
          <w:tcPr>
            <w:tcW w:w="689" w:type="pct"/>
            <w:tcBorders>
              <w:tl2br w:val="nil"/>
              <w:tr2bl w:val="nil"/>
            </w:tcBorders>
            <w:shd w:val="clear" w:color="auto" w:fill="auto"/>
            <w:noWrap/>
            <w:vAlign w:val="center"/>
          </w:tcPr>
          <w:p w14:paraId="534DBAA1">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5.712</w:t>
            </w:r>
          </w:p>
        </w:tc>
        <w:tc>
          <w:tcPr>
            <w:tcW w:w="689" w:type="pct"/>
            <w:tcBorders>
              <w:tl2br w:val="nil"/>
              <w:tr2bl w:val="nil"/>
            </w:tcBorders>
            <w:shd w:val="clear" w:color="auto" w:fill="auto"/>
            <w:noWrap/>
            <w:vAlign w:val="center"/>
          </w:tcPr>
          <w:p w14:paraId="1BA44A3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0.088</w:t>
            </w:r>
          </w:p>
        </w:tc>
        <w:tc>
          <w:tcPr>
            <w:tcW w:w="338" w:type="pct"/>
            <w:tcBorders>
              <w:tl2br w:val="nil"/>
              <w:tr2bl w:val="nil"/>
            </w:tcBorders>
            <w:shd w:val="clear" w:color="auto" w:fill="auto"/>
            <w:noWrap/>
            <w:vAlign w:val="center"/>
          </w:tcPr>
          <w:p w14:paraId="3C8C0C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0.006</w:t>
            </w:r>
          </w:p>
        </w:tc>
      </w:tr>
      <w:tr w14:paraId="339A1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46" w:type="pct"/>
            <w:tcBorders>
              <w:tl2br w:val="nil"/>
              <w:tr2bl w:val="nil"/>
            </w:tcBorders>
            <w:shd w:val="clear" w:color="auto" w:fill="auto"/>
            <w:noWrap/>
            <w:vAlign w:val="center"/>
          </w:tcPr>
          <w:p w14:paraId="713EE3A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标准值</w:t>
            </w:r>
          </w:p>
        </w:tc>
        <w:tc>
          <w:tcPr>
            <w:tcW w:w="767" w:type="pct"/>
            <w:tcBorders>
              <w:tl2br w:val="nil"/>
              <w:tr2bl w:val="nil"/>
            </w:tcBorders>
            <w:shd w:val="clear" w:color="auto" w:fill="auto"/>
            <w:noWrap/>
            <w:vAlign w:val="center"/>
          </w:tcPr>
          <w:p w14:paraId="4A690F5F">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6~9</w:t>
            </w:r>
          </w:p>
        </w:tc>
        <w:tc>
          <w:tcPr>
            <w:tcW w:w="689" w:type="pct"/>
            <w:tcBorders>
              <w:tl2br w:val="nil"/>
              <w:tr2bl w:val="nil"/>
            </w:tcBorders>
            <w:shd w:val="clear" w:color="auto" w:fill="auto"/>
            <w:noWrap/>
            <w:vAlign w:val="center"/>
          </w:tcPr>
          <w:p w14:paraId="35FE80B8">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8</w:t>
            </w:r>
          </w:p>
        </w:tc>
        <w:tc>
          <w:tcPr>
            <w:tcW w:w="689" w:type="pct"/>
            <w:tcBorders>
              <w:tl2br w:val="nil"/>
              <w:tr2bl w:val="nil"/>
            </w:tcBorders>
            <w:shd w:val="clear" w:color="auto" w:fill="auto"/>
            <w:noWrap/>
            <w:vAlign w:val="center"/>
          </w:tcPr>
          <w:p w14:paraId="663F06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689" w:type="pct"/>
            <w:tcBorders>
              <w:tl2br w:val="nil"/>
              <w:tr2bl w:val="nil"/>
            </w:tcBorders>
            <w:shd w:val="clear" w:color="auto" w:fill="auto"/>
            <w:noWrap/>
            <w:vAlign w:val="center"/>
          </w:tcPr>
          <w:p w14:paraId="05AE5A2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15</w:t>
            </w:r>
          </w:p>
        </w:tc>
        <w:tc>
          <w:tcPr>
            <w:tcW w:w="689" w:type="pct"/>
            <w:tcBorders>
              <w:tl2br w:val="nil"/>
              <w:tr2bl w:val="nil"/>
            </w:tcBorders>
            <w:shd w:val="clear" w:color="auto" w:fill="auto"/>
            <w:noWrap/>
            <w:vAlign w:val="center"/>
          </w:tcPr>
          <w:p w14:paraId="41A82D8A">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60</w:t>
            </w:r>
          </w:p>
        </w:tc>
        <w:tc>
          <w:tcPr>
            <w:tcW w:w="689" w:type="pct"/>
            <w:tcBorders>
              <w:tl2br w:val="nil"/>
              <w:tr2bl w:val="nil"/>
            </w:tcBorders>
            <w:shd w:val="clear" w:color="auto" w:fill="auto"/>
            <w:noWrap/>
            <w:vAlign w:val="center"/>
          </w:tcPr>
          <w:p w14:paraId="206063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0.15（严格50%）</w:t>
            </w:r>
          </w:p>
        </w:tc>
        <w:tc>
          <w:tcPr>
            <w:tcW w:w="338" w:type="pct"/>
            <w:tcBorders>
              <w:tl2br w:val="nil"/>
              <w:tr2bl w:val="nil"/>
            </w:tcBorders>
            <w:shd w:val="clear" w:color="auto" w:fill="auto"/>
            <w:noWrap/>
            <w:vAlign w:val="center"/>
          </w:tcPr>
          <w:p w14:paraId="780981AD">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0.1</w:t>
            </w:r>
          </w:p>
        </w:tc>
      </w:tr>
    </w:tbl>
    <w:p w14:paraId="192F45AA">
      <w:pPr>
        <w:widowControl w:val="0"/>
        <w:tabs>
          <w:tab w:val="left" w:pos="1021"/>
        </w:tabs>
        <w:bidi w:val="0"/>
        <w:spacing w:line="360" w:lineRule="auto"/>
        <w:ind w:firstLine="480" w:firstLineChars="200"/>
        <w:jc w:val="both"/>
        <w:rPr>
          <w:rFonts w:hint="eastAsia" w:ascii="Times New Roman" w:hAnsi="Times New Roman" w:eastAsia="宋体" w:cs="Times New Roman"/>
          <w:color w:val="auto"/>
          <w:kern w:val="2"/>
          <w:sz w:val="24"/>
          <w:highlight w:val="none"/>
          <w:lang w:val="en-US" w:eastAsia="zh-CN" w:bidi="ar-SA"/>
        </w:rPr>
      </w:pPr>
      <w:r>
        <w:rPr>
          <w:rFonts w:hint="eastAsia" w:ascii="Times New Roman" w:hAnsi="Times New Roman" w:eastAsia="宋体" w:cs="Times New Roman"/>
          <w:color w:val="auto"/>
          <w:kern w:val="2"/>
          <w:sz w:val="24"/>
          <w:highlight w:val="none"/>
          <w:lang w:val="en-US" w:eastAsia="zh-CN" w:bidi="ar-SA"/>
        </w:rPr>
        <w:t>根据2023年总排口在线监测数据，渣滓溪锑矿外排废水中pH、氨氮、总磷、化学需氧量、总砷满足《</w:t>
      </w:r>
      <w:r>
        <w:rPr>
          <w:rFonts w:hint="eastAsia" w:ascii="Times New Roman" w:hAnsi="Times New Roman" w:eastAsia="宋体" w:cs="Times New Roman"/>
          <w:color w:val="auto"/>
          <w:kern w:val="2"/>
          <w:sz w:val="24"/>
          <w:highlight w:val="none"/>
          <w:lang w:val="en-US" w:eastAsia="zh-CN" w:bidi="ar-SA"/>
        </w:rPr>
        <w:fldChar w:fldCharType="begin"/>
      </w:r>
      <w:r>
        <w:rPr>
          <w:rFonts w:hint="eastAsia" w:ascii="Times New Roman" w:hAnsi="Times New Roman" w:eastAsia="宋体" w:cs="Times New Roman"/>
          <w:color w:val="auto"/>
          <w:kern w:val="2"/>
          <w:sz w:val="24"/>
          <w:highlight w:val="none"/>
          <w:lang w:val="en-US" w:eastAsia="zh-CN" w:bidi="ar-SA"/>
        </w:rPr>
        <w:instrText xml:space="preserve"> HYPERLINK "http://kjs.mep.gov.cn/hjbhbz/bzwb/dqhjbh/dqgdwrywrwpfbz/201405/W020140530533213253195.pdf" </w:instrText>
      </w:r>
      <w:r>
        <w:rPr>
          <w:rFonts w:hint="eastAsia" w:ascii="Times New Roman" w:hAnsi="Times New Roman" w:eastAsia="宋体" w:cs="Times New Roman"/>
          <w:color w:val="auto"/>
          <w:kern w:val="2"/>
          <w:sz w:val="24"/>
          <w:highlight w:val="none"/>
          <w:lang w:val="en-US" w:eastAsia="zh-CN" w:bidi="ar-SA"/>
        </w:rPr>
        <w:fldChar w:fldCharType="separate"/>
      </w:r>
      <w:r>
        <w:rPr>
          <w:rFonts w:hint="eastAsia" w:ascii="Times New Roman" w:hAnsi="Times New Roman" w:eastAsia="宋体" w:cs="Times New Roman"/>
          <w:color w:val="auto"/>
          <w:kern w:val="2"/>
          <w:sz w:val="24"/>
          <w:highlight w:val="none"/>
          <w:lang w:val="en-US" w:eastAsia="zh-CN" w:bidi="ar-SA"/>
        </w:rPr>
        <w:t>锡、锑、汞工业污染物排放标准</w:t>
      </w:r>
      <w:r>
        <w:rPr>
          <w:rFonts w:hint="eastAsia" w:ascii="Times New Roman" w:hAnsi="Times New Roman" w:eastAsia="宋体" w:cs="Times New Roman"/>
          <w:color w:val="auto"/>
          <w:kern w:val="2"/>
          <w:sz w:val="24"/>
          <w:highlight w:val="none"/>
          <w:lang w:val="en-US" w:eastAsia="zh-CN" w:bidi="ar-SA"/>
        </w:rPr>
        <w:fldChar w:fldCharType="end"/>
      </w:r>
      <w:r>
        <w:rPr>
          <w:rFonts w:hint="eastAsia" w:ascii="Times New Roman" w:hAnsi="Times New Roman" w:eastAsia="宋体" w:cs="Times New Roman"/>
          <w:color w:val="auto"/>
          <w:kern w:val="2"/>
          <w:sz w:val="24"/>
          <w:highlight w:val="none"/>
          <w:lang w:val="en-US" w:eastAsia="zh-CN" w:bidi="ar-SA"/>
        </w:rPr>
        <w:t>》（GB 30770-2014）表2限值。对于锑，仅1月、8月2个月超过了0.15mg/L，超标倍数分别为0.033倍、0.14倍。全年锑排放浓度均值为0.10mg/L，占标率为33%。</w:t>
      </w:r>
    </w:p>
    <w:p w14:paraId="41583ECB">
      <w:pPr>
        <w:pStyle w:val="2"/>
        <w:rPr>
          <w:rFonts w:hint="eastAsia" w:ascii="Times New Roman" w:hAnsi="Times New Roman" w:cs="Times New Roman"/>
          <w:color w:val="auto"/>
          <w:highlight w:val="none"/>
          <w:lang w:val="en-US" w:eastAsia="zh-CN"/>
        </w:rPr>
      </w:pPr>
      <w:r>
        <w:rPr>
          <w:rFonts w:hint="eastAsia" w:ascii="Times New Roman" w:hAnsi="Times New Roman" w:eastAsia="宋体" w:cs="Times New Roman"/>
          <w:color w:val="auto"/>
          <w:kern w:val="2"/>
          <w:sz w:val="24"/>
          <w:highlight w:val="none"/>
          <w:lang w:val="en-US" w:eastAsia="zh-CN" w:bidi="ar-SA"/>
        </w:rPr>
        <w:t>由监测结果可知，渣滓溪锑矿全年锑排放平均浓度低于本次评价执行的排放标准0.15mg/L，有2个月度监测指标超标，但均低于企业目前排污许可执行标准0.3mg/L。本次评建议提高渣滓溪锑矿废水排放浓度要求，在特别排放限值0.3mg/L的基础上，再严格50%执行，即0.15mg/L。</w:t>
      </w:r>
    </w:p>
    <w:p w14:paraId="16E02813">
      <w:pPr>
        <w:pStyle w:val="37"/>
        <w:bidi w:val="0"/>
        <w:rPr>
          <w:rFonts w:hint="eastAsia"/>
          <w:color w:val="auto"/>
          <w:highlight w:val="none"/>
          <w:lang w:val="en-US" w:eastAsia="zh-CN"/>
        </w:rPr>
      </w:pPr>
      <w:r>
        <w:rPr>
          <w:rFonts w:hint="eastAsia"/>
          <w:color w:val="auto"/>
          <w:highlight w:val="none"/>
          <w:lang w:val="en-US" w:eastAsia="zh-CN"/>
        </w:rPr>
        <w:t>入河排污口总量</w:t>
      </w:r>
    </w:p>
    <w:p w14:paraId="7FFBA1EA">
      <w:pPr>
        <w:pStyle w:val="2"/>
        <w:rPr>
          <w:rFonts w:hint="default"/>
          <w:color w:val="auto"/>
          <w:highlight w:val="none"/>
          <w:lang w:val="en-US" w:eastAsia="zh-CN"/>
        </w:rPr>
      </w:pPr>
      <w:r>
        <w:rPr>
          <w:rFonts w:hint="eastAsia"/>
          <w:color w:val="auto"/>
          <w:highlight w:val="none"/>
          <w:lang w:val="en-US" w:eastAsia="zh-CN"/>
        </w:rPr>
        <w:t>根据引用监测、企业自行监测和企业在线监测，废水处理站出水均能满足《</w:t>
      </w:r>
      <w:r>
        <w:rPr>
          <w:rFonts w:hint="eastAsia"/>
          <w:color w:val="auto"/>
          <w:highlight w:val="none"/>
          <w:lang w:val="en-US" w:eastAsia="zh-CN"/>
        </w:rPr>
        <w:fldChar w:fldCharType="begin"/>
      </w:r>
      <w:r>
        <w:rPr>
          <w:rFonts w:hint="eastAsia"/>
          <w:color w:val="auto"/>
          <w:highlight w:val="none"/>
          <w:lang w:val="en-US" w:eastAsia="zh-CN"/>
        </w:rPr>
        <w:instrText xml:space="preserve"> HYPERLINK "http://kjs.mep.gov.cn/hjbhbz/bzwb/dqhjbh/dqgdwrywrwpfbz/201405/W020140530533213253195.pdf" </w:instrText>
      </w:r>
      <w:r>
        <w:rPr>
          <w:rFonts w:hint="eastAsia"/>
          <w:color w:val="auto"/>
          <w:highlight w:val="none"/>
          <w:lang w:val="en-US" w:eastAsia="zh-CN"/>
        </w:rPr>
        <w:fldChar w:fldCharType="separate"/>
      </w:r>
      <w:r>
        <w:rPr>
          <w:rFonts w:hint="eastAsia"/>
          <w:color w:val="auto"/>
          <w:highlight w:val="none"/>
          <w:lang w:val="en-US" w:eastAsia="zh-CN"/>
        </w:rPr>
        <w:t>锡、锑、汞工业污染物排放标准</w:t>
      </w:r>
      <w:r>
        <w:rPr>
          <w:rFonts w:hint="eastAsia"/>
          <w:color w:val="auto"/>
          <w:highlight w:val="none"/>
          <w:lang w:val="en-US" w:eastAsia="zh-CN"/>
        </w:rPr>
        <w:fldChar w:fldCharType="end"/>
      </w:r>
      <w:r>
        <w:rPr>
          <w:rFonts w:hint="eastAsia"/>
          <w:color w:val="auto"/>
          <w:highlight w:val="none"/>
          <w:lang w:val="en-US" w:eastAsia="zh-CN"/>
        </w:rPr>
        <w:t>》（GB 30770-2014）表2限值和《工业废水铊污染物排放标准》（DB43/968-2021）标准。</w:t>
      </w:r>
    </w:p>
    <w:p w14:paraId="46655D1B">
      <w:pPr>
        <w:widowControl w:val="0"/>
        <w:tabs>
          <w:tab w:val="left" w:pos="1021"/>
        </w:tabs>
        <w:bidi w:val="0"/>
        <w:spacing w:line="360" w:lineRule="auto"/>
        <w:ind w:firstLine="480" w:firstLineChars="200"/>
        <w:jc w:val="both"/>
        <w:outlineLvl w:val="9"/>
        <w:rPr>
          <w:rFonts w:hint="eastAsia"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本次论证，参考《污染源源强核算技术指南 准则》HJ884-2018的规定：</w:t>
      </w:r>
    </w:p>
    <w:p w14:paraId="64B14770">
      <w:pPr>
        <w:widowControl w:val="0"/>
        <w:tabs>
          <w:tab w:val="left" w:pos="1021"/>
        </w:tabs>
        <w:bidi w:val="0"/>
        <w:spacing w:line="360" w:lineRule="auto"/>
        <w:ind w:firstLine="480" w:firstLineChars="200"/>
        <w:jc w:val="both"/>
        <w:outlineLvl w:val="9"/>
        <w:rPr>
          <w:rFonts w:hint="eastAsia" w:cs="Times New Roman"/>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①</w:t>
      </w:r>
      <w:r>
        <w:rPr>
          <w:rFonts w:hint="eastAsia" w:cs="Times New Roman"/>
          <w:color w:val="auto"/>
          <w:kern w:val="2"/>
          <w:sz w:val="24"/>
          <w:szCs w:val="20"/>
          <w:highlight w:val="none"/>
          <w:lang w:val="en-US" w:eastAsia="zh-CN" w:bidi="ar-SA"/>
        </w:rPr>
        <w:t>现有工程污染源源强的核算应优先采用实测法，各行业指南也可根据行业特点确定其他核算方法</w:t>
      </w:r>
      <w:r>
        <w:rPr>
          <w:rFonts w:hint="eastAsia" w:ascii="Times New Roman" w:hAnsi="Times New Roman" w:eastAsia="宋体" w:cs="Times New Roman"/>
          <w:color w:val="auto"/>
          <w:kern w:val="2"/>
          <w:sz w:val="24"/>
          <w:szCs w:val="20"/>
          <w:highlight w:val="none"/>
          <w:lang w:val="en-US" w:eastAsia="zh-CN" w:bidi="ar-SA"/>
        </w:rPr>
        <w:t>；</w:t>
      </w:r>
    </w:p>
    <w:p w14:paraId="421E0369">
      <w:pPr>
        <w:widowControl w:val="0"/>
        <w:tabs>
          <w:tab w:val="left" w:pos="1021"/>
        </w:tabs>
        <w:bidi w:val="0"/>
        <w:spacing w:line="360" w:lineRule="auto"/>
        <w:ind w:firstLine="480" w:firstLineChars="200"/>
        <w:jc w:val="both"/>
        <w:outlineLvl w:val="9"/>
        <w:rPr>
          <w:rFonts w:hint="eastAsia" w:cs="Times New Roman"/>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②</w:t>
      </w:r>
      <w:r>
        <w:rPr>
          <w:rFonts w:hint="eastAsia" w:cs="Times New Roman"/>
          <w:color w:val="auto"/>
          <w:kern w:val="2"/>
          <w:sz w:val="24"/>
          <w:szCs w:val="20"/>
          <w:highlight w:val="none"/>
          <w:lang w:val="en-US" w:eastAsia="zh-CN" w:bidi="ar-SA"/>
        </w:rPr>
        <w:t>采用实测法核算时，对于排污单位自行监测技术指南及排污许可证等要求采用自动监测的污染因子，仅可采用有效的自动监测数据进行核算</w:t>
      </w:r>
      <w:r>
        <w:rPr>
          <w:rFonts w:hint="eastAsia" w:ascii="Times New Roman" w:hAnsi="Times New Roman" w:eastAsia="宋体" w:cs="Times New Roman"/>
          <w:color w:val="auto"/>
          <w:kern w:val="2"/>
          <w:sz w:val="24"/>
          <w:szCs w:val="20"/>
          <w:highlight w:val="none"/>
          <w:lang w:val="en-US" w:eastAsia="zh-CN" w:bidi="ar-SA"/>
        </w:rPr>
        <w:t>；</w:t>
      </w:r>
    </w:p>
    <w:p w14:paraId="5CEAAFB3">
      <w:pPr>
        <w:widowControl w:val="0"/>
        <w:tabs>
          <w:tab w:val="left" w:pos="1021"/>
        </w:tabs>
        <w:bidi w:val="0"/>
        <w:spacing w:line="360" w:lineRule="auto"/>
        <w:ind w:firstLine="480" w:firstLineChars="200"/>
        <w:jc w:val="both"/>
        <w:outlineLvl w:val="9"/>
        <w:rPr>
          <w:rFonts w:hint="eastAsia" w:cs="Times New Roman"/>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③</w:t>
      </w:r>
      <w:r>
        <w:rPr>
          <w:rFonts w:hint="eastAsia" w:cs="Times New Roman"/>
          <w:color w:val="auto"/>
          <w:kern w:val="2"/>
          <w:sz w:val="24"/>
          <w:szCs w:val="20"/>
          <w:highlight w:val="none"/>
          <w:lang w:val="en-US" w:eastAsia="zh-CN" w:bidi="ar-SA"/>
        </w:rPr>
        <w:t>对于排污单位自行监测技术指南及排污许可证等未要求采用自动监测的污染因子，核算源强时优先采用自动监测数据，其次采用手工监测数据。</w:t>
      </w:r>
    </w:p>
    <w:p w14:paraId="4ABE451A">
      <w:pPr>
        <w:widowControl w:val="0"/>
        <w:tabs>
          <w:tab w:val="left" w:pos="1021"/>
        </w:tabs>
        <w:bidi w:val="0"/>
        <w:spacing w:line="360" w:lineRule="auto"/>
        <w:ind w:firstLine="480" w:firstLineChars="200"/>
        <w:jc w:val="both"/>
        <w:outlineLvl w:val="9"/>
        <w:rPr>
          <w:rFonts w:hint="default"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因此，本次论证采用</w:t>
      </w:r>
      <w:r>
        <w:rPr>
          <w:rFonts w:hint="default" w:ascii="Times New Roman" w:hAnsi="Times New Roman" w:eastAsia="宋体" w:cs="Times New Roman"/>
          <w:color w:val="auto"/>
          <w:kern w:val="2"/>
          <w:sz w:val="24"/>
          <w:szCs w:val="20"/>
          <w:highlight w:val="none"/>
          <w:lang w:val="en-US" w:eastAsia="zh-CN" w:bidi="ar-SA"/>
        </w:rPr>
        <w:t>2023年企业总排口在线监测数据，</w:t>
      </w:r>
      <w:r>
        <w:rPr>
          <w:rFonts w:hint="eastAsia" w:ascii="Times New Roman" w:hAnsi="Times New Roman" w:eastAsia="宋体" w:cs="Times New Roman"/>
          <w:color w:val="auto"/>
          <w:kern w:val="2"/>
          <w:sz w:val="24"/>
          <w:szCs w:val="20"/>
          <w:highlight w:val="none"/>
          <w:lang w:val="en-US" w:eastAsia="zh-CN" w:bidi="ar-SA"/>
        </w:rPr>
        <w:t>选用排放浓度的</w:t>
      </w:r>
      <w:r>
        <w:rPr>
          <w:rFonts w:hint="eastAsia" w:cs="Times New Roman"/>
          <w:color w:val="auto"/>
          <w:kern w:val="2"/>
          <w:sz w:val="24"/>
          <w:szCs w:val="20"/>
          <w:highlight w:val="none"/>
          <w:lang w:val="en-US" w:eastAsia="zh-CN" w:bidi="ar-SA"/>
        </w:rPr>
        <w:t>平均值</w:t>
      </w:r>
      <w:r>
        <w:rPr>
          <w:rFonts w:hint="eastAsia" w:ascii="Times New Roman" w:hAnsi="Times New Roman" w:eastAsia="宋体" w:cs="Times New Roman"/>
          <w:color w:val="auto"/>
          <w:kern w:val="2"/>
          <w:sz w:val="24"/>
          <w:szCs w:val="20"/>
          <w:highlight w:val="none"/>
          <w:lang w:val="en-US" w:eastAsia="zh-CN" w:bidi="ar-SA"/>
        </w:rPr>
        <w:t>计算</w:t>
      </w:r>
      <w:r>
        <w:rPr>
          <w:rFonts w:hint="eastAsia" w:cs="Times New Roman"/>
          <w:color w:val="auto"/>
          <w:kern w:val="2"/>
          <w:sz w:val="24"/>
          <w:szCs w:val="20"/>
          <w:highlight w:val="none"/>
          <w:lang w:val="en-US" w:eastAsia="zh-CN" w:bidi="ar-SA"/>
        </w:rPr>
        <w:t>企业排放总量</w:t>
      </w:r>
      <w:r>
        <w:rPr>
          <w:rFonts w:hint="eastAsia" w:ascii="Times New Roman" w:hAnsi="Times New Roman" w:eastAsia="宋体" w:cs="Times New Roman"/>
          <w:color w:val="auto"/>
          <w:kern w:val="2"/>
          <w:sz w:val="24"/>
          <w:szCs w:val="20"/>
          <w:highlight w:val="none"/>
          <w:lang w:val="en-US" w:eastAsia="zh-CN" w:bidi="ar-SA"/>
        </w:rPr>
        <w:t>。</w:t>
      </w:r>
      <w:r>
        <w:rPr>
          <w:rFonts w:hint="eastAsia" w:cs="Times New Roman"/>
          <w:color w:val="auto"/>
          <w:kern w:val="2"/>
          <w:sz w:val="24"/>
          <w:szCs w:val="20"/>
          <w:highlight w:val="none"/>
          <w:lang w:val="en-US" w:eastAsia="zh-CN" w:bidi="ar-SA"/>
        </w:rPr>
        <w:t>铅、汞、镉、铬无在线数据，本次论证采用企业2023年月度自行监测数据的平均值。</w:t>
      </w:r>
    </w:p>
    <w:p w14:paraId="065BBF43">
      <w:pPr>
        <w:widowControl w:val="0"/>
        <w:tabs>
          <w:tab w:val="left" w:pos="1021"/>
        </w:tabs>
        <w:bidi w:val="0"/>
        <w:spacing w:line="300" w:lineRule="auto"/>
        <w:jc w:val="center"/>
        <w:outlineLvl w:val="4"/>
        <w:rPr>
          <w:rFonts w:hint="eastAsia"/>
          <w:color w:val="auto"/>
          <w:highlight w:val="none"/>
          <w:lang w:val="en-US" w:eastAsia="zh-CN"/>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6.2</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4</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w:t>
      </w:r>
      <w:r>
        <w:rPr>
          <w:rFonts w:hint="eastAsia" w:eastAsia="黑体" w:cs="Times New Roman"/>
          <w:color w:val="auto"/>
          <w:kern w:val="2"/>
          <w:sz w:val="24"/>
          <w:szCs w:val="20"/>
          <w:highlight w:val="none"/>
          <w:lang w:val="en-US" w:eastAsia="zh-CN" w:bidi="ar-SA"/>
        </w:rPr>
        <w:t>调整</w:t>
      </w:r>
      <w:r>
        <w:rPr>
          <w:rFonts w:hint="eastAsia" w:ascii="Times New Roman" w:hAnsi="Times New Roman" w:eastAsia="黑体" w:cs="Times New Roman"/>
          <w:color w:val="auto"/>
          <w:kern w:val="2"/>
          <w:sz w:val="24"/>
          <w:szCs w:val="20"/>
          <w:highlight w:val="none"/>
          <w:lang w:val="en-US" w:eastAsia="zh-CN" w:bidi="ar-SA"/>
        </w:rPr>
        <w:t>后</w:t>
      </w:r>
      <w:r>
        <w:rPr>
          <w:rFonts w:hint="default" w:ascii="Times New Roman" w:hAnsi="Times New Roman" w:eastAsia="黑体" w:cs="Times New Roman"/>
          <w:color w:val="auto"/>
          <w:kern w:val="2"/>
          <w:sz w:val="24"/>
          <w:szCs w:val="20"/>
          <w:highlight w:val="none"/>
          <w:lang w:val="en-US" w:eastAsia="zh-CN" w:bidi="ar-SA"/>
        </w:rPr>
        <w:t>矿山废水污染物</w:t>
      </w:r>
      <w:r>
        <w:rPr>
          <w:rFonts w:hint="eastAsia" w:ascii="Times New Roman" w:hAnsi="Times New Roman" w:eastAsia="黑体" w:cs="Times New Roman"/>
          <w:color w:val="auto"/>
          <w:kern w:val="2"/>
          <w:sz w:val="24"/>
          <w:szCs w:val="20"/>
          <w:highlight w:val="none"/>
          <w:lang w:val="en-US" w:eastAsia="zh-CN" w:bidi="ar-SA"/>
        </w:rPr>
        <w:t>总量情况</w:t>
      </w:r>
      <w:r>
        <w:rPr>
          <w:rFonts w:hint="default" w:ascii="Times New Roman" w:hAnsi="Times New Roman" w:eastAsia="黑体" w:cs="Times New Roman"/>
          <w:color w:val="auto"/>
          <w:kern w:val="2"/>
          <w:sz w:val="24"/>
          <w:szCs w:val="20"/>
          <w:highlight w:val="none"/>
          <w:lang w:val="en-US" w:eastAsia="zh-CN" w:bidi="ar-SA"/>
        </w:rPr>
        <w:t>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1" w:type="dxa"/>
          <w:bottom w:w="0" w:type="dxa"/>
          <w:right w:w="11" w:type="dxa"/>
        </w:tblCellMar>
      </w:tblPr>
      <w:tblGrid>
        <w:gridCol w:w="597"/>
        <w:gridCol w:w="2790"/>
        <w:gridCol w:w="1656"/>
        <w:gridCol w:w="1656"/>
        <w:gridCol w:w="1190"/>
        <w:gridCol w:w="1163"/>
      </w:tblGrid>
      <w:tr w14:paraId="3A5630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0" w:type="pct"/>
            <w:tcBorders>
              <w:tl2br w:val="nil"/>
              <w:tr2bl w:val="nil"/>
            </w:tcBorders>
            <w:shd w:val="clear" w:color="auto" w:fill="auto"/>
            <w:noWrap/>
            <w:vAlign w:val="center"/>
          </w:tcPr>
          <w:p w14:paraId="66B0E04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因子</w:t>
            </w:r>
          </w:p>
        </w:tc>
        <w:tc>
          <w:tcPr>
            <w:tcW w:w="1540" w:type="pct"/>
            <w:tcBorders>
              <w:tl2br w:val="nil"/>
              <w:tr2bl w:val="nil"/>
            </w:tcBorders>
            <w:shd w:val="clear" w:color="auto" w:fill="auto"/>
            <w:noWrap/>
            <w:vAlign w:val="center"/>
          </w:tcPr>
          <w:p w14:paraId="57FA921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平均</w:t>
            </w:r>
            <w:r>
              <w:rPr>
                <w:rFonts w:hint="default" w:ascii="Times New Roman" w:hAnsi="Times New Roman" w:eastAsia="宋体" w:cs="Times New Roman"/>
                <w:color w:val="auto"/>
                <w:kern w:val="2"/>
                <w:sz w:val="22"/>
                <w:szCs w:val="22"/>
                <w:highlight w:val="none"/>
                <w:lang w:val="en-US" w:eastAsia="zh-CN" w:bidi="ar-SA"/>
              </w:rPr>
              <w:t>排放浓度（mg/L）</w:t>
            </w:r>
          </w:p>
        </w:tc>
        <w:tc>
          <w:tcPr>
            <w:tcW w:w="914" w:type="pct"/>
            <w:tcBorders>
              <w:tl2br w:val="nil"/>
              <w:tr2bl w:val="nil"/>
            </w:tcBorders>
            <w:shd w:val="clear" w:color="auto" w:fill="auto"/>
            <w:noWrap/>
            <w:vAlign w:val="center"/>
          </w:tcPr>
          <w:p w14:paraId="09213D2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预测排放总量</w:t>
            </w:r>
          </w:p>
        </w:tc>
        <w:tc>
          <w:tcPr>
            <w:tcW w:w="914" w:type="pct"/>
            <w:tcBorders>
              <w:tl2br w:val="nil"/>
              <w:tr2bl w:val="nil"/>
            </w:tcBorders>
            <w:shd w:val="clear" w:color="auto" w:fill="auto"/>
            <w:noWrap/>
            <w:vAlign w:val="center"/>
          </w:tcPr>
          <w:p w14:paraId="0CD3EA7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现状排放总量</w:t>
            </w:r>
          </w:p>
        </w:tc>
        <w:tc>
          <w:tcPr>
            <w:tcW w:w="657" w:type="pct"/>
            <w:tcBorders>
              <w:tl2br w:val="nil"/>
              <w:tr2bl w:val="nil"/>
            </w:tcBorders>
            <w:shd w:val="clear" w:color="auto" w:fill="auto"/>
            <w:noWrap/>
            <w:vAlign w:val="center"/>
          </w:tcPr>
          <w:p w14:paraId="21012A9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变化情况</w:t>
            </w:r>
          </w:p>
        </w:tc>
        <w:tc>
          <w:tcPr>
            <w:tcW w:w="642" w:type="pct"/>
            <w:tcBorders>
              <w:tl2br w:val="nil"/>
              <w:tr2bl w:val="nil"/>
            </w:tcBorders>
            <w:shd w:val="clear" w:color="auto" w:fill="auto"/>
            <w:noWrap/>
            <w:vAlign w:val="center"/>
          </w:tcPr>
          <w:p w14:paraId="6E6CB6C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排放</w:t>
            </w:r>
            <w:r>
              <w:rPr>
                <w:rFonts w:hint="eastAsia" w:cs="Times New Roman"/>
                <w:color w:val="auto"/>
                <w:kern w:val="2"/>
                <w:sz w:val="22"/>
                <w:szCs w:val="22"/>
                <w:highlight w:val="none"/>
                <w:lang w:val="en-US" w:eastAsia="zh-CN" w:bidi="ar-SA"/>
              </w:rPr>
              <w:t>权</w:t>
            </w:r>
            <w:r>
              <w:rPr>
                <w:rFonts w:hint="eastAsia" w:ascii="Times New Roman" w:hAnsi="Times New Roman" w:eastAsia="宋体" w:cs="Times New Roman"/>
                <w:color w:val="auto"/>
                <w:kern w:val="2"/>
                <w:sz w:val="22"/>
                <w:szCs w:val="22"/>
                <w:highlight w:val="none"/>
                <w:lang w:val="en-US" w:eastAsia="zh-CN" w:bidi="ar-SA"/>
              </w:rPr>
              <w:t>量</w:t>
            </w:r>
          </w:p>
        </w:tc>
      </w:tr>
      <w:tr w14:paraId="6B0DE1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0" w:type="pct"/>
            <w:tcBorders>
              <w:tl2br w:val="nil"/>
              <w:tr2bl w:val="nil"/>
            </w:tcBorders>
            <w:shd w:val="clear" w:color="auto" w:fill="auto"/>
            <w:noWrap/>
            <w:vAlign w:val="center"/>
          </w:tcPr>
          <w:p w14:paraId="0F29D24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COD</w:t>
            </w:r>
          </w:p>
        </w:tc>
        <w:tc>
          <w:tcPr>
            <w:tcW w:w="1540" w:type="pct"/>
            <w:tcBorders>
              <w:tl2br w:val="nil"/>
              <w:tr2bl w:val="nil"/>
            </w:tcBorders>
            <w:shd w:val="clear" w:color="auto" w:fill="auto"/>
            <w:noWrap/>
            <w:vAlign w:val="center"/>
          </w:tcPr>
          <w:p w14:paraId="35244095">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6.15</w:t>
            </w:r>
          </w:p>
        </w:tc>
        <w:tc>
          <w:tcPr>
            <w:tcW w:w="914" w:type="pct"/>
            <w:tcBorders>
              <w:tl2br w:val="nil"/>
              <w:tr2bl w:val="nil"/>
            </w:tcBorders>
            <w:shd w:val="clear" w:color="auto" w:fill="auto"/>
            <w:noWrap/>
            <w:vAlign w:val="center"/>
          </w:tcPr>
          <w:p w14:paraId="7E9FCEB9">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5.328</w:t>
            </w:r>
            <w:r>
              <w:rPr>
                <w:rFonts w:hint="eastAsia" w:ascii="Times New Roman" w:hAnsi="Times New Roman" w:eastAsia="宋体" w:cs="Times New Roman"/>
                <w:color w:val="auto"/>
                <w:kern w:val="2"/>
                <w:sz w:val="22"/>
                <w:szCs w:val="22"/>
                <w:highlight w:val="none"/>
                <w:lang w:val="en-US" w:eastAsia="zh-CN" w:bidi="ar-SA"/>
              </w:rPr>
              <w:t>t/a</w:t>
            </w:r>
          </w:p>
        </w:tc>
        <w:tc>
          <w:tcPr>
            <w:tcW w:w="914" w:type="pct"/>
            <w:tcBorders>
              <w:tl2br w:val="nil"/>
              <w:tr2bl w:val="nil"/>
            </w:tcBorders>
            <w:shd w:val="clear" w:color="auto" w:fill="auto"/>
            <w:noWrap/>
            <w:vAlign w:val="center"/>
          </w:tcPr>
          <w:p w14:paraId="3B802933">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5.123</w:t>
            </w:r>
            <w:r>
              <w:rPr>
                <w:rFonts w:hint="eastAsia" w:ascii="Times New Roman" w:hAnsi="Times New Roman" w:eastAsia="宋体" w:cs="Times New Roman"/>
                <w:color w:val="auto"/>
                <w:kern w:val="2"/>
                <w:sz w:val="22"/>
                <w:szCs w:val="22"/>
                <w:highlight w:val="none"/>
                <w:lang w:val="en-US" w:eastAsia="zh-CN" w:bidi="ar-SA"/>
              </w:rPr>
              <w:t>t/a</w:t>
            </w:r>
          </w:p>
        </w:tc>
        <w:tc>
          <w:tcPr>
            <w:tcW w:w="657" w:type="pct"/>
            <w:tcBorders>
              <w:tl2br w:val="nil"/>
              <w:tr2bl w:val="nil"/>
            </w:tcBorders>
            <w:shd w:val="clear" w:color="auto" w:fill="auto"/>
            <w:noWrap/>
            <w:vAlign w:val="center"/>
          </w:tcPr>
          <w:p w14:paraId="5AC901C6">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0.205</w:t>
            </w:r>
            <w:r>
              <w:rPr>
                <w:rFonts w:hint="eastAsia" w:ascii="Times New Roman" w:hAnsi="Times New Roman" w:eastAsia="宋体" w:cs="Times New Roman"/>
                <w:color w:val="auto"/>
                <w:kern w:val="2"/>
                <w:sz w:val="22"/>
                <w:szCs w:val="22"/>
                <w:highlight w:val="none"/>
                <w:lang w:val="en-US" w:eastAsia="zh-CN" w:bidi="ar-SA"/>
              </w:rPr>
              <w:t>t/a</w:t>
            </w:r>
          </w:p>
        </w:tc>
        <w:tc>
          <w:tcPr>
            <w:tcW w:w="642" w:type="pct"/>
            <w:tcBorders>
              <w:tl2br w:val="nil"/>
              <w:tr2bl w:val="nil"/>
            </w:tcBorders>
            <w:shd w:val="clear" w:color="auto" w:fill="auto"/>
            <w:noWrap/>
            <w:vAlign w:val="center"/>
          </w:tcPr>
          <w:p w14:paraId="6E88772D">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6.83</w:t>
            </w:r>
            <w:r>
              <w:rPr>
                <w:rFonts w:hint="eastAsia" w:ascii="Times New Roman" w:hAnsi="Times New Roman" w:eastAsia="宋体" w:cs="Times New Roman"/>
                <w:color w:val="auto"/>
                <w:kern w:val="2"/>
                <w:sz w:val="22"/>
                <w:szCs w:val="22"/>
                <w:highlight w:val="none"/>
                <w:lang w:val="en-US" w:eastAsia="zh-CN" w:bidi="ar-SA"/>
              </w:rPr>
              <w:t>t/a</w:t>
            </w:r>
          </w:p>
        </w:tc>
      </w:tr>
      <w:tr w14:paraId="44051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0" w:type="pct"/>
            <w:tcBorders>
              <w:tl2br w:val="nil"/>
              <w:tr2bl w:val="nil"/>
            </w:tcBorders>
            <w:shd w:val="clear" w:color="auto" w:fill="auto"/>
            <w:noWrap/>
            <w:vAlign w:val="center"/>
          </w:tcPr>
          <w:p w14:paraId="3027890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氨氮</w:t>
            </w:r>
          </w:p>
        </w:tc>
        <w:tc>
          <w:tcPr>
            <w:tcW w:w="1540" w:type="pct"/>
            <w:tcBorders>
              <w:tl2br w:val="nil"/>
              <w:tr2bl w:val="nil"/>
            </w:tcBorders>
            <w:shd w:val="clear" w:color="auto" w:fill="auto"/>
            <w:noWrap/>
            <w:vAlign w:val="center"/>
          </w:tcPr>
          <w:p w14:paraId="74AA66B1">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0.32</w:t>
            </w:r>
          </w:p>
        </w:tc>
        <w:tc>
          <w:tcPr>
            <w:tcW w:w="914" w:type="pct"/>
            <w:tcBorders>
              <w:tl2br w:val="nil"/>
              <w:tr2bl w:val="nil"/>
            </w:tcBorders>
            <w:shd w:val="clear" w:color="auto" w:fill="auto"/>
            <w:noWrap/>
            <w:vAlign w:val="center"/>
          </w:tcPr>
          <w:p w14:paraId="20857A02">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0.277</w:t>
            </w:r>
            <w:r>
              <w:rPr>
                <w:rFonts w:hint="eastAsia" w:ascii="Times New Roman" w:hAnsi="Times New Roman" w:eastAsia="宋体" w:cs="Times New Roman"/>
                <w:color w:val="auto"/>
                <w:kern w:val="2"/>
                <w:sz w:val="22"/>
                <w:szCs w:val="22"/>
                <w:highlight w:val="none"/>
                <w:lang w:val="en-US" w:eastAsia="zh-CN" w:bidi="ar-SA"/>
              </w:rPr>
              <w:t>t/a</w:t>
            </w:r>
          </w:p>
        </w:tc>
        <w:tc>
          <w:tcPr>
            <w:tcW w:w="914" w:type="pct"/>
            <w:tcBorders>
              <w:tl2br w:val="nil"/>
              <w:tr2bl w:val="nil"/>
            </w:tcBorders>
            <w:shd w:val="clear" w:color="auto" w:fill="auto"/>
            <w:noWrap/>
            <w:vAlign w:val="center"/>
          </w:tcPr>
          <w:p w14:paraId="7D9CE6BB">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0.267</w:t>
            </w:r>
            <w:r>
              <w:rPr>
                <w:rFonts w:hint="eastAsia" w:ascii="Times New Roman" w:hAnsi="Times New Roman" w:eastAsia="宋体" w:cs="Times New Roman"/>
                <w:color w:val="auto"/>
                <w:kern w:val="2"/>
                <w:sz w:val="22"/>
                <w:szCs w:val="22"/>
                <w:highlight w:val="none"/>
                <w:lang w:val="en-US" w:eastAsia="zh-CN" w:bidi="ar-SA"/>
              </w:rPr>
              <w:t>t/a</w:t>
            </w:r>
          </w:p>
        </w:tc>
        <w:tc>
          <w:tcPr>
            <w:tcW w:w="657" w:type="pct"/>
            <w:tcBorders>
              <w:tl2br w:val="nil"/>
              <w:tr2bl w:val="nil"/>
            </w:tcBorders>
            <w:shd w:val="clear" w:color="auto" w:fill="auto"/>
            <w:noWrap/>
            <w:vAlign w:val="center"/>
          </w:tcPr>
          <w:p w14:paraId="0690382B">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0.010</w:t>
            </w:r>
            <w:r>
              <w:rPr>
                <w:rFonts w:hint="eastAsia" w:ascii="Times New Roman" w:hAnsi="Times New Roman" w:eastAsia="宋体" w:cs="Times New Roman"/>
                <w:color w:val="auto"/>
                <w:kern w:val="2"/>
                <w:sz w:val="22"/>
                <w:szCs w:val="22"/>
                <w:highlight w:val="none"/>
                <w:lang w:val="en-US" w:eastAsia="zh-CN" w:bidi="ar-SA"/>
              </w:rPr>
              <w:t>t/a</w:t>
            </w:r>
          </w:p>
        </w:tc>
        <w:tc>
          <w:tcPr>
            <w:tcW w:w="642" w:type="pct"/>
            <w:tcBorders>
              <w:tl2br w:val="nil"/>
              <w:tr2bl w:val="nil"/>
            </w:tcBorders>
            <w:shd w:val="clear" w:color="auto" w:fill="auto"/>
            <w:noWrap/>
            <w:vAlign w:val="center"/>
          </w:tcPr>
          <w:p w14:paraId="076B2242">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0.37</w:t>
            </w:r>
            <w:r>
              <w:rPr>
                <w:rFonts w:hint="eastAsia" w:ascii="Times New Roman" w:hAnsi="Times New Roman" w:eastAsia="宋体" w:cs="Times New Roman"/>
                <w:color w:val="auto"/>
                <w:kern w:val="2"/>
                <w:sz w:val="22"/>
                <w:szCs w:val="22"/>
                <w:highlight w:val="none"/>
                <w:lang w:val="en-US" w:eastAsia="zh-CN" w:bidi="ar-SA"/>
              </w:rPr>
              <w:t>t/a</w:t>
            </w:r>
          </w:p>
        </w:tc>
      </w:tr>
      <w:tr w14:paraId="05D14B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0" w:type="pct"/>
            <w:tcBorders>
              <w:tl2br w:val="nil"/>
              <w:tr2bl w:val="nil"/>
            </w:tcBorders>
            <w:shd w:val="clear" w:color="auto" w:fill="auto"/>
            <w:noWrap/>
            <w:vAlign w:val="center"/>
          </w:tcPr>
          <w:p w14:paraId="684B3B3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总磷</w:t>
            </w:r>
          </w:p>
        </w:tc>
        <w:tc>
          <w:tcPr>
            <w:tcW w:w="1540" w:type="pct"/>
            <w:tcBorders>
              <w:tl2br w:val="nil"/>
              <w:tr2bl w:val="nil"/>
            </w:tcBorders>
            <w:shd w:val="clear" w:color="auto" w:fill="auto"/>
            <w:noWrap/>
            <w:vAlign w:val="center"/>
          </w:tcPr>
          <w:p w14:paraId="13D42712">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0.04</w:t>
            </w:r>
          </w:p>
        </w:tc>
        <w:tc>
          <w:tcPr>
            <w:tcW w:w="914" w:type="pct"/>
            <w:tcBorders>
              <w:tl2br w:val="nil"/>
              <w:tr2bl w:val="nil"/>
            </w:tcBorders>
            <w:shd w:val="clear" w:color="auto" w:fill="auto"/>
            <w:noWrap/>
            <w:vAlign w:val="center"/>
          </w:tcPr>
          <w:p w14:paraId="7ADF1B51">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0.035</w:t>
            </w:r>
            <w:r>
              <w:rPr>
                <w:rFonts w:hint="eastAsia" w:ascii="Times New Roman" w:hAnsi="Times New Roman" w:eastAsia="宋体" w:cs="Times New Roman"/>
                <w:color w:val="auto"/>
                <w:kern w:val="2"/>
                <w:sz w:val="22"/>
                <w:szCs w:val="22"/>
                <w:highlight w:val="none"/>
                <w:lang w:val="en-US" w:eastAsia="zh-CN" w:bidi="ar-SA"/>
              </w:rPr>
              <w:t>t/a</w:t>
            </w:r>
          </w:p>
        </w:tc>
        <w:tc>
          <w:tcPr>
            <w:tcW w:w="914" w:type="pct"/>
            <w:tcBorders>
              <w:tl2br w:val="nil"/>
              <w:tr2bl w:val="nil"/>
            </w:tcBorders>
            <w:shd w:val="clear" w:color="auto" w:fill="auto"/>
            <w:noWrap/>
            <w:vAlign w:val="center"/>
          </w:tcPr>
          <w:p w14:paraId="21F05928">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0.033</w:t>
            </w:r>
            <w:r>
              <w:rPr>
                <w:rFonts w:hint="eastAsia" w:ascii="Times New Roman" w:hAnsi="Times New Roman" w:eastAsia="宋体" w:cs="Times New Roman"/>
                <w:color w:val="auto"/>
                <w:kern w:val="2"/>
                <w:sz w:val="22"/>
                <w:szCs w:val="22"/>
                <w:highlight w:val="none"/>
                <w:lang w:val="en-US" w:eastAsia="zh-CN" w:bidi="ar-SA"/>
              </w:rPr>
              <w:t>t/a</w:t>
            </w:r>
          </w:p>
        </w:tc>
        <w:tc>
          <w:tcPr>
            <w:tcW w:w="657" w:type="pct"/>
            <w:tcBorders>
              <w:tl2br w:val="nil"/>
              <w:tr2bl w:val="nil"/>
            </w:tcBorders>
            <w:shd w:val="clear" w:color="auto" w:fill="auto"/>
            <w:noWrap/>
            <w:vAlign w:val="center"/>
          </w:tcPr>
          <w:p w14:paraId="4A15791D">
            <w:pPr>
              <w:pStyle w:val="26"/>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0.002</w:t>
            </w:r>
            <w:r>
              <w:rPr>
                <w:rFonts w:hint="eastAsia" w:ascii="Times New Roman" w:hAnsi="Times New Roman" w:eastAsia="宋体" w:cs="Times New Roman"/>
                <w:color w:val="auto"/>
                <w:kern w:val="2"/>
                <w:sz w:val="22"/>
                <w:szCs w:val="22"/>
                <w:highlight w:val="none"/>
                <w:lang w:val="en-US" w:eastAsia="zh-CN" w:bidi="ar-SA"/>
              </w:rPr>
              <w:t>t/a</w:t>
            </w:r>
          </w:p>
        </w:tc>
        <w:tc>
          <w:tcPr>
            <w:tcW w:w="642" w:type="pct"/>
            <w:tcBorders>
              <w:tl2br w:val="nil"/>
              <w:tr2bl w:val="nil"/>
            </w:tcBorders>
            <w:shd w:val="clear" w:color="auto" w:fill="auto"/>
            <w:noWrap/>
            <w:vAlign w:val="center"/>
          </w:tcPr>
          <w:p w14:paraId="2260CD69">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w:t>
            </w:r>
          </w:p>
        </w:tc>
      </w:tr>
      <w:tr w14:paraId="4CB690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0" w:type="pct"/>
            <w:tcBorders>
              <w:tl2br w:val="nil"/>
              <w:tr2bl w:val="nil"/>
            </w:tcBorders>
            <w:shd w:val="clear" w:color="auto" w:fill="auto"/>
            <w:noWrap/>
            <w:vAlign w:val="center"/>
          </w:tcPr>
          <w:p w14:paraId="298EA80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砷</w:t>
            </w:r>
          </w:p>
        </w:tc>
        <w:tc>
          <w:tcPr>
            <w:tcW w:w="1540" w:type="pct"/>
            <w:tcBorders>
              <w:tl2br w:val="nil"/>
              <w:tr2bl w:val="nil"/>
            </w:tcBorders>
            <w:shd w:val="clear" w:color="auto" w:fill="auto"/>
            <w:noWrap/>
            <w:vAlign w:val="center"/>
          </w:tcPr>
          <w:p w14:paraId="338488EA">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0.034</w:t>
            </w:r>
          </w:p>
        </w:tc>
        <w:tc>
          <w:tcPr>
            <w:tcW w:w="914" w:type="pct"/>
            <w:tcBorders>
              <w:tl2br w:val="nil"/>
              <w:tr2bl w:val="nil"/>
            </w:tcBorders>
            <w:shd w:val="clear" w:color="auto" w:fill="auto"/>
            <w:noWrap/>
            <w:vAlign w:val="center"/>
          </w:tcPr>
          <w:p w14:paraId="16C61AFC">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29.458kg/a</w:t>
            </w:r>
          </w:p>
        </w:tc>
        <w:tc>
          <w:tcPr>
            <w:tcW w:w="914" w:type="pct"/>
            <w:tcBorders>
              <w:tl2br w:val="nil"/>
              <w:tr2bl w:val="nil"/>
            </w:tcBorders>
            <w:shd w:val="clear" w:color="auto" w:fill="auto"/>
            <w:noWrap/>
            <w:vAlign w:val="center"/>
          </w:tcPr>
          <w:p w14:paraId="17A395C3">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28.322kg/a</w:t>
            </w:r>
          </w:p>
        </w:tc>
        <w:tc>
          <w:tcPr>
            <w:tcW w:w="657" w:type="pct"/>
            <w:tcBorders>
              <w:tl2br w:val="nil"/>
              <w:tr2bl w:val="nil"/>
            </w:tcBorders>
            <w:shd w:val="clear" w:color="auto" w:fill="auto"/>
            <w:noWrap/>
            <w:vAlign w:val="center"/>
          </w:tcPr>
          <w:p w14:paraId="22F8FFDC">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1.135kg/a</w:t>
            </w:r>
          </w:p>
        </w:tc>
        <w:tc>
          <w:tcPr>
            <w:tcW w:w="642" w:type="pct"/>
            <w:tcBorders>
              <w:tl2br w:val="nil"/>
              <w:tr2bl w:val="nil"/>
            </w:tcBorders>
            <w:shd w:val="clear" w:color="auto" w:fill="auto"/>
            <w:noWrap/>
            <w:vAlign w:val="center"/>
          </w:tcPr>
          <w:p w14:paraId="4813928E">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169.61kg/a</w:t>
            </w:r>
          </w:p>
        </w:tc>
      </w:tr>
      <w:tr w14:paraId="323601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0" w:type="pct"/>
            <w:tcBorders>
              <w:tl2br w:val="nil"/>
              <w:tr2bl w:val="nil"/>
            </w:tcBorders>
            <w:shd w:val="clear" w:color="auto" w:fill="auto"/>
            <w:noWrap/>
            <w:vAlign w:val="center"/>
          </w:tcPr>
          <w:p w14:paraId="1A7897C9">
            <w:pPr>
              <w:pStyle w:val="26"/>
              <w:keepNext w:val="0"/>
              <w:keepLines w:val="0"/>
              <w:suppressLineNumbers w:val="0"/>
              <w:spacing w:before="0" w:beforeAutospacing="0" w:after="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highlight w:val="none"/>
                <w:lang w:val="en-US" w:eastAsia="zh-CN"/>
              </w:rPr>
              <w:t>铅</w:t>
            </w:r>
          </w:p>
        </w:tc>
        <w:tc>
          <w:tcPr>
            <w:tcW w:w="1540" w:type="pct"/>
            <w:tcBorders>
              <w:tl2br w:val="nil"/>
              <w:tr2bl w:val="nil"/>
            </w:tcBorders>
            <w:shd w:val="clear" w:color="auto" w:fill="auto"/>
            <w:noWrap/>
            <w:vAlign w:val="center"/>
          </w:tcPr>
          <w:p w14:paraId="10E11E59">
            <w:pPr>
              <w:pStyle w:val="26"/>
              <w:keepNext w:val="0"/>
              <w:keepLines w:val="0"/>
              <w:suppressLineNumbers w:val="0"/>
              <w:spacing w:before="0" w:beforeAutospacing="0" w:after="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highlight w:val="none"/>
                <w:lang w:val="en-US" w:eastAsia="zh-CN"/>
              </w:rPr>
              <w:t>0.024</w:t>
            </w:r>
          </w:p>
        </w:tc>
        <w:tc>
          <w:tcPr>
            <w:tcW w:w="914" w:type="pct"/>
            <w:tcBorders>
              <w:tl2br w:val="nil"/>
              <w:tr2bl w:val="nil"/>
            </w:tcBorders>
            <w:shd w:val="clear" w:color="auto" w:fill="auto"/>
            <w:noWrap/>
            <w:vAlign w:val="center"/>
          </w:tcPr>
          <w:p w14:paraId="6553958B">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20.794kg/a</w:t>
            </w:r>
          </w:p>
        </w:tc>
        <w:tc>
          <w:tcPr>
            <w:tcW w:w="914" w:type="pct"/>
            <w:tcBorders>
              <w:tl2br w:val="nil"/>
              <w:tr2bl w:val="nil"/>
            </w:tcBorders>
            <w:shd w:val="clear" w:color="auto" w:fill="auto"/>
            <w:noWrap/>
            <w:vAlign w:val="center"/>
          </w:tcPr>
          <w:p w14:paraId="50510595">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19.992kg/a</w:t>
            </w:r>
          </w:p>
        </w:tc>
        <w:tc>
          <w:tcPr>
            <w:tcW w:w="657" w:type="pct"/>
            <w:tcBorders>
              <w:tl2br w:val="nil"/>
              <w:tr2bl w:val="nil"/>
            </w:tcBorders>
            <w:shd w:val="clear" w:color="auto" w:fill="auto"/>
            <w:noWrap/>
            <w:vAlign w:val="center"/>
          </w:tcPr>
          <w:p w14:paraId="432A1E2B">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0.802kg/a</w:t>
            </w:r>
          </w:p>
        </w:tc>
        <w:tc>
          <w:tcPr>
            <w:tcW w:w="642" w:type="pct"/>
            <w:tcBorders>
              <w:tl2br w:val="nil"/>
              <w:tr2bl w:val="nil"/>
            </w:tcBorders>
            <w:shd w:val="clear" w:color="auto" w:fill="auto"/>
            <w:noWrap/>
            <w:vAlign w:val="center"/>
          </w:tcPr>
          <w:p w14:paraId="5A2DFA88">
            <w:pPr>
              <w:pStyle w:val="26"/>
              <w:keepNext w:val="0"/>
              <w:keepLines w:val="0"/>
              <w:suppressLineNumbers w:val="0"/>
              <w:spacing w:before="0" w:beforeAutospacing="0" w:after="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highlight w:val="none"/>
                <w:lang w:val="en-US" w:eastAsia="zh-CN"/>
              </w:rPr>
              <w:t>384.31kg/a</w:t>
            </w:r>
          </w:p>
        </w:tc>
      </w:tr>
      <w:tr w14:paraId="4B9BB6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0" w:type="pct"/>
            <w:tcBorders>
              <w:tl2br w:val="nil"/>
              <w:tr2bl w:val="nil"/>
            </w:tcBorders>
            <w:shd w:val="clear" w:color="auto" w:fill="auto"/>
            <w:noWrap/>
            <w:vAlign w:val="center"/>
          </w:tcPr>
          <w:p w14:paraId="6A9C069F">
            <w:pPr>
              <w:pStyle w:val="26"/>
              <w:keepNext w:val="0"/>
              <w:keepLines w:val="0"/>
              <w:suppressLineNumbers w:val="0"/>
              <w:spacing w:before="0" w:beforeAutospacing="0" w:after="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highlight w:val="none"/>
                <w:lang w:val="en-US" w:eastAsia="zh-CN"/>
              </w:rPr>
              <w:t>汞</w:t>
            </w:r>
          </w:p>
        </w:tc>
        <w:tc>
          <w:tcPr>
            <w:tcW w:w="1540" w:type="pct"/>
            <w:tcBorders>
              <w:tl2br w:val="nil"/>
              <w:tr2bl w:val="nil"/>
            </w:tcBorders>
            <w:shd w:val="clear" w:color="auto" w:fill="auto"/>
            <w:noWrap/>
            <w:vAlign w:val="center"/>
          </w:tcPr>
          <w:p w14:paraId="3026ECA6">
            <w:pPr>
              <w:pStyle w:val="26"/>
              <w:keepNext w:val="0"/>
              <w:keepLines w:val="0"/>
              <w:suppressLineNumbers w:val="0"/>
              <w:spacing w:before="0" w:beforeAutospacing="0" w:after="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highlight w:val="none"/>
                <w:lang w:val="en-US" w:eastAsia="zh-CN"/>
              </w:rPr>
              <w:t>0.00007</w:t>
            </w:r>
          </w:p>
        </w:tc>
        <w:tc>
          <w:tcPr>
            <w:tcW w:w="914" w:type="pct"/>
            <w:tcBorders>
              <w:tl2br w:val="nil"/>
              <w:tr2bl w:val="nil"/>
            </w:tcBorders>
            <w:shd w:val="clear" w:color="auto" w:fill="auto"/>
            <w:noWrap/>
            <w:vAlign w:val="center"/>
          </w:tcPr>
          <w:p w14:paraId="52C98DF3">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0.061kg/a</w:t>
            </w:r>
          </w:p>
        </w:tc>
        <w:tc>
          <w:tcPr>
            <w:tcW w:w="914" w:type="pct"/>
            <w:tcBorders>
              <w:tl2br w:val="nil"/>
              <w:tr2bl w:val="nil"/>
            </w:tcBorders>
            <w:shd w:val="clear" w:color="auto" w:fill="auto"/>
            <w:noWrap/>
            <w:vAlign w:val="center"/>
          </w:tcPr>
          <w:p w14:paraId="1DC88B77">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0.058kg/a</w:t>
            </w:r>
          </w:p>
        </w:tc>
        <w:tc>
          <w:tcPr>
            <w:tcW w:w="657" w:type="pct"/>
            <w:tcBorders>
              <w:tl2br w:val="nil"/>
              <w:tr2bl w:val="nil"/>
            </w:tcBorders>
            <w:shd w:val="clear" w:color="auto" w:fill="auto"/>
            <w:noWrap/>
            <w:vAlign w:val="center"/>
          </w:tcPr>
          <w:p w14:paraId="3C249DD7">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0.003kg/a</w:t>
            </w:r>
          </w:p>
        </w:tc>
        <w:tc>
          <w:tcPr>
            <w:tcW w:w="642" w:type="pct"/>
            <w:tcBorders>
              <w:tl2br w:val="nil"/>
              <w:tr2bl w:val="nil"/>
            </w:tcBorders>
            <w:shd w:val="clear" w:color="auto" w:fill="auto"/>
            <w:noWrap/>
            <w:vAlign w:val="center"/>
          </w:tcPr>
          <w:p w14:paraId="3FF7FAF5">
            <w:pPr>
              <w:pStyle w:val="26"/>
              <w:keepNext w:val="0"/>
              <w:keepLines w:val="0"/>
              <w:suppressLineNumbers w:val="0"/>
              <w:spacing w:before="0" w:beforeAutospacing="0" w:after="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highlight w:val="none"/>
                <w:lang w:val="en-US" w:eastAsia="zh-CN"/>
              </w:rPr>
              <w:t>0kg/a</w:t>
            </w:r>
          </w:p>
        </w:tc>
      </w:tr>
      <w:tr w14:paraId="5A3016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90" w:hRule="atLeast"/>
        </w:trPr>
        <w:tc>
          <w:tcPr>
            <w:tcW w:w="330" w:type="pct"/>
            <w:tcBorders>
              <w:tl2br w:val="nil"/>
              <w:tr2bl w:val="nil"/>
            </w:tcBorders>
            <w:shd w:val="clear" w:color="auto" w:fill="auto"/>
            <w:noWrap/>
            <w:vAlign w:val="center"/>
          </w:tcPr>
          <w:p w14:paraId="7450F3B0">
            <w:pPr>
              <w:pStyle w:val="26"/>
              <w:keepNext w:val="0"/>
              <w:keepLines w:val="0"/>
              <w:suppressLineNumbers w:val="0"/>
              <w:spacing w:before="0" w:beforeAutospacing="0" w:after="0" w:afterAutospacing="0"/>
              <w:ind w:left="0" w:leftChars="0" w:right="0" w:rightChars="0"/>
              <w:rPr>
                <w:rFonts w:hint="default" w:cs="Times New Roman"/>
                <w:color w:val="auto"/>
                <w:kern w:val="2"/>
                <w:sz w:val="22"/>
                <w:szCs w:val="22"/>
                <w:highlight w:val="none"/>
                <w:lang w:val="en-US" w:eastAsia="zh-CN" w:bidi="ar-SA"/>
              </w:rPr>
            </w:pPr>
            <w:r>
              <w:rPr>
                <w:rFonts w:hint="eastAsia"/>
                <w:color w:val="auto"/>
                <w:highlight w:val="none"/>
                <w:lang w:val="en-US" w:eastAsia="zh-CN"/>
              </w:rPr>
              <w:t>镉</w:t>
            </w:r>
          </w:p>
        </w:tc>
        <w:tc>
          <w:tcPr>
            <w:tcW w:w="1540" w:type="pct"/>
            <w:tcBorders>
              <w:tl2br w:val="nil"/>
              <w:tr2bl w:val="nil"/>
            </w:tcBorders>
            <w:shd w:val="clear" w:color="auto" w:fill="auto"/>
            <w:noWrap/>
            <w:vAlign w:val="center"/>
          </w:tcPr>
          <w:p w14:paraId="7B26AA07">
            <w:pPr>
              <w:pStyle w:val="26"/>
              <w:keepNext w:val="0"/>
              <w:keepLines w:val="0"/>
              <w:suppressLineNumbers w:val="0"/>
              <w:spacing w:before="0" w:beforeAutospacing="0" w:after="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highlight w:val="none"/>
                <w:lang w:val="en-US" w:eastAsia="zh-CN"/>
              </w:rPr>
              <w:t>0.003</w:t>
            </w:r>
          </w:p>
        </w:tc>
        <w:tc>
          <w:tcPr>
            <w:tcW w:w="914" w:type="pct"/>
            <w:tcBorders>
              <w:tl2br w:val="nil"/>
              <w:tr2bl w:val="nil"/>
            </w:tcBorders>
            <w:shd w:val="clear" w:color="auto" w:fill="auto"/>
            <w:noWrap/>
            <w:vAlign w:val="center"/>
          </w:tcPr>
          <w:p w14:paraId="6307A45E">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2.599kg/a</w:t>
            </w:r>
          </w:p>
        </w:tc>
        <w:tc>
          <w:tcPr>
            <w:tcW w:w="914" w:type="pct"/>
            <w:tcBorders>
              <w:tl2br w:val="nil"/>
              <w:tr2bl w:val="nil"/>
            </w:tcBorders>
            <w:shd w:val="clear" w:color="auto" w:fill="auto"/>
            <w:noWrap/>
            <w:vAlign w:val="center"/>
          </w:tcPr>
          <w:p w14:paraId="22AF0456">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2.499kg/a</w:t>
            </w:r>
          </w:p>
        </w:tc>
        <w:tc>
          <w:tcPr>
            <w:tcW w:w="657" w:type="pct"/>
            <w:tcBorders>
              <w:tl2br w:val="nil"/>
              <w:tr2bl w:val="nil"/>
            </w:tcBorders>
            <w:shd w:val="clear" w:color="auto" w:fill="auto"/>
            <w:noWrap/>
            <w:vAlign w:val="center"/>
          </w:tcPr>
          <w:p w14:paraId="51AD0E3E">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0.100kg/a</w:t>
            </w:r>
          </w:p>
        </w:tc>
        <w:tc>
          <w:tcPr>
            <w:tcW w:w="642" w:type="pct"/>
            <w:tcBorders>
              <w:tl2br w:val="nil"/>
              <w:tr2bl w:val="nil"/>
            </w:tcBorders>
            <w:shd w:val="clear" w:color="auto" w:fill="auto"/>
            <w:noWrap/>
            <w:vAlign w:val="center"/>
          </w:tcPr>
          <w:p w14:paraId="4A93B379">
            <w:pPr>
              <w:pStyle w:val="26"/>
              <w:keepNext w:val="0"/>
              <w:keepLines w:val="0"/>
              <w:suppressLineNumbers w:val="0"/>
              <w:spacing w:before="0" w:beforeAutospacing="0" w:after="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highlight w:val="none"/>
                <w:lang w:val="en-US" w:eastAsia="zh-CN"/>
              </w:rPr>
              <w:t>1.37kg/a</w:t>
            </w:r>
          </w:p>
        </w:tc>
      </w:tr>
      <w:tr w14:paraId="0FA1D5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0" w:type="pct"/>
            <w:tcBorders>
              <w:tl2br w:val="nil"/>
              <w:tr2bl w:val="nil"/>
            </w:tcBorders>
            <w:shd w:val="clear" w:color="auto" w:fill="auto"/>
            <w:noWrap/>
            <w:vAlign w:val="center"/>
          </w:tcPr>
          <w:p w14:paraId="27D6F94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锑</w:t>
            </w:r>
          </w:p>
        </w:tc>
        <w:tc>
          <w:tcPr>
            <w:tcW w:w="1540" w:type="pct"/>
            <w:tcBorders>
              <w:tl2br w:val="nil"/>
              <w:tr2bl w:val="nil"/>
            </w:tcBorders>
            <w:shd w:val="clear" w:color="auto" w:fill="auto"/>
            <w:noWrap/>
            <w:vAlign w:val="center"/>
          </w:tcPr>
          <w:p w14:paraId="1F698338">
            <w:pPr>
              <w:pStyle w:val="26"/>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240" w:lineRule="auto"/>
              <w:ind w:left="0" w:leftChars="0" w:right="0" w:rightChars="0"/>
              <w:jc w:val="center"/>
              <w:outlineLvl w:val="9"/>
              <w:rPr>
                <w:rFonts w:hint="default" w:ascii="Times New Roman" w:hAnsi="Times New Roman" w:eastAsia="宋体" w:cs="Times New Roman"/>
                <w:color w:val="auto"/>
                <w:kern w:val="2"/>
                <w:sz w:val="22"/>
                <w:szCs w:val="22"/>
                <w:highlight w:val="none"/>
                <w:lang w:val="en-US" w:eastAsia="zh-CN" w:bidi="ar-SA"/>
              </w:rPr>
            </w:pPr>
            <w:r>
              <w:rPr>
                <w:rFonts w:hint="default"/>
                <w:color w:val="auto"/>
                <w:highlight w:val="none"/>
                <w:lang w:val="en-US" w:eastAsia="zh-CN"/>
              </w:rPr>
              <w:t>0.</w:t>
            </w:r>
            <w:r>
              <w:rPr>
                <w:rFonts w:hint="eastAsia"/>
                <w:color w:val="auto"/>
                <w:highlight w:val="none"/>
                <w:lang w:val="en-US" w:eastAsia="zh-CN"/>
              </w:rPr>
              <w:t>15</w:t>
            </w:r>
          </w:p>
        </w:tc>
        <w:tc>
          <w:tcPr>
            <w:tcW w:w="914" w:type="pct"/>
            <w:tcBorders>
              <w:tl2br w:val="nil"/>
              <w:tr2bl w:val="nil"/>
            </w:tcBorders>
            <w:shd w:val="clear" w:color="auto" w:fill="auto"/>
            <w:noWrap/>
            <w:vAlign w:val="center"/>
          </w:tcPr>
          <w:p w14:paraId="750CA2BB">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0.130</w:t>
            </w:r>
            <w:r>
              <w:rPr>
                <w:rFonts w:hint="eastAsia" w:ascii="Times New Roman" w:hAnsi="Times New Roman" w:eastAsia="宋体" w:cs="Times New Roman"/>
                <w:color w:val="auto"/>
                <w:kern w:val="2"/>
                <w:sz w:val="22"/>
                <w:szCs w:val="22"/>
                <w:highlight w:val="none"/>
                <w:lang w:val="en-US" w:eastAsia="zh-CN" w:bidi="ar-SA"/>
              </w:rPr>
              <w:t>t/a</w:t>
            </w:r>
          </w:p>
        </w:tc>
        <w:tc>
          <w:tcPr>
            <w:tcW w:w="914" w:type="pct"/>
            <w:tcBorders>
              <w:tl2br w:val="nil"/>
              <w:tr2bl w:val="nil"/>
            </w:tcBorders>
            <w:shd w:val="clear" w:color="auto" w:fill="auto"/>
            <w:noWrap/>
            <w:vAlign w:val="center"/>
          </w:tcPr>
          <w:p w14:paraId="4F551D6E">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0.083</w:t>
            </w:r>
            <w:r>
              <w:rPr>
                <w:rFonts w:hint="eastAsia" w:ascii="Times New Roman" w:hAnsi="Times New Roman" w:eastAsia="宋体" w:cs="Times New Roman"/>
                <w:color w:val="auto"/>
                <w:kern w:val="2"/>
                <w:sz w:val="22"/>
                <w:szCs w:val="22"/>
                <w:highlight w:val="none"/>
                <w:lang w:val="en-US" w:eastAsia="zh-CN" w:bidi="ar-SA"/>
              </w:rPr>
              <w:t>t/a</w:t>
            </w:r>
          </w:p>
        </w:tc>
        <w:tc>
          <w:tcPr>
            <w:tcW w:w="657" w:type="pct"/>
            <w:tcBorders>
              <w:tl2br w:val="nil"/>
              <w:tr2bl w:val="nil"/>
            </w:tcBorders>
            <w:shd w:val="clear" w:color="auto" w:fill="auto"/>
            <w:noWrap/>
            <w:vAlign w:val="center"/>
          </w:tcPr>
          <w:p w14:paraId="5FE09AEE">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0.047</w:t>
            </w:r>
            <w:r>
              <w:rPr>
                <w:rFonts w:hint="eastAsia" w:ascii="Times New Roman" w:hAnsi="Times New Roman" w:eastAsia="宋体" w:cs="Times New Roman"/>
                <w:color w:val="auto"/>
                <w:kern w:val="2"/>
                <w:sz w:val="22"/>
                <w:szCs w:val="22"/>
                <w:highlight w:val="none"/>
                <w:lang w:val="en-US" w:eastAsia="zh-CN" w:bidi="ar-SA"/>
              </w:rPr>
              <w:t>t/a</w:t>
            </w:r>
          </w:p>
        </w:tc>
        <w:tc>
          <w:tcPr>
            <w:tcW w:w="642" w:type="pct"/>
            <w:tcBorders>
              <w:tl2br w:val="nil"/>
              <w:tr2bl w:val="nil"/>
            </w:tcBorders>
            <w:shd w:val="clear" w:color="auto" w:fill="auto"/>
            <w:noWrap/>
            <w:vAlign w:val="center"/>
          </w:tcPr>
          <w:p w14:paraId="0912FA0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r>
    </w:tbl>
    <w:p w14:paraId="1F040479">
      <w:pPr>
        <w:pStyle w:val="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重金属总量还需考虑到冶炼部分的排放量，</w:t>
      </w:r>
      <w:r>
        <w:rPr>
          <w:rFonts w:hint="eastAsia" w:cs="Times New Roman"/>
          <w:color w:val="auto"/>
          <w:kern w:val="2"/>
          <w:sz w:val="24"/>
          <w:szCs w:val="20"/>
          <w:highlight w:val="none"/>
          <w:lang w:val="en-US" w:eastAsia="zh-CN" w:bidi="ar-SA"/>
        </w:rPr>
        <w:t>本次论证根据企业2023年全年月度监测报告确定冶炼部分废气污染物排放量，排放结果统计见下表</w:t>
      </w:r>
    </w:p>
    <w:p w14:paraId="6A13A22C">
      <w:pPr>
        <w:widowControl w:val="0"/>
        <w:tabs>
          <w:tab w:val="left" w:pos="1021"/>
        </w:tabs>
        <w:bidi w:val="0"/>
        <w:spacing w:line="300" w:lineRule="auto"/>
        <w:jc w:val="center"/>
        <w:outlineLvl w:val="4"/>
        <w:rPr>
          <w:rFonts w:hint="eastAsia"/>
          <w:color w:val="auto"/>
          <w:highlight w:val="none"/>
          <w:lang w:val="en-US" w:eastAsia="zh-CN"/>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6.2</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5</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w:t>
      </w:r>
      <w:r>
        <w:rPr>
          <w:rFonts w:hint="eastAsia" w:eastAsia="黑体" w:cs="Times New Roman"/>
          <w:color w:val="auto"/>
          <w:kern w:val="2"/>
          <w:sz w:val="24"/>
          <w:szCs w:val="20"/>
          <w:highlight w:val="none"/>
          <w:lang w:val="en-US" w:eastAsia="zh-CN" w:bidi="ar-SA"/>
        </w:rPr>
        <w:t>调整</w:t>
      </w:r>
      <w:r>
        <w:rPr>
          <w:rFonts w:hint="eastAsia" w:ascii="Times New Roman" w:hAnsi="Times New Roman" w:eastAsia="黑体" w:cs="Times New Roman"/>
          <w:color w:val="auto"/>
          <w:kern w:val="2"/>
          <w:sz w:val="24"/>
          <w:szCs w:val="20"/>
          <w:highlight w:val="none"/>
          <w:lang w:val="en-US" w:eastAsia="zh-CN" w:bidi="ar-SA"/>
        </w:rPr>
        <w:t>后</w:t>
      </w:r>
      <w:r>
        <w:rPr>
          <w:rFonts w:hint="default" w:ascii="Times New Roman" w:hAnsi="Times New Roman" w:eastAsia="黑体" w:cs="Times New Roman"/>
          <w:color w:val="auto"/>
          <w:kern w:val="2"/>
          <w:sz w:val="24"/>
          <w:szCs w:val="20"/>
          <w:highlight w:val="none"/>
          <w:lang w:val="en-US" w:eastAsia="zh-CN" w:bidi="ar-SA"/>
        </w:rPr>
        <w:t>矿山废</w:t>
      </w:r>
      <w:r>
        <w:rPr>
          <w:rFonts w:hint="eastAsia" w:eastAsia="黑体" w:cs="Times New Roman"/>
          <w:color w:val="auto"/>
          <w:kern w:val="2"/>
          <w:sz w:val="24"/>
          <w:szCs w:val="20"/>
          <w:highlight w:val="none"/>
          <w:lang w:val="en-US" w:eastAsia="zh-CN" w:bidi="ar-SA"/>
        </w:rPr>
        <w:t>气</w:t>
      </w:r>
      <w:r>
        <w:rPr>
          <w:rFonts w:hint="default" w:ascii="Times New Roman" w:hAnsi="Times New Roman" w:eastAsia="黑体" w:cs="Times New Roman"/>
          <w:color w:val="auto"/>
          <w:kern w:val="2"/>
          <w:sz w:val="24"/>
          <w:szCs w:val="20"/>
          <w:highlight w:val="none"/>
          <w:lang w:val="en-US" w:eastAsia="zh-CN" w:bidi="ar-SA"/>
        </w:rPr>
        <w:t>污染物</w:t>
      </w:r>
      <w:r>
        <w:rPr>
          <w:rFonts w:hint="eastAsia" w:ascii="Times New Roman" w:hAnsi="Times New Roman" w:eastAsia="黑体" w:cs="Times New Roman"/>
          <w:color w:val="auto"/>
          <w:kern w:val="2"/>
          <w:sz w:val="24"/>
          <w:szCs w:val="20"/>
          <w:highlight w:val="none"/>
          <w:lang w:val="en-US" w:eastAsia="zh-CN" w:bidi="ar-SA"/>
        </w:rPr>
        <w:t>总量情况</w:t>
      </w:r>
      <w:r>
        <w:rPr>
          <w:rFonts w:hint="default" w:ascii="Times New Roman" w:hAnsi="Times New Roman" w:eastAsia="黑体" w:cs="Times New Roman"/>
          <w:color w:val="auto"/>
          <w:kern w:val="2"/>
          <w:sz w:val="24"/>
          <w:szCs w:val="20"/>
          <w:highlight w:val="none"/>
          <w:lang w:val="en-US" w:eastAsia="zh-CN" w:bidi="ar-SA"/>
        </w:rPr>
        <w:t>一览表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1" w:type="dxa"/>
          <w:bottom w:w="0" w:type="dxa"/>
          <w:right w:w="11" w:type="dxa"/>
        </w:tblCellMar>
      </w:tblPr>
      <w:tblGrid>
        <w:gridCol w:w="904"/>
        <w:gridCol w:w="4092"/>
        <w:gridCol w:w="2427"/>
        <w:gridCol w:w="1629"/>
      </w:tblGrid>
      <w:tr w14:paraId="0A7DB88B">
        <w:tblPrEx>
          <w:tblCellMar>
            <w:top w:w="0" w:type="dxa"/>
            <w:left w:w="11" w:type="dxa"/>
            <w:bottom w:w="0" w:type="dxa"/>
            <w:right w:w="11" w:type="dxa"/>
          </w:tblCellMar>
        </w:tblPrEx>
        <w:trPr>
          <w:trHeight w:val="0" w:hRule="atLeast"/>
        </w:trPr>
        <w:tc>
          <w:tcPr>
            <w:tcW w:w="499" w:type="pct"/>
            <w:tcBorders>
              <w:tl2br w:val="nil"/>
              <w:tr2bl w:val="nil"/>
            </w:tcBorders>
            <w:shd w:val="clear" w:color="auto" w:fill="auto"/>
            <w:noWrap/>
            <w:vAlign w:val="center"/>
          </w:tcPr>
          <w:p w14:paraId="6A15E44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因子</w:t>
            </w:r>
          </w:p>
        </w:tc>
        <w:tc>
          <w:tcPr>
            <w:tcW w:w="2259" w:type="pct"/>
            <w:tcBorders>
              <w:tl2br w:val="nil"/>
              <w:tr2bl w:val="nil"/>
            </w:tcBorders>
            <w:shd w:val="clear" w:color="auto" w:fill="auto"/>
            <w:noWrap/>
            <w:vAlign w:val="center"/>
          </w:tcPr>
          <w:p w14:paraId="4342560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平均</w:t>
            </w:r>
            <w:r>
              <w:rPr>
                <w:rFonts w:hint="default" w:ascii="Times New Roman" w:hAnsi="Times New Roman" w:eastAsia="宋体" w:cs="Times New Roman"/>
                <w:color w:val="auto"/>
                <w:kern w:val="2"/>
                <w:sz w:val="22"/>
                <w:szCs w:val="22"/>
                <w:highlight w:val="none"/>
                <w:lang w:val="en-US" w:eastAsia="zh-CN" w:bidi="ar-SA"/>
              </w:rPr>
              <w:t>排放</w:t>
            </w:r>
            <w:r>
              <w:rPr>
                <w:rFonts w:hint="eastAsia" w:cs="Times New Roman"/>
                <w:color w:val="auto"/>
                <w:kern w:val="2"/>
                <w:sz w:val="22"/>
                <w:szCs w:val="22"/>
                <w:highlight w:val="none"/>
                <w:lang w:val="en-US" w:eastAsia="zh-CN" w:bidi="ar-SA"/>
              </w:rPr>
              <w:t>速率</w:t>
            </w:r>
            <w:r>
              <w:rPr>
                <w:rFonts w:hint="default" w:ascii="Times New Roman" w:hAnsi="Times New Roman" w:eastAsia="宋体" w:cs="Times New Roman"/>
                <w:color w:val="auto"/>
                <w:kern w:val="2"/>
                <w:sz w:val="22"/>
                <w:szCs w:val="22"/>
                <w:highlight w:val="none"/>
                <w:lang w:val="en-US" w:eastAsia="zh-CN" w:bidi="ar-SA"/>
              </w:rPr>
              <w:t>（</w:t>
            </w:r>
            <w:r>
              <w:rPr>
                <w:rFonts w:hint="eastAsia" w:cs="Times New Roman"/>
                <w:color w:val="auto"/>
                <w:kern w:val="2"/>
                <w:sz w:val="22"/>
                <w:szCs w:val="22"/>
                <w:highlight w:val="none"/>
                <w:lang w:val="en-US" w:eastAsia="zh-CN" w:bidi="ar-SA"/>
              </w:rPr>
              <w:t>kg</w:t>
            </w:r>
            <w:r>
              <w:rPr>
                <w:rFonts w:hint="default" w:ascii="Times New Roman" w:hAnsi="Times New Roman" w:eastAsia="宋体" w:cs="Times New Roman"/>
                <w:color w:val="auto"/>
                <w:kern w:val="2"/>
                <w:sz w:val="22"/>
                <w:szCs w:val="22"/>
                <w:highlight w:val="none"/>
                <w:lang w:val="en-US" w:eastAsia="zh-CN" w:bidi="ar-SA"/>
              </w:rPr>
              <w:t>/</w:t>
            </w:r>
            <w:r>
              <w:rPr>
                <w:rFonts w:hint="eastAsia" w:cs="Times New Roman"/>
                <w:color w:val="auto"/>
                <w:kern w:val="2"/>
                <w:sz w:val="22"/>
                <w:szCs w:val="22"/>
                <w:highlight w:val="none"/>
                <w:lang w:val="en-US" w:eastAsia="zh-CN" w:bidi="ar-SA"/>
              </w:rPr>
              <w:t>h</w:t>
            </w:r>
            <w:r>
              <w:rPr>
                <w:rFonts w:hint="default" w:ascii="Times New Roman" w:hAnsi="Times New Roman" w:eastAsia="宋体" w:cs="Times New Roman"/>
                <w:color w:val="auto"/>
                <w:kern w:val="2"/>
                <w:sz w:val="22"/>
                <w:szCs w:val="22"/>
                <w:highlight w:val="none"/>
                <w:lang w:val="en-US" w:eastAsia="zh-CN" w:bidi="ar-SA"/>
              </w:rPr>
              <w:t>）</w:t>
            </w:r>
          </w:p>
        </w:tc>
        <w:tc>
          <w:tcPr>
            <w:tcW w:w="1340" w:type="pct"/>
            <w:tcBorders>
              <w:tl2br w:val="nil"/>
              <w:tr2bl w:val="nil"/>
            </w:tcBorders>
            <w:shd w:val="clear" w:color="auto" w:fill="auto"/>
            <w:noWrap/>
            <w:vAlign w:val="center"/>
          </w:tcPr>
          <w:p w14:paraId="52237CB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现状排放总量</w:t>
            </w:r>
          </w:p>
        </w:tc>
        <w:tc>
          <w:tcPr>
            <w:tcW w:w="899" w:type="pct"/>
            <w:tcBorders>
              <w:tl2br w:val="nil"/>
              <w:tr2bl w:val="nil"/>
            </w:tcBorders>
            <w:shd w:val="clear" w:color="auto" w:fill="auto"/>
            <w:noWrap/>
            <w:vAlign w:val="center"/>
          </w:tcPr>
          <w:p w14:paraId="0DCF20D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排放</w:t>
            </w:r>
            <w:r>
              <w:rPr>
                <w:rFonts w:hint="eastAsia" w:cs="Times New Roman"/>
                <w:color w:val="auto"/>
                <w:kern w:val="2"/>
                <w:sz w:val="22"/>
                <w:szCs w:val="22"/>
                <w:highlight w:val="none"/>
                <w:lang w:val="en-US" w:eastAsia="zh-CN" w:bidi="ar-SA"/>
              </w:rPr>
              <w:t>权</w:t>
            </w:r>
            <w:r>
              <w:rPr>
                <w:rFonts w:hint="eastAsia" w:ascii="Times New Roman" w:hAnsi="Times New Roman" w:eastAsia="宋体" w:cs="Times New Roman"/>
                <w:color w:val="auto"/>
                <w:kern w:val="2"/>
                <w:sz w:val="22"/>
                <w:szCs w:val="22"/>
                <w:highlight w:val="none"/>
                <w:lang w:val="en-US" w:eastAsia="zh-CN" w:bidi="ar-SA"/>
              </w:rPr>
              <w:t>量</w:t>
            </w:r>
          </w:p>
        </w:tc>
      </w:tr>
      <w:tr w14:paraId="4CDABF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90" w:hRule="atLeast"/>
        </w:trPr>
        <w:tc>
          <w:tcPr>
            <w:tcW w:w="499" w:type="pct"/>
            <w:tcBorders>
              <w:tl2br w:val="nil"/>
              <w:tr2bl w:val="nil"/>
            </w:tcBorders>
            <w:shd w:val="clear" w:color="auto" w:fill="auto"/>
            <w:noWrap/>
            <w:vAlign w:val="center"/>
          </w:tcPr>
          <w:p w14:paraId="44E5A19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SO</w:t>
            </w:r>
            <w:r>
              <w:rPr>
                <w:rFonts w:hint="eastAsia" w:cs="Times New Roman"/>
                <w:color w:val="auto"/>
                <w:kern w:val="2"/>
                <w:sz w:val="22"/>
                <w:szCs w:val="22"/>
                <w:highlight w:val="none"/>
                <w:vertAlign w:val="subscript"/>
                <w:lang w:val="en-US" w:eastAsia="zh-CN" w:bidi="ar-SA"/>
              </w:rPr>
              <w:t>2</w:t>
            </w:r>
          </w:p>
        </w:tc>
        <w:tc>
          <w:tcPr>
            <w:tcW w:w="2259" w:type="pct"/>
            <w:tcBorders>
              <w:tl2br w:val="nil"/>
              <w:tr2bl w:val="nil"/>
            </w:tcBorders>
            <w:shd w:val="clear" w:color="auto" w:fill="auto"/>
            <w:noWrap/>
            <w:vAlign w:val="center"/>
          </w:tcPr>
          <w:p w14:paraId="0196E11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0.562</w:t>
            </w:r>
          </w:p>
        </w:tc>
        <w:tc>
          <w:tcPr>
            <w:tcW w:w="1340" w:type="pct"/>
            <w:tcBorders>
              <w:tl2br w:val="nil"/>
              <w:tr2bl w:val="nil"/>
            </w:tcBorders>
            <w:shd w:val="clear" w:color="auto" w:fill="auto"/>
            <w:noWrap/>
            <w:vAlign w:val="center"/>
          </w:tcPr>
          <w:p w14:paraId="051130E1">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4.082</w:t>
            </w:r>
            <w:r>
              <w:rPr>
                <w:rFonts w:hint="eastAsia" w:ascii="Times New Roman" w:hAnsi="Times New Roman" w:eastAsia="宋体" w:cs="Times New Roman"/>
                <w:color w:val="auto"/>
                <w:kern w:val="2"/>
                <w:sz w:val="22"/>
                <w:szCs w:val="22"/>
                <w:highlight w:val="none"/>
                <w:lang w:val="en-US" w:eastAsia="zh-CN" w:bidi="ar-SA"/>
              </w:rPr>
              <w:t>t/a</w:t>
            </w:r>
          </w:p>
        </w:tc>
        <w:tc>
          <w:tcPr>
            <w:tcW w:w="899" w:type="pct"/>
            <w:tcBorders>
              <w:tl2br w:val="nil"/>
              <w:tr2bl w:val="nil"/>
            </w:tcBorders>
            <w:shd w:val="clear" w:color="auto" w:fill="auto"/>
            <w:noWrap/>
            <w:vAlign w:val="center"/>
          </w:tcPr>
          <w:p w14:paraId="674F3C8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500</w:t>
            </w:r>
            <w:r>
              <w:rPr>
                <w:rFonts w:hint="eastAsia" w:ascii="Times New Roman" w:hAnsi="Times New Roman" w:eastAsia="宋体" w:cs="Times New Roman"/>
                <w:color w:val="auto"/>
                <w:kern w:val="2"/>
                <w:sz w:val="22"/>
                <w:szCs w:val="22"/>
                <w:highlight w:val="none"/>
                <w:lang w:val="en-US" w:eastAsia="zh-CN" w:bidi="ar-SA"/>
              </w:rPr>
              <w:t>t/a</w:t>
            </w:r>
          </w:p>
        </w:tc>
      </w:tr>
      <w:tr w14:paraId="4B588A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224" w:hRule="atLeast"/>
        </w:trPr>
        <w:tc>
          <w:tcPr>
            <w:tcW w:w="499" w:type="pct"/>
            <w:tcBorders>
              <w:tl2br w:val="nil"/>
              <w:tr2bl w:val="nil"/>
            </w:tcBorders>
            <w:shd w:val="clear" w:color="auto" w:fill="auto"/>
            <w:noWrap/>
            <w:vAlign w:val="center"/>
          </w:tcPr>
          <w:p w14:paraId="5769362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NO</w:t>
            </w:r>
            <w:r>
              <w:rPr>
                <w:rFonts w:hint="eastAsia" w:cs="Times New Roman"/>
                <w:color w:val="auto"/>
                <w:kern w:val="2"/>
                <w:sz w:val="22"/>
                <w:szCs w:val="22"/>
                <w:highlight w:val="none"/>
                <w:vertAlign w:val="subscript"/>
                <w:lang w:val="en-US" w:eastAsia="zh-CN" w:bidi="ar-SA"/>
              </w:rPr>
              <w:t>X</w:t>
            </w:r>
          </w:p>
        </w:tc>
        <w:tc>
          <w:tcPr>
            <w:tcW w:w="2259" w:type="pct"/>
            <w:tcBorders>
              <w:tl2br w:val="nil"/>
              <w:tr2bl w:val="nil"/>
            </w:tcBorders>
            <w:shd w:val="clear" w:color="auto" w:fill="auto"/>
            <w:noWrap/>
            <w:vAlign w:val="center"/>
          </w:tcPr>
          <w:p w14:paraId="7582962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1.253</w:t>
            </w:r>
          </w:p>
        </w:tc>
        <w:tc>
          <w:tcPr>
            <w:tcW w:w="1340" w:type="pct"/>
            <w:tcBorders>
              <w:tl2br w:val="nil"/>
              <w:tr2bl w:val="nil"/>
            </w:tcBorders>
            <w:shd w:val="clear" w:color="auto" w:fill="auto"/>
            <w:noWrap/>
            <w:vAlign w:val="center"/>
          </w:tcPr>
          <w:p w14:paraId="724F342C">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9.020</w:t>
            </w:r>
            <w:r>
              <w:rPr>
                <w:rFonts w:hint="eastAsia" w:ascii="Times New Roman" w:hAnsi="Times New Roman" w:eastAsia="宋体" w:cs="Times New Roman"/>
                <w:color w:val="auto"/>
                <w:kern w:val="2"/>
                <w:sz w:val="22"/>
                <w:szCs w:val="22"/>
                <w:highlight w:val="none"/>
                <w:lang w:val="en-US" w:eastAsia="zh-CN" w:bidi="ar-SA"/>
              </w:rPr>
              <w:t>t/a</w:t>
            </w:r>
          </w:p>
        </w:tc>
        <w:tc>
          <w:tcPr>
            <w:tcW w:w="899" w:type="pct"/>
            <w:tcBorders>
              <w:tl2br w:val="nil"/>
              <w:tr2bl w:val="nil"/>
            </w:tcBorders>
            <w:shd w:val="clear" w:color="auto" w:fill="auto"/>
            <w:noWrap/>
            <w:vAlign w:val="center"/>
          </w:tcPr>
          <w:p w14:paraId="47E46B4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18.2</w:t>
            </w:r>
            <w:r>
              <w:rPr>
                <w:rFonts w:hint="eastAsia" w:ascii="Times New Roman" w:hAnsi="Times New Roman" w:eastAsia="宋体" w:cs="Times New Roman"/>
                <w:color w:val="auto"/>
                <w:kern w:val="2"/>
                <w:sz w:val="22"/>
                <w:szCs w:val="22"/>
                <w:highlight w:val="none"/>
                <w:lang w:val="en-US" w:eastAsia="zh-CN" w:bidi="ar-SA"/>
              </w:rPr>
              <w:t>t/a</w:t>
            </w:r>
          </w:p>
        </w:tc>
      </w:tr>
      <w:tr w14:paraId="1981A0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499" w:type="pct"/>
            <w:tcBorders>
              <w:tl2br w:val="nil"/>
              <w:tr2bl w:val="nil"/>
            </w:tcBorders>
            <w:shd w:val="clear" w:color="auto" w:fill="auto"/>
            <w:noWrap/>
            <w:vAlign w:val="center"/>
          </w:tcPr>
          <w:p w14:paraId="4B3A92B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砷</w:t>
            </w:r>
          </w:p>
        </w:tc>
        <w:tc>
          <w:tcPr>
            <w:tcW w:w="2259" w:type="pct"/>
            <w:tcBorders>
              <w:tl2br w:val="nil"/>
              <w:tr2bl w:val="nil"/>
            </w:tcBorders>
            <w:shd w:val="clear" w:color="auto" w:fill="auto"/>
            <w:noWrap/>
            <w:vAlign w:val="center"/>
          </w:tcPr>
          <w:p w14:paraId="431B9BF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0.00002</w:t>
            </w:r>
          </w:p>
        </w:tc>
        <w:tc>
          <w:tcPr>
            <w:tcW w:w="1340" w:type="pct"/>
            <w:tcBorders>
              <w:tl2br w:val="nil"/>
              <w:tr2bl w:val="nil"/>
            </w:tcBorders>
            <w:shd w:val="clear" w:color="auto" w:fill="auto"/>
            <w:noWrap/>
            <w:vAlign w:val="center"/>
          </w:tcPr>
          <w:p w14:paraId="48927992">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0.112kg/a</w:t>
            </w:r>
          </w:p>
        </w:tc>
        <w:tc>
          <w:tcPr>
            <w:tcW w:w="899" w:type="pct"/>
            <w:tcBorders>
              <w:tl2br w:val="nil"/>
              <w:tr2bl w:val="nil"/>
            </w:tcBorders>
            <w:shd w:val="clear" w:color="auto" w:fill="auto"/>
            <w:noWrap/>
            <w:vAlign w:val="center"/>
          </w:tcPr>
          <w:p w14:paraId="14A983D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169.61</w:t>
            </w:r>
            <w:r>
              <w:rPr>
                <w:rFonts w:hint="eastAsia"/>
                <w:color w:val="auto"/>
                <w:highlight w:val="none"/>
                <w:lang w:val="en-US" w:eastAsia="zh-CN"/>
              </w:rPr>
              <w:t>kg/a</w:t>
            </w:r>
          </w:p>
        </w:tc>
      </w:tr>
      <w:tr w14:paraId="4FD3B8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499" w:type="pct"/>
            <w:tcBorders>
              <w:tl2br w:val="nil"/>
              <w:tr2bl w:val="nil"/>
            </w:tcBorders>
            <w:shd w:val="clear" w:color="auto" w:fill="auto"/>
            <w:noWrap/>
            <w:vAlign w:val="center"/>
          </w:tcPr>
          <w:p w14:paraId="4FBFB70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铅</w:t>
            </w:r>
          </w:p>
        </w:tc>
        <w:tc>
          <w:tcPr>
            <w:tcW w:w="2259" w:type="pct"/>
            <w:tcBorders>
              <w:tl2br w:val="nil"/>
              <w:tr2bl w:val="nil"/>
            </w:tcBorders>
            <w:shd w:val="clear" w:color="auto" w:fill="auto"/>
            <w:noWrap/>
            <w:vAlign w:val="center"/>
          </w:tcPr>
          <w:p w14:paraId="14BB235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w:t>
            </w:r>
            <w:r>
              <w:rPr>
                <w:rFonts w:hint="eastAsia" w:cs="Times New Roman"/>
                <w:color w:val="auto"/>
                <w:kern w:val="2"/>
                <w:sz w:val="22"/>
                <w:szCs w:val="22"/>
                <w:highlight w:val="none"/>
                <w:lang w:val="en-US" w:eastAsia="zh-CN" w:bidi="ar-SA"/>
              </w:rPr>
              <w:t>004</w:t>
            </w:r>
          </w:p>
        </w:tc>
        <w:tc>
          <w:tcPr>
            <w:tcW w:w="1340" w:type="pct"/>
            <w:tcBorders>
              <w:tl2br w:val="nil"/>
              <w:tr2bl w:val="nil"/>
            </w:tcBorders>
            <w:shd w:val="clear" w:color="auto" w:fill="auto"/>
            <w:noWrap/>
            <w:vAlign w:val="center"/>
          </w:tcPr>
          <w:p w14:paraId="4B7441A1">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29.64kg/a</w:t>
            </w:r>
          </w:p>
        </w:tc>
        <w:tc>
          <w:tcPr>
            <w:tcW w:w="899" w:type="pct"/>
            <w:tcBorders>
              <w:tl2br w:val="nil"/>
              <w:tr2bl w:val="nil"/>
            </w:tcBorders>
            <w:shd w:val="clear" w:color="auto" w:fill="auto"/>
            <w:noWrap/>
            <w:vAlign w:val="center"/>
          </w:tcPr>
          <w:p w14:paraId="051FE0A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384.31</w:t>
            </w:r>
            <w:r>
              <w:rPr>
                <w:rFonts w:hint="eastAsia"/>
                <w:color w:val="auto"/>
                <w:highlight w:val="none"/>
                <w:lang w:val="en-US" w:eastAsia="zh-CN"/>
              </w:rPr>
              <w:t>kg/a</w:t>
            </w:r>
          </w:p>
        </w:tc>
      </w:tr>
      <w:tr w14:paraId="52A23C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499" w:type="pct"/>
            <w:tcBorders>
              <w:tl2br w:val="nil"/>
              <w:tr2bl w:val="nil"/>
            </w:tcBorders>
            <w:shd w:val="clear" w:color="auto" w:fill="auto"/>
            <w:noWrap/>
            <w:vAlign w:val="center"/>
          </w:tcPr>
          <w:p w14:paraId="087B943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汞</w:t>
            </w:r>
          </w:p>
        </w:tc>
        <w:tc>
          <w:tcPr>
            <w:tcW w:w="2259" w:type="pct"/>
            <w:tcBorders>
              <w:tl2br w:val="nil"/>
              <w:tr2bl w:val="nil"/>
            </w:tcBorders>
            <w:shd w:val="clear" w:color="auto" w:fill="auto"/>
            <w:noWrap/>
            <w:vAlign w:val="center"/>
          </w:tcPr>
          <w:p w14:paraId="135C63B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0.00003</w:t>
            </w:r>
          </w:p>
        </w:tc>
        <w:tc>
          <w:tcPr>
            <w:tcW w:w="1340" w:type="pct"/>
            <w:tcBorders>
              <w:tl2br w:val="nil"/>
              <w:tr2bl w:val="nil"/>
            </w:tcBorders>
            <w:shd w:val="clear" w:color="auto" w:fill="auto"/>
            <w:noWrap/>
            <w:vAlign w:val="center"/>
          </w:tcPr>
          <w:p w14:paraId="2D714A6F">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0.216kg/a</w:t>
            </w:r>
          </w:p>
        </w:tc>
        <w:tc>
          <w:tcPr>
            <w:tcW w:w="899" w:type="pct"/>
            <w:tcBorders>
              <w:tl2br w:val="nil"/>
              <w:tr2bl w:val="nil"/>
            </w:tcBorders>
            <w:shd w:val="clear" w:color="auto" w:fill="auto"/>
            <w:noWrap/>
            <w:vAlign w:val="center"/>
          </w:tcPr>
          <w:p w14:paraId="5CBAD26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w:t>
            </w:r>
          </w:p>
        </w:tc>
      </w:tr>
      <w:tr w14:paraId="4F834F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499" w:type="pct"/>
            <w:tcBorders>
              <w:tl2br w:val="nil"/>
              <w:tr2bl w:val="nil"/>
            </w:tcBorders>
            <w:shd w:val="clear" w:color="auto" w:fill="auto"/>
            <w:noWrap/>
            <w:vAlign w:val="center"/>
          </w:tcPr>
          <w:p w14:paraId="5E424A8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镉</w:t>
            </w:r>
          </w:p>
        </w:tc>
        <w:tc>
          <w:tcPr>
            <w:tcW w:w="2259" w:type="pct"/>
            <w:tcBorders>
              <w:tl2br w:val="nil"/>
              <w:tr2bl w:val="nil"/>
            </w:tcBorders>
            <w:shd w:val="clear" w:color="auto" w:fill="auto"/>
            <w:noWrap/>
            <w:vAlign w:val="center"/>
          </w:tcPr>
          <w:p w14:paraId="014C832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0.00001</w:t>
            </w:r>
          </w:p>
        </w:tc>
        <w:tc>
          <w:tcPr>
            <w:tcW w:w="1340" w:type="pct"/>
            <w:tcBorders>
              <w:tl2br w:val="nil"/>
              <w:tr2bl w:val="nil"/>
            </w:tcBorders>
            <w:shd w:val="clear" w:color="auto" w:fill="auto"/>
            <w:noWrap/>
            <w:vAlign w:val="center"/>
          </w:tcPr>
          <w:p w14:paraId="4F9140AA">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0.09kg/a</w:t>
            </w:r>
          </w:p>
        </w:tc>
        <w:tc>
          <w:tcPr>
            <w:tcW w:w="899" w:type="pct"/>
            <w:tcBorders>
              <w:tl2br w:val="nil"/>
              <w:tr2bl w:val="nil"/>
            </w:tcBorders>
            <w:shd w:val="clear" w:color="auto" w:fill="auto"/>
            <w:noWrap/>
            <w:vAlign w:val="center"/>
          </w:tcPr>
          <w:p w14:paraId="71FD4FB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1.37</w:t>
            </w:r>
            <w:r>
              <w:rPr>
                <w:rFonts w:hint="eastAsia"/>
                <w:color w:val="auto"/>
                <w:highlight w:val="none"/>
                <w:lang w:val="en-US" w:eastAsia="zh-CN"/>
              </w:rPr>
              <w:t>kg/a</w:t>
            </w:r>
          </w:p>
        </w:tc>
      </w:tr>
      <w:tr w14:paraId="204018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499" w:type="pct"/>
            <w:tcBorders>
              <w:tl2br w:val="nil"/>
              <w:tr2bl w:val="nil"/>
            </w:tcBorders>
            <w:shd w:val="clear" w:color="auto" w:fill="auto"/>
            <w:noWrap/>
            <w:vAlign w:val="center"/>
          </w:tcPr>
          <w:p w14:paraId="30C52C8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锑</w:t>
            </w:r>
          </w:p>
        </w:tc>
        <w:tc>
          <w:tcPr>
            <w:tcW w:w="2259" w:type="pct"/>
            <w:tcBorders>
              <w:tl2br w:val="nil"/>
              <w:tr2bl w:val="nil"/>
            </w:tcBorders>
            <w:shd w:val="clear" w:color="auto" w:fill="auto"/>
            <w:noWrap/>
            <w:vAlign w:val="center"/>
          </w:tcPr>
          <w:p w14:paraId="751DA12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0.007</w:t>
            </w:r>
          </w:p>
        </w:tc>
        <w:tc>
          <w:tcPr>
            <w:tcW w:w="1340" w:type="pct"/>
            <w:tcBorders>
              <w:tl2br w:val="nil"/>
              <w:tr2bl w:val="nil"/>
            </w:tcBorders>
            <w:shd w:val="clear" w:color="auto" w:fill="auto"/>
            <w:noWrap/>
            <w:vAlign w:val="center"/>
          </w:tcPr>
          <w:p w14:paraId="31B7B3A4">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49.68kg/a</w:t>
            </w:r>
          </w:p>
        </w:tc>
        <w:tc>
          <w:tcPr>
            <w:tcW w:w="899" w:type="pct"/>
            <w:tcBorders>
              <w:tl2br w:val="nil"/>
              <w:tr2bl w:val="nil"/>
            </w:tcBorders>
            <w:shd w:val="clear" w:color="auto" w:fill="auto"/>
            <w:noWrap/>
            <w:vAlign w:val="center"/>
          </w:tcPr>
          <w:p w14:paraId="2527745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r>
    </w:tbl>
    <w:p w14:paraId="638DFE3B">
      <w:pPr>
        <w:pStyle w:val="2"/>
        <w:rPr>
          <w:rFonts w:hint="default"/>
          <w:color w:val="auto"/>
          <w:highlight w:val="none"/>
          <w:lang w:val="en-US" w:eastAsia="zh-CN"/>
        </w:rPr>
      </w:pPr>
      <w:r>
        <w:rPr>
          <w:rFonts w:hint="eastAsia"/>
          <w:color w:val="auto"/>
          <w:highlight w:val="none"/>
          <w:lang w:val="en-US" w:eastAsia="zh-CN"/>
        </w:rPr>
        <w:t>企业排放总量见下表</w:t>
      </w:r>
    </w:p>
    <w:p w14:paraId="3E94FE4A">
      <w:pPr>
        <w:widowControl w:val="0"/>
        <w:tabs>
          <w:tab w:val="left" w:pos="1021"/>
        </w:tabs>
        <w:bidi w:val="0"/>
        <w:spacing w:line="300" w:lineRule="auto"/>
        <w:jc w:val="center"/>
        <w:outlineLvl w:val="4"/>
        <w:rPr>
          <w:rFonts w:hint="eastAsia"/>
          <w:color w:val="auto"/>
          <w:highlight w:val="none"/>
          <w:lang w:val="en-US" w:eastAsia="zh-CN"/>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6.2</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6</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w:t>
      </w:r>
      <w:r>
        <w:rPr>
          <w:rFonts w:hint="eastAsia" w:eastAsia="黑体" w:cs="Times New Roman"/>
          <w:color w:val="auto"/>
          <w:kern w:val="2"/>
          <w:sz w:val="24"/>
          <w:szCs w:val="20"/>
          <w:highlight w:val="none"/>
          <w:lang w:val="en-US" w:eastAsia="zh-CN" w:bidi="ar-SA"/>
        </w:rPr>
        <w:t>调整</w:t>
      </w:r>
      <w:r>
        <w:rPr>
          <w:rFonts w:hint="eastAsia" w:ascii="Times New Roman" w:hAnsi="Times New Roman" w:eastAsia="黑体" w:cs="Times New Roman"/>
          <w:color w:val="auto"/>
          <w:kern w:val="2"/>
          <w:sz w:val="24"/>
          <w:szCs w:val="20"/>
          <w:highlight w:val="none"/>
          <w:lang w:val="en-US" w:eastAsia="zh-CN" w:bidi="ar-SA"/>
        </w:rPr>
        <w:t>后</w:t>
      </w:r>
      <w:r>
        <w:rPr>
          <w:rFonts w:hint="eastAsia" w:eastAsia="黑体" w:cs="Times New Roman"/>
          <w:color w:val="auto"/>
          <w:kern w:val="2"/>
          <w:sz w:val="24"/>
          <w:szCs w:val="20"/>
          <w:highlight w:val="none"/>
          <w:lang w:val="en-US" w:eastAsia="zh-CN" w:bidi="ar-SA"/>
        </w:rPr>
        <w:t>企业</w:t>
      </w:r>
      <w:r>
        <w:rPr>
          <w:rFonts w:hint="default" w:ascii="Times New Roman" w:hAnsi="Times New Roman" w:eastAsia="黑体" w:cs="Times New Roman"/>
          <w:color w:val="auto"/>
          <w:kern w:val="2"/>
          <w:sz w:val="24"/>
          <w:szCs w:val="20"/>
          <w:highlight w:val="none"/>
          <w:lang w:val="en-US" w:eastAsia="zh-CN" w:bidi="ar-SA"/>
        </w:rPr>
        <w:t>污染物</w:t>
      </w:r>
      <w:r>
        <w:rPr>
          <w:rFonts w:hint="eastAsia" w:ascii="Times New Roman" w:hAnsi="Times New Roman" w:eastAsia="黑体" w:cs="Times New Roman"/>
          <w:color w:val="auto"/>
          <w:kern w:val="2"/>
          <w:sz w:val="24"/>
          <w:szCs w:val="20"/>
          <w:highlight w:val="none"/>
          <w:lang w:val="en-US" w:eastAsia="zh-CN" w:bidi="ar-SA"/>
        </w:rPr>
        <w:t>总量情况</w:t>
      </w:r>
      <w:r>
        <w:rPr>
          <w:rFonts w:hint="default" w:ascii="Times New Roman" w:hAnsi="Times New Roman" w:eastAsia="黑体" w:cs="Times New Roman"/>
          <w:color w:val="auto"/>
          <w:kern w:val="2"/>
          <w:sz w:val="24"/>
          <w:szCs w:val="20"/>
          <w:highlight w:val="none"/>
          <w:lang w:val="en-US" w:eastAsia="zh-CN" w:bidi="ar-SA"/>
        </w:rPr>
        <w:t>一览表</w:t>
      </w:r>
    </w:p>
    <w:tbl>
      <w:tblPr>
        <w:tblStyle w:val="21"/>
        <w:tblW w:w="501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1" w:type="dxa"/>
          <w:bottom w:w="0" w:type="dxa"/>
          <w:right w:w="11" w:type="dxa"/>
        </w:tblCellMar>
      </w:tblPr>
      <w:tblGrid>
        <w:gridCol w:w="613"/>
        <w:gridCol w:w="1966"/>
        <w:gridCol w:w="1344"/>
        <w:gridCol w:w="1184"/>
        <w:gridCol w:w="990"/>
        <w:gridCol w:w="1485"/>
        <w:gridCol w:w="1492"/>
      </w:tblGrid>
      <w:tr w14:paraId="1BE18B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25D9EBB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因子</w:t>
            </w:r>
          </w:p>
        </w:tc>
        <w:tc>
          <w:tcPr>
            <w:tcW w:w="1083" w:type="pct"/>
            <w:tcBorders>
              <w:tl2br w:val="nil"/>
              <w:tr2bl w:val="nil"/>
            </w:tcBorders>
            <w:shd w:val="clear" w:color="auto" w:fill="auto"/>
            <w:noWrap/>
            <w:vAlign w:val="center"/>
          </w:tcPr>
          <w:p w14:paraId="7D1B5DE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现状排放总量</w:t>
            </w:r>
          </w:p>
        </w:tc>
        <w:tc>
          <w:tcPr>
            <w:tcW w:w="740" w:type="pct"/>
            <w:tcBorders>
              <w:tl2br w:val="nil"/>
              <w:tr2bl w:val="nil"/>
            </w:tcBorders>
            <w:shd w:val="clear" w:color="auto" w:fill="auto"/>
            <w:noWrap/>
            <w:vAlign w:val="center"/>
          </w:tcPr>
          <w:p w14:paraId="1195C67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预测排放总量</w:t>
            </w:r>
          </w:p>
        </w:tc>
        <w:tc>
          <w:tcPr>
            <w:tcW w:w="652" w:type="pct"/>
            <w:tcBorders>
              <w:tl2br w:val="nil"/>
              <w:tr2bl w:val="nil"/>
            </w:tcBorders>
            <w:shd w:val="clear" w:color="auto" w:fill="auto"/>
            <w:noWrap/>
            <w:vAlign w:val="center"/>
          </w:tcPr>
          <w:p w14:paraId="31E6A3E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变化情况</w:t>
            </w:r>
          </w:p>
        </w:tc>
        <w:tc>
          <w:tcPr>
            <w:tcW w:w="1363" w:type="pct"/>
            <w:gridSpan w:val="2"/>
            <w:tcBorders>
              <w:tl2br w:val="nil"/>
              <w:tr2bl w:val="nil"/>
            </w:tcBorders>
            <w:shd w:val="clear" w:color="auto" w:fill="auto"/>
            <w:noWrap/>
            <w:vAlign w:val="center"/>
          </w:tcPr>
          <w:p w14:paraId="0179D04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排放</w:t>
            </w:r>
            <w:r>
              <w:rPr>
                <w:rFonts w:hint="eastAsia" w:cs="Times New Roman"/>
                <w:color w:val="auto"/>
                <w:kern w:val="2"/>
                <w:sz w:val="22"/>
                <w:szCs w:val="22"/>
                <w:highlight w:val="none"/>
                <w:lang w:val="en-US" w:eastAsia="zh-CN" w:bidi="ar-SA"/>
              </w:rPr>
              <w:t>权</w:t>
            </w:r>
            <w:r>
              <w:rPr>
                <w:rFonts w:hint="eastAsia" w:ascii="Times New Roman" w:hAnsi="Times New Roman" w:eastAsia="宋体" w:cs="Times New Roman"/>
                <w:color w:val="auto"/>
                <w:kern w:val="2"/>
                <w:sz w:val="22"/>
                <w:szCs w:val="22"/>
                <w:highlight w:val="none"/>
                <w:lang w:val="en-US" w:eastAsia="zh-CN" w:bidi="ar-SA"/>
              </w:rPr>
              <w:t>量</w:t>
            </w:r>
          </w:p>
        </w:tc>
        <w:tc>
          <w:tcPr>
            <w:tcW w:w="822" w:type="pct"/>
            <w:tcBorders>
              <w:tl2br w:val="nil"/>
              <w:tr2bl w:val="nil"/>
            </w:tcBorders>
            <w:shd w:val="clear" w:color="auto" w:fill="auto"/>
            <w:noWrap/>
            <w:vAlign w:val="center"/>
          </w:tcPr>
          <w:p w14:paraId="5F9BF38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富余</w:t>
            </w:r>
          </w:p>
        </w:tc>
      </w:tr>
      <w:tr w14:paraId="1D4BF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798F281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SO</w:t>
            </w:r>
            <w:r>
              <w:rPr>
                <w:rFonts w:hint="eastAsia" w:cs="Times New Roman"/>
                <w:color w:val="auto"/>
                <w:kern w:val="2"/>
                <w:sz w:val="22"/>
                <w:szCs w:val="22"/>
                <w:highlight w:val="none"/>
                <w:vertAlign w:val="subscript"/>
                <w:lang w:val="en-US" w:eastAsia="zh-CN" w:bidi="ar-SA"/>
              </w:rPr>
              <w:t>2</w:t>
            </w:r>
          </w:p>
        </w:tc>
        <w:tc>
          <w:tcPr>
            <w:tcW w:w="1083" w:type="pct"/>
            <w:tcBorders>
              <w:tl2br w:val="nil"/>
              <w:tr2bl w:val="nil"/>
            </w:tcBorders>
            <w:shd w:val="clear" w:color="auto" w:fill="auto"/>
            <w:noWrap/>
            <w:vAlign w:val="center"/>
          </w:tcPr>
          <w:p w14:paraId="7C95D95E">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4.082</w:t>
            </w:r>
            <w:r>
              <w:rPr>
                <w:rFonts w:hint="eastAsia" w:ascii="Times New Roman" w:hAnsi="Times New Roman" w:eastAsia="宋体" w:cs="Times New Roman"/>
                <w:color w:val="auto"/>
                <w:kern w:val="2"/>
                <w:sz w:val="22"/>
                <w:szCs w:val="22"/>
                <w:highlight w:val="none"/>
                <w:lang w:val="en-US" w:eastAsia="zh-CN" w:bidi="ar-SA"/>
              </w:rPr>
              <w:t>t/a</w:t>
            </w:r>
          </w:p>
        </w:tc>
        <w:tc>
          <w:tcPr>
            <w:tcW w:w="740" w:type="pct"/>
            <w:tcBorders>
              <w:tl2br w:val="nil"/>
              <w:tr2bl w:val="nil"/>
            </w:tcBorders>
            <w:shd w:val="clear" w:color="auto" w:fill="auto"/>
            <w:noWrap/>
            <w:vAlign w:val="center"/>
          </w:tcPr>
          <w:p w14:paraId="78774541">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4.082</w:t>
            </w:r>
            <w:r>
              <w:rPr>
                <w:rFonts w:hint="eastAsia" w:ascii="Times New Roman" w:hAnsi="Times New Roman" w:eastAsia="宋体" w:cs="Times New Roman"/>
                <w:color w:val="auto"/>
                <w:kern w:val="2"/>
                <w:sz w:val="22"/>
                <w:szCs w:val="22"/>
                <w:highlight w:val="none"/>
                <w:lang w:val="en-US" w:eastAsia="zh-CN" w:bidi="ar-SA"/>
              </w:rPr>
              <w:t>t/a</w:t>
            </w:r>
          </w:p>
        </w:tc>
        <w:tc>
          <w:tcPr>
            <w:tcW w:w="652" w:type="pct"/>
            <w:tcBorders>
              <w:tl2br w:val="nil"/>
              <w:tr2bl w:val="nil"/>
            </w:tcBorders>
            <w:shd w:val="clear" w:color="auto" w:fill="auto"/>
            <w:noWrap/>
            <w:vAlign w:val="center"/>
          </w:tcPr>
          <w:p w14:paraId="1B9EDD2F">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0</w:t>
            </w:r>
          </w:p>
        </w:tc>
        <w:tc>
          <w:tcPr>
            <w:tcW w:w="1363" w:type="pct"/>
            <w:gridSpan w:val="2"/>
            <w:tcBorders>
              <w:tl2br w:val="nil"/>
              <w:tr2bl w:val="nil"/>
            </w:tcBorders>
            <w:shd w:val="clear" w:color="auto" w:fill="auto"/>
            <w:noWrap/>
            <w:vAlign w:val="center"/>
          </w:tcPr>
          <w:p w14:paraId="0A628E8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500</w:t>
            </w:r>
            <w:r>
              <w:rPr>
                <w:rFonts w:hint="eastAsia" w:ascii="Times New Roman" w:hAnsi="Times New Roman" w:eastAsia="宋体" w:cs="Times New Roman"/>
                <w:color w:val="auto"/>
                <w:kern w:val="2"/>
                <w:sz w:val="22"/>
                <w:szCs w:val="22"/>
                <w:highlight w:val="none"/>
                <w:lang w:val="en-US" w:eastAsia="zh-CN" w:bidi="ar-SA"/>
              </w:rPr>
              <w:t>t/a</w:t>
            </w:r>
          </w:p>
        </w:tc>
        <w:tc>
          <w:tcPr>
            <w:tcW w:w="822" w:type="pct"/>
            <w:tcBorders>
              <w:tl2br w:val="nil"/>
              <w:tr2bl w:val="nil"/>
            </w:tcBorders>
            <w:shd w:val="clear" w:color="auto" w:fill="auto"/>
            <w:noWrap/>
            <w:vAlign w:val="center"/>
          </w:tcPr>
          <w:p w14:paraId="429E51A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olor w:val="auto"/>
                <w:sz w:val="22"/>
                <w:szCs w:val="22"/>
                <w:highlight w:val="none"/>
              </w:rPr>
              <w:t>495.918</w:t>
            </w:r>
            <w:r>
              <w:rPr>
                <w:rFonts w:hint="eastAsia" w:ascii="Times New Roman" w:hAnsi="Times New Roman" w:eastAsia="宋体" w:cs="Times New Roman"/>
                <w:color w:val="auto"/>
                <w:kern w:val="2"/>
                <w:sz w:val="22"/>
                <w:szCs w:val="22"/>
                <w:highlight w:val="none"/>
                <w:lang w:val="en-US" w:eastAsia="zh-CN" w:bidi="ar-SA"/>
              </w:rPr>
              <w:t>t/a</w:t>
            </w:r>
          </w:p>
        </w:tc>
      </w:tr>
      <w:tr w14:paraId="1F62DF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224" w:hRule="atLeast"/>
        </w:trPr>
        <w:tc>
          <w:tcPr>
            <w:tcW w:w="338" w:type="pct"/>
            <w:tcBorders>
              <w:tl2br w:val="nil"/>
              <w:tr2bl w:val="nil"/>
            </w:tcBorders>
            <w:shd w:val="clear" w:color="auto" w:fill="auto"/>
            <w:noWrap/>
            <w:vAlign w:val="center"/>
          </w:tcPr>
          <w:p w14:paraId="4007C3A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NO</w:t>
            </w:r>
            <w:r>
              <w:rPr>
                <w:rFonts w:hint="eastAsia" w:cs="Times New Roman"/>
                <w:color w:val="auto"/>
                <w:kern w:val="2"/>
                <w:sz w:val="22"/>
                <w:szCs w:val="22"/>
                <w:highlight w:val="none"/>
                <w:vertAlign w:val="subscript"/>
                <w:lang w:val="en-US" w:eastAsia="zh-CN" w:bidi="ar-SA"/>
              </w:rPr>
              <w:t>X</w:t>
            </w:r>
          </w:p>
        </w:tc>
        <w:tc>
          <w:tcPr>
            <w:tcW w:w="1083" w:type="pct"/>
            <w:tcBorders>
              <w:tl2br w:val="nil"/>
              <w:tr2bl w:val="nil"/>
            </w:tcBorders>
            <w:shd w:val="clear" w:color="auto" w:fill="auto"/>
            <w:noWrap/>
            <w:vAlign w:val="center"/>
          </w:tcPr>
          <w:p w14:paraId="492128F9">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9.020</w:t>
            </w:r>
            <w:r>
              <w:rPr>
                <w:rFonts w:hint="eastAsia" w:ascii="Times New Roman" w:hAnsi="Times New Roman" w:eastAsia="宋体" w:cs="Times New Roman"/>
                <w:color w:val="auto"/>
                <w:kern w:val="2"/>
                <w:sz w:val="22"/>
                <w:szCs w:val="22"/>
                <w:highlight w:val="none"/>
                <w:lang w:val="en-US" w:eastAsia="zh-CN" w:bidi="ar-SA"/>
              </w:rPr>
              <w:t>t/a</w:t>
            </w:r>
          </w:p>
        </w:tc>
        <w:tc>
          <w:tcPr>
            <w:tcW w:w="740" w:type="pct"/>
            <w:tcBorders>
              <w:tl2br w:val="nil"/>
              <w:tr2bl w:val="nil"/>
            </w:tcBorders>
            <w:shd w:val="clear" w:color="auto" w:fill="auto"/>
            <w:noWrap/>
            <w:vAlign w:val="center"/>
          </w:tcPr>
          <w:p w14:paraId="0E9615EC">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9.020</w:t>
            </w:r>
            <w:r>
              <w:rPr>
                <w:rFonts w:hint="eastAsia" w:ascii="Times New Roman" w:hAnsi="Times New Roman" w:eastAsia="宋体" w:cs="Times New Roman"/>
                <w:color w:val="auto"/>
                <w:kern w:val="2"/>
                <w:sz w:val="22"/>
                <w:szCs w:val="22"/>
                <w:highlight w:val="none"/>
                <w:lang w:val="en-US" w:eastAsia="zh-CN" w:bidi="ar-SA"/>
              </w:rPr>
              <w:t>t/a</w:t>
            </w:r>
          </w:p>
        </w:tc>
        <w:tc>
          <w:tcPr>
            <w:tcW w:w="652" w:type="pct"/>
            <w:tcBorders>
              <w:tl2br w:val="nil"/>
              <w:tr2bl w:val="nil"/>
            </w:tcBorders>
            <w:shd w:val="clear" w:color="auto" w:fill="auto"/>
            <w:noWrap/>
            <w:vAlign w:val="center"/>
          </w:tcPr>
          <w:p w14:paraId="78B63C6D">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0</w:t>
            </w:r>
          </w:p>
        </w:tc>
        <w:tc>
          <w:tcPr>
            <w:tcW w:w="1363" w:type="pct"/>
            <w:gridSpan w:val="2"/>
            <w:tcBorders>
              <w:tl2br w:val="nil"/>
              <w:tr2bl w:val="nil"/>
            </w:tcBorders>
            <w:shd w:val="clear" w:color="auto" w:fill="auto"/>
            <w:noWrap/>
            <w:vAlign w:val="center"/>
          </w:tcPr>
          <w:p w14:paraId="517E7D0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18.2</w:t>
            </w:r>
            <w:r>
              <w:rPr>
                <w:rFonts w:hint="eastAsia" w:ascii="Times New Roman" w:hAnsi="Times New Roman" w:eastAsia="宋体" w:cs="Times New Roman"/>
                <w:color w:val="auto"/>
                <w:kern w:val="2"/>
                <w:sz w:val="22"/>
                <w:szCs w:val="22"/>
                <w:highlight w:val="none"/>
                <w:lang w:val="en-US" w:eastAsia="zh-CN" w:bidi="ar-SA"/>
              </w:rPr>
              <w:t>t/a</w:t>
            </w:r>
          </w:p>
        </w:tc>
        <w:tc>
          <w:tcPr>
            <w:tcW w:w="822" w:type="pct"/>
            <w:tcBorders>
              <w:tl2br w:val="nil"/>
              <w:tr2bl w:val="nil"/>
            </w:tcBorders>
            <w:shd w:val="clear" w:color="auto" w:fill="auto"/>
            <w:noWrap/>
            <w:vAlign w:val="center"/>
          </w:tcPr>
          <w:p w14:paraId="3EAF51D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9.18</w:t>
            </w:r>
            <w:r>
              <w:rPr>
                <w:rFonts w:hint="eastAsia" w:ascii="Times New Roman" w:hAnsi="Times New Roman" w:eastAsia="宋体" w:cs="Times New Roman"/>
                <w:color w:val="auto"/>
                <w:kern w:val="2"/>
                <w:sz w:val="22"/>
                <w:szCs w:val="22"/>
                <w:highlight w:val="none"/>
                <w:lang w:val="en-US" w:eastAsia="zh-CN" w:bidi="ar-SA"/>
              </w:rPr>
              <w:t>t/a</w:t>
            </w:r>
          </w:p>
        </w:tc>
      </w:tr>
      <w:tr w14:paraId="04F449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90" w:hRule="atLeast"/>
        </w:trPr>
        <w:tc>
          <w:tcPr>
            <w:tcW w:w="338" w:type="pct"/>
            <w:tcBorders>
              <w:tl2br w:val="nil"/>
              <w:tr2bl w:val="nil"/>
            </w:tcBorders>
            <w:shd w:val="clear" w:color="auto" w:fill="auto"/>
            <w:noWrap/>
            <w:vAlign w:val="center"/>
          </w:tcPr>
          <w:p w14:paraId="350DCB3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砷</w:t>
            </w:r>
          </w:p>
        </w:tc>
        <w:tc>
          <w:tcPr>
            <w:tcW w:w="1083" w:type="pct"/>
            <w:tcBorders>
              <w:tl2br w:val="nil"/>
              <w:tr2bl w:val="nil"/>
            </w:tcBorders>
            <w:shd w:val="clear" w:color="auto" w:fill="auto"/>
            <w:noWrap/>
            <w:vAlign w:val="center"/>
          </w:tcPr>
          <w:p w14:paraId="766C1FB3">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28.434kg/a</w:t>
            </w:r>
          </w:p>
        </w:tc>
        <w:tc>
          <w:tcPr>
            <w:tcW w:w="740" w:type="pct"/>
            <w:tcBorders>
              <w:tl2br w:val="nil"/>
              <w:tr2bl w:val="nil"/>
            </w:tcBorders>
            <w:shd w:val="clear" w:color="auto" w:fill="auto"/>
            <w:noWrap/>
            <w:vAlign w:val="center"/>
          </w:tcPr>
          <w:p w14:paraId="4DF8104D">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29.570kg/a</w:t>
            </w:r>
          </w:p>
        </w:tc>
        <w:tc>
          <w:tcPr>
            <w:tcW w:w="652" w:type="pct"/>
            <w:tcBorders>
              <w:tl2br w:val="nil"/>
              <w:tr2bl w:val="nil"/>
            </w:tcBorders>
            <w:shd w:val="clear" w:color="auto" w:fill="auto"/>
            <w:noWrap/>
            <w:vAlign w:val="center"/>
          </w:tcPr>
          <w:p w14:paraId="1FA03814">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1.136kg/a</w:t>
            </w:r>
          </w:p>
        </w:tc>
        <w:tc>
          <w:tcPr>
            <w:tcW w:w="545" w:type="pct"/>
            <w:tcBorders>
              <w:tl2br w:val="nil"/>
              <w:tr2bl w:val="nil"/>
            </w:tcBorders>
            <w:shd w:val="clear" w:color="auto" w:fill="auto"/>
            <w:noWrap/>
            <w:vAlign w:val="center"/>
          </w:tcPr>
          <w:p w14:paraId="7FBEAB8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384.31</w:t>
            </w:r>
            <w:r>
              <w:rPr>
                <w:rFonts w:hint="eastAsia"/>
                <w:color w:val="auto"/>
                <w:highlight w:val="none"/>
                <w:lang w:val="en-US" w:eastAsia="zh-CN"/>
              </w:rPr>
              <w:t>kg/a</w:t>
            </w:r>
          </w:p>
        </w:tc>
        <w:tc>
          <w:tcPr>
            <w:tcW w:w="818" w:type="pct"/>
            <w:vMerge w:val="restart"/>
            <w:tcBorders>
              <w:tl2br w:val="nil"/>
              <w:tr2bl w:val="nil"/>
            </w:tcBorders>
            <w:shd w:val="clear" w:color="auto" w:fill="auto"/>
            <w:noWrap/>
            <w:vAlign w:val="center"/>
          </w:tcPr>
          <w:p w14:paraId="266AD0A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合计559.26</w:t>
            </w:r>
            <w:r>
              <w:rPr>
                <w:rFonts w:hint="eastAsia"/>
                <w:color w:val="auto"/>
                <w:highlight w:val="none"/>
                <w:lang w:val="en-US" w:eastAsia="zh-CN"/>
              </w:rPr>
              <w:t>kg/a</w:t>
            </w:r>
          </w:p>
        </w:tc>
        <w:tc>
          <w:tcPr>
            <w:tcW w:w="822" w:type="pct"/>
            <w:vMerge w:val="restart"/>
            <w:tcBorders>
              <w:tl2br w:val="nil"/>
              <w:tr2bl w:val="nil"/>
            </w:tcBorders>
            <w:shd w:val="clear" w:color="auto" w:fill="auto"/>
            <w:noWrap/>
            <w:vAlign w:val="center"/>
          </w:tcPr>
          <w:p w14:paraId="03E3E1B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r>
              <w:rPr>
                <w:rFonts w:hint="eastAsia"/>
                <w:color w:val="auto"/>
                <w:sz w:val="22"/>
                <w:szCs w:val="22"/>
                <w:highlight w:val="none"/>
              </w:rPr>
              <w:t>4</w:t>
            </w:r>
            <w:r>
              <w:rPr>
                <w:rFonts w:hint="eastAsia"/>
                <w:color w:val="auto"/>
                <w:sz w:val="22"/>
                <w:szCs w:val="22"/>
                <w:highlight w:val="none"/>
                <w:lang w:val="en-US" w:eastAsia="zh-CN"/>
              </w:rPr>
              <w:t>76</w:t>
            </w:r>
            <w:r>
              <w:rPr>
                <w:rFonts w:hint="eastAsia"/>
                <w:color w:val="auto"/>
                <w:sz w:val="22"/>
                <w:szCs w:val="22"/>
                <w:highlight w:val="none"/>
              </w:rPr>
              <w:t>.</w:t>
            </w:r>
            <w:r>
              <w:rPr>
                <w:rFonts w:hint="eastAsia"/>
                <w:color w:val="auto"/>
                <w:sz w:val="22"/>
                <w:szCs w:val="22"/>
                <w:highlight w:val="none"/>
                <w:lang w:val="en-US" w:eastAsia="zh-CN"/>
              </w:rPr>
              <w:t>29</w:t>
            </w:r>
            <w:r>
              <w:rPr>
                <w:rFonts w:hint="eastAsia"/>
                <w:color w:val="auto"/>
                <w:highlight w:val="none"/>
                <w:lang w:val="en-US" w:eastAsia="zh-CN"/>
              </w:rPr>
              <w:t>kg/a</w:t>
            </w:r>
          </w:p>
        </w:tc>
      </w:tr>
      <w:tr w14:paraId="42BFC2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74010B3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铅</w:t>
            </w:r>
          </w:p>
        </w:tc>
        <w:tc>
          <w:tcPr>
            <w:tcW w:w="1083" w:type="pct"/>
            <w:tcBorders>
              <w:tl2br w:val="nil"/>
              <w:tr2bl w:val="nil"/>
            </w:tcBorders>
            <w:shd w:val="clear" w:color="auto" w:fill="auto"/>
            <w:noWrap/>
            <w:vAlign w:val="center"/>
          </w:tcPr>
          <w:p w14:paraId="634C1A77">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49.632kg/a</w:t>
            </w:r>
          </w:p>
        </w:tc>
        <w:tc>
          <w:tcPr>
            <w:tcW w:w="740" w:type="pct"/>
            <w:tcBorders>
              <w:tl2br w:val="nil"/>
              <w:tr2bl w:val="nil"/>
            </w:tcBorders>
            <w:shd w:val="clear" w:color="auto" w:fill="auto"/>
            <w:noWrap/>
            <w:vAlign w:val="center"/>
          </w:tcPr>
          <w:p w14:paraId="7CE1442D">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50.434kg/a</w:t>
            </w:r>
          </w:p>
        </w:tc>
        <w:tc>
          <w:tcPr>
            <w:tcW w:w="652" w:type="pct"/>
            <w:tcBorders>
              <w:tl2br w:val="nil"/>
              <w:tr2bl w:val="nil"/>
            </w:tcBorders>
            <w:shd w:val="clear" w:color="auto" w:fill="auto"/>
            <w:noWrap/>
            <w:vAlign w:val="center"/>
          </w:tcPr>
          <w:p w14:paraId="37E10460">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0.802kg/a</w:t>
            </w:r>
          </w:p>
        </w:tc>
        <w:tc>
          <w:tcPr>
            <w:tcW w:w="545" w:type="pct"/>
            <w:tcBorders>
              <w:tl2br w:val="nil"/>
              <w:tr2bl w:val="nil"/>
            </w:tcBorders>
            <w:shd w:val="clear" w:color="auto" w:fill="auto"/>
            <w:noWrap/>
            <w:vAlign w:val="center"/>
          </w:tcPr>
          <w:p w14:paraId="0046BA6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169.61</w:t>
            </w:r>
            <w:r>
              <w:rPr>
                <w:rFonts w:hint="eastAsia"/>
                <w:color w:val="auto"/>
                <w:highlight w:val="none"/>
                <w:lang w:val="en-US" w:eastAsia="zh-CN"/>
              </w:rPr>
              <w:t>kg/a</w:t>
            </w:r>
          </w:p>
        </w:tc>
        <w:tc>
          <w:tcPr>
            <w:tcW w:w="818" w:type="pct"/>
            <w:vMerge w:val="continue"/>
            <w:tcBorders>
              <w:tl2br w:val="nil"/>
              <w:tr2bl w:val="nil"/>
            </w:tcBorders>
            <w:shd w:val="clear" w:color="auto" w:fill="auto"/>
            <w:noWrap/>
            <w:vAlign w:val="center"/>
          </w:tcPr>
          <w:p w14:paraId="0EDECE5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s="Times New Roman"/>
                <w:color w:val="auto"/>
                <w:kern w:val="2"/>
                <w:sz w:val="22"/>
                <w:szCs w:val="22"/>
                <w:highlight w:val="none"/>
                <w:lang w:val="en-US" w:eastAsia="zh-CN" w:bidi="ar-SA"/>
              </w:rPr>
            </w:pPr>
          </w:p>
        </w:tc>
        <w:tc>
          <w:tcPr>
            <w:tcW w:w="822" w:type="pct"/>
            <w:vMerge w:val="continue"/>
            <w:tcBorders>
              <w:tl2br w:val="nil"/>
              <w:tr2bl w:val="nil"/>
            </w:tcBorders>
            <w:shd w:val="clear" w:color="auto" w:fill="auto"/>
            <w:noWrap/>
            <w:vAlign w:val="center"/>
          </w:tcPr>
          <w:p w14:paraId="04F1AEE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p>
        </w:tc>
      </w:tr>
      <w:tr w14:paraId="7E739E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5A559F7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汞</w:t>
            </w:r>
          </w:p>
        </w:tc>
        <w:tc>
          <w:tcPr>
            <w:tcW w:w="1083" w:type="pct"/>
            <w:tcBorders>
              <w:tl2br w:val="nil"/>
              <w:tr2bl w:val="nil"/>
            </w:tcBorders>
            <w:shd w:val="clear" w:color="auto" w:fill="auto"/>
            <w:noWrap/>
            <w:vAlign w:val="center"/>
          </w:tcPr>
          <w:p w14:paraId="7D36B687">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0.274kg/a</w:t>
            </w:r>
          </w:p>
        </w:tc>
        <w:tc>
          <w:tcPr>
            <w:tcW w:w="740" w:type="pct"/>
            <w:tcBorders>
              <w:tl2br w:val="nil"/>
              <w:tr2bl w:val="nil"/>
            </w:tcBorders>
            <w:shd w:val="clear" w:color="auto" w:fill="auto"/>
            <w:noWrap/>
            <w:vAlign w:val="center"/>
          </w:tcPr>
          <w:p w14:paraId="08B94E29">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0.277kg/a</w:t>
            </w:r>
          </w:p>
        </w:tc>
        <w:tc>
          <w:tcPr>
            <w:tcW w:w="652" w:type="pct"/>
            <w:tcBorders>
              <w:tl2br w:val="nil"/>
              <w:tr2bl w:val="nil"/>
            </w:tcBorders>
            <w:shd w:val="clear" w:color="auto" w:fill="auto"/>
            <w:noWrap/>
            <w:vAlign w:val="center"/>
          </w:tcPr>
          <w:p w14:paraId="4EF58DC5">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0.003kg/a</w:t>
            </w:r>
          </w:p>
        </w:tc>
        <w:tc>
          <w:tcPr>
            <w:tcW w:w="545" w:type="pct"/>
            <w:tcBorders>
              <w:tl2br w:val="nil"/>
              <w:tr2bl w:val="nil"/>
            </w:tcBorders>
            <w:shd w:val="clear" w:color="auto" w:fill="auto"/>
            <w:noWrap/>
            <w:vAlign w:val="center"/>
          </w:tcPr>
          <w:p w14:paraId="458E63A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w:t>
            </w:r>
          </w:p>
        </w:tc>
        <w:tc>
          <w:tcPr>
            <w:tcW w:w="818" w:type="pct"/>
            <w:vMerge w:val="continue"/>
            <w:tcBorders>
              <w:tl2br w:val="nil"/>
              <w:tr2bl w:val="nil"/>
            </w:tcBorders>
            <w:shd w:val="clear" w:color="auto" w:fill="auto"/>
            <w:noWrap/>
            <w:vAlign w:val="center"/>
          </w:tcPr>
          <w:p w14:paraId="2CE5435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s="Times New Roman"/>
                <w:color w:val="auto"/>
                <w:kern w:val="2"/>
                <w:sz w:val="22"/>
                <w:szCs w:val="22"/>
                <w:highlight w:val="none"/>
                <w:lang w:val="en-US" w:eastAsia="zh-CN" w:bidi="ar-SA"/>
              </w:rPr>
            </w:pPr>
          </w:p>
        </w:tc>
        <w:tc>
          <w:tcPr>
            <w:tcW w:w="822" w:type="pct"/>
            <w:vMerge w:val="continue"/>
            <w:tcBorders>
              <w:tl2br w:val="nil"/>
              <w:tr2bl w:val="nil"/>
            </w:tcBorders>
            <w:shd w:val="clear" w:color="auto" w:fill="auto"/>
            <w:noWrap/>
            <w:vAlign w:val="center"/>
          </w:tcPr>
          <w:p w14:paraId="2ECA3E2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r>
      <w:tr w14:paraId="6F7911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601CF18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镉</w:t>
            </w:r>
          </w:p>
        </w:tc>
        <w:tc>
          <w:tcPr>
            <w:tcW w:w="1083" w:type="pct"/>
            <w:tcBorders>
              <w:tl2br w:val="nil"/>
              <w:tr2bl w:val="nil"/>
            </w:tcBorders>
            <w:shd w:val="clear" w:color="auto" w:fill="auto"/>
            <w:noWrap/>
            <w:vAlign w:val="center"/>
          </w:tcPr>
          <w:p w14:paraId="3EAA8E33">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2.589kg/a</w:t>
            </w:r>
          </w:p>
        </w:tc>
        <w:tc>
          <w:tcPr>
            <w:tcW w:w="740" w:type="pct"/>
            <w:tcBorders>
              <w:tl2br w:val="nil"/>
              <w:tr2bl w:val="nil"/>
            </w:tcBorders>
            <w:shd w:val="clear" w:color="auto" w:fill="auto"/>
            <w:noWrap/>
            <w:vAlign w:val="center"/>
          </w:tcPr>
          <w:p w14:paraId="33A68047">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2.689kg/a</w:t>
            </w:r>
          </w:p>
        </w:tc>
        <w:tc>
          <w:tcPr>
            <w:tcW w:w="652" w:type="pct"/>
            <w:tcBorders>
              <w:tl2br w:val="nil"/>
              <w:tr2bl w:val="nil"/>
            </w:tcBorders>
            <w:shd w:val="clear" w:color="auto" w:fill="auto"/>
            <w:noWrap/>
            <w:vAlign w:val="center"/>
          </w:tcPr>
          <w:p w14:paraId="3CDFB6D7">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0.1kg/a</w:t>
            </w:r>
          </w:p>
        </w:tc>
        <w:tc>
          <w:tcPr>
            <w:tcW w:w="545" w:type="pct"/>
            <w:tcBorders>
              <w:tl2br w:val="nil"/>
              <w:tr2bl w:val="nil"/>
            </w:tcBorders>
            <w:shd w:val="clear" w:color="auto" w:fill="auto"/>
            <w:noWrap/>
            <w:vAlign w:val="center"/>
          </w:tcPr>
          <w:p w14:paraId="21E4FFAA">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1.37</w:t>
            </w:r>
            <w:r>
              <w:rPr>
                <w:rFonts w:hint="eastAsia"/>
                <w:color w:val="auto"/>
                <w:highlight w:val="none"/>
                <w:lang w:val="en-US" w:eastAsia="zh-CN"/>
              </w:rPr>
              <w:t>kg/a</w:t>
            </w:r>
          </w:p>
        </w:tc>
        <w:tc>
          <w:tcPr>
            <w:tcW w:w="818" w:type="pct"/>
            <w:vMerge w:val="continue"/>
            <w:tcBorders>
              <w:tl2br w:val="nil"/>
              <w:tr2bl w:val="nil"/>
            </w:tcBorders>
            <w:shd w:val="clear" w:color="auto" w:fill="auto"/>
            <w:noWrap/>
            <w:vAlign w:val="center"/>
          </w:tcPr>
          <w:p w14:paraId="65A20E5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s="Times New Roman"/>
                <w:color w:val="auto"/>
                <w:kern w:val="2"/>
                <w:sz w:val="22"/>
                <w:szCs w:val="22"/>
                <w:highlight w:val="none"/>
                <w:lang w:val="en-US" w:eastAsia="zh-CN" w:bidi="ar-SA"/>
              </w:rPr>
            </w:pPr>
          </w:p>
        </w:tc>
        <w:tc>
          <w:tcPr>
            <w:tcW w:w="822" w:type="pct"/>
            <w:vMerge w:val="continue"/>
            <w:tcBorders>
              <w:tl2br w:val="nil"/>
              <w:tr2bl w:val="nil"/>
            </w:tcBorders>
            <w:shd w:val="clear" w:color="auto" w:fill="auto"/>
            <w:noWrap/>
            <w:vAlign w:val="center"/>
          </w:tcPr>
          <w:p w14:paraId="1383C96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p>
        </w:tc>
      </w:tr>
      <w:tr w14:paraId="7484AF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6E4E434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锑</w:t>
            </w:r>
          </w:p>
        </w:tc>
        <w:tc>
          <w:tcPr>
            <w:tcW w:w="1083" w:type="pct"/>
            <w:tcBorders>
              <w:tl2br w:val="nil"/>
              <w:tr2bl w:val="nil"/>
            </w:tcBorders>
            <w:shd w:val="clear" w:color="auto" w:fill="auto"/>
            <w:noWrap/>
            <w:vAlign w:val="center"/>
          </w:tcPr>
          <w:p w14:paraId="0B9B1BEC">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132.68kg/a</w:t>
            </w:r>
          </w:p>
        </w:tc>
        <w:tc>
          <w:tcPr>
            <w:tcW w:w="740" w:type="pct"/>
            <w:tcBorders>
              <w:tl2br w:val="nil"/>
              <w:tr2bl w:val="nil"/>
            </w:tcBorders>
            <w:shd w:val="clear" w:color="auto" w:fill="auto"/>
            <w:noWrap/>
            <w:vAlign w:val="center"/>
          </w:tcPr>
          <w:p w14:paraId="75F68E84">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179.68kg/a</w:t>
            </w:r>
          </w:p>
        </w:tc>
        <w:tc>
          <w:tcPr>
            <w:tcW w:w="652" w:type="pct"/>
            <w:tcBorders>
              <w:tl2br w:val="nil"/>
              <w:tr2bl w:val="nil"/>
            </w:tcBorders>
            <w:shd w:val="clear" w:color="auto" w:fill="auto"/>
            <w:noWrap/>
            <w:vAlign w:val="center"/>
          </w:tcPr>
          <w:p w14:paraId="5AB7B9D1">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47kg/a</w:t>
            </w:r>
          </w:p>
        </w:tc>
        <w:tc>
          <w:tcPr>
            <w:tcW w:w="1363" w:type="pct"/>
            <w:gridSpan w:val="2"/>
            <w:tcBorders>
              <w:tl2br w:val="nil"/>
              <w:tr2bl w:val="nil"/>
            </w:tcBorders>
            <w:shd w:val="clear" w:color="auto" w:fill="auto"/>
            <w:noWrap/>
            <w:vAlign w:val="center"/>
          </w:tcPr>
          <w:p w14:paraId="0DBCC00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822" w:type="pct"/>
            <w:tcBorders>
              <w:tl2br w:val="nil"/>
              <w:tr2bl w:val="nil"/>
            </w:tcBorders>
            <w:shd w:val="clear" w:color="auto" w:fill="auto"/>
            <w:noWrap/>
            <w:vAlign w:val="center"/>
          </w:tcPr>
          <w:p w14:paraId="4EFE765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w:t>
            </w:r>
          </w:p>
        </w:tc>
      </w:tr>
      <w:tr w14:paraId="679A4E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7E1F1F6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COD</w:t>
            </w:r>
          </w:p>
        </w:tc>
        <w:tc>
          <w:tcPr>
            <w:tcW w:w="1083" w:type="pct"/>
            <w:tcBorders>
              <w:tl2br w:val="nil"/>
              <w:tr2bl w:val="nil"/>
            </w:tcBorders>
            <w:shd w:val="clear" w:color="auto" w:fill="auto"/>
            <w:noWrap/>
            <w:vAlign w:val="center"/>
          </w:tcPr>
          <w:p w14:paraId="70655398">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5.088</w:t>
            </w:r>
            <w:r>
              <w:rPr>
                <w:rFonts w:hint="eastAsia" w:ascii="Times New Roman" w:hAnsi="Times New Roman" w:eastAsia="宋体" w:cs="Times New Roman"/>
                <w:color w:val="auto"/>
                <w:kern w:val="2"/>
                <w:sz w:val="22"/>
                <w:szCs w:val="22"/>
                <w:highlight w:val="none"/>
                <w:lang w:val="en-US" w:eastAsia="zh-CN" w:bidi="ar-SA"/>
              </w:rPr>
              <w:t>t/a</w:t>
            </w:r>
          </w:p>
        </w:tc>
        <w:tc>
          <w:tcPr>
            <w:tcW w:w="740" w:type="pct"/>
            <w:tcBorders>
              <w:tl2br w:val="nil"/>
              <w:tr2bl w:val="nil"/>
            </w:tcBorders>
            <w:shd w:val="clear" w:color="auto" w:fill="auto"/>
            <w:noWrap/>
            <w:vAlign w:val="center"/>
          </w:tcPr>
          <w:p w14:paraId="1401ADCD">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5.320</w:t>
            </w:r>
            <w:r>
              <w:rPr>
                <w:rFonts w:hint="eastAsia" w:ascii="Times New Roman" w:hAnsi="Times New Roman" w:eastAsia="宋体" w:cs="Times New Roman"/>
                <w:color w:val="auto"/>
                <w:kern w:val="2"/>
                <w:sz w:val="22"/>
                <w:szCs w:val="22"/>
                <w:highlight w:val="none"/>
                <w:lang w:val="en-US" w:eastAsia="zh-CN" w:bidi="ar-SA"/>
              </w:rPr>
              <w:t>t/a</w:t>
            </w:r>
          </w:p>
        </w:tc>
        <w:tc>
          <w:tcPr>
            <w:tcW w:w="652" w:type="pct"/>
            <w:tcBorders>
              <w:tl2br w:val="nil"/>
              <w:tr2bl w:val="nil"/>
            </w:tcBorders>
            <w:shd w:val="clear" w:color="auto" w:fill="auto"/>
            <w:noWrap/>
            <w:vAlign w:val="center"/>
          </w:tcPr>
          <w:p w14:paraId="417E7A50">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0.232</w:t>
            </w:r>
            <w:r>
              <w:rPr>
                <w:rFonts w:hint="eastAsia" w:ascii="Times New Roman" w:hAnsi="Times New Roman" w:eastAsia="宋体" w:cs="Times New Roman"/>
                <w:color w:val="auto"/>
                <w:kern w:val="2"/>
                <w:sz w:val="22"/>
                <w:szCs w:val="22"/>
                <w:highlight w:val="none"/>
                <w:lang w:val="en-US" w:eastAsia="zh-CN" w:bidi="ar-SA"/>
              </w:rPr>
              <w:t>t/a</w:t>
            </w:r>
          </w:p>
        </w:tc>
        <w:tc>
          <w:tcPr>
            <w:tcW w:w="1363" w:type="pct"/>
            <w:gridSpan w:val="2"/>
            <w:tcBorders>
              <w:tl2br w:val="nil"/>
              <w:tr2bl w:val="nil"/>
            </w:tcBorders>
            <w:shd w:val="clear" w:color="auto" w:fill="auto"/>
            <w:noWrap/>
            <w:vAlign w:val="center"/>
          </w:tcPr>
          <w:p w14:paraId="55AC842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6.83t/a</w:t>
            </w:r>
          </w:p>
        </w:tc>
        <w:tc>
          <w:tcPr>
            <w:tcW w:w="1492" w:type="dxa"/>
            <w:tcBorders>
              <w:tl2br w:val="nil"/>
              <w:tr2bl w:val="nil"/>
            </w:tcBorders>
            <w:shd w:val="clear" w:color="auto" w:fill="auto"/>
            <w:noWrap/>
            <w:vAlign w:val="center"/>
          </w:tcPr>
          <w:p w14:paraId="0F1F04EC">
            <w:pPr>
              <w:pStyle w:val="26"/>
              <w:keepNext w:val="0"/>
              <w:keepLines w:val="0"/>
              <w:suppressLineNumbers w:val="0"/>
              <w:spacing w:before="0" w:beforeLines="0" w:beforeAutospacing="0" w:after="0" w:afterLines="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sz w:val="22"/>
                <w:szCs w:val="22"/>
                <w:highlight w:val="none"/>
              </w:rPr>
              <w:t>1.75</w:t>
            </w:r>
            <w:r>
              <w:rPr>
                <w:rFonts w:hint="eastAsia" w:ascii="Times New Roman" w:hAnsi="Times New Roman" w:eastAsia="宋体" w:cs="Times New Roman"/>
                <w:color w:val="auto"/>
                <w:kern w:val="2"/>
                <w:sz w:val="22"/>
                <w:szCs w:val="22"/>
                <w:highlight w:val="none"/>
                <w:lang w:val="en-US" w:eastAsia="zh-CN" w:bidi="ar-SA"/>
              </w:rPr>
              <w:t>t/a</w:t>
            </w:r>
          </w:p>
        </w:tc>
      </w:tr>
      <w:tr w14:paraId="3373CF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34C3643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氨氮</w:t>
            </w:r>
          </w:p>
        </w:tc>
        <w:tc>
          <w:tcPr>
            <w:tcW w:w="1083" w:type="pct"/>
            <w:tcBorders>
              <w:tl2br w:val="nil"/>
              <w:tr2bl w:val="nil"/>
            </w:tcBorders>
            <w:shd w:val="clear" w:color="auto" w:fill="auto"/>
            <w:noWrap/>
            <w:vAlign w:val="center"/>
          </w:tcPr>
          <w:p w14:paraId="676D479C">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0.264</w:t>
            </w:r>
            <w:r>
              <w:rPr>
                <w:rFonts w:hint="eastAsia" w:ascii="Times New Roman" w:hAnsi="Times New Roman" w:eastAsia="宋体" w:cs="Times New Roman"/>
                <w:color w:val="auto"/>
                <w:kern w:val="2"/>
                <w:sz w:val="22"/>
                <w:szCs w:val="22"/>
                <w:highlight w:val="none"/>
                <w:lang w:val="en-US" w:eastAsia="zh-CN" w:bidi="ar-SA"/>
              </w:rPr>
              <w:t>t/a</w:t>
            </w:r>
          </w:p>
        </w:tc>
        <w:tc>
          <w:tcPr>
            <w:tcW w:w="740" w:type="pct"/>
            <w:tcBorders>
              <w:tl2br w:val="nil"/>
              <w:tr2bl w:val="nil"/>
            </w:tcBorders>
            <w:shd w:val="clear" w:color="auto" w:fill="auto"/>
            <w:noWrap/>
            <w:vAlign w:val="center"/>
          </w:tcPr>
          <w:p w14:paraId="050198F2">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0.277</w:t>
            </w:r>
            <w:r>
              <w:rPr>
                <w:rFonts w:hint="eastAsia" w:ascii="Times New Roman" w:hAnsi="Times New Roman" w:eastAsia="宋体" w:cs="Times New Roman"/>
                <w:color w:val="auto"/>
                <w:kern w:val="2"/>
                <w:sz w:val="22"/>
                <w:szCs w:val="22"/>
                <w:highlight w:val="none"/>
                <w:lang w:val="en-US" w:eastAsia="zh-CN" w:bidi="ar-SA"/>
              </w:rPr>
              <w:t>t/a</w:t>
            </w:r>
          </w:p>
        </w:tc>
        <w:tc>
          <w:tcPr>
            <w:tcW w:w="652" w:type="pct"/>
            <w:tcBorders>
              <w:tl2br w:val="nil"/>
              <w:tr2bl w:val="nil"/>
            </w:tcBorders>
            <w:shd w:val="clear" w:color="auto" w:fill="auto"/>
            <w:noWrap/>
            <w:vAlign w:val="center"/>
          </w:tcPr>
          <w:p w14:paraId="277DF645">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0.013</w:t>
            </w:r>
            <w:r>
              <w:rPr>
                <w:rFonts w:hint="eastAsia" w:ascii="Times New Roman" w:hAnsi="Times New Roman" w:eastAsia="宋体" w:cs="Times New Roman"/>
                <w:color w:val="auto"/>
                <w:kern w:val="2"/>
                <w:sz w:val="22"/>
                <w:szCs w:val="22"/>
                <w:highlight w:val="none"/>
                <w:lang w:val="en-US" w:eastAsia="zh-CN" w:bidi="ar-SA"/>
              </w:rPr>
              <w:t>t/a</w:t>
            </w:r>
          </w:p>
        </w:tc>
        <w:tc>
          <w:tcPr>
            <w:tcW w:w="1363" w:type="pct"/>
            <w:gridSpan w:val="2"/>
            <w:tcBorders>
              <w:tl2br w:val="nil"/>
              <w:tr2bl w:val="nil"/>
            </w:tcBorders>
            <w:shd w:val="clear" w:color="auto" w:fill="auto"/>
            <w:noWrap/>
            <w:vAlign w:val="center"/>
          </w:tcPr>
          <w:p w14:paraId="383170A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0.37t/a</w:t>
            </w:r>
          </w:p>
        </w:tc>
        <w:tc>
          <w:tcPr>
            <w:tcW w:w="1492" w:type="dxa"/>
            <w:tcBorders>
              <w:tl2br w:val="nil"/>
              <w:tr2bl w:val="nil"/>
            </w:tcBorders>
            <w:shd w:val="clear" w:color="auto" w:fill="auto"/>
            <w:noWrap/>
            <w:vAlign w:val="center"/>
          </w:tcPr>
          <w:p w14:paraId="48D55F52">
            <w:pPr>
              <w:pStyle w:val="26"/>
              <w:keepNext w:val="0"/>
              <w:keepLines w:val="0"/>
              <w:suppressLineNumbers w:val="0"/>
              <w:spacing w:before="0" w:beforeLines="0" w:beforeAutospacing="0" w:after="0" w:afterLines="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sz w:val="22"/>
                <w:szCs w:val="22"/>
                <w:highlight w:val="none"/>
              </w:rPr>
              <w:t>0.11</w:t>
            </w:r>
            <w:r>
              <w:rPr>
                <w:rFonts w:hint="eastAsia" w:ascii="Times New Roman" w:hAnsi="Times New Roman" w:eastAsia="宋体" w:cs="Times New Roman"/>
                <w:color w:val="auto"/>
                <w:kern w:val="2"/>
                <w:sz w:val="22"/>
                <w:szCs w:val="22"/>
                <w:highlight w:val="none"/>
                <w:lang w:val="en-US" w:eastAsia="zh-CN" w:bidi="ar-SA"/>
              </w:rPr>
              <w:t>t/a</w:t>
            </w:r>
          </w:p>
        </w:tc>
      </w:tr>
      <w:tr w14:paraId="5AD131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5346DD6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总磷</w:t>
            </w:r>
          </w:p>
        </w:tc>
        <w:tc>
          <w:tcPr>
            <w:tcW w:w="1083" w:type="pct"/>
            <w:tcBorders>
              <w:tl2br w:val="nil"/>
              <w:tr2bl w:val="nil"/>
            </w:tcBorders>
            <w:shd w:val="clear" w:color="auto" w:fill="auto"/>
            <w:noWrap/>
            <w:vAlign w:val="center"/>
          </w:tcPr>
          <w:p w14:paraId="3B4FB2C2">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0.033</w:t>
            </w:r>
            <w:r>
              <w:rPr>
                <w:rFonts w:hint="eastAsia" w:ascii="Times New Roman" w:hAnsi="Times New Roman" w:eastAsia="宋体" w:cs="Times New Roman"/>
                <w:color w:val="auto"/>
                <w:kern w:val="2"/>
                <w:sz w:val="22"/>
                <w:szCs w:val="22"/>
                <w:highlight w:val="none"/>
                <w:lang w:val="en-US" w:eastAsia="zh-CN" w:bidi="ar-SA"/>
              </w:rPr>
              <w:t>t/a</w:t>
            </w:r>
          </w:p>
        </w:tc>
        <w:tc>
          <w:tcPr>
            <w:tcW w:w="740" w:type="pct"/>
            <w:tcBorders>
              <w:tl2br w:val="nil"/>
              <w:tr2bl w:val="nil"/>
            </w:tcBorders>
            <w:shd w:val="clear" w:color="auto" w:fill="auto"/>
            <w:noWrap/>
            <w:vAlign w:val="center"/>
          </w:tcPr>
          <w:p w14:paraId="5A8842B3">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0.035</w:t>
            </w:r>
            <w:r>
              <w:rPr>
                <w:rFonts w:hint="eastAsia" w:ascii="Times New Roman" w:hAnsi="Times New Roman" w:eastAsia="宋体" w:cs="Times New Roman"/>
                <w:color w:val="auto"/>
                <w:kern w:val="2"/>
                <w:sz w:val="22"/>
                <w:szCs w:val="22"/>
                <w:highlight w:val="none"/>
                <w:lang w:val="en-US" w:eastAsia="zh-CN" w:bidi="ar-SA"/>
              </w:rPr>
              <w:t>t/a</w:t>
            </w:r>
          </w:p>
        </w:tc>
        <w:tc>
          <w:tcPr>
            <w:tcW w:w="652" w:type="pct"/>
            <w:tcBorders>
              <w:tl2br w:val="nil"/>
              <w:tr2bl w:val="nil"/>
            </w:tcBorders>
            <w:shd w:val="clear" w:color="auto" w:fill="auto"/>
            <w:noWrap/>
            <w:vAlign w:val="center"/>
          </w:tcPr>
          <w:p w14:paraId="67977D99">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0.002</w:t>
            </w:r>
            <w:r>
              <w:rPr>
                <w:rFonts w:hint="eastAsia" w:ascii="Times New Roman" w:hAnsi="Times New Roman" w:eastAsia="宋体" w:cs="Times New Roman"/>
                <w:color w:val="auto"/>
                <w:kern w:val="2"/>
                <w:sz w:val="22"/>
                <w:szCs w:val="22"/>
                <w:highlight w:val="none"/>
                <w:lang w:val="en-US" w:eastAsia="zh-CN" w:bidi="ar-SA"/>
              </w:rPr>
              <w:t>t/a</w:t>
            </w:r>
          </w:p>
        </w:tc>
        <w:tc>
          <w:tcPr>
            <w:tcW w:w="1363" w:type="pct"/>
            <w:gridSpan w:val="2"/>
            <w:tcBorders>
              <w:tl2br w:val="nil"/>
              <w:tr2bl w:val="nil"/>
            </w:tcBorders>
            <w:shd w:val="clear" w:color="auto" w:fill="auto"/>
            <w:noWrap/>
            <w:vAlign w:val="center"/>
          </w:tcPr>
          <w:p w14:paraId="1182B57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1492" w:type="dxa"/>
            <w:tcBorders>
              <w:tl2br w:val="nil"/>
              <w:tr2bl w:val="nil"/>
            </w:tcBorders>
            <w:shd w:val="clear" w:color="auto" w:fill="auto"/>
            <w:noWrap/>
            <w:vAlign w:val="center"/>
          </w:tcPr>
          <w:p w14:paraId="64242AB4">
            <w:pPr>
              <w:pStyle w:val="26"/>
              <w:keepNext w:val="0"/>
              <w:keepLines w:val="0"/>
              <w:suppressLineNumbers w:val="0"/>
              <w:spacing w:before="0" w:beforeLines="0" w:beforeAutospacing="0" w:after="0" w:afterLines="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sz w:val="22"/>
                <w:szCs w:val="22"/>
                <w:highlight w:val="none"/>
              </w:rPr>
              <w:t>-0.03</w:t>
            </w:r>
            <w:r>
              <w:rPr>
                <w:rFonts w:hint="eastAsia" w:ascii="Times New Roman" w:hAnsi="Times New Roman" w:eastAsia="宋体" w:cs="Times New Roman"/>
                <w:color w:val="auto"/>
                <w:kern w:val="2"/>
                <w:sz w:val="22"/>
                <w:szCs w:val="22"/>
                <w:highlight w:val="none"/>
                <w:lang w:val="en-US" w:eastAsia="zh-CN" w:bidi="ar-SA"/>
              </w:rPr>
              <w:t>t/a</w:t>
            </w:r>
          </w:p>
        </w:tc>
      </w:tr>
    </w:tbl>
    <w:p w14:paraId="4A931535">
      <w:pPr>
        <w:pStyle w:val="2"/>
        <w:rPr>
          <w:rFonts w:hint="default"/>
          <w:color w:val="auto"/>
          <w:highlight w:val="none"/>
          <w:lang w:val="en-US" w:eastAsia="zh-CN"/>
        </w:rPr>
      </w:pPr>
      <w:r>
        <w:rPr>
          <w:rFonts w:hint="eastAsia"/>
          <w:color w:val="auto"/>
          <w:highlight w:val="none"/>
          <w:lang w:val="en-US" w:eastAsia="zh-CN"/>
        </w:rPr>
        <w:t>企业虽然没有汞、镉的重金属总量控制指标，根据《湖南省主要污染物排污权有偿使用和交易实施细则》，铅、汞、镉、铬、砷重点重金属总量指标可相互替换使用。企业有足够铅、砷重点重金属总量指标，因此企业无需再购买重金属总量指标。</w:t>
      </w:r>
    </w:p>
    <w:p w14:paraId="732C9026">
      <w:pPr>
        <w:pStyle w:val="2"/>
        <w:rPr>
          <w:rFonts w:hint="eastAsia"/>
          <w:color w:val="auto"/>
          <w:highlight w:val="none"/>
          <w:lang w:val="en-US" w:eastAsia="zh-CN"/>
        </w:rPr>
      </w:pPr>
      <w:r>
        <w:rPr>
          <w:rFonts w:hint="eastAsia"/>
          <w:color w:val="auto"/>
          <w:highlight w:val="none"/>
          <w:lang w:val="en-US" w:eastAsia="zh-CN"/>
        </w:rPr>
        <w:t>调整后，由于废水处理站处理水量增加（其中企业产生的生产废水水量减少，处理区域山体渗水水量增加，综合处理水量增加），COD、氨氮、总磷的排放量有所增加，但未超出企业现有排污权的量。因此，企业无需购买COD、氨氮总量。</w:t>
      </w:r>
    </w:p>
    <w:p w14:paraId="12D3EF2A">
      <w:pPr>
        <w:pStyle w:val="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从上表可知，渣滓溪矿业仅总磷尚未申请总量，其他总量控制因子实际排放量均低于企业排污权所有量。渣滓溪矿业应尽快按照地方管理要求，购买总磷指标。</w:t>
      </w:r>
    </w:p>
    <w:p w14:paraId="1DEDE569">
      <w:pPr>
        <w:pStyle w:val="35"/>
        <w:bidi w:val="0"/>
        <w:rPr>
          <w:rFonts w:hint="eastAsia" w:ascii="Times New Roman" w:hAnsi="Times New Roman" w:cs="Times New Roman"/>
          <w:color w:val="auto"/>
          <w:highlight w:val="none"/>
          <w:lang w:val="en-US" w:eastAsia="zh-CN"/>
        </w:rPr>
      </w:pPr>
      <w:bookmarkStart w:id="60" w:name="_Toc23903"/>
      <w:r>
        <w:rPr>
          <w:rFonts w:hint="eastAsia" w:ascii="Times New Roman" w:hAnsi="Times New Roman" w:cs="Times New Roman"/>
          <w:color w:val="auto"/>
          <w:highlight w:val="none"/>
          <w:lang w:val="en-US" w:eastAsia="zh-CN"/>
        </w:rPr>
        <w:t>入河排污口设置对水域水质和水生态的影响</w:t>
      </w:r>
      <w:bookmarkEnd w:id="60"/>
    </w:p>
    <w:p w14:paraId="524D3754">
      <w:pPr>
        <w:pStyle w:val="36"/>
        <w:bidi w:val="0"/>
        <w:rPr>
          <w:rFonts w:hint="eastAsia" w:ascii="Times New Roman" w:hAnsi="Times New Roman" w:cs="Times New Roman"/>
          <w:color w:val="auto"/>
          <w:highlight w:val="none"/>
          <w:lang w:val="en-US" w:eastAsia="zh-CN"/>
        </w:rPr>
      </w:pPr>
      <w:bookmarkStart w:id="61" w:name="_Toc24458"/>
      <w:r>
        <w:rPr>
          <w:rFonts w:hint="eastAsia" w:ascii="Times New Roman" w:hAnsi="Times New Roman" w:cs="Times New Roman"/>
          <w:color w:val="auto"/>
          <w:highlight w:val="none"/>
          <w:lang w:val="en-US" w:eastAsia="zh-CN"/>
        </w:rPr>
        <w:t>水域水质、水生态保护要求</w:t>
      </w:r>
      <w:bookmarkEnd w:id="61"/>
    </w:p>
    <w:p w14:paraId="72C35468">
      <w:pPr>
        <w:pStyle w:val="2"/>
        <w:rPr>
          <w:rFonts w:hint="eastAsia"/>
          <w:color w:val="auto"/>
          <w:highlight w:val="none"/>
          <w:lang w:val="en-US" w:eastAsia="zh-CN"/>
        </w:rPr>
      </w:pPr>
      <w:r>
        <w:rPr>
          <w:rFonts w:hint="eastAsia"/>
          <w:color w:val="auto"/>
          <w:highlight w:val="none"/>
          <w:lang w:val="en-US" w:eastAsia="zh-CN"/>
        </w:rPr>
        <w:t>由于下游白茅溪、奎溪背景值已超标，预测断面现状监测值均超标，区域地表水已无环境容量。从环境管理角度，需对现状污染源进行削减。</w:t>
      </w:r>
    </w:p>
    <w:p w14:paraId="3E692FD8">
      <w:pPr>
        <w:pStyle w:val="2"/>
        <w:rPr>
          <w:rFonts w:hint="eastAsia"/>
          <w:color w:val="auto"/>
          <w:highlight w:val="none"/>
          <w:lang w:val="en-US" w:eastAsia="zh-CN"/>
        </w:rPr>
      </w:pPr>
      <w:r>
        <w:rPr>
          <w:rFonts w:hint="eastAsia"/>
          <w:color w:val="auto"/>
          <w:highlight w:val="none"/>
          <w:lang w:val="en-US" w:eastAsia="zh-CN"/>
        </w:rPr>
        <w:t>根据分析，调整前，通过矿山废水处理站排放的锑为0.083t/a，通过隧洞直接排放的锑为1.454t/a，两种渠道向下游排放的锑为1.537t/a；调整后，通过矿山废水处理站排放的锑为0.130t/a，通过隧洞直接排放的锑（含引流的渣滓溪溪水）为0.769t/a，两种渠道向下游排放的锑为0.899t/a。相较于调整前，调整后区域向下游总计减排锑为0.638t/a。</w:t>
      </w:r>
    </w:p>
    <w:p w14:paraId="2425251D">
      <w:pPr>
        <w:pStyle w:val="2"/>
        <w:rPr>
          <w:rFonts w:hint="default"/>
          <w:color w:val="auto"/>
          <w:highlight w:val="none"/>
          <w:lang w:val="en-US" w:eastAsia="zh-CN"/>
        </w:rPr>
      </w:pPr>
      <w:r>
        <w:rPr>
          <w:rFonts w:hint="eastAsia"/>
          <w:color w:val="auto"/>
          <w:highlight w:val="none"/>
          <w:lang w:val="en-US" w:eastAsia="zh-CN"/>
        </w:rPr>
        <w:t>根据预测，各预测断面锑浓度均有所下降，但仍处于超标状态。区域地表水环境质量有所改善。</w:t>
      </w:r>
    </w:p>
    <w:p w14:paraId="5D64B2A4">
      <w:pPr>
        <w:pStyle w:val="37"/>
        <w:rPr>
          <w:rFonts w:hint="default"/>
          <w:color w:val="auto"/>
          <w:highlight w:val="none"/>
          <w:lang w:val="en-US" w:eastAsia="zh-CN"/>
        </w:rPr>
      </w:pPr>
      <w:r>
        <w:rPr>
          <w:rFonts w:hint="eastAsia"/>
          <w:color w:val="auto"/>
          <w:highlight w:val="none"/>
          <w:lang w:val="en-US" w:eastAsia="zh-CN"/>
        </w:rPr>
        <w:t>入河排污口设置水质预测</w:t>
      </w:r>
    </w:p>
    <w:p w14:paraId="46041443">
      <w:pPr>
        <w:pStyle w:val="34"/>
        <w:tabs>
          <w:tab w:val="left" w:pos="1021"/>
        </w:tabs>
        <w:bidi w:val="0"/>
        <w:rPr>
          <w:rFonts w:hint="default"/>
          <w:color w:val="auto"/>
          <w:highlight w:val="none"/>
          <w:lang w:val="en-US" w:eastAsia="zh-CN"/>
        </w:rPr>
      </w:pPr>
      <w:r>
        <w:rPr>
          <w:rFonts w:hint="default"/>
          <w:color w:val="auto"/>
          <w:highlight w:val="none"/>
          <w:lang w:val="en-US" w:eastAsia="zh-CN"/>
        </w:rPr>
        <w:t>预测河段和断面设置</w:t>
      </w:r>
    </w:p>
    <w:p w14:paraId="276F7762">
      <w:pPr>
        <w:pStyle w:val="2"/>
        <w:bidi w:val="0"/>
        <w:rPr>
          <w:rFonts w:hint="default"/>
          <w:color w:val="auto"/>
          <w:highlight w:val="none"/>
          <w:lang w:val="en-US" w:eastAsia="zh-CN"/>
        </w:rPr>
      </w:pPr>
      <w:r>
        <w:rPr>
          <w:rFonts w:hint="default"/>
          <w:color w:val="auto"/>
          <w:highlight w:val="none"/>
          <w:lang w:val="en-US" w:eastAsia="zh-CN"/>
        </w:rPr>
        <w:t>一、预测河段设置</w:t>
      </w:r>
    </w:p>
    <w:p w14:paraId="4CE4E5D0">
      <w:pPr>
        <w:pStyle w:val="2"/>
        <w:bidi w:val="0"/>
        <w:rPr>
          <w:rFonts w:hint="default"/>
          <w:color w:val="auto"/>
          <w:highlight w:val="none"/>
          <w:lang w:val="en-US" w:eastAsia="zh-CN"/>
        </w:rPr>
      </w:pPr>
      <w:r>
        <w:rPr>
          <w:rFonts w:hint="default"/>
          <w:color w:val="auto"/>
          <w:highlight w:val="none"/>
          <w:lang w:val="en-US" w:eastAsia="zh-CN"/>
        </w:rPr>
        <w:t>根据《环境影响评价技术导则 地表水环境》（HJ2.3-2018）要求，分别预测项目对</w:t>
      </w:r>
      <w:r>
        <w:rPr>
          <w:rFonts w:hint="eastAsia"/>
          <w:color w:val="auto"/>
          <w:highlight w:val="none"/>
          <w:lang w:val="en-US" w:eastAsia="zh-CN"/>
        </w:rPr>
        <w:t>渣滓溪、白茅溪、奎溪、洋溪</w:t>
      </w:r>
      <w:r>
        <w:rPr>
          <w:rFonts w:hint="default"/>
          <w:color w:val="auto"/>
          <w:highlight w:val="none"/>
          <w:lang w:val="en-US" w:eastAsia="zh-CN"/>
        </w:rPr>
        <w:t>的影响。</w:t>
      </w:r>
    </w:p>
    <w:p w14:paraId="2110F9E1">
      <w:pPr>
        <w:pStyle w:val="2"/>
        <w:bidi w:val="0"/>
        <w:rPr>
          <w:rFonts w:hint="default"/>
          <w:color w:val="auto"/>
          <w:highlight w:val="none"/>
          <w:lang w:val="en-US" w:eastAsia="zh-CN"/>
        </w:rPr>
      </w:pPr>
      <w:r>
        <w:rPr>
          <w:rFonts w:hint="default"/>
          <w:color w:val="auto"/>
          <w:highlight w:val="none"/>
          <w:lang w:val="en-US" w:eastAsia="zh-CN"/>
        </w:rPr>
        <w:t>二、预测断面设置</w:t>
      </w:r>
    </w:p>
    <w:p w14:paraId="23B311EE">
      <w:pPr>
        <w:pStyle w:val="2"/>
        <w:bidi w:val="0"/>
        <w:rPr>
          <w:rFonts w:hint="default"/>
          <w:color w:val="auto"/>
          <w:highlight w:val="none"/>
          <w:lang w:val="en-US" w:eastAsia="zh-CN"/>
        </w:rPr>
      </w:pPr>
      <w:r>
        <w:rPr>
          <w:rFonts w:hint="default"/>
          <w:color w:val="auto"/>
          <w:highlight w:val="none"/>
          <w:lang w:val="en-US" w:eastAsia="zh-CN"/>
        </w:rPr>
        <w:t>结合</w:t>
      </w:r>
      <w:r>
        <w:rPr>
          <w:rFonts w:hint="eastAsia"/>
          <w:color w:val="auto"/>
          <w:highlight w:val="none"/>
          <w:lang w:val="en-US" w:eastAsia="zh-CN"/>
        </w:rPr>
        <w:t>现状监测</w:t>
      </w:r>
      <w:r>
        <w:rPr>
          <w:rFonts w:hint="default"/>
          <w:color w:val="auto"/>
          <w:highlight w:val="none"/>
          <w:lang w:val="en-US" w:eastAsia="zh-CN"/>
        </w:rPr>
        <w:t>、入河排污口等，共设置</w:t>
      </w:r>
      <w:r>
        <w:rPr>
          <w:rFonts w:hint="eastAsia"/>
          <w:color w:val="auto"/>
          <w:highlight w:val="none"/>
          <w:lang w:val="en-US" w:eastAsia="zh-CN"/>
        </w:rPr>
        <w:t>5</w:t>
      </w:r>
      <w:r>
        <w:rPr>
          <w:rFonts w:hint="default"/>
          <w:color w:val="auto"/>
          <w:highlight w:val="none"/>
          <w:lang w:val="en-US" w:eastAsia="zh-CN"/>
        </w:rPr>
        <w:t>个预测</w:t>
      </w:r>
      <w:r>
        <w:rPr>
          <w:rFonts w:hint="eastAsia"/>
          <w:color w:val="auto"/>
          <w:highlight w:val="none"/>
          <w:lang w:val="en-US" w:eastAsia="zh-CN"/>
        </w:rPr>
        <w:t>河段</w:t>
      </w:r>
      <w:r>
        <w:rPr>
          <w:rFonts w:hint="default"/>
          <w:color w:val="auto"/>
          <w:highlight w:val="none"/>
          <w:lang w:val="en-US" w:eastAsia="zh-CN"/>
        </w:rPr>
        <w:t>。</w:t>
      </w:r>
    </w:p>
    <w:p w14:paraId="31C77818">
      <w:pPr>
        <w:pStyle w:val="28"/>
        <w:bidi w:val="0"/>
        <w:rPr>
          <w:rFonts w:hint="default"/>
          <w:color w:val="auto"/>
          <w:highlight w:val="none"/>
          <w:lang w:val="en-US" w:eastAsia="zh-CN"/>
        </w:rPr>
      </w:pPr>
      <w:r>
        <w:rPr>
          <w:rFonts w:hint="default"/>
          <w:color w:val="auto"/>
          <w:highlight w:val="none"/>
          <w:lang w:val="en-US" w:eastAsia="zh-CN"/>
        </w:rPr>
        <w:t>表</w:t>
      </w:r>
      <w:r>
        <w:rPr>
          <w:rFonts w:hint="default"/>
          <w:color w:val="auto"/>
          <w:highlight w:val="none"/>
          <w:lang w:val="en-US" w:eastAsia="zh-CN"/>
        </w:rPr>
        <w:fldChar w:fldCharType="begin"/>
      </w:r>
      <w:r>
        <w:rPr>
          <w:rFonts w:hint="default"/>
          <w:color w:val="auto"/>
          <w:highlight w:val="none"/>
          <w:lang w:val="en-US" w:eastAsia="zh-CN"/>
        </w:rPr>
        <w:instrText xml:space="preserve"> STYLEREF guo-二级标题 \n </w:instrText>
      </w:r>
      <w:r>
        <w:rPr>
          <w:rFonts w:hint="default"/>
          <w:color w:val="auto"/>
          <w:highlight w:val="none"/>
          <w:lang w:val="en-US" w:eastAsia="zh-CN"/>
        </w:rPr>
        <w:fldChar w:fldCharType="separate"/>
      </w:r>
      <w:r>
        <w:rPr>
          <w:rFonts w:hint="default"/>
          <w:color w:val="auto"/>
          <w:highlight w:val="none"/>
          <w:lang w:val="en-US" w:eastAsia="zh-CN"/>
        </w:rPr>
        <w:t>7.1</w:t>
      </w:r>
      <w:r>
        <w:rPr>
          <w:rFonts w:hint="default"/>
          <w:color w:val="auto"/>
          <w:highlight w:val="none"/>
          <w:lang w:val="en-US" w:eastAsia="zh-CN"/>
        </w:rPr>
        <w:fldChar w:fldCharType="end"/>
      </w:r>
      <w:r>
        <w:rPr>
          <w:rFonts w:hint="default"/>
          <w:color w:val="auto"/>
          <w:highlight w:val="none"/>
          <w:lang w:val="en-US" w:eastAsia="zh-CN"/>
        </w:rPr>
        <w:t>–</w:t>
      </w:r>
      <w:r>
        <w:rPr>
          <w:rFonts w:hint="default"/>
          <w:color w:val="auto"/>
          <w:highlight w:val="none"/>
          <w:lang w:val="en-US" w:eastAsia="zh-CN"/>
        </w:rPr>
        <w:fldChar w:fldCharType="begin"/>
      </w:r>
      <w:r>
        <w:rPr>
          <w:rFonts w:hint="default"/>
          <w:color w:val="auto"/>
          <w:highlight w:val="none"/>
          <w:lang w:val="en-US" w:eastAsia="zh-CN"/>
        </w:rPr>
        <w:instrText xml:space="preserve"> SEQ 表 \* ARABIC \s 2 </w:instrText>
      </w:r>
      <w:r>
        <w:rPr>
          <w:rFonts w:hint="default"/>
          <w:color w:val="auto"/>
          <w:highlight w:val="none"/>
          <w:lang w:val="en-US" w:eastAsia="zh-CN"/>
        </w:rPr>
        <w:fldChar w:fldCharType="separate"/>
      </w:r>
      <w:r>
        <w:rPr>
          <w:rFonts w:hint="default"/>
          <w:color w:val="auto"/>
          <w:highlight w:val="none"/>
          <w:lang w:val="en-US" w:eastAsia="zh-CN"/>
        </w:rPr>
        <w:t>1</w:t>
      </w:r>
      <w:r>
        <w:rPr>
          <w:rFonts w:hint="default"/>
          <w:color w:val="auto"/>
          <w:highlight w:val="none"/>
          <w:lang w:val="en-US" w:eastAsia="zh-CN"/>
        </w:rPr>
        <w:fldChar w:fldCharType="end"/>
      </w:r>
      <w:r>
        <w:rPr>
          <w:rFonts w:hint="default"/>
          <w:color w:val="auto"/>
          <w:highlight w:val="none"/>
          <w:lang w:val="en-US" w:eastAsia="zh-CN"/>
        </w:rPr>
        <w:t xml:space="preserve">  </w:t>
      </w:r>
      <w:r>
        <w:rPr>
          <w:rFonts w:hint="eastAsia"/>
          <w:color w:val="auto"/>
          <w:highlight w:val="none"/>
          <w:lang w:val="en-US" w:eastAsia="zh-CN"/>
        </w:rPr>
        <w:t>预测断面设置</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64"/>
        <w:gridCol w:w="584"/>
        <w:gridCol w:w="819"/>
        <w:gridCol w:w="2329"/>
        <w:gridCol w:w="2496"/>
        <w:gridCol w:w="2450"/>
      </w:tblGrid>
      <w:tr w14:paraId="12A3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2157424A">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序号</w:t>
            </w:r>
          </w:p>
        </w:tc>
        <w:tc>
          <w:tcPr>
            <w:tcW w:w="0" w:type="auto"/>
            <w:tcBorders>
              <w:top w:val="single" w:color="000000" w:sz="12" w:space="0"/>
              <w:left w:val="single" w:color="000000" w:sz="4" w:space="0"/>
              <w:bottom w:val="single" w:color="000000" w:sz="4" w:space="0"/>
              <w:right w:val="single" w:color="000000" w:sz="4" w:space="0"/>
            </w:tcBorders>
            <w:shd w:val="clear" w:color="auto" w:fill="FFFFFF"/>
            <w:vAlign w:val="center"/>
          </w:tcPr>
          <w:p w14:paraId="7E8EEA37">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代号</w:t>
            </w:r>
          </w:p>
        </w:tc>
        <w:tc>
          <w:tcPr>
            <w:tcW w:w="0" w:type="auto"/>
            <w:tcBorders>
              <w:top w:val="single" w:color="000000" w:sz="12" w:space="0"/>
              <w:left w:val="single" w:color="000000" w:sz="4" w:space="0"/>
              <w:bottom w:val="single" w:color="000000" w:sz="4" w:space="0"/>
              <w:right w:val="single" w:color="000000" w:sz="4" w:space="0"/>
            </w:tcBorders>
            <w:shd w:val="clear" w:color="auto" w:fill="FFFFFF"/>
            <w:vAlign w:val="center"/>
          </w:tcPr>
          <w:p w14:paraId="1093C29E">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水体名称</w:t>
            </w:r>
          </w:p>
        </w:tc>
        <w:tc>
          <w:tcPr>
            <w:tcW w:w="0" w:type="auto"/>
            <w:tcBorders>
              <w:top w:val="single" w:color="000000" w:sz="12" w:space="0"/>
              <w:left w:val="single" w:color="000000" w:sz="4" w:space="0"/>
              <w:bottom w:val="single" w:color="000000" w:sz="4" w:space="0"/>
              <w:right w:val="single" w:color="000000" w:sz="4" w:space="0"/>
            </w:tcBorders>
            <w:shd w:val="clear" w:color="auto" w:fill="FFFFFF"/>
            <w:vAlign w:val="center"/>
          </w:tcPr>
          <w:p w14:paraId="1DBC244D">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预测断面</w:t>
            </w:r>
          </w:p>
        </w:tc>
        <w:tc>
          <w:tcPr>
            <w:tcW w:w="0" w:type="auto"/>
            <w:tcBorders>
              <w:top w:val="single" w:color="000000" w:sz="12" w:space="0"/>
              <w:left w:val="single" w:color="000000" w:sz="4" w:space="0"/>
              <w:bottom w:val="single" w:color="000000" w:sz="4" w:space="0"/>
              <w:right w:val="single" w:color="000000" w:sz="4" w:space="0"/>
            </w:tcBorders>
            <w:shd w:val="clear" w:color="auto" w:fill="FFFFFF"/>
            <w:vAlign w:val="center"/>
          </w:tcPr>
          <w:p w14:paraId="63AEC5B6">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对应现状监测断面</w:t>
            </w:r>
          </w:p>
        </w:tc>
        <w:tc>
          <w:tcPr>
            <w:tcW w:w="0" w:type="auto"/>
            <w:tcBorders>
              <w:top w:val="single" w:color="000000" w:sz="12" w:space="0"/>
              <w:left w:val="single" w:color="000000" w:sz="4" w:space="0"/>
              <w:bottom w:val="single" w:color="000000" w:sz="4" w:space="0"/>
              <w:right w:val="single" w:color="000000" w:sz="12" w:space="0"/>
            </w:tcBorders>
            <w:shd w:val="clear" w:color="auto" w:fill="FFFFFF"/>
            <w:vAlign w:val="center"/>
          </w:tcPr>
          <w:p w14:paraId="04C4401E">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背景断面</w:t>
            </w:r>
          </w:p>
        </w:tc>
      </w:tr>
      <w:tr w14:paraId="0B42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0" w:type="auto"/>
            <w:tcBorders>
              <w:top w:val="single" w:color="000000" w:sz="4" w:space="0"/>
              <w:left w:val="single" w:color="000000" w:sz="12" w:space="0"/>
              <w:bottom w:val="single" w:color="000000" w:sz="4" w:space="0"/>
              <w:right w:val="single" w:color="000000" w:sz="4" w:space="0"/>
            </w:tcBorders>
            <w:shd w:val="clear" w:color="auto" w:fill="FFFFFF"/>
            <w:vAlign w:val="center"/>
          </w:tcPr>
          <w:p w14:paraId="7514632C">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8B8DDF">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Y1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065A28">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渣滓溪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E65952">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废水处理站下游100m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6C62BC">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S2渣滓溪污水处理下游100m</w:t>
            </w:r>
          </w:p>
        </w:tc>
        <w:tc>
          <w:tcPr>
            <w:tcW w:w="0" w:type="auto"/>
            <w:tcBorders>
              <w:top w:val="single" w:color="000000" w:sz="4" w:space="0"/>
              <w:left w:val="single" w:color="000000" w:sz="4" w:space="0"/>
              <w:bottom w:val="single" w:color="000000" w:sz="4" w:space="0"/>
              <w:right w:val="single" w:color="000000" w:sz="12" w:space="0"/>
            </w:tcBorders>
            <w:shd w:val="clear" w:color="auto" w:fill="FFFFFF"/>
            <w:vAlign w:val="center"/>
          </w:tcPr>
          <w:p w14:paraId="0A5B2BC0">
            <w:pPr>
              <w:pStyle w:val="26"/>
              <w:keepNext w:val="0"/>
              <w:keepLines w:val="0"/>
              <w:suppressLineNumbers w:val="0"/>
              <w:bidi w:val="0"/>
              <w:spacing w:before="0" w:beforeAutospacing="0" w:after="0" w:afterAutospacing="0"/>
              <w:ind w:left="0" w:leftChars="0" w:right="0" w:rightChars="0" w:firstLine="0" w:firstLineChars="0"/>
              <w:jc w:val="center"/>
              <w:rPr>
                <w:rFonts w:hint="eastAsia"/>
                <w:b w:val="0"/>
                <w:color w:val="auto"/>
                <w:highlight w:val="none"/>
                <w:lang w:val="en-US" w:eastAsia="zh-CN"/>
              </w:rPr>
            </w:pPr>
            <w:r>
              <w:rPr>
                <w:rFonts w:hint="eastAsia"/>
                <w:b w:val="0"/>
                <w:color w:val="auto"/>
                <w:highlight w:val="none"/>
                <w:lang w:val="en-US" w:eastAsia="zh-CN"/>
              </w:rPr>
              <w:t>S1渣滓溪矿区上游50m</w:t>
            </w:r>
          </w:p>
        </w:tc>
      </w:tr>
      <w:tr w14:paraId="6B42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0" w:type="auto"/>
            <w:tcBorders>
              <w:top w:val="single" w:color="000000" w:sz="4" w:space="0"/>
              <w:left w:val="single" w:color="000000" w:sz="12" w:space="0"/>
              <w:bottom w:val="single" w:color="000000" w:sz="4" w:space="0"/>
              <w:right w:val="single" w:color="000000" w:sz="4" w:space="0"/>
            </w:tcBorders>
            <w:shd w:val="clear" w:color="auto" w:fill="FFFFFF"/>
            <w:vAlign w:val="center"/>
          </w:tcPr>
          <w:p w14:paraId="48022245">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C89821">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Y2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1F062D">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白茅溪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63DB38">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白茅溪与渣滓溪汇入口下游100m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8192A8">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S4</w:t>
            </w:r>
            <w:r>
              <w:rPr>
                <w:rFonts w:hint="eastAsia"/>
                <w:color w:val="auto"/>
                <w:highlight w:val="none"/>
                <w:lang w:val="en-US" w:eastAsia="zh-CN"/>
              </w:rPr>
              <w:t>白茅溪与渣滓溪汇入口下游100m</w:t>
            </w:r>
          </w:p>
        </w:tc>
        <w:tc>
          <w:tcPr>
            <w:tcW w:w="0" w:type="auto"/>
            <w:tcBorders>
              <w:top w:val="single" w:color="000000" w:sz="4" w:space="0"/>
              <w:left w:val="single" w:color="000000" w:sz="4" w:space="0"/>
              <w:bottom w:val="single" w:color="000000" w:sz="4" w:space="0"/>
              <w:right w:val="single" w:color="000000" w:sz="12" w:space="0"/>
            </w:tcBorders>
            <w:shd w:val="clear" w:color="auto" w:fill="FFFFFF"/>
            <w:vAlign w:val="center"/>
          </w:tcPr>
          <w:p w14:paraId="5902E607">
            <w:pPr>
              <w:pStyle w:val="26"/>
              <w:keepNext w:val="0"/>
              <w:keepLines w:val="0"/>
              <w:suppressLineNumbers w:val="0"/>
              <w:bidi w:val="0"/>
              <w:spacing w:before="0" w:beforeAutospacing="0" w:after="0" w:afterAutospacing="0"/>
              <w:ind w:left="0" w:leftChars="0" w:right="0" w:rightChars="0" w:firstLine="0" w:firstLineChars="0"/>
              <w:jc w:val="center"/>
              <w:rPr>
                <w:rFonts w:hint="eastAsia"/>
                <w:b w:val="0"/>
                <w:color w:val="auto"/>
                <w:highlight w:val="none"/>
                <w:lang w:val="en-US" w:eastAsia="zh-CN"/>
              </w:rPr>
            </w:pPr>
            <w:r>
              <w:rPr>
                <w:rFonts w:hint="eastAsia"/>
                <w:b w:val="0"/>
                <w:color w:val="auto"/>
                <w:highlight w:val="none"/>
                <w:lang w:val="en-US" w:eastAsia="zh-CN"/>
              </w:rPr>
              <w:t>S3</w:t>
            </w:r>
            <w:r>
              <w:rPr>
                <w:rFonts w:hint="eastAsia"/>
                <w:color w:val="auto"/>
                <w:highlight w:val="none"/>
                <w:lang w:val="en-US" w:eastAsia="zh-CN"/>
              </w:rPr>
              <w:t>白茅溪与渣滓溪汇入口上游100m</w:t>
            </w:r>
          </w:p>
        </w:tc>
      </w:tr>
      <w:tr w14:paraId="7252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0" w:type="auto"/>
            <w:tcBorders>
              <w:top w:val="single" w:color="000000" w:sz="4" w:space="0"/>
              <w:left w:val="single" w:color="000000" w:sz="12" w:space="0"/>
              <w:bottom w:val="single" w:color="000000" w:sz="4" w:space="0"/>
              <w:right w:val="single" w:color="000000" w:sz="4" w:space="0"/>
            </w:tcBorders>
            <w:shd w:val="clear" w:color="auto" w:fill="FFFFFF"/>
            <w:vAlign w:val="center"/>
          </w:tcPr>
          <w:p w14:paraId="2B68FD48">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FEFFD2">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Y3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43930D">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奎溪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18C079">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奎溪与白茅溪汇入口下游500m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46BB3D">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S7奎溪与白茅溪汇入口下游500m</w:t>
            </w:r>
          </w:p>
        </w:tc>
        <w:tc>
          <w:tcPr>
            <w:tcW w:w="0" w:type="auto"/>
            <w:tcBorders>
              <w:top w:val="single" w:color="000000" w:sz="4" w:space="0"/>
              <w:left w:val="single" w:color="000000" w:sz="4" w:space="0"/>
              <w:bottom w:val="single" w:color="000000" w:sz="4" w:space="0"/>
              <w:right w:val="single" w:color="000000" w:sz="12" w:space="0"/>
            </w:tcBorders>
            <w:shd w:val="clear" w:color="auto" w:fill="FFFFFF"/>
            <w:vAlign w:val="center"/>
          </w:tcPr>
          <w:p w14:paraId="5F508121">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w:t>
            </w:r>
          </w:p>
        </w:tc>
      </w:tr>
      <w:tr w14:paraId="3276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0" w:type="auto"/>
            <w:tcBorders>
              <w:top w:val="single" w:color="000000" w:sz="4" w:space="0"/>
              <w:left w:val="single" w:color="000000" w:sz="12" w:space="0"/>
              <w:bottom w:val="single" w:color="000000" w:sz="4" w:space="0"/>
              <w:right w:val="single" w:color="000000" w:sz="4" w:space="0"/>
            </w:tcBorders>
            <w:shd w:val="clear" w:color="auto" w:fill="FFFFFF"/>
            <w:vAlign w:val="center"/>
          </w:tcPr>
          <w:p w14:paraId="7846EED8">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420842">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Y4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C43CF1">
            <w:pPr>
              <w:pStyle w:val="26"/>
              <w:keepNext w:val="0"/>
              <w:keepLines w:val="0"/>
              <w:suppressLineNumbers w:val="0"/>
              <w:bidi w:val="0"/>
              <w:spacing w:before="0" w:beforeAutospacing="0" w:after="0" w:afterAutospacing="0"/>
              <w:ind w:left="0" w:leftChars="0" w:right="0" w:rightChars="0" w:firstLine="0" w:firstLineChars="0"/>
              <w:jc w:val="center"/>
              <w:rPr>
                <w:rFonts w:hint="eastAsia"/>
                <w:b w:val="0"/>
                <w:color w:val="auto"/>
                <w:highlight w:val="none"/>
                <w:lang w:val="en-US" w:eastAsia="zh-CN"/>
              </w:rPr>
            </w:pPr>
            <w:r>
              <w:rPr>
                <w:rFonts w:hint="eastAsia"/>
                <w:b w:val="0"/>
                <w:color w:val="auto"/>
                <w:highlight w:val="none"/>
                <w:lang w:val="en-US" w:eastAsia="zh-CN"/>
              </w:rPr>
              <w:t>洋溪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14FA8B">
            <w:pPr>
              <w:pStyle w:val="26"/>
              <w:keepNext w:val="0"/>
              <w:keepLines w:val="0"/>
              <w:suppressLineNumbers w:val="0"/>
              <w:bidi w:val="0"/>
              <w:spacing w:before="0" w:beforeAutospacing="0" w:after="0" w:afterAutospacing="0"/>
              <w:ind w:left="0" w:leftChars="0" w:right="0" w:rightChars="0" w:firstLine="0" w:firstLineChars="0"/>
              <w:jc w:val="center"/>
              <w:rPr>
                <w:rFonts w:hint="eastAsia"/>
                <w:b w:val="0"/>
                <w:color w:val="auto"/>
                <w:highlight w:val="none"/>
                <w:lang w:val="en-US" w:eastAsia="zh-CN"/>
              </w:rPr>
            </w:pPr>
            <w:r>
              <w:rPr>
                <w:rFonts w:hint="eastAsia"/>
                <w:b w:val="0"/>
                <w:color w:val="auto"/>
                <w:highlight w:val="none"/>
                <w:lang w:val="en-US" w:eastAsia="zh-CN"/>
              </w:rPr>
              <w:t>洋溪与奎溪汇入口下游500m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7A4BC4">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S9</w:t>
            </w:r>
            <w:r>
              <w:rPr>
                <w:rFonts w:hint="eastAsia"/>
                <w:color w:val="auto"/>
                <w:highlight w:val="none"/>
                <w:lang w:val="en-US" w:eastAsia="zh-CN"/>
              </w:rPr>
              <w:t>洋溪与奎溪汇入口下游500m</w:t>
            </w:r>
          </w:p>
        </w:tc>
        <w:tc>
          <w:tcPr>
            <w:tcW w:w="0" w:type="auto"/>
            <w:tcBorders>
              <w:top w:val="single" w:color="000000" w:sz="4" w:space="0"/>
              <w:left w:val="single" w:color="000000" w:sz="4" w:space="0"/>
              <w:bottom w:val="single" w:color="000000" w:sz="4" w:space="0"/>
              <w:right w:val="single" w:color="000000" w:sz="12" w:space="0"/>
            </w:tcBorders>
            <w:shd w:val="clear" w:color="auto" w:fill="FFFFFF"/>
            <w:vAlign w:val="center"/>
          </w:tcPr>
          <w:p w14:paraId="53EDF451">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w:t>
            </w:r>
          </w:p>
        </w:tc>
      </w:tr>
      <w:tr w14:paraId="5D3F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0" w:type="auto"/>
            <w:tcBorders>
              <w:top w:val="single" w:color="000000" w:sz="4" w:space="0"/>
              <w:left w:val="single" w:color="000000" w:sz="12" w:space="0"/>
              <w:bottom w:val="single" w:color="000000" w:sz="12" w:space="0"/>
              <w:right w:val="single" w:color="000000" w:sz="4" w:space="0"/>
            </w:tcBorders>
            <w:shd w:val="clear" w:color="auto" w:fill="FFFFFF"/>
            <w:vAlign w:val="center"/>
          </w:tcPr>
          <w:p w14:paraId="5FBF4933">
            <w:pPr>
              <w:pStyle w:val="26"/>
              <w:keepNext w:val="0"/>
              <w:keepLines w:val="0"/>
              <w:suppressLineNumbers w:val="0"/>
              <w:bidi w:val="0"/>
              <w:spacing w:before="0" w:beforeAutospacing="0" w:after="0" w:afterAutospacing="0"/>
              <w:ind w:left="0" w:leftChars="0" w:right="0" w:rightChars="0" w:firstLine="0" w:firstLineChars="0"/>
              <w:jc w:val="center"/>
              <w:rPr>
                <w:rFonts w:hint="default"/>
                <w:b w:val="0"/>
                <w:color w:val="auto"/>
                <w:highlight w:val="none"/>
                <w:lang w:val="en-US" w:eastAsia="zh-CN"/>
              </w:rPr>
            </w:pPr>
            <w:r>
              <w:rPr>
                <w:rFonts w:hint="eastAsia"/>
                <w:b w:val="0"/>
                <w:color w:val="auto"/>
                <w:highlight w:val="none"/>
                <w:lang w:val="en-US" w:eastAsia="zh-CN"/>
              </w:rPr>
              <w:t>5</w:t>
            </w:r>
          </w:p>
        </w:tc>
        <w:tc>
          <w:tcPr>
            <w:tcW w:w="0" w:type="auto"/>
            <w:tcBorders>
              <w:top w:val="single" w:color="000000" w:sz="4" w:space="0"/>
              <w:left w:val="single" w:color="000000" w:sz="4" w:space="0"/>
              <w:bottom w:val="single" w:color="000000" w:sz="12" w:space="0"/>
              <w:right w:val="single" w:color="000000" w:sz="4" w:space="0"/>
            </w:tcBorders>
            <w:shd w:val="clear" w:color="auto" w:fill="FFFFFF"/>
            <w:vAlign w:val="center"/>
          </w:tcPr>
          <w:p w14:paraId="28780947">
            <w:pPr>
              <w:pStyle w:val="26"/>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color w:val="auto"/>
                <w:kern w:val="2"/>
                <w:sz w:val="22"/>
                <w:szCs w:val="22"/>
                <w:highlight w:val="none"/>
                <w:lang w:val="en-US" w:eastAsia="zh-CN" w:bidi="ar-SA"/>
              </w:rPr>
            </w:pPr>
            <w:r>
              <w:rPr>
                <w:rFonts w:hint="eastAsia"/>
                <w:b w:val="0"/>
                <w:color w:val="auto"/>
                <w:highlight w:val="none"/>
                <w:lang w:val="en-US" w:eastAsia="zh-CN"/>
              </w:rPr>
              <w:t>Y5</w:t>
            </w:r>
          </w:p>
        </w:tc>
        <w:tc>
          <w:tcPr>
            <w:tcW w:w="0" w:type="auto"/>
            <w:tcBorders>
              <w:top w:val="single" w:color="000000" w:sz="4" w:space="0"/>
              <w:left w:val="single" w:color="000000" w:sz="4" w:space="0"/>
              <w:bottom w:val="single" w:color="000000" w:sz="12" w:space="0"/>
              <w:right w:val="single" w:color="000000" w:sz="4" w:space="0"/>
            </w:tcBorders>
            <w:shd w:val="clear" w:color="auto" w:fill="FFFFFF"/>
            <w:vAlign w:val="center"/>
          </w:tcPr>
          <w:p w14:paraId="5B75B087">
            <w:pPr>
              <w:pStyle w:val="26"/>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color w:val="auto"/>
                <w:kern w:val="2"/>
                <w:sz w:val="22"/>
                <w:szCs w:val="22"/>
                <w:highlight w:val="none"/>
                <w:lang w:val="en-US" w:eastAsia="zh-CN" w:bidi="ar-SA"/>
              </w:rPr>
            </w:pPr>
            <w:r>
              <w:rPr>
                <w:rFonts w:hint="eastAsia"/>
                <w:b w:val="0"/>
                <w:color w:val="auto"/>
                <w:highlight w:val="none"/>
                <w:lang w:val="en-US" w:eastAsia="zh-CN"/>
              </w:rPr>
              <w:t>资江</w:t>
            </w:r>
          </w:p>
        </w:tc>
        <w:tc>
          <w:tcPr>
            <w:tcW w:w="0" w:type="auto"/>
            <w:tcBorders>
              <w:top w:val="single" w:color="000000" w:sz="4" w:space="0"/>
              <w:left w:val="single" w:color="000000" w:sz="4" w:space="0"/>
              <w:bottom w:val="single" w:color="000000" w:sz="12" w:space="0"/>
              <w:right w:val="single" w:color="000000" w:sz="4" w:space="0"/>
            </w:tcBorders>
            <w:shd w:val="clear" w:color="auto" w:fill="FFFFFF"/>
            <w:vAlign w:val="center"/>
          </w:tcPr>
          <w:p w14:paraId="611E5529">
            <w:pPr>
              <w:pStyle w:val="26"/>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color w:val="auto"/>
                <w:kern w:val="2"/>
                <w:sz w:val="22"/>
                <w:szCs w:val="22"/>
                <w:highlight w:val="none"/>
                <w:lang w:val="en-US" w:eastAsia="zh-CN" w:bidi="ar-SA"/>
              </w:rPr>
            </w:pPr>
            <w:r>
              <w:rPr>
                <w:rFonts w:hint="eastAsia"/>
                <w:b w:val="0"/>
                <w:color w:val="auto"/>
                <w:highlight w:val="none"/>
                <w:lang w:val="en-US" w:eastAsia="zh-CN"/>
              </w:rPr>
              <w:t>资水与洋溪汇入口下游1000m</w:t>
            </w:r>
          </w:p>
        </w:tc>
        <w:tc>
          <w:tcPr>
            <w:tcW w:w="0" w:type="auto"/>
            <w:tcBorders>
              <w:top w:val="single" w:color="000000" w:sz="4" w:space="0"/>
              <w:left w:val="single" w:color="000000" w:sz="4" w:space="0"/>
              <w:bottom w:val="single" w:color="000000" w:sz="12" w:space="0"/>
              <w:right w:val="single" w:color="000000" w:sz="4" w:space="0"/>
            </w:tcBorders>
            <w:shd w:val="clear" w:color="auto" w:fill="FFFFFF"/>
            <w:vAlign w:val="center"/>
          </w:tcPr>
          <w:p w14:paraId="6E297DD2">
            <w:pPr>
              <w:pStyle w:val="26"/>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color w:val="auto"/>
                <w:kern w:val="2"/>
                <w:sz w:val="22"/>
                <w:szCs w:val="22"/>
                <w:highlight w:val="none"/>
                <w:lang w:val="en-US" w:eastAsia="zh-CN" w:bidi="ar-SA"/>
              </w:rPr>
            </w:pPr>
            <w:r>
              <w:rPr>
                <w:rFonts w:hint="eastAsia"/>
                <w:b w:val="0"/>
                <w:color w:val="auto"/>
                <w:highlight w:val="none"/>
                <w:lang w:val="en-US" w:eastAsia="zh-CN"/>
              </w:rPr>
              <w:t>S12资水与洋溪汇入口下游1000m</w:t>
            </w:r>
          </w:p>
        </w:tc>
        <w:tc>
          <w:tcPr>
            <w:tcW w:w="0" w:type="auto"/>
            <w:tcBorders>
              <w:top w:val="single" w:color="000000" w:sz="4" w:space="0"/>
              <w:left w:val="single" w:color="000000" w:sz="4" w:space="0"/>
              <w:bottom w:val="single" w:color="000000" w:sz="12" w:space="0"/>
              <w:right w:val="single" w:color="000000" w:sz="12" w:space="0"/>
            </w:tcBorders>
            <w:shd w:val="clear" w:color="auto" w:fill="FFFFFF"/>
            <w:vAlign w:val="center"/>
          </w:tcPr>
          <w:p w14:paraId="6DA030D8">
            <w:pPr>
              <w:pStyle w:val="26"/>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color w:val="auto"/>
                <w:kern w:val="2"/>
                <w:sz w:val="22"/>
                <w:szCs w:val="22"/>
                <w:highlight w:val="none"/>
                <w:lang w:val="en-US" w:eastAsia="zh-CN" w:bidi="ar-SA"/>
              </w:rPr>
            </w:pPr>
            <w:r>
              <w:rPr>
                <w:rFonts w:hint="eastAsia"/>
                <w:b w:val="0"/>
                <w:color w:val="auto"/>
                <w:highlight w:val="none"/>
                <w:lang w:val="en-US" w:eastAsia="zh-CN"/>
              </w:rPr>
              <w:t>/</w:t>
            </w:r>
          </w:p>
        </w:tc>
      </w:tr>
    </w:tbl>
    <w:p w14:paraId="34C0E20F">
      <w:pPr>
        <w:pStyle w:val="34"/>
        <w:tabs>
          <w:tab w:val="left" w:pos="1021"/>
        </w:tabs>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预测时段</w:t>
      </w:r>
    </w:p>
    <w:p w14:paraId="0E624DC9">
      <w:pPr>
        <w:pStyle w:val="2"/>
        <w:bidi w:val="0"/>
        <w:rPr>
          <w:rFonts w:hint="default"/>
          <w:color w:val="auto"/>
          <w:highlight w:val="none"/>
          <w:lang w:val="en-US" w:eastAsia="zh-CN"/>
        </w:rPr>
      </w:pPr>
      <w:r>
        <w:rPr>
          <w:rFonts w:hint="default"/>
          <w:color w:val="auto"/>
          <w:highlight w:val="none"/>
          <w:lang w:val="en-US" w:eastAsia="zh-CN"/>
        </w:rPr>
        <w:t>根据导则要求</w:t>
      </w:r>
      <w:r>
        <w:rPr>
          <w:rFonts w:hint="eastAsia"/>
          <w:color w:val="auto"/>
          <w:highlight w:val="none"/>
          <w:lang w:val="en-US" w:eastAsia="zh-CN"/>
        </w:rPr>
        <w:t>并结合项目排水情况</w:t>
      </w:r>
      <w:r>
        <w:rPr>
          <w:rFonts w:hint="default"/>
          <w:color w:val="auto"/>
          <w:highlight w:val="none"/>
          <w:lang w:val="en-US" w:eastAsia="zh-CN"/>
        </w:rPr>
        <w:t>，选取</w:t>
      </w:r>
      <w:r>
        <w:rPr>
          <w:rFonts w:hint="eastAsia"/>
          <w:color w:val="auto"/>
          <w:highlight w:val="none"/>
          <w:lang w:val="en-US" w:eastAsia="zh-CN"/>
        </w:rPr>
        <w:t>枯水期和丰水期</w:t>
      </w:r>
      <w:r>
        <w:rPr>
          <w:rFonts w:hint="default"/>
          <w:color w:val="auto"/>
          <w:highlight w:val="none"/>
          <w:lang w:val="en-US" w:eastAsia="zh-CN"/>
        </w:rPr>
        <w:t>作为本项目预测时段。</w:t>
      </w:r>
    </w:p>
    <w:p w14:paraId="4CCB3F2E">
      <w:pPr>
        <w:pStyle w:val="34"/>
        <w:tabs>
          <w:tab w:val="left" w:pos="1021"/>
        </w:tabs>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预测因子选取</w:t>
      </w:r>
    </w:p>
    <w:p w14:paraId="779CFC6A">
      <w:pPr>
        <w:pStyle w:val="2"/>
        <w:bidi w:val="0"/>
        <w:rPr>
          <w:rFonts w:hint="default"/>
          <w:color w:val="auto"/>
          <w:highlight w:val="none"/>
          <w:lang w:val="en-US" w:eastAsia="zh-CN"/>
        </w:rPr>
      </w:pPr>
      <w:r>
        <w:rPr>
          <w:rFonts w:hint="eastAsia"/>
          <w:color w:val="auto"/>
          <w:highlight w:val="none"/>
          <w:lang w:val="en-US" w:eastAsia="zh-CN"/>
        </w:rPr>
        <w:t>根据现状监测结果，以及原矿的主要成分，</w:t>
      </w:r>
      <w:r>
        <w:rPr>
          <w:rFonts w:hint="default"/>
          <w:color w:val="auto"/>
          <w:highlight w:val="none"/>
          <w:lang w:val="en-US" w:eastAsia="zh-CN"/>
        </w:rPr>
        <w:t>选取</w:t>
      </w:r>
      <w:r>
        <w:rPr>
          <w:rFonts w:hint="eastAsia"/>
          <w:color w:val="auto"/>
          <w:highlight w:val="none"/>
          <w:lang w:val="en-US" w:eastAsia="zh-CN"/>
        </w:rPr>
        <w:t>锑</w:t>
      </w:r>
      <w:r>
        <w:rPr>
          <w:rFonts w:hint="default"/>
          <w:color w:val="auto"/>
          <w:highlight w:val="none"/>
          <w:lang w:val="en-US" w:eastAsia="zh-CN"/>
        </w:rPr>
        <w:t>作为预测因子。</w:t>
      </w:r>
    </w:p>
    <w:p w14:paraId="014D7A2F">
      <w:pPr>
        <w:pStyle w:val="34"/>
        <w:rPr>
          <w:rFonts w:hint="default"/>
          <w:color w:val="auto"/>
          <w:highlight w:val="none"/>
          <w:u w:val="none"/>
          <w:lang w:val="en-US" w:eastAsia="zh-CN"/>
        </w:rPr>
      </w:pPr>
      <w:bookmarkStart w:id="62" w:name="_Toc6029"/>
      <w:bookmarkStart w:id="63" w:name="_Toc27610"/>
      <w:bookmarkStart w:id="64" w:name="_Toc21556"/>
      <w:r>
        <w:rPr>
          <w:rFonts w:hint="default"/>
          <w:color w:val="auto"/>
          <w:highlight w:val="none"/>
          <w:u w:val="none"/>
          <w:lang w:val="en-US" w:eastAsia="zh-CN"/>
        </w:rPr>
        <w:t>预测模型的选取</w:t>
      </w:r>
      <w:bookmarkEnd w:id="62"/>
      <w:bookmarkEnd w:id="63"/>
      <w:bookmarkEnd w:id="64"/>
    </w:p>
    <w:p w14:paraId="17F7006A">
      <w:pPr>
        <w:pStyle w:val="2"/>
        <w:bidi w:val="0"/>
        <w:rPr>
          <w:rFonts w:hint="default"/>
          <w:color w:val="auto"/>
          <w:highlight w:val="none"/>
          <w:u w:val="none"/>
          <w:lang w:val="en-US" w:eastAsia="zh-CN"/>
        </w:rPr>
      </w:pPr>
      <w:r>
        <w:rPr>
          <w:rFonts w:hint="eastAsia"/>
          <w:color w:val="auto"/>
          <w:highlight w:val="none"/>
          <w:u w:val="none"/>
          <w:lang w:val="en-US" w:eastAsia="zh-CN"/>
        </w:rPr>
        <w:t>本项目直接受纳水体渣滓溪，其下游依次汇入白茅溪、奎溪、洋溪、资江。</w:t>
      </w:r>
    </w:p>
    <w:p w14:paraId="64146B0F">
      <w:pPr>
        <w:pStyle w:val="2"/>
        <w:bidi w:val="0"/>
        <w:rPr>
          <w:rFonts w:hint="default"/>
          <w:color w:val="auto"/>
          <w:highlight w:val="none"/>
          <w:u w:val="single"/>
          <w:lang w:val="en-US" w:eastAsia="zh-CN"/>
        </w:rPr>
      </w:pPr>
      <w:r>
        <w:rPr>
          <w:rFonts w:hint="eastAsia"/>
          <w:color w:val="auto"/>
          <w:highlight w:val="none"/>
          <w:u w:val="single"/>
          <w:lang w:val="en-US" w:eastAsia="zh-CN"/>
        </w:rPr>
        <w:t>1、Y1、Y2断面</w:t>
      </w:r>
    </w:p>
    <w:p w14:paraId="14233FD2">
      <w:pPr>
        <w:pStyle w:val="2"/>
        <w:bidi w:val="0"/>
        <w:rPr>
          <w:rFonts w:hint="default"/>
          <w:color w:val="auto"/>
          <w:highlight w:val="none"/>
          <w:u w:val="single"/>
          <w:lang w:val="en-US" w:eastAsia="zh-CN"/>
        </w:rPr>
      </w:pPr>
      <w:r>
        <w:rPr>
          <w:rFonts w:hint="eastAsia"/>
          <w:color w:val="auto"/>
          <w:highlight w:val="none"/>
          <w:u w:val="single"/>
          <w:lang w:val="en-US" w:eastAsia="zh-CN"/>
        </w:rPr>
        <w:t>Y1为渣滓溪断面、Y2为白茅溪断面。根据现场调查，渣滓溪入河排污口至Y2断面之间无其他排放入河排污口。根据1月、3月、5月补充监测结果，Y1、Y2断面现状浓度下降，无明显面污染源。因此，本次论证，Y1、Y2断面预测模型可采用完全混合模型，如下：</w:t>
      </w:r>
    </w:p>
    <w:p w14:paraId="0358A5F5">
      <w:pPr>
        <w:pStyle w:val="2"/>
        <w:bidi w:val="0"/>
        <w:rPr>
          <w:rFonts w:hint="default"/>
          <w:color w:val="auto"/>
          <w:highlight w:val="none"/>
          <w:u w:val="none"/>
          <w:lang w:val="en-US" w:eastAsia="zh-CN"/>
        </w:rPr>
      </w:pPr>
      <m:oMathPara>
        <m:oMath>
          <m:r>
            <m:rPr>
              <m:sty m:val="p"/>
            </m:rPr>
            <w:rPr>
              <w:rFonts w:hint="default" w:ascii="Cambria Math" w:hAnsi="Cambria Math"/>
              <w:color w:val="auto"/>
              <w:highlight w:val="none"/>
              <w:u w:val="none"/>
              <w:lang w:val="en-US" w:eastAsia="zh-CN"/>
            </w:rPr>
            <m:t>C=</m:t>
          </m:r>
          <m:f>
            <m:fPr>
              <m:ctrlPr>
                <w:rPr>
                  <w:rFonts w:hint="default" w:ascii="Cambria Math" w:hAnsi="Cambria Math"/>
                  <w:color w:val="auto"/>
                  <w:highlight w:val="none"/>
                  <w:u w:val="none"/>
                  <w:lang w:val="en-US" w:eastAsia="zh-CN"/>
                </w:rPr>
              </m:ctrlPr>
            </m:fPr>
            <m:num>
              <m:sSub>
                <m:sSubPr>
                  <m:ctrlPr>
                    <w:rPr>
                      <w:rFonts w:hint="default" w:ascii="Cambria Math" w:hAnsi="Cambria Math"/>
                      <w:color w:val="auto"/>
                      <w:highlight w:val="none"/>
                      <w:u w:val="none"/>
                      <w:lang w:val="en-US" w:eastAsia="zh-CN"/>
                    </w:rPr>
                  </m:ctrlPr>
                </m:sSubPr>
                <m:e>
                  <m:r>
                    <m:rPr>
                      <m:sty m:val="p"/>
                    </m:rPr>
                    <w:rPr>
                      <w:rFonts w:hint="default" w:ascii="Cambria Math" w:hAnsi="Cambria Math"/>
                      <w:color w:val="auto"/>
                      <w:highlight w:val="none"/>
                      <w:u w:val="none"/>
                      <w:lang w:val="en-US" w:eastAsia="zh-CN"/>
                    </w:rPr>
                    <m:t>C</m:t>
                  </m:r>
                  <m:ctrlPr>
                    <w:rPr>
                      <w:rFonts w:hint="default" w:ascii="Cambria Math" w:hAnsi="Cambria Math"/>
                      <w:color w:val="auto"/>
                      <w:highlight w:val="none"/>
                      <w:u w:val="none"/>
                      <w:lang w:val="en-US" w:eastAsia="zh-CN"/>
                    </w:rPr>
                  </m:ctrlPr>
                </m:e>
                <m:sub>
                  <m:r>
                    <m:rPr>
                      <m:sty m:val="p"/>
                    </m:rPr>
                    <w:rPr>
                      <w:rFonts w:hint="default" w:ascii="Cambria Math" w:hAnsi="Cambria Math"/>
                      <w:color w:val="auto"/>
                      <w:highlight w:val="none"/>
                      <w:u w:val="none"/>
                      <w:lang w:val="en-US" w:eastAsia="zh-CN"/>
                    </w:rPr>
                    <m:t>P</m:t>
                  </m:r>
                  <m:ctrlPr>
                    <w:rPr>
                      <w:rFonts w:hint="default" w:ascii="Cambria Math" w:hAnsi="Cambria Math"/>
                      <w:color w:val="auto"/>
                      <w:highlight w:val="none"/>
                      <w:u w:val="none"/>
                      <w:lang w:val="en-US" w:eastAsia="zh-CN"/>
                    </w:rPr>
                  </m:ctrlPr>
                </m:sub>
              </m:sSub>
              <m:r>
                <m:rPr>
                  <m:sty m:val="p"/>
                </m:rPr>
                <w:rPr>
                  <w:rFonts w:ascii="Cambria Math" w:hAnsi="Cambria Math"/>
                  <w:color w:val="auto"/>
                  <w:highlight w:val="none"/>
                  <w:u w:val="none"/>
                  <w:lang w:val="en-US"/>
                </w:rPr>
                <m:t>×</m:t>
              </m:r>
              <m:sSub>
                <m:sSubPr>
                  <m:ctrlPr>
                    <w:rPr>
                      <w:rFonts w:ascii="Cambria Math" w:hAnsi="Cambria Math"/>
                      <w:color w:val="auto"/>
                      <w:highlight w:val="none"/>
                      <w:u w:val="none"/>
                      <w:lang w:val="en-US"/>
                    </w:rPr>
                  </m:ctrlPr>
                </m:sSubPr>
                <m:e>
                  <m:r>
                    <m:rPr>
                      <m:sty m:val="p"/>
                    </m:rPr>
                    <w:rPr>
                      <w:rFonts w:hint="default" w:ascii="Cambria Math" w:hAnsi="Cambria Math"/>
                      <w:color w:val="auto"/>
                      <w:highlight w:val="none"/>
                      <w:u w:val="none"/>
                      <w:lang w:val="en-US" w:eastAsia="zh-CN"/>
                    </w:rPr>
                    <m:t>Q</m:t>
                  </m:r>
                  <m:ctrlPr>
                    <w:rPr>
                      <w:rFonts w:ascii="Cambria Math" w:hAnsi="Cambria Math"/>
                      <w:color w:val="auto"/>
                      <w:highlight w:val="none"/>
                      <w:u w:val="none"/>
                      <w:lang w:val="en-US"/>
                    </w:rPr>
                  </m:ctrlPr>
                </m:e>
                <m:sub>
                  <m:r>
                    <m:rPr>
                      <m:sty m:val="p"/>
                    </m:rPr>
                    <w:rPr>
                      <w:rFonts w:hint="default" w:ascii="Cambria Math" w:hAnsi="Cambria Math"/>
                      <w:color w:val="auto"/>
                      <w:highlight w:val="none"/>
                      <w:u w:val="none"/>
                      <w:lang w:val="en-US" w:eastAsia="zh-CN"/>
                    </w:rPr>
                    <m:t>P</m:t>
                  </m:r>
                  <m:ctrlPr>
                    <w:rPr>
                      <w:rFonts w:ascii="Cambria Math" w:hAnsi="Cambria Math"/>
                      <w:color w:val="auto"/>
                      <w:highlight w:val="none"/>
                      <w:u w:val="none"/>
                      <w:lang w:val="en-US"/>
                    </w:rPr>
                  </m:ctrlPr>
                </m:sub>
              </m:sSub>
              <m:r>
                <m:rPr>
                  <m:sty m:val="p"/>
                </m:rPr>
                <w:rPr>
                  <w:rFonts w:hint="eastAsia" w:ascii="Cambria Math" w:hAnsi="Cambria Math"/>
                  <w:color w:val="auto"/>
                  <w:highlight w:val="none"/>
                  <w:u w:val="none"/>
                  <w:lang w:val="en-US" w:eastAsia="zh-CN"/>
                </w:rPr>
                <m:t>+</m:t>
              </m:r>
              <m:sSub>
                <m:sSubPr>
                  <m:ctrlPr>
                    <w:rPr>
                      <w:rFonts w:hint="default" w:ascii="Cambria Math" w:hAnsi="Cambria Math"/>
                      <w:color w:val="auto"/>
                      <w:highlight w:val="none"/>
                      <w:u w:val="none"/>
                      <w:lang w:val="en-US" w:eastAsia="zh-CN"/>
                    </w:rPr>
                  </m:ctrlPr>
                </m:sSubPr>
                <m:e>
                  <m:r>
                    <m:rPr>
                      <m:sty m:val="p"/>
                    </m:rPr>
                    <w:rPr>
                      <w:rFonts w:hint="default" w:ascii="Cambria Math" w:hAnsi="Cambria Math"/>
                      <w:color w:val="auto"/>
                      <w:highlight w:val="none"/>
                      <w:u w:val="none"/>
                      <w:lang w:val="en-US" w:eastAsia="zh-CN"/>
                    </w:rPr>
                    <m:t>C</m:t>
                  </m:r>
                  <m:ctrlPr>
                    <w:rPr>
                      <w:rFonts w:hint="default" w:ascii="Cambria Math" w:hAnsi="Cambria Math"/>
                      <w:color w:val="auto"/>
                      <w:highlight w:val="none"/>
                      <w:u w:val="none"/>
                      <w:lang w:val="en-US" w:eastAsia="zh-CN"/>
                    </w:rPr>
                  </m:ctrlPr>
                </m:e>
                <m:sub>
                  <m:r>
                    <m:rPr>
                      <m:sty m:val="p"/>
                    </m:rPr>
                    <w:rPr>
                      <w:rFonts w:hint="default" w:ascii="Cambria Math" w:hAnsi="Cambria Math"/>
                      <w:color w:val="auto"/>
                      <w:highlight w:val="none"/>
                      <w:u w:val="none"/>
                      <w:lang w:val="en-US" w:eastAsia="zh-CN"/>
                    </w:rPr>
                    <m:t>h</m:t>
                  </m:r>
                  <m:ctrlPr>
                    <w:rPr>
                      <w:rFonts w:hint="default" w:ascii="Cambria Math" w:hAnsi="Cambria Math"/>
                      <w:color w:val="auto"/>
                      <w:highlight w:val="none"/>
                      <w:u w:val="none"/>
                      <w:lang w:val="en-US" w:eastAsia="zh-CN"/>
                    </w:rPr>
                  </m:ctrlPr>
                </m:sub>
              </m:sSub>
              <m:r>
                <m:rPr>
                  <m:sty m:val="p"/>
                </m:rPr>
                <w:rPr>
                  <w:rFonts w:ascii="Cambria Math" w:hAnsi="Cambria Math"/>
                  <w:color w:val="auto"/>
                  <w:highlight w:val="none"/>
                  <w:u w:val="none"/>
                  <w:lang w:val="en-US"/>
                </w:rPr>
                <m:t>×</m:t>
              </m:r>
              <m:sSub>
                <m:sSubPr>
                  <m:ctrlPr>
                    <w:rPr>
                      <w:rFonts w:ascii="Cambria Math" w:hAnsi="Cambria Math"/>
                      <w:color w:val="auto"/>
                      <w:highlight w:val="none"/>
                      <w:u w:val="none"/>
                      <w:lang w:val="en-US"/>
                    </w:rPr>
                  </m:ctrlPr>
                </m:sSubPr>
                <m:e>
                  <m:r>
                    <m:rPr>
                      <m:sty m:val="p"/>
                    </m:rPr>
                    <w:rPr>
                      <w:rFonts w:hint="default" w:ascii="Cambria Math" w:hAnsi="Cambria Math"/>
                      <w:color w:val="auto"/>
                      <w:highlight w:val="none"/>
                      <w:u w:val="none"/>
                      <w:lang w:val="en-US" w:eastAsia="zh-CN"/>
                    </w:rPr>
                    <m:t>Q</m:t>
                  </m:r>
                  <m:ctrlPr>
                    <w:rPr>
                      <w:rFonts w:ascii="Cambria Math" w:hAnsi="Cambria Math"/>
                      <w:color w:val="auto"/>
                      <w:highlight w:val="none"/>
                      <w:u w:val="none"/>
                      <w:lang w:val="en-US"/>
                    </w:rPr>
                  </m:ctrlPr>
                </m:e>
                <m:sub>
                  <m:r>
                    <m:rPr>
                      <m:sty m:val="p"/>
                    </m:rPr>
                    <w:rPr>
                      <w:rFonts w:hint="default" w:ascii="Cambria Math" w:hAnsi="Cambria Math"/>
                      <w:color w:val="auto"/>
                      <w:highlight w:val="none"/>
                      <w:u w:val="none"/>
                      <w:lang w:val="en-US" w:eastAsia="zh-CN"/>
                    </w:rPr>
                    <m:t>h</m:t>
                  </m:r>
                  <m:ctrlPr>
                    <w:rPr>
                      <w:rFonts w:ascii="Cambria Math" w:hAnsi="Cambria Math"/>
                      <w:color w:val="auto"/>
                      <w:highlight w:val="none"/>
                      <w:u w:val="none"/>
                      <w:lang w:val="en-US"/>
                    </w:rPr>
                  </m:ctrlPr>
                </m:sub>
              </m:sSub>
              <m:ctrlPr>
                <w:rPr>
                  <w:rFonts w:hint="default" w:ascii="Cambria Math" w:hAnsi="Cambria Math"/>
                  <w:color w:val="auto"/>
                  <w:highlight w:val="none"/>
                  <w:u w:val="none"/>
                  <w:lang w:val="en-US" w:eastAsia="zh-CN"/>
                </w:rPr>
              </m:ctrlPr>
            </m:num>
            <m:den>
              <m:sSub>
                <m:sSubPr>
                  <m:ctrlPr>
                    <w:rPr>
                      <w:rFonts w:ascii="Cambria Math" w:hAnsi="Cambria Math"/>
                      <w:color w:val="auto"/>
                      <w:highlight w:val="none"/>
                      <w:u w:val="none"/>
                      <w:lang w:val="en-US"/>
                    </w:rPr>
                  </m:ctrlPr>
                </m:sSubPr>
                <m:e>
                  <m:r>
                    <m:rPr>
                      <m:sty m:val="p"/>
                    </m:rPr>
                    <w:rPr>
                      <w:rFonts w:hint="default" w:ascii="Cambria Math" w:hAnsi="Cambria Math"/>
                      <w:color w:val="auto"/>
                      <w:highlight w:val="none"/>
                      <w:u w:val="none"/>
                      <w:lang w:val="en-US" w:eastAsia="zh-CN"/>
                    </w:rPr>
                    <m:t>Q</m:t>
                  </m:r>
                  <m:ctrlPr>
                    <w:rPr>
                      <w:rFonts w:ascii="Cambria Math" w:hAnsi="Cambria Math"/>
                      <w:color w:val="auto"/>
                      <w:highlight w:val="none"/>
                      <w:u w:val="none"/>
                      <w:lang w:val="en-US"/>
                    </w:rPr>
                  </m:ctrlPr>
                </m:e>
                <m:sub>
                  <m:r>
                    <m:rPr>
                      <m:sty m:val="p"/>
                    </m:rPr>
                    <w:rPr>
                      <w:rFonts w:hint="default" w:ascii="Cambria Math" w:hAnsi="Cambria Math"/>
                      <w:color w:val="auto"/>
                      <w:highlight w:val="none"/>
                      <w:u w:val="none"/>
                      <w:lang w:val="en-US" w:eastAsia="zh-CN"/>
                    </w:rPr>
                    <m:t>P</m:t>
                  </m:r>
                  <m:ctrlPr>
                    <w:rPr>
                      <w:rFonts w:ascii="Cambria Math" w:hAnsi="Cambria Math"/>
                      <w:color w:val="auto"/>
                      <w:highlight w:val="none"/>
                      <w:u w:val="none"/>
                      <w:lang w:val="en-US"/>
                    </w:rPr>
                  </m:ctrlPr>
                </m:sub>
              </m:sSub>
              <m:r>
                <m:rPr>
                  <m:sty m:val="p"/>
                </m:rPr>
                <w:rPr>
                  <w:rFonts w:hint="eastAsia" w:ascii="Cambria Math" w:hAnsi="Cambria Math"/>
                  <w:color w:val="auto"/>
                  <w:highlight w:val="none"/>
                  <w:u w:val="none"/>
                  <w:lang w:val="en-US" w:eastAsia="zh-CN"/>
                </w:rPr>
                <m:t>+</m:t>
              </m:r>
              <m:sSub>
                <m:sSubPr>
                  <m:ctrlPr>
                    <w:rPr>
                      <w:rFonts w:ascii="Cambria Math" w:hAnsi="Cambria Math"/>
                      <w:color w:val="auto"/>
                      <w:highlight w:val="none"/>
                      <w:u w:val="none"/>
                      <w:lang w:val="en-US"/>
                    </w:rPr>
                  </m:ctrlPr>
                </m:sSubPr>
                <m:e>
                  <m:r>
                    <m:rPr>
                      <m:sty m:val="p"/>
                    </m:rPr>
                    <w:rPr>
                      <w:rFonts w:hint="default" w:ascii="Cambria Math" w:hAnsi="Cambria Math"/>
                      <w:color w:val="auto"/>
                      <w:highlight w:val="none"/>
                      <w:u w:val="none"/>
                      <w:lang w:val="en-US" w:eastAsia="zh-CN"/>
                    </w:rPr>
                    <m:t>Q</m:t>
                  </m:r>
                  <m:ctrlPr>
                    <w:rPr>
                      <w:rFonts w:ascii="Cambria Math" w:hAnsi="Cambria Math"/>
                      <w:color w:val="auto"/>
                      <w:highlight w:val="none"/>
                      <w:u w:val="none"/>
                      <w:lang w:val="en-US"/>
                    </w:rPr>
                  </m:ctrlPr>
                </m:e>
                <m:sub>
                  <m:r>
                    <m:rPr>
                      <m:sty m:val="p"/>
                    </m:rPr>
                    <w:rPr>
                      <w:rFonts w:hint="default" w:ascii="Cambria Math" w:hAnsi="Cambria Math"/>
                      <w:color w:val="auto"/>
                      <w:highlight w:val="none"/>
                      <w:u w:val="none"/>
                      <w:lang w:val="en-US" w:eastAsia="zh-CN"/>
                    </w:rPr>
                    <m:t>h</m:t>
                  </m:r>
                  <m:ctrlPr>
                    <w:rPr>
                      <w:rFonts w:ascii="Cambria Math" w:hAnsi="Cambria Math"/>
                      <w:color w:val="auto"/>
                      <w:highlight w:val="none"/>
                      <w:u w:val="none"/>
                      <w:lang w:val="en-US"/>
                    </w:rPr>
                  </m:ctrlPr>
                </m:sub>
              </m:sSub>
              <m:ctrlPr>
                <w:rPr>
                  <w:rFonts w:hint="default" w:ascii="Cambria Math" w:hAnsi="Cambria Math"/>
                  <w:color w:val="auto"/>
                  <w:highlight w:val="none"/>
                  <w:u w:val="none"/>
                  <w:lang w:val="en-US" w:eastAsia="zh-CN"/>
                </w:rPr>
              </m:ctrlPr>
            </m:den>
          </m:f>
        </m:oMath>
      </m:oMathPara>
    </w:p>
    <w:p w14:paraId="79B9CD48">
      <w:pPr>
        <w:pStyle w:val="2"/>
        <w:bidi w:val="0"/>
        <w:rPr>
          <w:rFonts w:hint="eastAsia"/>
          <w:color w:val="auto"/>
          <w:highlight w:val="none"/>
          <w:u w:val="single"/>
          <w:lang w:val="en-US" w:eastAsia="zh-CN"/>
        </w:rPr>
      </w:pPr>
      <w:r>
        <w:rPr>
          <w:rFonts w:hint="eastAsia"/>
          <w:color w:val="auto"/>
          <w:highlight w:val="none"/>
          <w:u w:val="single"/>
          <w:lang w:val="en-US" w:eastAsia="zh-CN"/>
        </w:rPr>
        <w:t>上式中：C——预测断面预测浓度，mg/L；</w:t>
      </w:r>
    </w:p>
    <w:p w14:paraId="59CDCA5D">
      <w:pPr>
        <w:pStyle w:val="2"/>
        <w:bidi w:val="0"/>
        <w:rPr>
          <w:rFonts w:hint="eastAsia"/>
          <w:color w:val="auto"/>
          <w:highlight w:val="none"/>
          <w:u w:val="single"/>
          <w:lang w:val="en-US" w:eastAsia="zh-CN"/>
        </w:rPr>
      </w:pPr>
      <m:oMath>
        <m:sSub>
          <m:sSubPr>
            <m:ctrlPr>
              <w:rPr>
                <w:rFonts w:hint="default" w:ascii="Cambria Math" w:hAnsi="Cambria Math"/>
                <w:color w:val="auto"/>
                <w:highlight w:val="none"/>
                <w:u w:val="single"/>
                <w:lang w:val="en-US" w:eastAsia="zh-CN"/>
              </w:rPr>
            </m:ctrlPr>
          </m:sSubPr>
          <m:e>
            <m:r>
              <m:rPr>
                <m:sty m:val="p"/>
              </m:rPr>
              <w:rPr>
                <w:rFonts w:hint="default" w:ascii="Cambria Math" w:hAnsi="Cambria Math"/>
                <w:color w:val="auto"/>
                <w:highlight w:val="none"/>
                <w:u w:val="single"/>
                <w:lang w:val="en-US" w:eastAsia="zh-CN"/>
              </w:rPr>
              <m:t>C</m:t>
            </m:r>
            <m:ctrlPr>
              <w:rPr>
                <w:rFonts w:hint="default" w:ascii="Cambria Math" w:hAnsi="Cambria Math"/>
                <w:color w:val="auto"/>
                <w:highlight w:val="none"/>
                <w:u w:val="single"/>
                <w:lang w:val="en-US" w:eastAsia="zh-CN"/>
              </w:rPr>
            </m:ctrlPr>
          </m:e>
          <m:sub>
            <m:r>
              <m:rPr>
                <m:sty m:val="p"/>
              </m:rPr>
              <w:rPr>
                <w:rFonts w:hint="default" w:ascii="Cambria Math" w:hAnsi="Cambria Math"/>
                <w:color w:val="auto"/>
                <w:highlight w:val="none"/>
                <w:u w:val="single"/>
                <w:lang w:val="en-US" w:eastAsia="zh-CN"/>
              </w:rPr>
              <m:t>P</m:t>
            </m:r>
            <m:ctrlPr>
              <w:rPr>
                <w:rFonts w:hint="default" w:ascii="Cambria Math" w:hAnsi="Cambria Math"/>
                <w:color w:val="auto"/>
                <w:highlight w:val="none"/>
                <w:u w:val="single"/>
                <w:lang w:val="en-US" w:eastAsia="zh-CN"/>
              </w:rPr>
            </m:ctrlPr>
          </m:sub>
        </m:sSub>
      </m:oMath>
      <w:r>
        <w:rPr>
          <w:rFonts w:hint="eastAsia"/>
          <w:color w:val="auto"/>
          <w:highlight w:val="none"/>
          <w:u w:val="single"/>
          <w:lang w:val="en-US" w:eastAsia="zh-CN"/>
        </w:rPr>
        <w:t>——污染物排放浓度，mg/L；</w:t>
      </w:r>
    </w:p>
    <w:p w14:paraId="5085B1A4">
      <w:pPr>
        <w:pStyle w:val="2"/>
        <w:bidi w:val="0"/>
        <w:rPr>
          <w:rFonts w:hint="eastAsia"/>
          <w:color w:val="auto"/>
          <w:highlight w:val="none"/>
          <w:u w:val="single"/>
          <w:lang w:val="en-US" w:eastAsia="zh-CN"/>
        </w:rPr>
      </w:pPr>
      <m:oMath>
        <m:sSub>
          <m:sSubPr>
            <m:ctrlPr>
              <w:rPr>
                <w:rFonts w:ascii="Cambria Math" w:hAnsi="Cambria Math"/>
                <w:color w:val="auto"/>
                <w:highlight w:val="none"/>
                <w:u w:val="single"/>
                <w:lang w:val="en-US"/>
              </w:rPr>
            </m:ctrlPr>
          </m:sSubPr>
          <m:e>
            <m:r>
              <m:rPr>
                <m:sty m:val="p"/>
              </m:rPr>
              <w:rPr>
                <w:rFonts w:hint="default" w:ascii="Cambria Math" w:hAnsi="Cambria Math"/>
                <w:color w:val="auto"/>
                <w:highlight w:val="none"/>
                <w:u w:val="single"/>
                <w:lang w:val="en-US" w:eastAsia="zh-CN"/>
              </w:rPr>
              <m:t>Q</m:t>
            </m:r>
            <m:ctrlPr>
              <w:rPr>
                <w:rFonts w:ascii="Cambria Math" w:hAnsi="Cambria Math"/>
                <w:color w:val="auto"/>
                <w:highlight w:val="none"/>
                <w:u w:val="single"/>
                <w:lang w:val="en-US"/>
              </w:rPr>
            </m:ctrlPr>
          </m:e>
          <m:sub>
            <m:r>
              <m:rPr>
                <m:sty m:val="p"/>
              </m:rPr>
              <w:rPr>
                <w:rFonts w:hint="default" w:ascii="Cambria Math" w:hAnsi="Cambria Math"/>
                <w:color w:val="auto"/>
                <w:highlight w:val="none"/>
                <w:u w:val="single"/>
                <w:lang w:val="en-US" w:eastAsia="zh-CN"/>
              </w:rPr>
              <m:t>P</m:t>
            </m:r>
            <m:ctrlPr>
              <w:rPr>
                <w:rFonts w:ascii="Cambria Math" w:hAnsi="Cambria Math"/>
                <w:color w:val="auto"/>
                <w:highlight w:val="none"/>
                <w:u w:val="single"/>
                <w:lang w:val="en-US"/>
              </w:rPr>
            </m:ctrlPr>
          </m:sub>
        </m:sSub>
      </m:oMath>
      <w:r>
        <w:rPr>
          <w:rFonts w:hint="eastAsia"/>
          <w:color w:val="auto"/>
          <w:highlight w:val="none"/>
          <w:u w:val="single"/>
          <w:lang w:val="en-US" w:eastAsia="zh-CN"/>
        </w:rPr>
        <w:t>——污水排放量，m</w:t>
      </w:r>
      <w:r>
        <w:rPr>
          <w:rFonts w:hint="eastAsia"/>
          <w:color w:val="auto"/>
          <w:highlight w:val="none"/>
          <w:u w:val="single"/>
          <w:vertAlign w:val="superscript"/>
          <w:lang w:val="en-US" w:eastAsia="zh-CN"/>
        </w:rPr>
        <w:t>3</w:t>
      </w:r>
      <w:r>
        <w:rPr>
          <w:rFonts w:hint="eastAsia"/>
          <w:color w:val="auto"/>
          <w:highlight w:val="none"/>
          <w:u w:val="single"/>
          <w:lang w:val="en-US" w:eastAsia="zh-CN"/>
        </w:rPr>
        <w:t>/s；</w:t>
      </w:r>
    </w:p>
    <w:p w14:paraId="1782F326">
      <w:pPr>
        <w:pStyle w:val="2"/>
        <w:bidi w:val="0"/>
        <w:rPr>
          <w:rFonts w:hint="eastAsia"/>
          <w:color w:val="auto"/>
          <w:highlight w:val="none"/>
          <w:u w:val="single"/>
          <w:lang w:val="en-US" w:eastAsia="zh-CN"/>
        </w:rPr>
      </w:pPr>
      <m:oMath>
        <m:sSub>
          <m:sSubPr>
            <m:ctrlPr>
              <w:rPr>
                <w:rFonts w:hint="default" w:ascii="Cambria Math" w:hAnsi="Cambria Math"/>
                <w:color w:val="auto"/>
                <w:highlight w:val="none"/>
                <w:u w:val="single"/>
                <w:lang w:val="en-US" w:eastAsia="zh-CN"/>
              </w:rPr>
            </m:ctrlPr>
          </m:sSubPr>
          <m:e>
            <m:r>
              <m:rPr>
                <m:sty m:val="p"/>
              </m:rPr>
              <w:rPr>
                <w:rFonts w:hint="default" w:ascii="Cambria Math" w:hAnsi="Cambria Math"/>
                <w:color w:val="auto"/>
                <w:highlight w:val="none"/>
                <w:u w:val="single"/>
                <w:lang w:val="en-US" w:eastAsia="zh-CN"/>
              </w:rPr>
              <m:t>C</m:t>
            </m:r>
            <m:ctrlPr>
              <w:rPr>
                <w:rFonts w:hint="default" w:ascii="Cambria Math" w:hAnsi="Cambria Math"/>
                <w:color w:val="auto"/>
                <w:highlight w:val="none"/>
                <w:u w:val="single"/>
                <w:lang w:val="en-US" w:eastAsia="zh-CN"/>
              </w:rPr>
            </m:ctrlPr>
          </m:e>
          <m:sub>
            <m:r>
              <m:rPr>
                <m:sty m:val="p"/>
              </m:rPr>
              <w:rPr>
                <w:rFonts w:hint="default" w:ascii="Cambria Math" w:hAnsi="Cambria Math"/>
                <w:color w:val="auto"/>
                <w:highlight w:val="none"/>
                <w:u w:val="single"/>
                <w:lang w:val="en-US" w:eastAsia="zh-CN"/>
              </w:rPr>
              <m:t>h</m:t>
            </m:r>
            <m:ctrlPr>
              <w:rPr>
                <w:rFonts w:hint="default" w:ascii="Cambria Math" w:hAnsi="Cambria Math"/>
                <w:color w:val="auto"/>
                <w:highlight w:val="none"/>
                <w:u w:val="single"/>
                <w:lang w:val="en-US" w:eastAsia="zh-CN"/>
              </w:rPr>
            </m:ctrlPr>
          </m:sub>
        </m:sSub>
      </m:oMath>
      <w:r>
        <w:rPr>
          <w:rFonts w:hint="eastAsia"/>
          <w:color w:val="auto"/>
          <w:highlight w:val="none"/>
          <w:u w:val="single"/>
          <w:lang w:val="en-US" w:eastAsia="zh-CN"/>
        </w:rPr>
        <w:t>——河流上游污染物浓度，mg/L；</w:t>
      </w:r>
    </w:p>
    <w:p w14:paraId="4BBA4623">
      <w:pPr>
        <w:pStyle w:val="2"/>
        <w:bidi w:val="0"/>
        <w:rPr>
          <w:rFonts w:hint="default"/>
          <w:color w:val="auto"/>
          <w:highlight w:val="none"/>
          <w:u w:val="single"/>
          <w:lang w:val="en-US" w:eastAsia="zh-CN"/>
        </w:rPr>
      </w:pPr>
      <m:oMath>
        <m:sSub>
          <m:sSubPr>
            <m:ctrlPr>
              <w:rPr>
                <w:rFonts w:ascii="Cambria Math" w:hAnsi="Cambria Math"/>
                <w:color w:val="auto"/>
                <w:highlight w:val="none"/>
                <w:u w:val="single"/>
                <w:lang w:val="en-US"/>
              </w:rPr>
            </m:ctrlPr>
          </m:sSubPr>
          <m:e>
            <m:r>
              <m:rPr>
                <m:sty m:val="p"/>
              </m:rPr>
              <w:rPr>
                <w:rFonts w:hint="default" w:ascii="Cambria Math" w:hAnsi="Cambria Math"/>
                <w:color w:val="auto"/>
                <w:highlight w:val="none"/>
                <w:u w:val="single"/>
                <w:lang w:val="en-US" w:eastAsia="zh-CN"/>
              </w:rPr>
              <m:t>Q</m:t>
            </m:r>
            <m:ctrlPr>
              <w:rPr>
                <w:rFonts w:ascii="Cambria Math" w:hAnsi="Cambria Math"/>
                <w:color w:val="auto"/>
                <w:highlight w:val="none"/>
                <w:u w:val="single"/>
                <w:lang w:val="en-US"/>
              </w:rPr>
            </m:ctrlPr>
          </m:e>
          <m:sub>
            <m:r>
              <m:rPr>
                <m:sty m:val="p"/>
              </m:rPr>
              <w:rPr>
                <w:rFonts w:hint="default" w:ascii="Cambria Math" w:hAnsi="Cambria Math"/>
                <w:color w:val="auto"/>
                <w:highlight w:val="none"/>
                <w:u w:val="single"/>
                <w:lang w:val="en-US" w:eastAsia="zh-CN"/>
              </w:rPr>
              <m:t>h</m:t>
            </m:r>
            <m:ctrlPr>
              <w:rPr>
                <w:rFonts w:ascii="Cambria Math" w:hAnsi="Cambria Math"/>
                <w:color w:val="auto"/>
                <w:highlight w:val="none"/>
                <w:u w:val="single"/>
                <w:lang w:val="en-US"/>
              </w:rPr>
            </m:ctrlPr>
          </m:sub>
        </m:sSub>
      </m:oMath>
      <w:r>
        <w:rPr>
          <w:rFonts w:hint="eastAsia"/>
          <w:color w:val="auto"/>
          <w:highlight w:val="none"/>
          <w:u w:val="single"/>
          <w:lang w:val="en-US" w:eastAsia="zh-CN"/>
        </w:rPr>
        <w:t>——河流流量，m</w:t>
      </w:r>
      <w:r>
        <w:rPr>
          <w:rFonts w:hint="eastAsia"/>
          <w:color w:val="auto"/>
          <w:highlight w:val="none"/>
          <w:u w:val="single"/>
          <w:vertAlign w:val="superscript"/>
          <w:lang w:val="en-US" w:eastAsia="zh-CN"/>
        </w:rPr>
        <w:t>3</w:t>
      </w:r>
      <w:r>
        <w:rPr>
          <w:rFonts w:hint="eastAsia"/>
          <w:color w:val="auto"/>
          <w:highlight w:val="none"/>
          <w:u w:val="single"/>
          <w:lang w:val="en-US" w:eastAsia="zh-CN"/>
        </w:rPr>
        <w:t>/s。</w:t>
      </w:r>
    </w:p>
    <w:p w14:paraId="60C4CBDE">
      <w:pPr>
        <w:pStyle w:val="2"/>
        <w:bidi w:val="0"/>
        <w:rPr>
          <w:rFonts w:hint="eastAsia"/>
          <w:color w:val="auto"/>
          <w:highlight w:val="none"/>
          <w:u w:val="single"/>
          <w:lang w:val="en-US" w:eastAsia="zh-CN"/>
        </w:rPr>
      </w:pPr>
      <w:r>
        <w:rPr>
          <w:rFonts w:hint="eastAsia"/>
          <w:color w:val="auto"/>
          <w:highlight w:val="none"/>
          <w:u w:val="single"/>
          <w:lang w:val="en-US" w:eastAsia="zh-CN"/>
        </w:rPr>
        <w:t>2、Y3、Y4、Y5断面</w:t>
      </w:r>
    </w:p>
    <w:p w14:paraId="1721204F">
      <w:pPr>
        <w:pStyle w:val="2"/>
        <w:bidi w:val="0"/>
        <w:rPr>
          <w:rFonts w:hint="default"/>
          <w:color w:val="auto"/>
          <w:highlight w:val="none"/>
          <w:u w:val="single"/>
          <w:lang w:val="en-US" w:eastAsia="zh-CN"/>
        </w:rPr>
      </w:pPr>
      <w:r>
        <w:rPr>
          <w:rFonts w:hint="eastAsia"/>
          <w:color w:val="auto"/>
          <w:highlight w:val="none"/>
          <w:u w:val="single"/>
          <w:lang w:val="en-US" w:eastAsia="zh-CN"/>
        </w:rPr>
        <w:t>Y3、Y4、Y5断面为奎溪、洋溪、资江断面。根据现场调查，渣滓溪入河排污口至Y5断面之间有一生活污水处理厂入河排污口，无其他涉锑的入河排污口。根据1月、3月、5月补充监测结果，Y2断面至Y3断面存在为面源污染，造成Y3断面浓度上升。因无法监测面污染源的污染物排放浓度和排放量，故不能再采用完全混合模型。</w:t>
      </w:r>
    </w:p>
    <w:p w14:paraId="059308B6">
      <w:pPr>
        <w:pStyle w:val="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考虑到：</w:t>
      </w:r>
      <w:r>
        <w:rPr>
          <w:rFonts w:hint="default" w:ascii="Times New Roman" w:hAnsi="Times New Roman" w:eastAsia="宋体" w:cs="Times New Roman"/>
          <w:color w:val="auto"/>
          <w:highlight w:val="none"/>
          <w:u w:val="single"/>
          <w:lang w:val="en-US" w:eastAsia="zh-CN"/>
        </w:rPr>
        <w:t>①</w:t>
      </w:r>
      <w:r>
        <w:rPr>
          <w:rFonts w:hint="default" w:ascii="Times New Roman" w:hAnsi="Times New Roman" w:cs="Times New Roman"/>
          <w:color w:val="auto"/>
          <w:highlight w:val="none"/>
          <w:u w:val="single"/>
          <w:lang w:val="en-US" w:eastAsia="zh-CN"/>
        </w:rPr>
        <w:t>本项目为已建项目，减排前单位时间</w:t>
      </w:r>
      <w:r>
        <w:rPr>
          <w:rFonts w:hint="eastAsia" w:cs="Times New Roman"/>
          <w:color w:val="auto"/>
          <w:highlight w:val="none"/>
          <w:u w:val="single"/>
          <w:lang w:val="en-US" w:eastAsia="zh-CN"/>
        </w:rPr>
        <w:t>内</w:t>
      </w:r>
      <w:r>
        <w:rPr>
          <w:rFonts w:hint="default" w:ascii="Times New Roman" w:hAnsi="Times New Roman" w:cs="Times New Roman"/>
          <w:color w:val="auto"/>
          <w:highlight w:val="none"/>
          <w:u w:val="single"/>
          <w:lang w:val="en-US" w:eastAsia="zh-CN"/>
        </w:rPr>
        <w:t>通过</w:t>
      </w:r>
      <w:r>
        <w:rPr>
          <w:rFonts w:hint="eastAsia" w:cs="Times New Roman"/>
          <w:color w:val="auto"/>
          <w:highlight w:val="none"/>
          <w:u w:val="single"/>
          <w:lang w:val="en-US" w:eastAsia="zh-CN"/>
        </w:rPr>
        <w:t>预测</w:t>
      </w:r>
      <w:r>
        <w:rPr>
          <w:rFonts w:hint="default" w:ascii="Times New Roman" w:hAnsi="Times New Roman" w:cs="Times New Roman"/>
          <w:color w:val="auto"/>
          <w:highlight w:val="none"/>
          <w:u w:val="single"/>
          <w:lang w:val="en-US" w:eastAsia="zh-CN"/>
        </w:rPr>
        <w:t>断面的质量</w:t>
      </w:r>
      <w:r>
        <w:rPr>
          <w:rFonts w:hint="eastAsia" w:cs="Times New Roman"/>
          <w:color w:val="auto"/>
          <w:highlight w:val="none"/>
          <w:u w:val="single"/>
          <w:lang w:val="en-US" w:eastAsia="zh-CN"/>
        </w:rPr>
        <w:t>通量（即现状浓度与水量之积）</w:t>
      </w:r>
      <w:r>
        <w:rPr>
          <w:rFonts w:hint="default" w:ascii="Times New Roman" w:hAnsi="Times New Roman" w:cs="Times New Roman"/>
          <w:color w:val="auto"/>
          <w:highlight w:val="none"/>
          <w:u w:val="single"/>
          <w:lang w:val="en-US" w:eastAsia="zh-CN"/>
        </w:rPr>
        <w:t>已包含本项目</w:t>
      </w:r>
      <w:r>
        <w:rPr>
          <w:rFonts w:hint="eastAsia" w:cs="Times New Roman"/>
          <w:color w:val="auto"/>
          <w:highlight w:val="none"/>
          <w:u w:val="single"/>
          <w:lang w:val="en-US" w:eastAsia="zh-CN"/>
        </w:rPr>
        <w:t>和其他面源的</w:t>
      </w:r>
      <w:r>
        <w:rPr>
          <w:rFonts w:hint="default" w:ascii="Times New Roman" w:hAnsi="Times New Roman" w:cs="Times New Roman"/>
          <w:color w:val="auto"/>
          <w:highlight w:val="none"/>
          <w:u w:val="single"/>
          <w:lang w:val="en-US" w:eastAsia="zh-CN"/>
        </w:rPr>
        <w:t>排放量。</w:t>
      </w:r>
      <w:r>
        <w:rPr>
          <w:rFonts w:hint="default" w:ascii="Times New Roman" w:hAnsi="Times New Roman" w:eastAsia="宋体" w:cs="Times New Roman"/>
          <w:color w:val="auto"/>
          <w:highlight w:val="none"/>
          <w:u w:val="single"/>
          <w:lang w:val="en-US" w:eastAsia="zh-CN"/>
        </w:rPr>
        <w:t>②</w:t>
      </w:r>
      <w:r>
        <w:rPr>
          <w:rFonts w:hint="default" w:ascii="Times New Roman" w:hAnsi="Times New Roman" w:cs="Times New Roman"/>
          <w:color w:val="auto"/>
          <w:highlight w:val="none"/>
          <w:u w:val="single"/>
          <w:lang w:val="en-US" w:eastAsia="zh-CN"/>
        </w:rPr>
        <w:t>如扣除本项目减排量，即得到本项目减排后通过</w:t>
      </w:r>
      <w:r>
        <w:rPr>
          <w:rFonts w:hint="eastAsia" w:cs="Times New Roman"/>
          <w:color w:val="auto"/>
          <w:highlight w:val="none"/>
          <w:u w:val="single"/>
          <w:lang w:val="en-US" w:eastAsia="zh-CN"/>
        </w:rPr>
        <w:t>预测</w:t>
      </w:r>
      <w:r>
        <w:rPr>
          <w:rFonts w:hint="default" w:ascii="Times New Roman" w:hAnsi="Times New Roman" w:cs="Times New Roman"/>
          <w:color w:val="auto"/>
          <w:highlight w:val="none"/>
          <w:u w:val="single"/>
          <w:lang w:val="en-US" w:eastAsia="zh-CN"/>
        </w:rPr>
        <w:t>断面的质量</w:t>
      </w:r>
      <w:r>
        <w:rPr>
          <w:rFonts w:hint="eastAsia" w:cs="Times New Roman"/>
          <w:color w:val="auto"/>
          <w:highlight w:val="none"/>
          <w:u w:val="single"/>
          <w:lang w:val="en-US" w:eastAsia="zh-CN"/>
        </w:rPr>
        <w:t>通量</w:t>
      </w:r>
      <w:r>
        <w:rPr>
          <w:rFonts w:hint="default" w:ascii="Times New Roman" w:hAnsi="Times New Roman" w:cs="Times New Roman"/>
          <w:color w:val="auto"/>
          <w:highlight w:val="none"/>
          <w:u w:val="single"/>
          <w:lang w:val="en-US" w:eastAsia="zh-CN"/>
        </w:rPr>
        <w:t>（单位g/s），再除以对应的预测断面水量（单位m</w:t>
      </w:r>
      <w:r>
        <w:rPr>
          <w:rFonts w:hint="default" w:ascii="Times New Roman" w:hAnsi="Times New Roman" w:cs="Times New Roman"/>
          <w:color w:val="auto"/>
          <w:highlight w:val="none"/>
          <w:u w:val="single"/>
          <w:vertAlign w:val="superscript"/>
          <w:lang w:val="en-US" w:eastAsia="zh-CN"/>
        </w:rPr>
        <w:t>3</w:t>
      </w:r>
      <w:r>
        <w:rPr>
          <w:rFonts w:hint="default" w:ascii="Times New Roman" w:hAnsi="Times New Roman" w:cs="Times New Roman"/>
          <w:color w:val="auto"/>
          <w:highlight w:val="none"/>
          <w:u w:val="single"/>
          <w:lang w:val="en-US" w:eastAsia="zh-CN"/>
        </w:rPr>
        <w:t>/s），即得本项目减排后</w:t>
      </w:r>
      <w:r>
        <w:rPr>
          <w:rFonts w:hint="eastAsia" w:cs="Times New Roman"/>
          <w:color w:val="auto"/>
          <w:highlight w:val="none"/>
          <w:u w:val="single"/>
          <w:lang w:val="en-US" w:eastAsia="zh-CN"/>
        </w:rPr>
        <w:t>预测</w:t>
      </w:r>
      <w:r>
        <w:rPr>
          <w:rFonts w:hint="default" w:ascii="Times New Roman" w:hAnsi="Times New Roman" w:cs="Times New Roman"/>
          <w:color w:val="auto"/>
          <w:highlight w:val="none"/>
          <w:u w:val="single"/>
          <w:lang w:val="en-US" w:eastAsia="zh-CN"/>
        </w:rPr>
        <w:t>断面的预测浓度（单位mg/L，即g/m</w:t>
      </w:r>
      <w:r>
        <w:rPr>
          <w:rFonts w:hint="default" w:ascii="Times New Roman" w:hAnsi="Times New Roman" w:cs="Times New Roman"/>
          <w:color w:val="auto"/>
          <w:highlight w:val="none"/>
          <w:u w:val="single"/>
          <w:vertAlign w:val="superscript"/>
          <w:lang w:val="en-US" w:eastAsia="zh-CN"/>
        </w:rPr>
        <w:t>3</w:t>
      </w:r>
      <w:r>
        <w:rPr>
          <w:rFonts w:hint="default" w:ascii="Times New Roman" w:hAnsi="Times New Roman" w:cs="Times New Roman"/>
          <w:color w:val="auto"/>
          <w:highlight w:val="none"/>
          <w:u w:val="single"/>
          <w:lang w:val="en-US" w:eastAsia="zh-CN"/>
        </w:rPr>
        <w:t>）。</w:t>
      </w:r>
      <w:r>
        <w:rPr>
          <w:rFonts w:hint="default" w:ascii="Times New Roman" w:hAnsi="Times New Roman" w:eastAsia="宋体" w:cs="Times New Roman"/>
          <w:color w:val="auto"/>
          <w:highlight w:val="none"/>
          <w:u w:val="single"/>
          <w:lang w:val="en-US" w:eastAsia="zh-CN"/>
        </w:rPr>
        <w:t>③本项目预测考虑区域综合减排效果，渣滓溪上游来水、隧洞内山体渗水的水量是一致的，减排前后变动的本项目充填站扩建的新增耗水量120.75m</w:t>
      </w:r>
      <w:r>
        <w:rPr>
          <w:rFonts w:hint="default" w:ascii="Times New Roman" w:hAnsi="Times New Roman" w:eastAsia="宋体" w:cs="Times New Roman"/>
          <w:color w:val="auto"/>
          <w:highlight w:val="none"/>
          <w:u w:val="single"/>
          <w:vertAlign w:val="superscript"/>
          <w:lang w:val="en-US" w:eastAsia="zh-CN"/>
        </w:rPr>
        <w:t>3</w:t>
      </w:r>
      <w:r>
        <w:rPr>
          <w:rFonts w:hint="default" w:ascii="Times New Roman" w:hAnsi="Times New Roman" w:eastAsia="宋体" w:cs="Times New Roman"/>
          <w:color w:val="auto"/>
          <w:highlight w:val="none"/>
          <w:u w:val="single"/>
          <w:lang w:val="en-US" w:eastAsia="zh-CN"/>
        </w:rPr>
        <w:t>/d（0.0014</w:t>
      </w:r>
      <w:r>
        <w:rPr>
          <w:rFonts w:hint="default" w:ascii="Times New Roman" w:hAnsi="Times New Roman" w:cs="Times New Roman"/>
          <w:color w:val="auto"/>
          <w:highlight w:val="none"/>
          <w:u w:val="single"/>
          <w:lang w:val="en-US" w:eastAsia="zh-CN"/>
        </w:rPr>
        <w:t>m</w:t>
      </w:r>
      <w:r>
        <w:rPr>
          <w:rFonts w:hint="default" w:ascii="Times New Roman" w:hAnsi="Times New Roman" w:cs="Times New Roman"/>
          <w:color w:val="auto"/>
          <w:highlight w:val="none"/>
          <w:u w:val="single"/>
          <w:vertAlign w:val="superscript"/>
          <w:lang w:val="en-US" w:eastAsia="zh-CN"/>
        </w:rPr>
        <w:t>3</w:t>
      </w:r>
      <w:r>
        <w:rPr>
          <w:rFonts w:hint="default" w:ascii="Times New Roman" w:hAnsi="Times New Roman" w:cs="Times New Roman"/>
          <w:color w:val="auto"/>
          <w:highlight w:val="none"/>
          <w:u w:val="single"/>
          <w:lang w:val="en-US" w:eastAsia="zh-CN"/>
        </w:rPr>
        <w:t>/s</w:t>
      </w:r>
      <w:r>
        <w:rPr>
          <w:rFonts w:hint="default" w:ascii="Times New Roman" w:hAnsi="Times New Roman" w:eastAsia="宋体" w:cs="Times New Roman"/>
          <w:color w:val="auto"/>
          <w:highlight w:val="none"/>
          <w:u w:val="single"/>
          <w:lang w:val="en-US" w:eastAsia="zh-CN"/>
        </w:rPr>
        <w:t>），</w:t>
      </w:r>
      <w:r>
        <w:rPr>
          <w:rFonts w:hint="eastAsia" w:ascii="Times New Roman" w:hAnsi="Times New Roman" w:eastAsia="宋体" w:cs="Times New Roman"/>
          <w:color w:val="auto"/>
          <w:highlight w:val="none"/>
          <w:u w:val="single"/>
          <w:lang w:val="en-US" w:eastAsia="zh-CN"/>
        </w:rPr>
        <w:t>即可</w:t>
      </w:r>
      <w:r>
        <w:rPr>
          <w:rFonts w:hint="default" w:ascii="Times New Roman" w:hAnsi="Times New Roman" w:eastAsia="宋体" w:cs="Times New Roman"/>
          <w:color w:val="auto"/>
          <w:highlight w:val="none"/>
          <w:u w:val="single"/>
          <w:lang w:val="en-US" w:eastAsia="zh-CN"/>
        </w:rPr>
        <w:t>相对于最小的</w:t>
      </w:r>
      <w:r>
        <w:rPr>
          <w:rFonts w:hint="default" w:ascii="Times New Roman" w:hAnsi="Times New Roman" w:cs="Times New Roman"/>
          <w:color w:val="auto"/>
          <w:highlight w:val="none"/>
          <w:u w:val="single"/>
          <w:lang w:val="en-US" w:eastAsia="zh-CN"/>
        </w:rPr>
        <w:t>Y3断面枯水期流量0.271m</w:t>
      </w:r>
      <w:r>
        <w:rPr>
          <w:rFonts w:hint="default" w:ascii="Times New Roman" w:hAnsi="Times New Roman" w:cs="Times New Roman"/>
          <w:color w:val="auto"/>
          <w:highlight w:val="none"/>
          <w:u w:val="single"/>
          <w:vertAlign w:val="superscript"/>
          <w:lang w:val="en-US" w:eastAsia="zh-CN"/>
        </w:rPr>
        <w:t>3</w:t>
      </w:r>
      <w:r>
        <w:rPr>
          <w:rFonts w:hint="default" w:ascii="Times New Roman" w:hAnsi="Times New Roman" w:cs="Times New Roman"/>
          <w:color w:val="auto"/>
          <w:highlight w:val="none"/>
          <w:u w:val="single"/>
          <w:lang w:val="en-US" w:eastAsia="zh-CN"/>
        </w:rPr>
        <w:t>/s</w:t>
      </w:r>
      <w:r>
        <w:rPr>
          <w:rFonts w:hint="eastAsia" w:ascii="Times New Roman" w:hAnsi="Times New Roman" w:cs="Times New Roman"/>
          <w:color w:val="auto"/>
          <w:highlight w:val="none"/>
          <w:u w:val="single"/>
          <w:lang w:val="en-US" w:eastAsia="zh-CN"/>
        </w:rPr>
        <w:t>也可忽略不计。因此，本项目</w:t>
      </w:r>
      <w:r>
        <w:rPr>
          <w:rFonts w:hint="default" w:ascii="Times New Roman" w:hAnsi="Times New Roman" w:cs="Times New Roman"/>
          <w:color w:val="auto"/>
          <w:highlight w:val="none"/>
          <w:u w:val="single"/>
          <w:lang w:val="en-US" w:eastAsia="zh-CN"/>
        </w:rPr>
        <w:t>Y3、Y4、Y5断面</w:t>
      </w:r>
      <w:r>
        <w:rPr>
          <w:rFonts w:hint="eastAsia" w:cs="Times New Roman"/>
          <w:color w:val="auto"/>
          <w:highlight w:val="none"/>
          <w:u w:val="single"/>
          <w:lang w:val="en-US" w:eastAsia="zh-CN"/>
        </w:rPr>
        <w:t>采用上述思路的</w:t>
      </w:r>
      <w:r>
        <w:rPr>
          <w:rFonts w:hint="eastAsia"/>
          <w:color w:val="auto"/>
          <w:highlight w:val="none"/>
          <w:u w:val="single"/>
          <w:lang w:val="en-US" w:eastAsia="zh-CN"/>
        </w:rPr>
        <w:t>完全混合模型变体公式是可行的。</w:t>
      </w:r>
    </w:p>
    <w:p w14:paraId="33D6B945">
      <w:pPr>
        <w:pStyle w:val="2"/>
        <w:bidi w:val="0"/>
        <w:rPr>
          <w:rFonts w:hint="eastAsia"/>
          <w:color w:val="auto"/>
          <w:highlight w:val="none"/>
          <w:u w:val="single"/>
          <w:lang w:val="en-US" w:eastAsia="zh-CN"/>
        </w:rPr>
      </w:pPr>
      <w:r>
        <w:rPr>
          <w:rFonts w:hint="eastAsia"/>
          <w:color w:val="auto"/>
          <w:highlight w:val="none"/>
          <w:u w:val="single"/>
          <w:lang w:val="en-US" w:eastAsia="zh-CN"/>
        </w:rPr>
        <w:t>因此，</w:t>
      </w:r>
      <w:bookmarkStart w:id="65" w:name="_Toc13375"/>
      <w:r>
        <w:rPr>
          <w:rFonts w:hint="eastAsia"/>
          <w:color w:val="auto"/>
          <w:highlight w:val="none"/>
          <w:u w:val="single"/>
          <w:lang w:val="en-US" w:eastAsia="zh-CN"/>
        </w:rPr>
        <w:t>Y3、Y4、Y5断面预测模型采用采用完全混合模型的变体，如下：</w:t>
      </w:r>
    </w:p>
    <w:p w14:paraId="005E6E01">
      <w:pPr>
        <w:pStyle w:val="2"/>
        <w:bidi w:val="0"/>
        <w:rPr>
          <w:rFonts w:hint="default"/>
          <w:color w:val="auto"/>
          <w:highlight w:val="none"/>
          <w:u w:val="none"/>
          <w:lang w:val="en-US" w:eastAsia="zh-CN"/>
        </w:rPr>
      </w:pPr>
      <m:oMathPara>
        <m:oMath>
          <m:r>
            <m:rPr>
              <m:sty m:val="p"/>
            </m:rPr>
            <w:rPr>
              <w:rFonts w:hint="default" w:ascii="Cambria Math" w:hAnsi="Cambria Math"/>
              <w:color w:val="auto"/>
              <w:highlight w:val="none"/>
              <w:u w:val="none"/>
              <w:lang w:val="en-US" w:eastAsia="zh-CN"/>
            </w:rPr>
            <m:t>C=</m:t>
          </m:r>
          <m:f>
            <m:fPr>
              <m:ctrlPr>
                <w:rPr>
                  <w:rFonts w:hint="default" w:ascii="Cambria Math" w:hAnsi="Cambria Math"/>
                  <w:color w:val="auto"/>
                  <w:highlight w:val="none"/>
                  <w:u w:val="none"/>
                  <w:lang w:val="en-US" w:eastAsia="zh-CN"/>
                </w:rPr>
              </m:ctrlPr>
            </m:fPr>
            <m:num>
              <m:sSub>
                <m:sSubPr>
                  <m:ctrlPr>
                    <w:rPr>
                      <w:rFonts w:hint="default" w:ascii="Cambria Math" w:hAnsi="Cambria Math"/>
                      <w:color w:val="auto"/>
                      <w:highlight w:val="none"/>
                      <w:u w:val="none"/>
                      <w:lang w:val="en-US" w:eastAsia="zh-CN"/>
                    </w:rPr>
                  </m:ctrlPr>
                </m:sSubPr>
                <m:e>
                  <m:r>
                    <m:rPr>
                      <m:sty m:val="p"/>
                    </m:rPr>
                    <w:rPr>
                      <w:rFonts w:hint="default" w:ascii="Cambria Math" w:hAnsi="Cambria Math"/>
                      <w:color w:val="auto"/>
                      <w:highlight w:val="none"/>
                      <w:u w:val="none"/>
                      <w:lang w:val="en-US" w:eastAsia="zh-CN"/>
                    </w:rPr>
                    <m:t>C</m:t>
                  </m:r>
                  <m:ctrlPr>
                    <w:rPr>
                      <w:rFonts w:hint="default" w:ascii="Cambria Math" w:hAnsi="Cambria Math"/>
                      <w:color w:val="auto"/>
                      <w:highlight w:val="none"/>
                      <w:u w:val="none"/>
                      <w:lang w:val="en-US" w:eastAsia="zh-CN"/>
                    </w:rPr>
                  </m:ctrlPr>
                </m:e>
                <m:sub>
                  <m:r>
                    <m:rPr>
                      <m:sty m:val="p"/>
                    </m:rPr>
                    <w:rPr>
                      <w:rFonts w:hint="default" w:ascii="Cambria Math" w:hAnsi="Cambria Math"/>
                      <w:color w:val="auto"/>
                      <w:highlight w:val="none"/>
                      <w:u w:val="none"/>
                      <w:lang w:val="en-US" w:eastAsia="zh-CN"/>
                    </w:rPr>
                    <m:t>0</m:t>
                  </m:r>
                  <m:ctrlPr>
                    <w:rPr>
                      <w:rFonts w:hint="default" w:ascii="Cambria Math" w:hAnsi="Cambria Math"/>
                      <w:color w:val="auto"/>
                      <w:highlight w:val="none"/>
                      <w:u w:val="none"/>
                      <w:lang w:val="en-US" w:eastAsia="zh-CN"/>
                    </w:rPr>
                  </m:ctrlPr>
                </m:sub>
              </m:sSub>
              <m:r>
                <m:rPr>
                  <m:sty m:val="p"/>
                </m:rPr>
                <w:rPr>
                  <w:rFonts w:ascii="Cambria Math" w:hAnsi="Cambria Math"/>
                  <w:color w:val="auto"/>
                  <w:highlight w:val="none"/>
                  <w:u w:val="none"/>
                  <w:lang w:val="en-US"/>
                </w:rPr>
                <m:t>×</m:t>
              </m:r>
              <m:sSub>
                <m:sSubPr>
                  <m:ctrlPr>
                    <w:rPr>
                      <w:rFonts w:ascii="Cambria Math" w:hAnsi="Cambria Math"/>
                      <w:color w:val="auto"/>
                      <w:highlight w:val="none"/>
                      <w:u w:val="none"/>
                      <w:lang w:val="en-US"/>
                    </w:rPr>
                  </m:ctrlPr>
                </m:sSubPr>
                <m:e>
                  <m:r>
                    <m:rPr>
                      <m:sty m:val="p"/>
                    </m:rPr>
                    <w:rPr>
                      <w:rFonts w:hint="default" w:ascii="Cambria Math" w:hAnsi="Cambria Math"/>
                      <w:color w:val="auto"/>
                      <w:highlight w:val="none"/>
                      <w:u w:val="none"/>
                      <w:lang w:val="en-US" w:eastAsia="zh-CN"/>
                    </w:rPr>
                    <m:t>L</m:t>
                  </m:r>
                  <m:ctrlPr>
                    <w:rPr>
                      <w:rFonts w:ascii="Cambria Math" w:hAnsi="Cambria Math"/>
                      <w:color w:val="auto"/>
                      <w:highlight w:val="none"/>
                      <w:u w:val="none"/>
                      <w:lang w:val="en-US"/>
                    </w:rPr>
                  </m:ctrlPr>
                </m:e>
                <m:sub>
                  <m:r>
                    <m:rPr>
                      <m:sty m:val="p"/>
                    </m:rPr>
                    <w:rPr>
                      <w:rFonts w:hint="default" w:ascii="Cambria Math" w:hAnsi="Cambria Math"/>
                      <w:color w:val="auto"/>
                      <w:highlight w:val="none"/>
                      <w:u w:val="none"/>
                      <w:lang w:val="en-US" w:eastAsia="zh-CN"/>
                    </w:rPr>
                    <m:t>0</m:t>
                  </m:r>
                  <m:ctrlPr>
                    <w:rPr>
                      <w:rFonts w:ascii="Cambria Math" w:hAnsi="Cambria Math"/>
                      <w:color w:val="auto"/>
                      <w:highlight w:val="none"/>
                      <w:u w:val="none"/>
                      <w:lang w:val="en-US"/>
                    </w:rPr>
                  </m:ctrlPr>
                </m:sub>
              </m:sSub>
              <m:r>
                <m:rPr>
                  <m:sty m:val="p"/>
                </m:rPr>
                <w:rPr>
                  <w:rFonts w:hint="default" w:ascii="Cambria Math" w:hAnsi="Cambria Math"/>
                  <w:color w:val="auto"/>
                  <w:highlight w:val="none"/>
                  <w:u w:val="none"/>
                  <w:lang w:val="en-US" w:eastAsia="zh-CN"/>
                </w:rPr>
                <m:t>−T</m:t>
              </m:r>
              <m:ctrlPr>
                <w:rPr>
                  <w:rFonts w:hint="default" w:ascii="Cambria Math" w:hAnsi="Cambria Math"/>
                  <w:color w:val="auto"/>
                  <w:highlight w:val="none"/>
                  <w:u w:val="none"/>
                  <w:lang w:val="en-US" w:eastAsia="zh-CN"/>
                </w:rPr>
              </m:ctrlPr>
            </m:num>
            <m:den>
              <m:sSub>
                <m:sSubPr>
                  <m:ctrlPr>
                    <w:rPr>
                      <w:rFonts w:hint="default" w:ascii="Cambria Math" w:hAnsi="Cambria Math"/>
                      <w:color w:val="auto"/>
                      <w:highlight w:val="none"/>
                      <w:u w:val="none"/>
                      <w:lang w:val="en-US" w:eastAsia="zh-CN"/>
                    </w:rPr>
                  </m:ctrlPr>
                </m:sSubPr>
                <m:e>
                  <m:r>
                    <m:rPr>
                      <m:sty m:val="p"/>
                    </m:rPr>
                    <w:rPr>
                      <w:rFonts w:hint="default" w:ascii="Cambria Math" w:hAnsi="Cambria Math"/>
                      <w:color w:val="auto"/>
                      <w:highlight w:val="none"/>
                      <w:u w:val="none"/>
                      <w:lang w:val="en-US" w:eastAsia="zh-CN"/>
                    </w:rPr>
                    <m:t>L</m:t>
                  </m:r>
                  <m:ctrlPr>
                    <w:rPr>
                      <w:rFonts w:hint="default" w:ascii="Cambria Math" w:hAnsi="Cambria Math"/>
                      <w:color w:val="auto"/>
                      <w:highlight w:val="none"/>
                      <w:u w:val="none"/>
                      <w:lang w:val="en-US" w:eastAsia="zh-CN"/>
                    </w:rPr>
                  </m:ctrlPr>
                </m:e>
                <m:sub>
                  <m:r>
                    <m:rPr>
                      <m:sty m:val="p"/>
                    </m:rPr>
                    <w:rPr>
                      <w:rFonts w:hint="default" w:ascii="Cambria Math" w:hAnsi="Cambria Math"/>
                      <w:color w:val="auto"/>
                      <w:highlight w:val="none"/>
                      <w:u w:val="none"/>
                      <w:lang w:val="en-US" w:eastAsia="zh-CN"/>
                    </w:rPr>
                    <m:t>0</m:t>
                  </m:r>
                  <m:ctrlPr>
                    <w:rPr>
                      <w:rFonts w:hint="default" w:ascii="Cambria Math" w:hAnsi="Cambria Math"/>
                      <w:color w:val="auto"/>
                      <w:highlight w:val="none"/>
                      <w:u w:val="none"/>
                      <w:lang w:val="en-US" w:eastAsia="zh-CN"/>
                    </w:rPr>
                  </m:ctrlPr>
                </m:sub>
              </m:sSub>
              <m:ctrlPr>
                <w:rPr>
                  <w:rFonts w:hint="default" w:ascii="Cambria Math" w:hAnsi="Cambria Math"/>
                  <w:color w:val="auto"/>
                  <w:highlight w:val="none"/>
                  <w:u w:val="none"/>
                  <w:lang w:val="en-US" w:eastAsia="zh-CN"/>
                </w:rPr>
              </m:ctrlPr>
            </m:den>
          </m:f>
        </m:oMath>
      </m:oMathPara>
    </w:p>
    <w:p w14:paraId="39D0F55C">
      <w:pPr>
        <w:pStyle w:val="2"/>
        <w:bidi w:val="0"/>
        <w:rPr>
          <w:rFonts w:hint="eastAsia"/>
          <w:color w:val="auto"/>
          <w:highlight w:val="none"/>
          <w:u w:val="single"/>
          <w:lang w:val="en-US" w:eastAsia="zh-CN"/>
        </w:rPr>
      </w:pPr>
      <w:r>
        <w:rPr>
          <w:rFonts w:hint="eastAsia"/>
          <w:color w:val="auto"/>
          <w:highlight w:val="none"/>
          <w:u w:val="single"/>
          <w:lang w:val="en-US" w:eastAsia="zh-CN"/>
        </w:rPr>
        <w:t>上式中：C——预测断面预测浓度，mg/L；</w:t>
      </w:r>
    </w:p>
    <w:p w14:paraId="68077EBA">
      <w:pPr>
        <w:pStyle w:val="2"/>
        <w:bidi w:val="0"/>
        <w:rPr>
          <w:rFonts w:hint="eastAsia"/>
          <w:color w:val="auto"/>
          <w:highlight w:val="none"/>
          <w:u w:val="single"/>
          <w:lang w:val="en-US" w:eastAsia="zh-CN"/>
        </w:rPr>
      </w:pPr>
      <m:oMath>
        <m:sSub>
          <m:sSubPr>
            <m:ctrlPr>
              <w:rPr>
                <w:rFonts w:hint="default" w:ascii="Cambria Math" w:hAnsi="Cambria Math"/>
                <w:color w:val="auto"/>
                <w:highlight w:val="none"/>
                <w:u w:val="single"/>
                <w:lang w:val="en-US" w:eastAsia="zh-CN"/>
              </w:rPr>
            </m:ctrlPr>
          </m:sSubPr>
          <m:e>
            <m:r>
              <m:rPr>
                <m:sty m:val="p"/>
              </m:rPr>
              <w:rPr>
                <w:rFonts w:hint="default" w:ascii="Cambria Math" w:hAnsi="Cambria Math"/>
                <w:color w:val="auto"/>
                <w:highlight w:val="none"/>
                <w:u w:val="single"/>
                <w:lang w:val="en-US" w:eastAsia="zh-CN"/>
              </w:rPr>
              <m:t>C</m:t>
            </m:r>
            <m:ctrlPr>
              <w:rPr>
                <w:rFonts w:hint="default" w:ascii="Cambria Math" w:hAnsi="Cambria Math"/>
                <w:color w:val="auto"/>
                <w:highlight w:val="none"/>
                <w:u w:val="single"/>
                <w:lang w:val="en-US" w:eastAsia="zh-CN"/>
              </w:rPr>
            </m:ctrlPr>
          </m:e>
          <m:sub>
            <m:r>
              <m:rPr>
                <m:sty m:val="p"/>
              </m:rPr>
              <w:rPr>
                <w:rFonts w:hint="default" w:ascii="Cambria Math" w:hAnsi="Cambria Math"/>
                <w:color w:val="auto"/>
                <w:highlight w:val="none"/>
                <w:u w:val="single"/>
                <w:lang w:val="en-US" w:eastAsia="zh-CN"/>
              </w:rPr>
              <m:t>0</m:t>
            </m:r>
            <m:ctrlPr>
              <w:rPr>
                <w:rFonts w:hint="default" w:ascii="Cambria Math" w:hAnsi="Cambria Math"/>
                <w:color w:val="auto"/>
                <w:highlight w:val="none"/>
                <w:u w:val="single"/>
                <w:lang w:val="en-US" w:eastAsia="zh-CN"/>
              </w:rPr>
            </m:ctrlPr>
          </m:sub>
        </m:sSub>
      </m:oMath>
      <w:r>
        <w:rPr>
          <w:rFonts w:hint="eastAsia"/>
          <w:color w:val="auto"/>
          <w:highlight w:val="none"/>
          <w:u w:val="single"/>
          <w:lang w:val="en-US" w:eastAsia="zh-CN"/>
        </w:rPr>
        <w:t>——预测断面现状浓度，mg/L；</w:t>
      </w:r>
    </w:p>
    <w:p w14:paraId="22720572">
      <w:pPr>
        <w:pStyle w:val="2"/>
        <w:bidi w:val="0"/>
        <w:rPr>
          <w:rFonts w:hint="eastAsia"/>
          <w:color w:val="auto"/>
          <w:highlight w:val="none"/>
          <w:u w:val="single"/>
          <w:lang w:val="en-US" w:eastAsia="zh-CN"/>
        </w:rPr>
      </w:pPr>
      <m:oMath>
        <m:sSub>
          <m:sSubPr>
            <m:ctrlPr>
              <w:rPr>
                <w:rFonts w:ascii="Cambria Math" w:hAnsi="Cambria Math"/>
                <w:color w:val="auto"/>
                <w:highlight w:val="none"/>
                <w:u w:val="single"/>
                <w:lang w:val="en-US"/>
              </w:rPr>
            </m:ctrlPr>
          </m:sSubPr>
          <m:e>
            <m:r>
              <m:rPr>
                <m:sty m:val="p"/>
              </m:rPr>
              <w:rPr>
                <w:rFonts w:hint="default" w:ascii="Cambria Math" w:hAnsi="Cambria Math"/>
                <w:color w:val="auto"/>
                <w:highlight w:val="none"/>
                <w:u w:val="single"/>
                <w:lang w:val="en-US" w:eastAsia="zh-CN"/>
              </w:rPr>
              <m:t>L</m:t>
            </m:r>
            <m:ctrlPr>
              <w:rPr>
                <w:rFonts w:ascii="Cambria Math" w:hAnsi="Cambria Math"/>
                <w:color w:val="auto"/>
                <w:highlight w:val="none"/>
                <w:u w:val="single"/>
                <w:lang w:val="en-US"/>
              </w:rPr>
            </m:ctrlPr>
          </m:e>
          <m:sub>
            <m:r>
              <m:rPr>
                <m:sty m:val="p"/>
              </m:rPr>
              <w:rPr>
                <w:rFonts w:hint="default" w:ascii="Cambria Math" w:hAnsi="Cambria Math"/>
                <w:color w:val="auto"/>
                <w:highlight w:val="none"/>
                <w:u w:val="single"/>
                <w:lang w:val="en-US" w:eastAsia="zh-CN"/>
              </w:rPr>
              <m:t>0</m:t>
            </m:r>
            <m:ctrlPr>
              <w:rPr>
                <w:rFonts w:ascii="Cambria Math" w:hAnsi="Cambria Math"/>
                <w:color w:val="auto"/>
                <w:highlight w:val="none"/>
                <w:u w:val="single"/>
                <w:lang w:val="en-US"/>
              </w:rPr>
            </m:ctrlPr>
          </m:sub>
        </m:sSub>
      </m:oMath>
      <w:r>
        <w:rPr>
          <w:rFonts w:hint="eastAsia"/>
          <w:color w:val="auto"/>
          <w:highlight w:val="none"/>
          <w:u w:val="single"/>
          <w:lang w:val="en-US" w:eastAsia="zh-CN"/>
        </w:rPr>
        <w:t>——预测断面水量，m</w:t>
      </w:r>
      <w:r>
        <w:rPr>
          <w:rFonts w:hint="eastAsia"/>
          <w:color w:val="auto"/>
          <w:highlight w:val="none"/>
          <w:u w:val="single"/>
          <w:vertAlign w:val="superscript"/>
          <w:lang w:val="en-US" w:eastAsia="zh-CN"/>
        </w:rPr>
        <w:t>3</w:t>
      </w:r>
      <w:r>
        <w:rPr>
          <w:rFonts w:hint="eastAsia"/>
          <w:color w:val="auto"/>
          <w:highlight w:val="none"/>
          <w:u w:val="single"/>
          <w:lang w:val="en-US" w:eastAsia="zh-CN"/>
        </w:rPr>
        <w:t>/s；</w:t>
      </w:r>
    </w:p>
    <w:p w14:paraId="1DD479C6">
      <w:pPr>
        <w:pStyle w:val="2"/>
        <w:bidi w:val="0"/>
        <w:rPr>
          <w:rFonts w:hint="default"/>
          <w:color w:val="auto"/>
          <w:highlight w:val="none"/>
          <w:u w:val="single"/>
          <w:lang w:val="en-US" w:eastAsia="zh-CN"/>
        </w:rPr>
      </w:pPr>
      <w:r>
        <w:rPr>
          <w:rFonts w:hint="eastAsia"/>
          <w:color w:val="auto"/>
          <w:highlight w:val="none"/>
          <w:u w:val="single"/>
          <w:lang w:val="en-US" w:eastAsia="zh-CN"/>
        </w:rPr>
        <w:t>T——本项目污染物减排量，g/s。</w:t>
      </w:r>
    </w:p>
    <w:p w14:paraId="5726BB41">
      <w:pPr>
        <w:pStyle w:val="34"/>
        <w:tabs>
          <w:tab w:val="left" w:pos="1021"/>
        </w:tabs>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预测参数的选取</w:t>
      </w:r>
    </w:p>
    <w:p w14:paraId="2C79FCCA">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b/>
          <w:bCs/>
          <w:color w:val="auto"/>
          <w:highlight w:val="none"/>
        </w:rPr>
      </w:pPr>
      <w:r>
        <w:rPr>
          <w:rFonts w:hint="default"/>
          <w:b/>
          <w:bCs/>
          <w:color w:val="auto"/>
          <w:highlight w:val="none"/>
        </w:rPr>
        <w:t>一</w:t>
      </w:r>
      <w:bookmarkEnd w:id="65"/>
      <w:r>
        <w:rPr>
          <w:rFonts w:hint="default"/>
          <w:b/>
          <w:bCs/>
          <w:color w:val="auto"/>
          <w:highlight w:val="none"/>
        </w:rPr>
        <w:t>、</w:t>
      </w:r>
      <w:r>
        <w:rPr>
          <w:rFonts w:hint="default"/>
          <w:b/>
          <w:bCs/>
          <w:color w:val="auto"/>
          <w:highlight w:val="none"/>
          <w:lang w:val="en-US" w:eastAsia="zh-CN"/>
        </w:rPr>
        <w:t>渣滓溪</w:t>
      </w:r>
      <w:r>
        <w:rPr>
          <w:rFonts w:hint="eastAsia"/>
          <w:b/>
          <w:bCs/>
          <w:color w:val="auto"/>
          <w:highlight w:val="none"/>
          <w:lang w:val="en-US" w:eastAsia="zh-CN"/>
        </w:rPr>
        <w:t>、</w:t>
      </w:r>
      <w:r>
        <w:rPr>
          <w:rFonts w:hint="default"/>
          <w:b/>
          <w:bCs/>
          <w:color w:val="auto"/>
          <w:highlight w:val="none"/>
          <w:lang w:val="en-US" w:eastAsia="zh-CN"/>
        </w:rPr>
        <w:t>白茅溪、奎溪、洋溪</w:t>
      </w:r>
      <w:r>
        <w:rPr>
          <w:rFonts w:hint="eastAsia"/>
          <w:b/>
          <w:bCs/>
          <w:color w:val="auto"/>
          <w:highlight w:val="none"/>
          <w:lang w:val="en-US" w:eastAsia="zh-CN"/>
        </w:rPr>
        <w:t>、资江</w:t>
      </w:r>
      <w:r>
        <w:rPr>
          <w:rFonts w:hint="default"/>
          <w:b/>
          <w:bCs/>
          <w:color w:val="auto"/>
          <w:highlight w:val="none"/>
        </w:rPr>
        <w:t>水文参数的选择</w:t>
      </w:r>
    </w:p>
    <w:p w14:paraId="602FABD1">
      <w:pPr>
        <w:pStyle w:val="2"/>
        <w:bidi w:val="0"/>
        <w:rPr>
          <w:rFonts w:hint="default"/>
          <w:color w:val="auto"/>
          <w:highlight w:val="none"/>
          <w:lang w:val="en-US" w:eastAsia="zh-CN"/>
        </w:rPr>
      </w:pPr>
      <w:r>
        <w:rPr>
          <w:rFonts w:hint="default"/>
          <w:color w:val="auto"/>
          <w:highlight w:val="none"/>
          <w:lang w:val="en-US" w:eastAsia="zh-CN"/>
        </w:rPr>
        <w:t>本项目排污口所在渣滓溪</w:t>
      </w:r>
      <w:r>
        <w:rPr>
          <w:rFonts w:hint="eastAsia"/>
          <w:color w:val="auto"/>
          <w:highlight w:val="none"/>
          <w:lang w:val="en-US" w:eastAsia="zh-CN"/>
        </w:rPr>
        <w:t>，以及下游的白茅溪、奎溪、洋溪均无</w:t>
      </w:r>
      <w:r>
        <w:rPr>
          <w:rFonts w:hint="default"/>
          <w:color w:val="auto"/>
          <w:highlight w:val="none"/>
          <w:lang w:val="en-US" w:eastAsia="zh-CN"/>
        </w:rPr>
        <w:t>水文（位）站、雨量站，因而该流域无实测水位、流量、雨量及泥沙资料，无法取得环评地表水影响预测河段长期观测数据。根据《水利水电工程水文计算规范》（SL/T278—2020）等相关技术规范，可采用水文比拟法推求相关河段水文参数。</w:t>
      </w:r>
    </w:p>
    <w:p w14:paraId="43D748AA">
      <w:pPr>
        <w:pStyle w:val="2"/>
        <w:bidi w:val="0"/>
        <w:rPr>
          <w:rFonts w:hint="default"/>
          <w:color w:val="auto"/>
          <w:highlight w:val="none"/>
          <w:lang w:val="en-US" w:eastAsia="zh-CN"/>
        </w:rPr>
      </w:pPr>
      <w:r>
        <w:rPr>
          <w:rFonts w:hint="default"/>
          <w:color w:val="auto"/>
          <w:highlight w:val="none"/>
          <w:lang w:val="en-US" w:eastAsia="zh-CN"/>
        </w:rPr>
        <w:t>①计算公式</w:t>
      </w:r>
    </w:p>
    <w:p w14:paraId="01721A00">
      <w:pPr>
        <w:pStyle w:val="2"/>
        <w:bidi w:val="0"/>
        <w:rPr>
          <w:rFonts w:hint="default"/>
          <w:color w:val="auto"/>
          <w:highlight w:val="none"/>
          <w:lang w:val="en-US" w:eastAsia="zh-CN"/>
        </w:rPr>
      </w:pPr>
      <w:r>
        <w:rPr>
          <w:rFonts w:hint="default"/>
          <w:color w:val="auto"/>
          <w:highlight w:val="none"/>
          <w:lang w:val="en-US" w:eastAsia="zh-CN"/>
        </w:rPr>
        <w:t>根据规范要求，当工程地址与设计依据站的集水面积相差不超过15%，且区间降水、下垫面条件与设计依据站以上流域相似时，可按面积比推算工程地址的径流量。当两者集水面积相差超过15%，或虽不足15%，但区间降水、下垫面条件与设计依据站以上流域差异较大时，应考虑区间与设计依据站以上流域降水、下垫面条件的差异，推算工程地址的径流量。</w:t>
      </w:r>
    </w:p>
    <w:p w14:paraId="103AAE9A">
      <w:pPr>
        <w:pStyle w:val="2"/>
        <w:bidi w:val="0"/>
        <w:rPr>
          <w:rFonts w:hint="default"/>
          <w:color w:val="auto"/>
          <w:highlight w:val="none"/>
          <w:u w:val="single"/>
          <w:lang w:eastAsia="zh-CN"/>
        </w:rPr>
      </w:pPr>
      <w:r>
        <w:rPr>
          <w:rFonts w:hint="default"/>
          <w:color w:val="auto"/>
          <w:highlight w:val="none"/>
          <w:u w:val="single"/>
          <w:lang w:val="en-US" w:eastAsia="zh-CN"/>
        </w:rPr>
        <w:t>本次评价采用</w:t>
      </w:r>
      <w:r>
        <w:rPr>
          <w:rFonts w:hint="eastAsia"/>
          <w:color w:val="auto"/>
          <w:highlight w:val="none"/>
          <w:u w:val="single"/>
          <w:lang w:val="en-US" w:eastAsia="zh-CN"/>
        </w:rPr>
        <w:t>距离项目选址30km处的梧桐水文站作为</w:t>
      </w:r>
      <w:r>
        <w:rPr>
          <w:rFonts w:hint="default"/>
          <w:color w:val="auto"/>
          <w:highlight w:val="none"/>
          <w:u w:val="single"/>
        </w:rPr>
        <w:t>参证站</w:t>
      </w:r>
      <w:r>
        <w:rPr>
          <w:rFonts w:hint="default"/>
          <w:color w:val="auto"/>
          <w:highlight w:val="none"/>
          <w:u w:val="single"/>
          <w:lang w:eastAsia="zh-CN"/>
        </w:rPr>
        <w:t>，</w:t>
      </w:r>
      <w:r>
        <w:rPr>
          <w:rFonts w:hint="default"/>
          <w:color w:val="auto"/>
          <w:highlight w:val="none"/>
          <w:u w:val="single"/>
          <w:lang w:val="en-US" w:eastAsia="zh-CN"/>
        </w:rPr>
        <w:t>梧桐水文站集雨面积为</w:t>
      </w:r>
      <w:r>
        <w:rPr>
          <w:rFonts w:hint="eastAsia"/>
          <w:color w:val="auto"/>
          <w:highlight w:val="none"/>
          <w:u w:val="single"/>
          <w:lang w:val="en-US" w:eastAsia="zh-CN"/>
        </w:rPr>
        <w:t>57</w:t>
      </w:r>
      <w:r>
        <w:rPr>
          <w:rFonts w:hint="default"/>
          <w:color w:val="auto"/>
          <w:highlight w:val="none"/>
          <w:u w:val="single"/>
          <w:lang w:val="en-US" w:eastAsia="zh-CN"/>
        </w:rPr>
        <w:t>0</w:t>
      </w:r>
      <w:r>
        <w:rPr>
          <w:rFonts w:hint="default"/>
          <w:color w:val="auto"/>
          <w:highlight w:val="none"/>
          <w:u w:val="single"/>
        </w:rPr>
        <w:t>k</w:t>
      </w:r>
      <w:r>
        <w:rPr>
          <w:rFonts w:hint="eastAsia"/>
          <w:color w:val="auto"/>
          <w:highlight w:val="none"/>
          <w:u w:val="single"/>
          <w:lang w:eastAsia="zh-CN"/>
        </w:rPr>
        <w:t>m</w:t>
      </w:r>
      <w:r>
        <w:rPr>
          <w:rFonts w:hint="eastAsia"/>
          <w:color w:val="auto"/>
          <w:highlight w:val="none"/>
          <w:u w:val="single"/>
          <w:vertAlign w:val="superscript"/>
          <w:lang w:eastAsia="zh-CN"/>
        </w:rPr>
        <w:t>2</w:t>
      </w:r>
      <w:r>
        <w:rPr>
          <w:rFonts w:hint="default"/>
          <w:color w:val="auto"/>
          <w:highlight w:val="none"/>
          <w:u w:val="single"/>
          <w:lang w:val="en-US" w:eastAsia="zh-CN"/>
        </w:rPr>
        <w:t>；</w:t>
      </w:r>
      <w:r>
        <w:rPr>
          <w:rFonts w:hint="eastAsia"/>
          <w:color w:val="auto"/>
          <w:highlight w:val="none"/>
          <w:u w:val="single"/>
          <w:lang w:val="en-US" w:eastAsia="zh-CN"/>
        </w:rPr>
        <w:t>该</w:t>
      </w:r>
      <w:r>
        <w:rPr>
          <w:rFonts w:hint="default"/>
          <w:color w:val="auto"/>
          <w:highlight w:val="none"/>
          <w:u w:val="single"/>
          <w:lang w:val="en-US" w:eastAsia="zh-CN"/>
        </w:rPr>
        <w:t>区域</w:t>
      </w:r>
      <w:r>
        <w:rPr>
          <w:rFonts w:hint="eastAsia"/>
          <w:color w:val="auto"/>
          <w:highlight w:val="none"/>
          <w:u w:val="single"/>
          <w:lang w:val="en-US" w:eastAsia="zh-CN"/>
        </w:rPr>
        <w:t>与本项目地表水预测河段区域的</w:t>
      </w:r>
      <w:r>
        <w:rPr>
          <w:rFonts w:hint="default"/>
          <w:color w:val="auto"/>
          <w:highlight w:val="none"/>
          <w:u w:val="single"/>
          <w:lang w:val="en-US" w:eastAsia="zh-CN"/>
        </w:rPr>
        <w:t>下垫面条件相近</w:t>
      </w:r>
      <w:r>
        <w:rPr>
          <w:rFonts w:hint="eastAsia"/>
          <w:color w:val="auto"/>
          <w:highlight w:val="none"/>
          <w:u w:val="single"/>
          <w:lang w:val="en-US" w:eastAsia="zh-CN"/>
        </w:rPr>
        <w:t>，</w:t>
      </w:r>
      <w:r>
        <w:rPr>
          <w:rFonts w:hint="default"/>
          <w:color w:val="auto"/>
          <w:highlight w:val="none"/>
          <w:u w:val="single"/>
          <w:lang w:val="en-US" w:eastAsia="zh-CN"/>
        </w:rPr>
        <w:t>降水条件</w:t>
      </w:r>
      <w:r>
        <w:rPr>
          <w:rFonts w:hint="eastAsia"/>
          <w:color w:val="auto"/>
          <w:highlight w:val="none"/>
          <w:u w:val="single"/>
          <w:lang w:val="en-US" w:eastAsia="zh-CN"/>
        </w:rPr>
        <w:t>相近</w:t>
      </w:r>
      <w:r>
        <w:rPr>
          <w:rFonts w:hint="default"/>
          <w:color w:val="auto"/>
          <w:highlight w:val="none"/>
          <w:u w:val="single"/>
          <w:lang w:val="en-US" w:eastAsia="zh-CN"/>
        </w:rPr>
        <w:t>。</w:t>
      </w:r>
      <w:r>
        <w:rPr>
          <w:rFonts w:hint="eastAsia"/>
          <w:color w:val="auto"/>
          <w:highlight w:val="none"/>
          <w:u w:val="single"/>
          <w:lang w:val="en-US" w:eastAsia="zh-CN"/>
        </w:rPr>
        <w:t>资江断面采用下游距离项目选址120km处的桃江水文站作为</w:t>
      </w:r>
      <w:r>
        <w:rPr>
          <w:rFonts w:hint="default"/>
          <w:color w:val="auto"/>
          <w:highlight w:val="none"/>
          <w:u w:val="single"/>
        </w:rPr>
        <w:t>参证站</w:t>
      </w:r>
      <w:r>
        <w:rPr>
          <w:rFonts w:hint="default"/>
          <w:color w:val="auto"/>
          <w:highlight w:val="none"/>
          <w:u w:val="single"/>
          <w:lang w:eastAsia="zh-CN"/>
        </w:rPr>
        <w:t>，</w:t>
      </w:r>
      <w:r>
        <w:rPr>
          <w:rFonts w:hint="eastAsia"/>
          <w:color w:val="auto"/>
          <w:highlight w:val="none"/>
          <w:u w:val="single"/>
          <w:lang w:val="en-US" w:eastAsia="zh-CN"/>
        </w:rPr>
        <w:t>桃江</w:t>
      </w:r>
      <w:r>
        <w:rPr>
          <w:rFonts w:hint="default"/>
          <w:color w:val="auto"/>
          <w:highlight w:val="none"/>
          <w:u w:val="single"/>
          <w:lang w:val="en-US" w:eastAsia="zh-CN"/>
        </w:rPr>
        <w:t>水文站集雨面积为</w:t>
      </w:r>
      <w:r>
        <w:rPr>
          <w:rFonts w:hint="eastAsia"/>
          <w:color w:val="auto"/>
          <w:highlight w:val="none"/>
          <w:u w:val="single"/>
          <w:lang w:val="en-US" w:eastAsia="zh-CN"/>
        </w:rPr>
        <w:t>2710</w:t>
      </w:r>
      <w:r>
        <w:rPr>
          <w:rFonts w:hint="default"/>
          <w:color w:val="auto"/>
          <w:highlight w:val="none"/>
          <w:u w:val="single"/>
          <w:lang w:val="en-US" w:eastAsia="zh-CN"/>
        </w:rPr>
        <w:t>0</w:t>
      </w:r>
      <w:r>
        <w:rPr>
          <w:rFonts w:hint="default"/>
          <w:color w:val="auto"/>
          <w:highlight w:val="none"/>
          <w:u w:val="single"/>
        </w:rPr>
        <w:t>k</w:t>
      </w:r>
      <w:r>
        <w:rPr>
          <w:rFonts w:hint="eastAsia"/>
          <w:color w:val="auto"/>
          <w:highlight w:val="none"/>
          <w:u w:val="single"/>
          <w:lang w:eastAsia="zh-CN"/>
        </w:rPr>
        <w:t>m</w:t>
      </w:r>
      <w:r>
        <w:rPr>
          <w:rFonts w:hint="eastAsia"/>
          <w:color w:val="auto"/>
          <w:highlight w:val="none"/>
          <w:u w:val="single"/>
          <w:vertAlign w:val="superscript"/>
          <w:lang w:eastAsia="zh-CN"/>
        </w:rPr>
        <w:t>2</w:t>
      </w:r>
      <w:r>
        <w:rPr>
          <w:rFonts w:hint="default"/>
          <w:color w:val="auto"/>
          <w:highlight w:val="none"/>
          <w:u w:val="single"/>
          <w:lang w:val="en-US" w:eastAsia="zh-CN"/>
        </w:rPr>
        <w:t>；</w:t>
      </w:r>
      <w:r>
        <w:rPr>
          <w:rFonts w:hint="eastAsia"/>
          <w:color w:val="auto"/>
          <w:highlight w:val="none"/>
          <w:u w:val="single"/>
          <w:lang w:val="en-US" w:eastAsia="zh-CN"/>
        </w:rPr>
        <w:t>该</w:t>
      </w:r>
      <w:r>
        <w:rPr>
          <w:rFonts w:hint="default"/>
          <w:color w:val="auto"/>
          <w:highlight w:val="none"/>
          <w:u w:val="single"/>
          <w:lang w:val="en-US" w:eastAsia="zh-CN"/>
        </w:rPr>
        <w:t>区域</w:t>
      </w:r>
      <w:r>
        <w:rPr>
          <w:rFonts w:hint="eastAsia"/>
          <w:color w:val="auto"/>
          <w:highlight w:val="none"/>
          <w:u w:val="single"/>
          <w:lang w:val="en-US" w:eastAsia="zh-CN"/>
        </w:rPr>
        <w:t>与本项目地表水预测河段区域的</w:t>
      </w:r>
      <w:r>
        <w:rPr>
          <w:rFonts w:hint="default"/>
          <w:color w:val="auto"/>
          <w:highlight w:val="none"/>
          <w:u w:val="single"/>
          <w:lang w:val="en-US" w:eastAsia="zh-CN"/>
        </w:rPr>
        <w:t>下垫面条件相近</w:t>
      </w:r>
      <w:r>
        <w:rPr>
          <w:rFonts w:hint="eastAsia"/>
          <w:color w:val="auto"/>
          <w:highlight w:val="none"/>
          <w:u w:val="single"/>
          <w:lang w:val="en-US" w:eastAsia="zh-CN"/>
        </w:rPr>
        <w:t>，</w:t>
      </w:r>
      <w:r>
        <w:rPr>
          <w:rFonts w:hint="default"/>
          <w:color w:val="auto"/>
          <w:highlight w:val="none"/>
          <w:u w:val="single"/>
          <w:lang w:val="en-US" w:eastAsia="zh-CN"/>
        </w:rPr>
        <w:t>降水条件</w:t>
      </w:r>
      <w:r>
        <w:rPr>
          <w:rFonts w:hint="eastAsia"/>
          <w:color w:val="auto"/>
          <w:highlight w:val="none"/>
          <w:u w:val="single"/>
          <w:lang w:val="en-US" w:eastAsia="zh-CN"/>
        </w:rPr>
        <w:t>相近</w:t>
      </w:r>
      <w:r>
        <w:rPr>
          <w:rFonts w:hint="default"/>
          <w:color w:val="auto"/>
          <w:highlight w:val="none"/>
          <w:u w:val="single"/>
          <w:lang w:val="en-US" w:eastAsia="zh-CN"/>
        </w:rPr>
        <w:t>。因此，</w:t>
      </w:r>
      <w:r>
        <w:rPr>
          <w:rFonts w:hint="default"/>
          <w:color w:val="auto"/>
          <w:highlight w:val="none"/>
          <w:u w:val="single"/>
        </w:rPr>
        <w:t>本报告以</w:t>
      </w:r>
      <w:r>
        <w:rPr>
          <w:rFonts w:hint="default"/>
          <w:color w:val="auto"/>
          <w:highlight w:val="none"/>
          <w:u w:val="single"/>
          <w:lang w:val="en-US" w:eastAsia="zh-CN"/>
        </w:rPr>
        <w:t>梧桐</w:t>
      </w:r>
      <w:r>
        <w:rPr>
          <w:rFonts w:hint="default"/>
          <w:color w:val="auto"/>
          <w:highlight w:val="none"/>
          <w:u w:val="single"/>
          <w:lang w:eastAsia="zh-CN"/>
        </w:rPr>
        <w:t>水文站</w:t>
      </w:r>
      <w:r>
        <w:rPr>
          <w:rFonts w:hint="eastAsia"/>
          <w:color w:val="auto"/>
          <w:highlight w:val="none"/>
          <w:u w:val="single"/>
          <w:lang w:eastAsia="zh-CN"/>
        </w:rPr>
        <w:t>、</w:t>
      </w:r>
      <w:r>
        <w:rPr>
          <w:rFonts w:hint="eastAsia"/>
          <w:color w:val="auto"/>
          <w:highlight w:val="none"/>
          <w:u w:val="single"/>
          <w:lang w:val="en-US" w:eastAsia="zh-CN"/>
        </w:rPr>
        <w:t>桃江水文站为参证站</w:t>
      </w:r>
      <w:r>
        <w:rPr>
          <w:rFonts w:hint="default"/>
          <w:color w:val="auto"/>
          <w:highlight w:val="none"/>
          <w:u w:val="single"/>
        </w:rPr>
        <w:t>，通过水文比拟法</w:t>
      </w:r>
      <w:r>
        <w:rPr>
          <w:rFonts w:hint="default"/>
          <w:color w:val="auto"/>
          <w:highlight w:val="none"/>
          <w:u w:val="single"/>
          <w:lang w:val="en-US" w:eastAsia="zh-CN"/>
        </w:rPr>
        <w:t>，</w:t>
      </w:r>
      <w:r>
        <w:rPr>
          <w:rFonts w:hint="default"/>
          <w:color w:val="auto"/>
          <w:highlight w:val="none"/>
          <w:u w:val="single"/>
        </w:rPr>
        <w:t>并采用多年平均降雨进行修正</w:t>
      </w:r>
      <w:r>
        <w:rPr>
          <w:rFonts w:hint="default"/>
          <w:color w:val="auto"/>
          <w:highlight w:val="none"/>
          <w:u w:val="single"/>
          <w:lang w:eastAsia="zh-CN"/>
        </w:rPr>
        <w:t>，</w:t>
      </w:r>
      <w:r>
        <w:rPr>
          <w:rFonts w:hint="default"/>
          <w:color w:val="auto"/>
          <w:highlight w:val="none"/>
          <w:u w:val="single"/>
          <w:lang w:val="en-US" w:eastAsia="zh-CN"/>
        </w:rPr>
        <w:t>推算</w:t>
      </w:r>
      <w:r>
        <w:rPr>
          <w:rFonts w:hint="eastAsia"/>
          <w:color w:val="auto"/>
          <w:highlight w:val="none"/>
          <w:u w:val="single"/>
          <w:lang w:val="en-US" w:eastAsia="zh-CN"/>
        </w:rPr>
        <w:t>各预测断面</w:t>
      </w:r>
      <w:r>
        <w:rPr>
          <w:rFonts w:hint="default"/>
          <w:color w:val="auto"/>
          <w:highlight w:val="none"/>
          <w:u w:val="single"/>
          <w:lang w:val="en-US" w:eastAsia="zh-CN"/>
        </w:rPr>
        <w:t>相关河流流量</w:t>
      </w:r>
      <w:r>
        <w:rPr>
          <w:rFonts w:hint="default"/>
          <w:color w:val="auto"/>
          <w:highlight w:val="none"/>
          <w:u w:val="single"/>
          <w:lang w:eastAsia="zh-CN"/>
        </w:rPr>
        <w:t>。</w:t>
      </w:r>
    </w:p>
    <w:p w14:paraId="2186ACB5">
      <w:pPr>
        <w:pStyle w:val="2"/>
        <w:bidi w:val="0"/>
        <w:rPr>
          <w:rFonts w:hint="default"/>
          <w:color w:val="auto"/>
          <w:highlight w:val="none"/>
        </w:rPr>
      </w:pPr>
      <w:r>
        <w:rPr>
          <w:rFonts w:hint="default"/>
          <w:color w:val="auto"/>
          <w:highlight w:val="none"/>
          <w:lang w:val="en-US" w:eastAsia="zh-CN"/>
        </w:rPr>
        <w:t>选取</w:t>
      </w:r>
      <w:r>
        <w:rPr>
          <w:rFonts w:hint="default"/>
          <w:color w:val="auto"/>
          <w:highlight w:val="none"/>
        </w:rPr>
        <w:t>公式如下：</w:t>
      </w:r>
    </w:p>
    <w:p w14:paraId="7486C490">
      <w:pPr>
        <w:pStyle w:val="2"/>
        <w:bidi w:val="0"/>
        <w:rPr>
          <w:rFonts w:hint="default"/>
          <w:color w:val="auto"/>
          <w:highlight w:val="none"/>
        </w:rPr>
      </w:pPr>
      <w:r>
        <w:rPr>
          <w:rFonts w:hint="default" w:ascii="Times New Roman" w:hAnsi="Times New Roman" w:eastAsia="宋体" w:cs="Times New Roman"/>
          <w:color w:val="auto"/>
          <w:kern w:val="0"/>
          <w:position w:val="-10"/>
          <w:szCs w:val="24"/>
          <w:highlight w:val="none"/>
        </w:rPr>
        <w:object>
          <v:shape id="_x0000_i1037" o:spt="75" type="#_x0000_t75" style="height:17.25pt;width:9pt;" o:ole="t" filled="f" o:preferrelative="t" stroked="f" coordsize="21600,21600">
            <v:path/>
            <v:fill on="f" focussize="0,0"/>
            <v:stroke on="f" joinstyle="miter"/>
            <v:imagedata r:id="rId48" o:title=""/>
            <o:lock v:ext="edit" aspectratio="t"/>
            <w10:wrap type="none"/>
            <w10:anchorlock/>
          </v:shape>
          <o:OLEObject Type="Embed" ProgID="Equation.3" ShapeID="_x0000_i1037" DrawAspect="Content" ObjectID="_1468075737" r:id="rId60">
            <o:LockedField>false</o:LockedField>
          </o:OLEObject>
        </w:object>
      </w:r>
      <w:r>
        <w:rPr>
          <w:rFonts w:hint="default" w:ascii="Times New Roman" w:hAnsi="Times New Roman" w:eastAsia="宋体" w:cs="Times New Roman"/>
          <w:color w:val="auto"/>
          <w:kern w:val="0"/>
          <w:position w:val="-12"/>
          <w:szCs w:val="24"/>
          <w:highlight w:val="none"/>
        </w:rPr>
        <w:object>
          <v:shape id="_x0000_i1038" o:spt="75" type="#_x0000_t75" style="height:22.5pt;width:169.5pt;" o:ole="t" filled="f" o:preferrelative="t" stroked="f" coordsize="21600,21600">
            <v:path/>
            <v:fill on="f" focussize="0,0"/>
            <v:stroke on="f" joinstyle="miter"/>
            <v:imagedata r:id="rId50" o:title=""/>
            <o:lock v:ext="edit" aspectratio="t"/>
            <w10:wrap type="none"/>
            <w10:anchorlock/>
          </v:shape>
          <o:OLEObject Type="Embed" ProgID="Equation.3" ShapeID="_x0000_i1038" DrawAspect="Content" ObjectID="_1468075738" r:id="rId61">
            <o:LockedField>false</o:LockedField>
          </o:OLEObject>
        </w:object>
      </w:r>
    </w:p>
    <w:p w14:paraId="5E36D9E4">
      <w:pPr>
        <w:pStyle w:val="2"/>
        <w:bidi w:val="0"/>
        <w:rPr>
          <w:rFonts w:hint="default"/>
          <w:color w:val="auto"/>
          <w:highlight w:val="none"/>
        </w:rPr>
      </w:pPr>
      <w:r>
        <w:rPr>
          <w:rFonts w:hint="default"/>
          <w:color w:val="auto"/>
          <w:highlight w:val="none"/>
        </w:rPr>
        <w:t>式中：Q设、Q参——设计流域、参证流域的流量，</w:t>
      </w:r>
      <w:r>
        <w:rPr>
          <w:rFonts w:hint="eastAsia"/>
          <w:color w:val="auto"/>
          <w:highlight w:val="none"/>
          <w:lang w:eastAsia="zh-CN"/>
        </w:rPr>
        <w:t>m</w:t>
      </w:r>
      <w:r>
        <w:rPr>
          <w:rFonts w:hint="eastAsia"/>
          <w:color w:val="auto"/>
          <w:highlight w:val="none"/>
          <w:vertAlign w:val="superscript"/>
          <w:lang w:eastAsia="zh-CN"/>
        </w:rPr>
        <w:t>3</w:t>
      </w:r>
      <w:r>
        <w:rPr>
          <w:rFonts w:hint="default"/>
          <w:color w:val="auto"/>
          <w:highlight w:val="none"/>
        </w:rPr>
        <w:t>/s；</w:t>
      </w:r>
    </w:p>
    <w:p w14:paraId="26EAFDEA">
      <w:pPr>
        <w:pStyle w:val="2"/>
        <w:bidi w:val="0"/>
        <w:rPr>
          <w:rFonts w:hint="default"/>
          <w:color w:val="auto"/>
          <w:highlight w:val="none"/>
        </w:rPr>
      </w:pPr>
      <w:r>
        <w:rPr>
          <w:rFonts w:hint="default"/>
          <w:color w:val="auto"/>
          <w:highlight w:val="none"/>
        </w:rPr>
        <w:t>F设、F参——设计流域、参证流域的集雨面积，k</w:t>
      </w:r>
      <w:r>
        <w:rPr>
          <w:rFonts w:hint="eastAsia"/>
          <w:color w:val="auto"/>
          <w:highlight w:val="none"/>
          <w:lang w:eastAsia="zh-CN"/>
        </w:rPr>
        <w:t>m</w:t>
      </w:r>
      <w:r>
        <w:rPr>
          <w:rFonts w:hint="eastAsia"/>
          <w:color w:val="auto"/>
          <w:highlight w:val="none"/>
          <w:vertAlign w:val="superscript"/>
          <w:lang w:eastAsia="zh-CN"/>
        </w:rPr>
        <w:t>2</w:t>
      </w:r>
      <w:r>
        <w:rPr>
          <w:rFonts w:hint="default"/>
          <w:color w:val="auto"/>
          <w:highlight w:val="none"/>
        </w:rPr>
        <w:t>，</w:t>
      </w:r>
    </w:p>
    <w:p w14:paraId="2285010F">
      <w:pPr>
        <w:pStyle w:val="2"/>
        <w:bidi w:val="0"/>
        <w:rPr>
          <w:rFonts w:hint="default"/>
          <w:color w:val="auto"/>
          <w:highlight w:val="none"/>
        </w:rPr>
      </w:pPr>
      <w:r>
        <w:rPr>
          <w:rFonts w:hint="default"/>
          <w:color w:val="auto"/>
          <w:highlight w:val="none"/>
        </w:rPr>
        <w:t>P设、P参——设计流域、参证流域的多年平均降雨量，mm。</w:t>
      </w:r>
    </w:p>
    <w:p w14:paraId="77B0BE1C">
      <w:pPr>
        <w:pStyle w:val="2"/>
        <w:bidi w:val="0"/>
        <w:rPr>
          <w:rFonts w:hint="default"/>
          <w:color w:val="auto"/>
          <w:highlight w:val="none"/>
          <w:lang w:val="en-US" w:eastAsia="zh-CN"/>
        </w:rPr>
      </w:pPr>
      <w:r>
        <w:rPr>
          <w:rFonts w:hint="default"/>
          <w:color w:val="auto"/>
          <w:highlight w:val="none"/>
          <w:lang w:val="en-US" w:eastAsia="zh-CN"/>
        </w:rPr>
        <w:t>②计算参数</w:t>
      </w:r>
    </w:p>
    <w:p w14:paraId="5532A557">
      <w:pPr>
        <w:pStyle w:val="2"/>
        <w:bidi w:val="0"/>
        <w:rPr>
          <w:rFonts w:hint="default"/>
          <w:color w:val="auto"/>
          <w:highlight w:val="none"/>
        </w:rPr>
      </w:pPr>
      <w:r>
        <w:rPr>
          <w:rFonts w:hint="default"/>
          <w:color w:val="auto"/>
          <w:highlight w:val="none"/>
        </w:rPr>
        <w:t>经对</w:t>
      </w:r>
      <w:r>
        <w:rPr>
          <w:rFonts w:hint="eastAsia"/>
          <w:color w:val="auto"/>
          <w:highlight w:val="none"/>
          <w:lang w:val="en-US" w:eastAsia="zh-CN"/>
        </w:rPr>
        <w:t>梧桐</w:t>
      </w:r>
      <w:r>
        <w:rPr>
          <w:rFonts w:hint="default"/>
          <w:color w:val="auto"/>
          <w:highlight w:val="none"/>
          <w:lang w:eastAsia="zh-CN"/>
        </w:rPr>
        <w:t>文站</w:t>
      </w:r>
      <w:r>
        <w:rPr>
          <w:rFonts w:hint="default"/>
          <w:color w:val="auto"/>
          <w:highlight w:val="none"/>
          <w:lang w:val="en-US" w:eastAsia="zh-CN"/>
        </w:rPr>
        <w:t>2013</w:t>
      </w:r>
      <w:r>
        <w:rPr>
          <w:rFonts w:hint="default"/>
          <w:color w:val="auto"/>
          <w:highlight w:val="none"/>
          <w:lang w:eastAsia="zh-CN"/>
        </w:rPr>
        <w:t>～20</w:t>
      </w:r>
      <w:r>
        <w:rPr>
          <w:rFonts w:hint="default"/>
          <w:color w:val="auto"/>
          <w:highlight w:val="none"/>
          <w:lang w:val="en-US" w:eastAsia="zh-CN"/>
        </w:rPr>
        <w:t>2</w:t>
      </w:r>
      <w:r>
        <w:rPr>
          <w:rFonts w:hint="eastAsia"/>
          <w:color w:val="auto"/>
          <w:highlight w:val="none"/>
          <w:lang w:val="en-US" w:eastAsia="zh-CN"/>
        </w:rPr>
        <w:t>3</w:t>
      </w:r>
      <w:r>
        <w:rPr>
          <w:rFonts w:hint="default"/>
          <w:color w:val="auto"/>
          <w:highlight w:val="none"/>
          <w:lang w:eastAsia="zh-CN"/>
        </w:rPr>
        <w:t>年的共</w:t>
      </w:r>
      <w:r>
        <w:rPr>
          <w:rFonts w:hint="default"/>
          <w:color w:val="auto"/>
          <w:highlight w:val="none"/>
          <w:lang w:val="en-US" w:eastAsia="zh-CN"/>
        </w:rPr>
        <w:t>1</w:t>
      </w:r>
      <w:r>
        <w:rPr>
          <w:rFonts w:hint="eastAsia"/>
          <w:color w:val="auto"/>
          <w:highlight w:val="none"/>
          <w:lang w:val="en-US" w:eastAsia="zh-CN"/>
        </w:rPr>
        <w:t>1</w:t>
      </w:r>
      <w:r>
        <w:rPr>
          <w:rFonts w:hint="default"/>
          <w:color w:val="auto"/>
          <w:highlight w:val="none"/>
          <w:lang w:eastAsia="zh-CN"/>
        </w:rPr>
        <w:t>年的径流</w:t>
      </w:r>
      <w:r>
        <w:rPr>
          <w:rFonts w:hint="eastAsia"/>
          <w:color w:val="auto"/>
          <w:highlight w:val="none"/>
          <w:lang w:val="en-US" w:eastAsia="zh-CN"/>
        </w:rPr>
        <w:t>枯水期</w:t>
      </w:r>
      <w:r>
        <w:rPr>
          <w:rFonts w:hint="default"/>
          <w:color w:val="auto"/>
          <w:highlight w:val="none"/>
        </w:rPr>
        <w:t>月平均流量</w:t>
      </w:r>
      <w:r>
        <w:rPr>
          <w:rFonts w:hint="eastAsia"/>
          <w:color w:val="auto"/>
          <w:highlight w:val="none"/>
          <w:lang w:eastAsia="zh-CN"/>
        </w:rPr>
        <w:t>、</w:t>
      </w:r>
      <w:r>
        <w:rPr>
          <w:rFonts w:hint="eastAsia"/>
          <w:color w:val="auto"/>
          <w:highlight w:val="none"/>
          <w:lang w:val="en-US" w:eastAsia="zh-CN"/>
        </w:rPr>
        <w:t>丰水期月平均流量</w:t>
      </w:r>
      <w:r>
        <w:rPr>
          <w:rFonts w:hint="default"/>
          <w:color w:val="auto"/>
          <w:highlight w:val="none"/>
        </w:rPr>
        <w:t>系列进行</w:t>
      </w:r>
      <w:r>
        <w:rPr>
          <w:rFonts w:hint="default"/>
          <w:color w:val="auto"/>
          <w:highlight w:val="none"/>
          <w:lang w:val="en-US" w:eastAsia="zh-CN"/>
        </w:rPr>
        <w:t>统计</w:t>
      </w:r>
      <w:r>
        <w:rPr>
          <w:rFonts w:hint="default"/>
          <w:color w:val="auto"/>
          <w:highlight w:val="none"/>
          <w:lang w:eastAsia="zh-CN"/>
        </w:rPr>
        <w:t>，</w:t>
      </w:r>
      <w:r>
        <w:rPr>
          <w:rFonts w:hint="default"/>
          <w:color w:val="auto"/>
          <w:highlight w:val="none"/>
        </w:rPr>
        <w:t>得</w:t>
      </w:r>
      <w:r>
        <w:rPr>
          <w:rFonts w:hint="default"/>
          <w:color w:val="auto"/>
          <w:highlight w:val="none"/>
          <w:lang w:val="en-US" w:eastAsia="zh-CN"/>
        </w:rPr>
        <w:t>到</w:t>
      </w:r>
      <w:r>
        <w:rPr>
          <w:rFonts w:hint="eastAsia"/>
          <w:color w:val="auto"/>
          <w:highlight w:val="none"/>
          <w:lang w:val="en-US" w:eastAsia="zh-CN"/>
        </w:rPr>
        <w:t>近十一年</w:t>
      </w:r>
      <w:r>
        <w:rPr>
          <w:rFonts w:hint="default"/>
          <w:color w:val="auto"/>
          <w:highlight w:val="none"/>
        </w:rPr>
        <w:t>最枯月平均流量</w:t>
      </w:r>
      <w:r>
        <w:rPr>
          <w:rFonts w:hint="default"/>
          <w:color w:val="auto"/>
          <w:highlight w:val="none"/>
          <w:lang w:val="en-US" w:eastAsia="zh-CN"/>
        </w:rPr>
        <w:t>为</w:t>
      </w:r>
      <w:r>
        <w:rPr>
          <w:rFonts w:hint="eastAsia"/>
          <w:color w:val="auto"/>
          <w:highlight w:val="none"/>
          <w:lang w:val="en-US" w:eastAsia="zh-CN"/>
        </w:rPr>
        <w:t>3.395m</w:t>
      </w:r>
      <w:r>
        <w:rPr>
          <w:rFonts w:hint="eastAsia"/>
          <w:color w:val="auto"/>
          <w:highlight w:val="none"/>
          <w:vertAlign w:val="superscript"/>
          <w:lang w:val="en-US" w:eastAsia="zh-CN"/>
        </w:rPr>
        <w:t>3</w:t>
      </w:r>
      <w:r>
        <w:rPr>
          <w:rFonts w:hint="default"/>
          <w:color w:val="auto"/>
          <w:highlight w:val="none"/>
          <w:lang w:val="en-US" w:eastAsia="zh-CN"/>
        </w:rPr>
        <w:t>/s，</w:t>
      </w:r>
      <w:r>
        <w:rPr>
          <w:rFonts w:hint="eastAsia"/>
          <w:color w:val="auto"/>
          <w:highlight w:val="none"/>
          <w:lang w:val="en-US" w:eastAsia="zh-CN"/>
        </w:rPr>
        <w:t>丰水期</w:t>
      </w:r>
      <w:r>
        <w:rPr>
          <w:rFonts w:hint="default"/>
          <w:color w:val="auto"/>
          <w:highlight w:val="none"/>
          <w:lang w:val="en-US" w:eastAsia="zh-CN"/>
        </w:rPr>
        <w:t>最</w:t>
      </w:r>
      <w:r>
        <w:rPr>
          <w:rFonts w:hint="eastAsia"/>
          <w:color w:val="auto"/>
          <w:highlight w:val="none"/>
          <w:lang w:val="en-US" w:eastAsia="zh-CN"/>
        </w:rPr>
        <w:t>大</w:t>
      </w:r>
      <w:r>
        <w:rPr>
          <w:rFonts w:hint="default"/>
          <w:color w:val="auto"/>
          <w:highlight w:val="none"/>
          <w:lang w:val="en-US" w:eastAsia="zh-CN"/>
        </w:rPr>
        <w:t>月平均流量为</w:t>
      </w:r>
      <w:r>
        <w:rPr>
          <w:rFonts w:hint="eastAsia"/>
          <w:color w:val="auto"/>
          <w:highlight w:val="none"/>
          <w:lang w:val="en-US" w:eastAsia="zh-CN"/>
        </w:rPr>
        <w:t>103.266m</w:t>
      </w:r>
      <w:r>
        <w:rPr>
          <w:rFonts w:hint="eastAsia"/>
          <w:color w:val="auto"/>
          <w:highlight w:val="none"/>
          <w:vertAlign w:val="superscript"/>
          <w:lang w:val="en-US" w:eastAsia="zh-CN"/>
        </w:rPr>
        <w:t>3</w:t>
      </w:r>
      <w:r>
        <w:rPr>
          <w:rFonts w:hint="default"/>
          <w:color w:val="auto"/>
          <w:highlight w:val="none"/>
          <w:lang w:val="en-US" w:eastAsia="zh-CN"/>
        </w:rPr>
        <w:t>/s</w:t>
      </w:r>
      <w:r>
        <w:rPr>
          <w:rFonts w:hint="default"/>
          <w:color w:val="auto"/>
          <w:highlight w:val="none"/>
        </w:rPr>
        <w:t>。</w:t>
      </w:r>
    </w:p>
    <w:p w14:paraId="06F3E4FE">
      <w:pPr>
        <w:pStyle w:val="2"/>
        <w:bidi w:val="0"/>
        <w:rPr>
          <w:rFonts w:hint="default"/>
          <w:color w:val="auto"/>
          <w:highlight w:val="none"/>
          <w:lang w:val="en-US" w:eastAsia="zh-CN"/>
        </w:rPr>
      </w:pPr>
      <w:r>
        <w:rPr>
          <w:rFonts w:hint="default"/>
          <w:color w:val="auto"/>
          <w:highlight w:val="none"/>
          <w:lang w:val="en-US" w:eastAsia="zh-CN"/>
        </w:rPr>
        <w:t>在万分之一地形图上对</w:t>
      </w:r>
      <w:r>
        <w:rPr>
          <w:rFonts w:hint="eastAsia"/>
          <w:color w:val="auto"/>
          <w:highlight w:val="none"/>
          <w:lang w:val="en-US" w:eastAsia="zh-CN"/>
        </w:rPr>
        <w:t>渣滓溪</w:t>
      </w:r>
      <w:r>
        <w:rPr>
          <w:rFonts w:hint="default"/>
          <w:color w:val="auto"/>
          <w:highlight w:val="none"/>
          <w:lang w:val="en-US" w:eastAsia="zh-CN"/>
        </w:rPr>
        <w:t>及</w:t>
      </w:r>
      <w:r>
        <w:rPr>
          <w:rFonts w:hint="eastAsia"/>
          <w:color w:val="auto"/>
          <w:highlight w:val="none"/>
          <w:lang w:val="en-US" w:eastAsia="zh-CN"/>
        </w:rPr>
        <w:t>下游</w:t>
      </w:r>
      <w:r>
        <w:rPr>
          <w:rFonts w:hint="default"/>
          <w:color w:val="auto"/>
          <w:highlight w:val="none"/>
          <w:lang w:val="en-US" w:eastAsia="zh-CN"/>
        </w:rPr>
        <w:t>各</w:t>
      </w:r>
      <w:r>
        <w:rPr>
          <w:rFonts w:hint="eastAsia"/>
          <w:color w:val="auto"/>
          <w:highlight w:val="none"/>
          <w:lang w:val="en-US" w:eastAsia="zh-CN"/>
        </w:rPr>
        <w:t>河流</w:t>
      </w:r>
      <w:r>
        <w:rPr>
          <w:rFonts w:hint="default"/>
          <w:color w:val="auto"/>
          <w:highlight w:val="none"/>
          <w:lang w:val="en-US" w:eastAsia="zh-CN"/>
        </w:rPr>
        <w:t>各断面进行断面</w:t>
      </w:r>
      <w:r>
        <w:rPr>
          <w:rFonts w:hint="eastAsia"/>
          <w:color w:val="auto"/>
          <w:highlight w:val="none"/>
          <w:lang w:val="en-US" w:eastAsia="zh-CN"/>
        </w:rPr>
        <w:t>测量</w:t>
      </w:r>
      <w:r>
        <w:rPr>
          <w:rFonts w:hint="default"/>
          <w:color w:val="auto"/>
          <w:highlight w:val="none"/>
          <w:lang w:val="en-US" w:eastAsia="zh-CN"/>
        </w:rPr>
        <w:t>，各区域的集雨面积如下表所示，其中项目两处尾矿库集雨范围内的雨水均收集至</w:t>
      </w:r>
      <w:r>
        <w:rPr>
          <w:rFonts w:hint="eastAsia"/>
          <w:color w:val="auto"/>
          <w:highlight w:val="none"/>
          <w:lang w:val="en-US" w:eastAsia="zh-CN"/>
        </w:rPr>
        <w:t>废水处理站</w:t>
      </w:r>
      <w:r>
        <w:rPr>
          <w:rFonts w:hint="default"/>
          <w:color w:val="auto"/>
          <w:highlight w:val="none"/>
          <w:lang w:val="en-US" w:eastAsia="zh-CN"/>
        </w:rPr>
        <w:t>进行处理后排放，视为废水量第一部分，未统计其集雨面积。</w:t>
      </w:r>
    </w:p>
    <w:p w14:paraId="26BF6D71">
      <w:pPr>
        <w:pStyle w:val="28"/>
        <w:bidi w:val="0"/>
        <w:rPr>
          <w:rFonts w:hint="default"/>
          <w:color w:val="auto"/>
          <w:highlight w:val="none"/>
          <w:u w:val="single"/>
          <w:lang w:val="en-US" w:eastAsia="zh-CN"/>
        </w:rPr>
      </w:pPr>
      <w:r>
        <w:rPr>
          <w:rFonts w:hint="default"/>
          <w:color w:val="auto"/>
          <w:highlight w:val="none"/>
          <w:u w:val="single"/>
        </w:rPr>
        <w:t>表</w:t>
      </w:r>
      <w:r>
        <w:rPr>
          <w:rFonts w:hint="default"/>
          <w:color w:val="auto"/>
          <w:highlight w:val="none"/>
          <w:u w:val="single"/>
        </w:rPr>
        <w:fldChar w:fldCharType="begin"/>
      </w:r>
      <w:r>
        <w:rPr>
          <w:rFonts w:hint="default"/>
          <w:color w:val="auto"/>
          <w:highlight w:val="none"/>
          <w:u w:val="single"/>
        </w:rPr>
        <w:instrText xml:space="preserve"> STYLEREF guo-二级标题 \n </w:instrText>
      </w:r>
      <w:r>
        <w:rPr>
          <w:rFonts w:hint="default"/>
          <w:color w:val="auto"/>
          <w:highlight w:val="none"/>
          <w:u w:val="single"/>
        </w:rPr>
        <w:fldChar w:fldCharType="separate"/>
      </w:r>
      <w:r>
        <w:rPr>
          <w:rFonts w:hint="default"/>
          <w:color w:val="auto"/>
          <w:highlight w:val="none"/>
          <w:u w:val="single"/>
        </w:rPr>
        <w:t>7.1</w:t>
      </w:r>
      <w:r>
        <w:rPr>
          <w:rFonts w:hint="default"/>
          <w:color w:val="auto"/>
          <w:highlight w:val="none"/>
          <w:u w:val="single"/>
        </w:rPr>
        <w:fldChar w:fldCharType="end"/>
      </w:r>
      <w:r>
        <w:rPr>
          <w:rFonts w:hint="default"/>
          <w:color w:val="auto"/>
          <w:highlight w:val="none"/>
          <w:u w:val="single"/>
        </w:rPr>
        <w:t>–</w:t>
      </w:r>
      <w:r>
        <w:rPr>
          <w:rFonts w:hint="default"/>
          <w:color w:val="auto"/>
          <w:highlight w:val="none"/>
          <w:u w:val="single"/>
        </w:rPr>
        <w:fldChar w:fldCharType="begin"/>
      </w:r>
      <w:r>
        <w:rPr>
          <w:rFonts w:hint="default"/>
          <w:color w:val="auto"/>
          <w:highlight w:val="none"/>
          <w:u w:val="single"/>
        </w:rPr>
        <w:instrText xml:space="preserve"> SEQ 表 \* ARABIC \s 2 </w:instrText>
      </w:r>
      <w:r>
        <w:rPr>
          <w:rFonts w:hint="default"/>
          <w:color w:val="auto"/>
          <w:highlight w:val="none"/>
          <w:u w:val="single"/>
        </w:rPr>
        <w:fldChar w:fldCharType="separate"/>
      </w:r>
      <w:r>
        <w:rPr>
          <w:rFonts w:hint="default"/>
          <w:color w:val="auto"/>
          <w:highlight w:val="none"/>
          <w:u w:val="single"/>
        </w:rPr>
        <w:t>2</w:t>
      </w:r>
      <w:r>
        <w:rPr>
          <w:rFonts w:hint="default"/>
          <w:color w:val="auto"/>
          <w:highlight w:val="none"/>
          <w:u w:val="single"/>
        </w:rPr>
        <w:fldChar w:fldCharType="end"/>
      </w:r>
      <w:r>
        <w:rPr>
          <w:rFonts w:hint="default"/>
          <w:color w:val="auto"/>
          <w:highlight w:val="none"/>
          <w:u w:val="single"/>
        </w:rPr>
        <w:t xml:space="preserve">  </w:t>
      </w:r>
      <w:r>
        <w:rPr>
          <w:rFonts w:hint="default"/>
          <w:color w:val="auto"/>
          <w:highlight w:val="none"/>
          <w:u w:val="single"/>
          <w:lang w:val="en-US" w:eastAsia="zh-CN"/>
        </w:rPr>
        <w:t>各分区集雨面积一览表</w:t>
      </w:r>
    </w:p>
    <w:tbl>
      <w:tblPr>
        <w:tblStyle w:val="21"/>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448"/>
        <w:gridCol w:w="4870"/>
        <w:gridCol w:w="1919"/>
      </w:tblGrid>
      <w:tr w14:paraId="6CF1A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tcBorders>
              <w:top w:val="single" w:color="auto" w:sz="12" w:space="0"/>
              <w:left w:val="single" w:color="auto" w:sz="12" w:space="0"/>
              <w:bottom w:val="single" w:color="auto" w:sz="4" w:space="0"/>
              <w:right w:val="single" w:color="auto" w:sz="4" w:space="0"/>
              <w:tl2br w:val="nil"/>
              <w:tr2bl w:val="nil"/>
            </w:tcBorders>
            <w:noWrap/>
            <w:vAlign w:val="center"/>
          </w:tcPr>
          <w:p w14:paraId="4AE6E255">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rPr>
              <w:t>代号</w:t>
            </w:r>
          </w:p>
        </w:tc>
        <w:tc>
          <w:tcPr>
            <w:tcW w:w="791" w:type="pct"/>
            <w:tcBorders>
              <w:top w:val="single" w:color="auto" w:sz="12" w:space="0"/>
              <w:left w:val="single" w:color="auto" w:sz="4" w:space="0"/>
              <w:bottom w:val="single" w:color="auto" w:sz="4" w:space="0"/>
              <w:right w:val="single" w:color="auto" w:sz="4" w:space="0"/>
              <w:tl2br w:val="nil"/>
              <w:tr2bl w:val="nil"/>
            </w:tcBorders>
            <w:noWrap/>
            <w:vAlign w:val="center"/>
          </w:tcPr>
          <w:p w14:paraId="6FCE9BC8">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rPr>
              <w:t>河流</w:t>
            </w:r>
          </w:p>
        </w:tc>
        <w:tc>
          <w:tcPr>
            <w:tcW w:w="2661" w:type="pct"/>
            <w:tcBorders>
              <w:top w:val="single" w:color="auto" w:sz="12" w:space="0"/>
              <w:left w:val="single" w:color="auto" w:sz="4" w:space="0"/>
              <w:bottom w:val="single" w:color="auto" w:sz="4" w:space="0"/>
              <w:right w:val="single" w:color="auto" w:sz="4" w:space="0"/>
              <w:tl2br w:val="nil"/>
              <w:tr2bl w:val="nil"/>
            </w:tcBorders>
            <w:noWrap/>
            <w:vAlign w:val="center"/>
          </w:tcPr>
          <w:p w14:paraId="58926503">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rPr>
              <w:t>区域名称</w:t>
            </w:r>
          </w:p>
        </w:tc>
        <w:tc>
          <w:tcPr>
            <w:tcW w:w="1048" w:type="pct"/>
            <w:tcBorders>
              <w:top w:val="single" w:color="auto" w:sz="12" w:space="0"/>
              <w:left w:val="single" w:color="auto" w:sz="4" w:space="0"/>
              <w:bottom w:val="single" w:color="auto" w:sz="4" w:space="0"/>
              <w:right w:val="single" w:color="auto" w:sz="12" w:space="0"/>
              <w:tl2br w:val="nil"/>
              <w:tr2bl w:val="nil"/>
            </w:tcBorders>
            <w:noWrap/>
            <w:vAlign w:val="center"/>
          </w:tcPr>
          <w:p w14:paraId="6ACE891A">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rPr>
              <w:t>区域面积（k</w:t>
            </w:r>
            <w:r>
              <w:rPr>
                <w:rFonts w:hint="eastAsia"/>
                <w:color w:val="auto"/>
                <w:highlight w:val="none"/>
                <w:u w:val="single"/>
                <w:lang w:eastAsia="zh-CN"/>
              </w:rPr>
              <w:t>m</w:t>
            </w:r>
            <w:r>
              <w:rPr>
                <w:rFonts w:hint="eastAsia"/>
                <w:color w:val="auto"/>
                <w:highlight w:val="none"/>
                <w:u w:val="single"/>
                <w:vertAlign w:val="superscript"/>
                <w:lang w:eastAsia="zh-CN"/>
              </w:rPr>
              <w:t>2</w:t>
            </w:r>
            <w:r>
              <w:rPr>
                <w:rFonts w:hint="eastAsia"/>
                <w:color w:val="auto"/>
                <w:highlight w:val="none"/>
                <w:u w:val="single"/>
              </w:rPr>
              <w:t>）</w:t>
            </w:r>
          </w:p>
        </w:tc>
      </w:tr>
      <w:tr w14:paraId="0947B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tcBorders>
              <w:top w:val="single" w:color="auto" w:sz="4" w:space="0"/>
              <w:left w:val="single" w:color="auto" w:sz="12" w:space="0"/>
              <w:bottom w:val="single" w:color="auto" w:sz="4" w:space="0"/>
              <w:right w:val="single" w:color="auto" w:sz="4" w:space="0"/>
              <w:tl2br w:val="nil"/>
              <w:tr2bl w:val="nil"/>
            </w:tcBorders>
            <w:noWrap/>
            <w:vAlign w:val="center"/>
          </w:tcPr>
          <w:p w14:paraId="13AF0FD9">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P1</w:t>
            </w:r>
          </w:p>
        </w:tc>
        <w:tc>
          <w:tcPr>
            <w:tcW w:w="791" w:type="pct"/>
            <w:tcBorders>
              <w:top w:val="single" w:color="auto" w:sz="4" w:space="0"/>
              <w:left w:val="single" w:color="auto" w:sz="4" w:space="0"/>
              <w:bottom w:val="single" w:color="auto" w:sz="4" w:space="0"/>
              <w:right w:val="single" w:color="auto" w:sz="4" w:space="0"/>
              <w:tl2br w:val="nil"/>
              <w:tr2bl w:val="nil"/>
            </w:tcBorders>
            <w:noWrap/>
            <w:vAlign w:val="top"/>
          </w:tcPr>
          <w:p w14:paraId="666CC10D">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渣滓溪</w:t>
            </w:r>
          </w:p>
        </w:tc>
        <w:tc>
          <w:tcPr>
            <w:tcW w:w="2661" w:type="pct"/>
            <w:tcBorders>
              <w:top w:val="single" w:color="auto" w:sz="4" w:space="0"/>
              <w:left w:val="single" w:color="auto" w:sz="4" w:space="0"/>
              <w:bottom w:val="single" w:color="auto" w:sz="4" w:space="0"/>
              <w:right w:val="single" w:color="auto" w:sz="4" w:space="0"/>
              <w:tl2br w:val="nil"/>
              <w:tr2bl w:val="nil"/>
            </w:tcBorders>
            <w:noWrap/>
            <w:vAlign w:val="center"/>
          </w:tcPr>
          <w:p w14:paraId="15787CBD">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渣滓溪流域</w:t>
            </w:r>
          </w:p>
        </w:tc>
        <w:tc>
          <w:tcPr>
            <w:tcW w:w="1048" w:type="pct"/>
            <w:tcBorders>
              <w:top w:val="single" w:color="auto" w:sz="4" w:space="0"/>
              <w:left w:val="single" w:color="auto" w:sz="4" w:space="0"/>
              <w:bottom w:val="single" w:color="auto" w:sz="4" w:space="0"/>
              <w:right w:val="single" w:color="auto" w:sz="12" w:space="0"/>
              <w:tl2br w:val="nil"/>
              <w:tr2bl w:val="nil"/>
            </w:tcBorders>
            <w:noWrap/>
            <w:vAlign w:val="center"/>
          </w:tcPr>
          <w:p w14:paraId="595B4342">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4.042</w:t>
            </w:r>
          </w:p>
        </w:tc>
      </w:tr>
      <w:tr w14:paraId="355BA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tcBorders>
              <w:top w:val="single" w:color="auto" w:sz="4" w:space="0"/>
              <w:left w:val="single" w:color="auto" w:sz="12" w:space="0"/>
              <w:bottom w:val="single" w:color="auto" w:sz="4" w:space="0"/>
              <w:right w:val="single" w:color="auto" w:sz="4" w:space="0"/>
              <w:tl2br w:val="nil"/>
              <w:tr2bl w:val="nil"/>
            </w:tcBorders>
            <w:noWrap/>
            <w:vAlign w:val="center"/>
          </w:tcPr>
          <w:p w14:paraId="5E7F30CD">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P2</w:t>
            </w:r>
          </w:p>
        </w:tc>
        <w:tc>
          <w:tcPr>
            <w:tcW w:w="791" w:type="pct"/>
            <w:tcBorders>
              <w:top w:val="single" w:color="auto" w:sz="4" w:space="0"/>
              <w:left w:val="single" w:color="auto" w:sz="4" w:space="0"/>
              <w:bottom w:val="single" w:color="auto" w:sz="4" w:space="0"/>
              <w:right w:val="single" w:color="auto" w:sz="4" w:space="0"/>
              <w:tl2br w:val="nil"/>
              <w:tr2bl w:val="nil"/>
            </w:tcBorders>
            <w:noWrap/>
            <w:vAlign w:val="top"/>
          </w:tcPr>
          <w:p w14:paraId="3D8A699B">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石板溪</w:t>
            </w:r>
          </w:p>
        </w:tc>
        <w:tc>
          <w:tcPr>
            <w:tcW w:w="2661" w:type="pct"/>
            <w:tcBorders>
              <w:top w:val="single" w:color="auto" w:sz="4" w:space="0"/>
              <w:left w:val="single" w:color="auto" w:sz="4" w:space="0"/>
              <w:bottom w:val="single" w:color="auto" w:sz="4" w:space="0"/>
              <w:right w:val="single" w:color="auto" w:sz="4" w:space="0"/>
              <w:tl2br w:val="nil"/>
              <w:tr2bl w:val="nil"/>
            </w:tcBorders>
            <w:noWrap/>
            <w:vAlign w:val="center"/>
          </w:tcPr>
          <w:p w14:paraId="2133BEA1">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石板溪流域</w:t>
            </w:r>
          </w:p>
        </w:tc>
        <w:tc>
          <w:tcPr>
            <w:tcW w:w="1048" w:type="pct"/>
            <w:tcBorders>
              <w:top w:val="single" w:color="auto" w:sz="4" w:space="0"/>
              <w:left w:val="single" w:color="auto" w:sz="4" w:space="0"/>
              <w:bottom w:val="single" w:color="auto" w:sz="4" w:space="0"/>
              <w:right w:val="single" w:color="auto" w:sz="12" w:space="0"/>
              <w:tl2br w:val="nil"/>
              <w:tr2bl w:val="nil"/>
            </w:tcBorders>
            <w:noWrap/>
            <w:vAlign w:val="center"/>
          </w:tcPr>
          <w:p w14:paraId="27F522A0">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3.755</w:t>
            </w:r>
          </w:p>
        </w:tc>
      </w:tr>
      <w:tr w14:paraId="01FEB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tcBorders>
              <w:top w:val="single" w:color="auto" w:sz="4" w:space="0"/>
              <w:left w:val="single" w:color="auto" w:sz="12" w:space="0"/>
              <w:bottom w:val="single" w:color="auto" w:sz="4" w:space="0"/>
              <w:right w:val="single" w:color="auto" w:sz="4" w:space="0"/>
              <w:tl2br w:val="nil"/>
              <w:tr2bl w:val="nil"/>
            </w:tcBorders>
            <w:noWrap/>
            <w:vAlign w:val="center"/>
          </w:tcPr>
          <w:p w14:paraId="3911D5B0">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P3</w:t>
            </w:r>
          </w:p>
        </w:tc>
        <w:tc>
          <w:tcPr>
            <w:tcW w:w="791" w:type="pct"/>
            <w:tcBorders>
              <w:top w:val="single" w:color="auto" w:sz="4" w:space="0"/>
              <w:left w:val="single" w:color="auto" w:sz="4" w:space="0"/>
              <w:bottom w:val="single" w:color="auto" w:sz="4" w:space="0"/>
              <w:right w:val="single" w:color="auto" w:sz="4" w:space="0"/>
              <w:tl2br w:val="nil"/>
              <w:tr2bl w:val="nil"/>
            </w:tcBorders>
            <w:noWrap/>
            <w:vAlign w:val="top"/>
          </w:tcPr>
          <w:p w14:paraId="1A958379">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白茅溪</w:t>
            </w:r>
          </w:p>
        </w:tc>
        <w:tc>
          <w:tcPr>
            <w:tcW w:w="2661" w:type="pct"/>
            <w:tcBorders>
              <w:top w:val="single" w:color="auto" w:sz="4" w:space="0"/>
              <w:left w:val="single" w:color="auto" w:sz="4" w:space="0"/>
              <w:bottom w:val="single" w:color="auto" w:sz="4" w:space="0"/>
              <w:right w:val="single" w:color="auto" w:sz="4" w:space="0"/>
              <w:tl2br w:val="nil"/>
              <w:tr2bl w:val="nil"/>
            </w:tcBorders>
            <w:noWrap/>
            <w:vAlign w:val="center"/>
          </w:tcPr>
          <w:p w14:paraId="55E1611A">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白茅溪流域（渣滓溪入前）</w:t>
            </w:r>
          </w:p>
        </w:tc>
        <w:tc>
          <w:tcPr>
            <w:tcW w:w="1048" w:type="pct"/>
            <w:tcBorders>
              <w:top w:val="single" w:color="auto" w:sz="4" w:space="0"/>
              <w:left w:val="single" w:color="auto" w:sz="4" w:space="0"/>
              <w:bottom w:val="single" w:color="auto" w:sz="4" w:space="0"/>
              <w:right w:val="single" w:color="auto" w:sz="12" w:space="0"/>
              <w:tl2br w:val="nil"/>
              <w:tr2bl w:val="nil"/>
            </w:tcBorders>
            <w:noWrap/>
            <w:vAlign w:val="center"/>
          </w:tcPr>
          <w:p w14:paraId="72A6A1E3">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8.482</w:t>
            </w:r>
          </w:p>
        </w:tc>
      </w:tr>
      <w:tr w14:paraId="7C7CA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tcBorders>
              <w:top w:val="single" w:color="auto" w:sz="4" w:space="0"/>
              <w:left w:val="single" w:color="auto" w:sz="12" w:space="0"/>
              <w:bottom w:val="single" w:color="auto" w:sz="4" w:space="0"/>
              <w:right w:val="single" w:color="auto" w:sz="4" w:space="0"/>
              <w:tl2br w:val="nil"/>
              <w:tr2bl w:val="nil"/>
            </w:tcBorders>
            <w:noWrap/>
            <w:vAlign w:val="center"/>
          </w:tcPr>
          <w:p w14:paraId="3F7F2117">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P4</w:t>
            </w:r>
          </w:p>
        </w:tc>
        <w:tc>
          <w:tcPr>
            <w:tcW w:w="791" w:type="pct"/>
            <w:tcBorders>
              <w:top w:val="single" w:color="auto" w:sz="4" w:space="0"/>
              <w:left w:val="single" w:color="auto" w:sz="4" w:space="0"/>
              <w:bottom w:val="single" w:color="auto" w:sz="4" w:space="0"/>
              <w:right w:val="single" w:color="auto" w:sz="4" w:space="0"/>
              <w:tl2br w:val="nil"/>
              <w:tr2bl w:val="nil"/>
            </w:tcBorders>
            <w:noWrap/>
            <w:vAlign w:val="top"/>
          </w:tcPr>
          <w:p w14:paraId="2E9F0D74">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白茅溪</w:t>
            </w:r>
          </w:p>
        </w:tc>
        <w:tc>
          <w:tcPr>
            <w:tcW w:w="2661" w:type="pct"/>
            <w:tcBorders>
              <w:top w:val="single" w:color="auto" w:sz="4" w:space="0"/>
              <w:left w:val="single" w:color="auto" w:sz="4" w:space="0"/>
              <w:bottom w:val="single" w:color="auto" w:sz="4" w:space="0"/>
              <w:right w:val="single" w:color="auto" w:sz="4" w:space="0"/>
              <w:tl2br w:val="nil"/>
              <w:tr2bl w:val="nil"/>
            </w:tcBorders>
            <w:noWrap/>
            <w:vAlign w:val="center"/>
          </w:tcPr>
          <w:p w14:paraId="7F2B431D">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白茅溪流域（渣滓溪入后）</w:t>
            </w:r>
          </w:p>
        </w:tc>
        <w:tc>
          <w:tcPr>
            <w:tcW w:w="1048" w:type="pct"/>
            <w:tcBorders>
              <w:top w:val="single" w:color="auto" w:sz="4" w:space="0"/>
              <w:left w:val="single" w:color="auto" w:sz="4" w:space="0"/>
              <w:bottom w:val="single" w:color="auto" w:sz="4" w:space="0"/>
              <w:right w:val="single" w:color="auto" w:sz="12" w:space="0"/>
              <w:tl2br w:val="nil"/>
              <w:tr2bl w:val="nil"/>
            </w:tcBorders>
            <w:noWrap/>
            <w:vAlign w:val="center"/>
          </w:tcPr>
          <w:p w14:paraId="15D4570D">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1.872</w:t>
            </w:r>
          </w:p>
        </w:tc>
      </w:tr>
      <w:tr w14:paraId="6ED0A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tcBorders>
              <w:top w:val="single" w:color="auto" w:sz="4" w:space="0"/>
              <w:left w:val="single" w:color="auto" w:sz="12" w:space="0"/>
              <w:bottom w:val="single" w:color="auto" w:sz="4" w:space="0"/>
              <w:right w:val="single" w:color="auto" w:sz="4" w:space="0"/>
              <w:tl2br w:val="nil"/>
              <w:tr2bl w:val="nil"/>
            </w:tcBorders>
            <w:noWrap/>
            <w:vAlign w:val="center"/>
          </w:tcPr>
          <w:p w14:paraId="08C3FD23">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P5</w:t>
            </w:r>
          </w:p>
        </w:tc>
        <w:tc>
          <w:tcPr>
            <w:tcW w:w="791" w:type="pct"/>
            <w:tcBorders>
              <w:top w:val="single" w:color="auto" w:sz="4" w:space="0"/>
              <w:left w:val="single" w:color="auto" w:sz="4" w:space="0"/>
              <w:bottom w:val="single" w:color="auto" w:sz="4" w:space="0"/>
              <w:right w:val="single" w:color="auto" w:sz="4" w:space="0"/>
              <w:tl2br w:val="nil"/>
              <w:tr2bl w:val="nil"/>
            </w:tcBorders>
            <w:noWrap/>
            <w:vAlign w:val="top"/>
          </w:tcPr>
          <w:p w14:paraId="1BDF356A">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奎溪</w:t>
            </w:r>
          </w:p>
        </w:tc>
        <w:tc>
          <w:tcPr>
            <w:tcW w:w="2661" w:type="pct"/>
            <w:tcBorders>
              <w:top w:val="single" w:color="auto" w:sz="4" w:space="0"/>
              <w:left w:val="single" w:color="auto" w:sz="4" w:space="0"/>
              <w:bottom w:val="single" w:color="auto" w:sz="4" w:space="0"/>
              <w:right w:val="single" w:color="auto" w:sz="4" w:space="0"/>
              <w:tl2br w:val="nil"/>
              <w:tr2bl w:val="nil"/>
            </w:tcBorders>
            <w:noWrap/>
            <w:vAlign w:val="center"/>
          </w:tcPr>
          <w:p w14:paraId="5679D384">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奎溪流域（白茅溪汇入前）</w:t>
            </w:r>
          </w:p>
        </w:tc>
        <w:tc>
          <w:tcPr>
            <w:tcW w:w="1048" w:type="pct"/>
            <w:tcBorders>
              <w:top w:val="single" w:color="auto" w:sz="4" w:space="0"/>
              <w:left w:val="single" w:color="auto" w:sz="4" w:space="0"/>
              <w:bottom w:val="single" w:color="auto" w:sz="4" w:space="0"/>
              <w:right w:val="single" w:color="auto" w:sz="12" w:space="0"/>
              <w:tl2br w:val="nil"/>
              <w:tr2bl w:val="nil"/>
            </w:tcBorders>
            <w:noWrap/>
            <w:vAlign w:val="center"/>
          </w:tcPr>
          <w:p w14:paraId="16558C2F">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27.29</w:t>
            </w:r>
          </w:p>
        </w:tc>
      </w:tr>
      <w:tr w14:paraId="0A9A2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tcBorders>
              <w:top w:val="single" w:color="auto" w:sz="4" w:space="0"/>
              <w:left w:val="single" w:color="auto" w:sz="12" w:space="0"/>
              <w:bottom w:val="single" w:color="auto" w:sz="4" w:space="0"/>
              <w:right w:val="single" w:color="auto" w:sz="4" w:space="0"/>
              <w:tl2br w:val="nil"/>
              <w:tr2bl w:val="nil"/>
            </w:tcBorders>
            <w:noWrap/>
            <w:vAlign w:val="center"/>
          </w:tcPr>
          <w:p w14:paraId="13AF38B1">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P6</w:t>
            </w:r>
          </w:p>
        </w:tc>
        <w:tc>
          <w:tcPr>
            <w:tcW w:w="791" w:type="pct"/>
            <w:tcBorders>
              <w:top w:val="single" w:color="auto" w:sz="4" w:space="0"/>
              <w:left w:val="single" w:color="auto" w:sz="4" w:space="0"/>
              <w:bottom w:val="single" w:color="auto" w:sz="4" w:space="0"/>
              <w:right w:val="single" w:color="auto" w:sz="4" w:space="0"/>
              <w:tl2br w:val="nil"/>
              <w:tr2bl w:val="nil"/>
            </w:tcBorders>
            <w:noWrap/>
            <w:vAlign w:val="top"/>
          </w:tcPr>
          <w:p w14:paraId="1F5C9BEE">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奎溪</w:t>
            </w:r>
          </w:p>
        </w:tc>
        <w:tc>
          <w:tcPr>
            <w:tcW w:w="2661" w:type="pct"/>
            <w:tcBorders>
              <w:top w:val="single" w:color="auto" w:sz="4" w:space="0"/>
              <w:left w:val="single" w:color="auto" w:sz="4" w:space="0"/>
              <w:bottom w:val="single" w:color="auto" w:sz="4" w:space="0"/>
              <w:right w:val="single" w:color="auto" w:sz="4" w:space="0"/>
              <w:tl2br w:val="nil"/>
              <w:tr2bl w:val="nil"/>
            </w:tcBorders>
            <w:noWrap/>
            <w:vAlign w:val="center"/>
          </w:tcPr>
          <w:p w14:paraId="57E4F055">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奎溪流域（白茅溪汇入后）</w:t>
            </w:r>
          </w:p>
        </w:tc>
        <w:tc>
          <w:tcPr>
            <w:tcW w:w="1048" w:type="pct"/>
            <w:tcBorders>
              <w:top w:val="single" w:color="auto" w:sz="4" w:space="0"/>
              <w:left w:val="single" w:color="auto" w:sz="4" w:space="0"/>
              <w:bottom w:val="single" w:color="auto" w:sz="4" w:space="0"/>
              <w:right w:val="single" w:color="auto" w:sz="12" w:space="0"/>
              <w:tl2br w:val="nil"/>
              <w:tr2bl w:val="nil"/>
            </w:tcBorders>
            <w:noWrap/>
            <w:vAlign w:val="center"/>
          </w:tcPr>
          <w:p w14:paraId="207CE500">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12.909</w:t>
            </w:r>
          </w:p>
        </w:tc>
      </w:tr>
      <w:tr w14:paraId="01728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tcBorders>
              <w:top w:val="single" w:color="auto" w:sz="4" w:space="0"/>
              <w:left w:val="single" w:color="auto" w:sz="12" w:space="0"/>
              <w:bottom w:val="single" w:color="auto" w:sz="4" w:space="0"/>
              <w:right w:val="single" w:color="auto" w:sz="4" w:space="0"/>
              <w:tl2br w:val="nil"/>
              <w:tr2bl w:val="nil"/>
            </w:tcBorders>
            <w:noWrap/>
            <w:vAlign w:val="center"/>
          </w:tcPr>
          <w:p w14:paraId="5A8823C5">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P7</w:t>
            </w:r>
          </w:p>
        </w:tc>
        <w:tc>
          <w:tcPr>
            <w:tcW w:w="791" w:type="pct"/>
            <w:tcBorders>
              <w:top w:val="single" w:color="auto" w:sz="4" w:space="0"/>
              <w:left w:val="single" w:color="auto" w:sz="4" w:space="0"/>
              <w:bottom w:val="single" w:color="auto" w:sz="4" w:space="0"/>
              <w:right w:val="single" w:color="auto" w:sz="4" w:space="0"/>
              <w:tl2br w:val="nil"/>
              <w:tr2bl w:val="nil"/>
            </w:tcBorders>
            <w:noWrap/>
            <w:vAlign w:val="top"/>
          </w:tcPr>
          <w:p w14:paraId="53CC3D00">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洋溪</w:t>
            </w:r>
          </w:p>
        </w:tc>
        <w:tc>
          <w:tcPr>
            <w:tcW w:w="2661" w:type="pct"/>
            <w:tcBorders>
              <w:top w:val="single" w:color="auto" w:sz="4" w:space="0"/>
              <w:left w:val="single" w:color="auto" w:sz="4" w:space="0"/>
              <w:bottom w:val="single" w:color="auto" w:sz="4" w:space="0"/>
              <w:right w:val="single" w:color="auto" w:sz="4" w:space="0"/>
              <w:tl2br w:val="nil"/>
              <w:tr2bl w:val="nil"/>
            </w:tcBorders>
            <w:noWrap/>
            <w:vAlign w:val="center"/>
          </w:tcPr>
          <w:p w14:paraId="498D5D80">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洋溪流域（奎溪汇入前）</w:t>
            </w:r>
          </w:p>
        </w:tc>
        <w:tc>
          <w:tcPr>
            <w:tcW w:w="1048" w:type="pct"/>
            <w:tcBorders>
              <w:top w:val="single" w:color="auto" w:sz="4" w:space="0"/>
              <w:left w:val="single" w:color="auto" w:sz="4" w:space="0"/>
              <w:bottom w:val="single" w:color="auto" w:sz="4" w:space="0"/>
              <w:right w:val="single" w:color="auto" w:sz="12" w:space="0"/>
              <w:tl2br w:val="nil"/>
              <w:tr2bl w:val="nil"/>
            </w:tcBorders>
            <w:noWrap/>
            <w:vAlign w:val="center"/>
          </w:tcPr>
          <w:p w14:paraId="1D207832">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174.5</w:t>
            </w:r>
          </w:p>
        </w:tc>
      </w:tr>
      <w:tr w14:paraId="0B529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tcBorders>
              <w:top w:val="single" w:color="auto" w:sz="4" w:space="0"/>
              <w:left w:val="single" w:color="auto" w:sz="12" w:space="0"/>
              <w:bottom w:val="single" w:color="auto" w:sz="4" w:space="0"/>
              <w:right w:val="single" w:color="auto" w:sz="4" w:space="0"/>
              <w:tl2br w:val="nil"/>
              <w:tr2bl w:val="nil"/>
            </w:tcBorders>
            <w:noWrap/>
            <w:vAlign w:val="center"/>
          </w:tcPr>
          <w:p w14:paraId="2386D1FA">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P8</w:t>
            </w:r>
          </w:p>
        </w:tc>
        <w:tc>
          <w:tcPr>
            <w:tcW w:w="791" w:type="pct"/>
            <w:tcBorders>
              <w:top w:val="single" w:color="auto" w:sz="4" w:space="0"/>
              <w:left w:val="single" w:color="auto" w:sz="4" w:space="0"/>
              <w:bottom w:val="single" w:color="auto" w:sz="4" w:space="0"/>
              <w:right w:val="single" w:color="auto" w:sz="4" w:space="0"/>
              <w:tl2br w:val="nil"/>
              <w:tr2bl w:val="nil"/>
            </w:tcBorders>
            <w:noWrap/>
            <w:vAlign w:val="top"/>
          </w:tcPr>
          <w:p w14:paraId="5A879FCD">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洋溪</w:t>
            </w:r>
          </w:p>
        </w:tc>
        <w:tc>
          <w:tcPr>
            <w:tcW w:w="2661" w:type="pct"/>
            <w:tcBorders>
              <w:top w:val="single" w:color="auto" w:sz="4" w:space="0"/>
              <w:left w:val="single" w:color="auto" w:sz="4" w:space="0"/>
              <w:bottom w:val="single" w:color="auto" w:sz="4" w:space="0"/>
              <w:right w:val="single" w:color="auto" w:sz="4" w:space="0"/>
              <w:tl2br w:val="nil"/>
              <w:tr2bl w:val="nil"/>
            </w:tcBorders>
            <w:noWrap/>
            <w:vAlign w:val="center"/>
          </w:tcPr>
          <w:p w14:paraId="07C8AE41">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洋溪流域</w:t>
            </w:r>
          </w:p>
        </w:tc>
        <w:tc>
          <w:tcPr>
            <w:tcW w:w="1048" w:type="pct"/>
            <w:tcBorders>
              <w:top w:val="single" w:color="auto" w:sz="4" w:space="0"/>
              <w:left w:val="single" w:color="auto" w:sz="4" w:space="0"/>
              <w:bottom w:val="single" w:color="auto" w:sz="4" w:space="0"/>
              <w:right w:val="single" w:color="auto" w:sz="12" w:space="0"/>
              <w:tl2br w:val="nil"/>
              <w:tr2bl w:val="nil"/>
            </w:tcBorders>
            <w:noWrap/>
            <w:vAlign w:val="center"/>
          </w:tcPr>
          <w:p w14:paraId="1B100792">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347.85</w:t>
            </w:r>
          </w:p>
        </w:tc>
      </w:tr>
      <w:tr w14:paraId="215CF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tcBorders>
              <w:top w:val="single" w:color="auto" w:sz="4" w:space="0"/>
              <w:left w:val="single" w:color="auto" w:sz="12" w:space="0"/>
              <w:bottom w:val="single" w:color="auto" w:sz="12" w:space="0"/>
              <w:right w:val="single" w:color="auto" w:sz="4" w:space="0"/>
              <w:tl2br w:val="nil"/>
              <w:tr2bl w:val="nil"/>
            </w:tcBorders>
            <w:noWrap/>
            <w:vAlign w:val="center"/>
          </w:tcPr>
          <w:p w14:paraId="0673B2E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P9</w:t>
            </w:r>
          </w:p>
        </w:tc>
        <w:tc>
          <w:tcPr>
            <w:tcW w:w="791" w:type="pct"/>
            <w:tcBorders>
              <w:top w:val="single" w:color="auto" w:sz="4" w:space="0"/>
              <w:left w:val="single" w:color="auto" w:sz="4" w:space="0"/>
              <w:bottom w:val="single" w:color="auto" w:sz="12" w:space="0"/>
              <w:right w:val="single" w:color="auto" w:sz="4" w:space="0"/>
              <w:tl2br w:val="nil"/>
              <w:tr2bl w:val="nil"/>
            </w:tcBorders>
            <w:shd w:val="clear" w:color="auto" w:fill="auto"/>
            <w:noWrap/>
            <w:vAlign w:val="top"/>
          </w:tcPr>
          <w:p w14:paraId="2C5929AF">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u w:val="single"/>
                <w:lang w:val="en-US" w:eastAsia="zh-CN" w:bidi="ar-SA"/>
              </w:rPr>
            </w:pPr>
            <w:r>
              <w:rPr>
                <w:rFonts w:hint="eastAsia"/>
                <w:color w:val="auto"/>
                <w:highlight w:val="none"/>
                <w:u w:val="single"/>
                <w:lang w:val="en-US" w:eastAsia="zh-CN"/>
              </w:rPr>
              <w:t>资江</w:t>
            </w:r>
          </w:p>
        </w:tc>
        <w:tc>
          <w:tcPr>
            <w:tcW w:w="2661" w:type="pct"/>
            <w:tcBorders>
              <w:top w:val="single" w:color="auto" w:sz="4" w:space="0"/>
              <w:left w:val="single" w:color="auto" w:sz="4" w:space="0"/>
              <w:bottom w:val="single" w:color="auto" w:sz="12" w:space="0"/>
              <w:right w:val="single" w:color="auto" w:sz="4" w:space="0"/>
              <w:tl2br w:val="nil"/>
              <w:tr2bl w:val="nil"/>
            </w:tcBorders>
            <w:shd w:val="clear" w:color="auto" w:fill="auto"/>
            <w:noWrap/>
            <w:vAlign w:val="center"/>
          </w:tcPr>
          <w:p w14:paraId="464FD7E4">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u w:val="single"/>
                <w:lang w:val="en-US" w:eastAsia="zh-CN" w:bidi="ar-SA"/>
              </w:rPr>
            </w:pPr>
            <w:r>
              <w:rPr>
                <w:rFonts w:hint="eastAsia"/>
                <w:color w:val="auto"/>
                <w:highlight w:val="none"/>
                <w:u w:val="single"/>
                <w:lang w:val="en-US" w:eastAsia="zh-CN"/>
              </w:rPr>
              <w:t>资江流域（洋溪汇入前）</w:t>
            </w:r>
          </w:p>
        </w:tc>
        <w:tc>
          <w:tcPr>
            <w:tcW w:w="1048" w:type="pct"/>
            <w:tcBorders>
              <w:top w:val="single" w:color="auto" w:sz="4" w:space="0"/>
              <w:left w:val="single" w:color="auto" w:sz="4" w:space="0"/>
              <w:bottom w:val="single" w:color="auto" w:sz="12" w:space="0"/>
              <w:right w:val="single" w:color="auto" w:sz="12" w:space="0"/>
              <w:tl2br w:val="nil"/>
              <w:tr2bl w:val="nil"/>
            </w:tcBorders>
            <w:shd w:val="clear" w:color="auto" w:fill="auto"/>
            <w:noWrap/>
            <w:vAlign w:val="center"/>
          </w:tcPr>
          <w:p w14:paraId="29CA2192">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u w:val="single"/>
                <w:lang w:val="en-US" w:eastAsia="zh-CN" w:bidi="ar-SA"/>
              </w:rPr>
            </w:pPr>
            <w:r>
              <w:rPr>
                <w:rFonts w:hint="eastAsia"/>
                <w:color w:val="auto"/>
                <w:highlight w:val="none"/>
                <w:u w:val="single"/>
                <w:lang w:val="en-US" w:eastAsia="zh-CN"/>
              </w:rPr>
              <w:t>19510.10</w:t>
            </w:r>
          </w:p>
        </w:tc>
      </w:tr>
    </w:tbl>
    <w:p w14:paraId="2A8D6B78">
      <w:pPr>
        <w:pStyle w:val="2"/>
        <w:bidi w:val="0"/>
        <w:rPr>
          <w:rFonts w:hint="default"/>
          <w:color w:val="auto"/>
          <w:highlight w:val="none"/>
          <w:lang w:val="en-US" w:eastAsia="zh-CN"/>
        </w:rPr>
      </w:pPr>
      <w:r>
        <w:rPr>
          <w:rFonts w:hint="default"/>
          <w:color w:val="auto"/>
          <w:highlight w:val="none"/>
          <w:lang w:val="en-US" w:eastAsia="zh-CN"/>
        </w:rPr>
        <w:t>各计算断面</w:t>
      </w:r>
      <w:r>
        <w:rPr>
          <w:rFonts w:hint="eastAsia"/>
          <w:color w:val="auto"/>
          <w:highlight w:val="none"/>
          <w:lang w:val="en-US" w:eastAsia="zh-CN"/>
        </w:rPr>
        <w:t>对应的上游流域近似可用下表计算</w:t>
      </w:r>
      <w:r>
        <w:rPr>
          <w:rFonts w:hint="default"/>
          <w:color w:val="auto"/>
          <w:highlight w:val="none"/>
          <w:lang w:val="en-US" w:eastAsia="zh-CN"/>
        </w:rPr>
        <w:t>。</w:t>
      </w:r>
    </w:p>
    <w:p w14:paraId="18DED243">
      <w:pPr>
        <w:pStyle w:val="28"/>
        <w:bidi w:val="0"/>
        <w:rPr>
          <w:rFonts w:hint="default"/>
          <w:color w:val="auto"/>
          <w:highlight w:val="none"/>
          <w:u w:val="single"/>
          <w:lang w:val="en-US" w:eastAsia="zh-CN"/>
        </w:rPr>
      </w:pPr>
      <w:r>
        <w:rPr>
          <w:rFonts w:hint="default"/>
          <w:color w:val="auto"/>
          <w:highlight w:val="none"/>
          <w:u w:val="single"/>
        </w:rPr>
        <w:t>表</w:t>
      </w:r>
      <w:r>
        <w:rPr>
          <w:rFonts w:hint="default"/>
          <w:color w:val="auto"/>
          <w:highlight w:val="none"/>
          <w:u w:val="single"/>
        </w:rPr>
        <w:fldChar w:fldCharType="begin"/>
      </w:r>
      <w:r>
        <w:rPr>
          <w:rFonts w:hint="default"/>
          <w:color w:val="auto"/>
          <w:highlight w:val="none"/>
          <w:u w:val="single"/>
        </w:rPr>
        <w:instrText xml:space="preserve"> STYLEREF guo-二级标题 \n </w:instrText>
      </w:r>
      <w:r>
        <w:rPr>
          <w:rFonts w:hint="default"/>
          <w:color w:val="auto"/>
          <w:highlight w:val="none"/>
          <w:u w:val="single"/>
        </w:rPr>
        <w:fldChar w:fldCharType="separate"/>
      </w:r>
      <w:r>
        <w:rPr>
          <w:rFonts w:hint="default"/>
          <w:color w:val="auto"/>
          <w:highlight w:val="none"/>
          <w:u w:val="single"/>
        </w:rPr>
        <w:t>7.1</w:t>
      </w:r>
      <w:r>
        <w:rPr>
          <w:rFonts w:hint="default"/>
          <w:color w:val="auto"/>
          <w:highlight w:val="none"/>
          <w:u w:val="single"/>
        </w:rPr>
        <w:fldChar w:fldCharType="end"/>
      </w:r>
      <w:r>
        <w:rPr>
          <w:rFonts w:hint="default"/>
          <w:color w:val="auto"/>
          <w:highlight w:val="none"/>
          <w:u w:val="single"/>
        </w:rPr>
        <w:t>–</w:t>
      </w:r>
      <w:r>
        <w:rPr>
          <w:rFonts w:hint="default"/>
          <w:color w:val="auto"/>
          <w:highlight w:val="none"/>
          <w:u w:val="single"/>
        </w:rPr>
        <w:fldChar w:fldCharType="begin"/>
      </w:r>
      <w:r>
        <w:rPr>
          <w:rFonts w:hint="default"/>
          <w:color w:val="auto"/>
          <w:highlight w:val="none"/>
          <w:u w:val="single"/>
        </w:rPr>
        <w:instrText xml:space="preserve"> SEQ 表 \* ARABIC \s 2 </w:instrText>
      </w:r>
      <w:r>
        <w:rPr>
          <w:rFonts w:hint="default"/>
          <w:color w:val="auto"/>
          <w:highlight w:val="none"/>
          <w:u w:val="single"/>
        </w:rPr>
        <w:fldChar w:fldCharType="separate"/>
      </w:r>
      <w:r>
        <w:rPr>
          <w:rFonts w:hint="default"/>
          <w:color w:val="auto"/>
          <w:highlight w:val="none"/>
          <w:u w:val="single"/>
        </w:rPr>
        <w:t>3</w:t>
      </w:r>
      <w:r>
        <w:rPr>
          <w:rFonts w:hint="default"/>
          <w:color w:val="auto"/>
          <w:highlight w:val="none"/>
          <w:u w:val="single"/>
        </w:rPr>
        <w:fldChar w:fldCharType="end"/>
      </w:r>
      <w:r>
        <w:rPr>
          <w:rFonts w:hint="default"/>
          <w:color w:val="auto"/>
          <w:highlight w:val="none"/>
          <w:u w:val="single"/>
        </w:rPr>
        <w:t xml:space="preserve">  </w:t>
      </w:r>
      <w:r>
        <w:rPr>
          <w:rFonts w:hint="default"/>
          <w:color w:val="auto"/>
          <w:highlight w:val="none"/>
          <w:u w:val="single"/>
          <w:lang w:val="en-US" w:eastAsia="zh-CN"/>
        </w:rPr>
        <w:t>各计算断面上游集雨面积一览表</w:t>
      </w:r>
    </w:p>
    <w:tbl>
      <w:tblPr>
        <w:tblStyle w:val="21"/>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757"/>
        <w:gridCol w:w="4584"/>
        <w:gridCol w:w="1758"/>
      </w:tblGrid>
      <w:tr w14:paraId="1A6DE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4" w:type="pct"/>
            <w:tcBorders>
              <w:top w:val="single" w:color="auto" w:sz="12" w:space="0"/>
              <w:left w:val="single" w:color="auto" w:sz="12" w:space="0"/>
              <w:bottom w:val="single" w:color="auto" w:sz="4" w:space="0"/>
              <w:right w:val="single" w:color="auto" w:sz="4" w:space="0"/>
              <w:tl2br w:val="nil"/>
              <w:tr2bl w:val="nil"/>
            </w:tcBorders>
            <w:noWrap/>
            <w:vAlign w:val="center"/>
          </w:tcPr>
          <w:p w14:paraId="4047FAB5">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rPr>
              <w:t>代号</w:t>
            </w:r>
          </w:p>
        </w:tc>
        <w:tc>
          <w:tcPr>
            <w:tcW w:w="960" w:type="pct"/>
            <w:tcBorders>
              <w:top w:val="single" w:color="auto" w:sz="12" w:space="0"/>
              <w:left w:val="single" w:color="auto" w:sz="4" w:space="0"/>
              <w:bottom w:val="single" w:color="auto" w:sz="4" w:space="0"/>
              <w:right w:val="single" w:color="auto" w:sz="4" w:space="0"/>
              <w:tl2br w:val="nil"/>
              <w:tr2bl w:val="nil"/>
            </w:tcBorders>
            <w:noWrap/>
            <w:vAlign w:val="center"/>
          </w:tcPr>
          <w:p w14:paraId="0184E694">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rPr>
              <w:t>河流</w:t>
            </w:r>
          </w:p>
        </w:tc>
        <w:tc>
          <w:tcPr>
            <w:tcW w:w="2505" w:type="pct"/>
            <w:tcBorders>
              <w:top w:val="single" w:color="auto" w:sz="12" w:space="0"/>
              <w:left w:val="single" w:color="auto" w:sz="4" w:space="0"/>
              <w:bottom w:val="single" w:color="auto" w:sz="4" w:space="0"/>
              <w:right w:val="single" w:color="auto" w:sz="4" w:space="0"/>
              <w:tl2br w:val="nil"/>
              <w:tr2bl w:val="nil"/>
            </w:tcBorders>
            <w:noWrap/>
            <w:vAlign w:val="center"/>
          </w:tcPr>
          <w:p w14:paraId="3A56DF7B">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rPr>
              <w:t>区域名称</w:t>
            </w:r>
          </w:p>
        </w:tc>
        <w:tc>
          <w:tcPr>
            <w:tcW w:w="960" w:type="pct"/>
            <w:tcBorders>
              <w:top w:val="single" w:color="auto" w:sz="12" w:space="0"/>
              <w:left w:val="single" w:color="auto" w:sz="4" w:space="0"/>
              <w:bottom w:val="single" w:color="auto" w:sz="4" w:space="0"/>
              <w:right w:val="single" w:color="auto" w:sz="12" w:space="0"/>
              <w:tl2br w:val="nil"/>
              <w:tr2bl w:val="nil"/>
            </w:tcBorders>
            <w:noWrap/>
            <w:vAlign w:val="center"/>
          </w:tcPr>
          <w:p w14:paraId="43C7F906">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rPr>
              <w:t>面积（k</w:t>
            </w:r>
            <w:r>
              <w:rPr>
                <w:rFonts w:hint="eastAsia"/>
                <w:color w:val="auto"/>
                <w:highlight w:val="none"/>
                <w:u w:val="single"/>
                <w:lang w:eastAsia="zh-CN"/>
              </w:rPr>
              <w:t>m</w:t>
            </w:r>
            <w:r>
              <w:rPr>
                <w:rFonts w:hint="eastAsia"/>
                <w:color w:val="auto"/>
                <w:highlight w:val="none"/>
                <w:u w:val="single"/>
                <w:vertAlign w:val="superscript"/>
                <w:lang w:eastAsia="zh-CN"/>
              </w:rPr>
              <w:t>2</w:t>
            </w:r>
            <w:r>
              <w:rPr>
                <w:rFonts w:hint="eastAsia"/>
                <w:color w:val="auto"/>
                <w:highlight w:val="none"/>
                <w:u w:val="single"/>
              </w:rPr>
              <w:t>）</w:t>
            </w:r>
          </w:p>
        </w:tc>
      </w:tr>
      <w:tr w14:paraId="1FF0D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single" w:color="auto" w:sz="4" w:space="0"/>
              <w:left w:val="single" w:color="auto" w:sz="12" w:space="0"/>
              <w:bottom w:val="single" w:color="auto" w:sz="4" w:space="0"/>
              <w:right w:val="single" w:color="auto" w:sz="4" w:space="0"/>
              <w:tl2br w:val="nil"/>
              <w:tr2bl w:val="nil"/>
            </w:tcBorders>
            <w:noWrap/>
            <w:vAlign w:val="top"/>
          </w:tcPr>
          <w:p w14:paraId="74FD7474">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Y1</w:t>
            </w:r>
          </w:p>
        </w:tc>
        <w:tc>
          <w:tcPr>
            <w:tcW w:w="1716" w:type="dxa"/>
            <w:tcBorders>
              <w:top w:val="single" w:color="auto" w:sz="4" w:space="0"/>
              <w:left w:val="single" w:color="auto" w:sz="4" w:space="0"/>
              <w:bottom w:val="single" w:color="auto" w:sz="4" w:space="0"/>
              <w:right w:val="single" w:color="auto" w:sz="4" w:space="0"/>
              <w:tl2br w:val="nil"/>
              <w:tr2bl w:val="nil"/>
            </w:tcBorders>
            <w:noWrap/>
            <w:vAlign w:val="center"/>
          </w:tcPr>
          <w:p w14:paraId="09AB9A3D">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渣滓溪</w:t>
            </w:r>
          </w:p>
        </w:tc>
        <w:tc>
          <w:tcPr>
            <w:tcW w:w="4477" w:type="dxa"/>
            <w:tcBorders>
              <w:top w:val="single" w:color="auto" w:sz="4" w:space="0"/>
              <w:left w:val="single" w:color="auto" w:sz="4" w:space="0"/>
              <w:bottom w:val="single" w:color="auto" w:sz="4" w:space="0"/>
              <w:right w:val="single" w:color="auto" w:sz="4" w:space="0"/>
              <w:tl2br w:val="nil"/>
              <w:tr2bl w:val="nil"/>
            </w:tcBorders>
            <w:noWrap/>
            <w:vAlign w:val="center"/>
          </w:tcPr>
          <w:p w14:paraId="3B18FF69">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P1</w:t>
            </w:r>
          </w:p>
        </w:tc>
        <w:tc>
          <w:tcPr>
            <w:tcW w:w="1717" w:type="dxa"/>
            <w:tcBorders>
              <w:top w:val="single" w:color="auto" w:sz="4" w:space="0"/>
              <w:left w:val="single" w:color="auto" w:sz="4" w:space="0"/>
              <w:bottom w:val="single" w:color="auto" w:sz="4" w:space="0"/>
              <w:right w:val="single" w:color="auto" w:sz="12" w:space="0"/>
              <w:tl2br w:val="nil"/>
              <w:tr2bl w:val="nil"/>
            </w:tcBorders>
            <w:noWrap/>
            <w:vAlign w:val="center"/>
          </w:tcPr>
          <w:p w14:paraId="0681B34F">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4.042</w:t>
            </w:r>
          </w:p>
        </w:tc>
      </w:tr>
      <w:tr w14:paraId="33F9A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single" w:color="auto" w:sz="4" w:space="0"/>
              <w:left w:val="single" w:color="auto" w:sz="12" w:space="0"/>
              <w:bottom w:val="single" w:color="auto" w:sz="4" w:space="0"/>
              <w:right w:val="single" w:color="auto" w:sz="4" w:space="0"/>
              <w:tl2br w:val="nil"/>
              <w:tr2bl w:val="nil"/>
            </w:tcBorders>
            <w:noWrap/>
            <w:vAlign w:val="top"/>
          </w:tcPr>
          <w:p w14:paraId="72F8ACAC">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Y2</w:t>
            </w:r>
          </w:p>
        </w:tc>
        <w:tc>
          <w:tcPr>
            <w:tcW w:w="1716" w:type="dxa"/>
            <w:tcBorders>
              <w:top w:val="single" w:color="auto" w:sz="4" w:space="0"/>
              <w:left w:val="single" w:color="auto" w:sz="4" w:space="0"/>
              <w:bottom w:val="single" w:color="auto" w:sz="4" w:space="0"/>
              <w:right w:val="single" w:color="auto" w:sz="4" w:space="0"/>
              <w:tl2br w:val="nil"/>
              <w:tr2bl w:val="nil"/>
            </w:tcBorders>
            <w:noWrap/>
            <w:vAlign w:val="center"/>
          </w:tcPr>
          <w:p w14:paraId="6E93B7E0">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白茅溪</w:t>
            </w:r>
          </w:p>
        </w:tc>
        <w:tc>
          <w:tcPr>
            <w:tcW w:w="4477" w:type="dxa"/>
            <w:tcBorders>
              <w:top w:val="single" w:color="auto" w:sz="4" w:space="0"/>
              <w:left w:val="single" w:color="auto" w:sz="4" w:space="0"/>
              <w:bottom w:val="single" w:color="auto" w:sz="4" w:space="0"/>
              <w:right w:val="single" w:color="auto" w:sz="4" w:space="0"/>
              <w:tl2br w:val="nil"/>
              <w:tr2bl w:val="nil"/>
            </w:tcBorders>
            <w:noWrap/>
            <w:vAlign w:val="center"/>
          </w:tcPr>
          <w:p w14:paraId="5A26AA4A">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P1+P3</w:t>
            </w:r>
          </w:p>
        </w:tc>
        <w:tc>
          <w:tcPr>
            <w:tcW w:w="1717" w:type="dxa"/>
            <w:tcBorders>
              <w:top w:val="single" w:color="auto" w:sz="4" w:space="0"/>
              <w:left w:val="single" w:color="auto" w:sz="4" w:space="0"/>
              <w:bottom w:val="single" w:color="auto" w:sz="4" w:space="0"/>
              <w:right w:val="single" w:color="auto" w:sz="12" w:space="0"/>
              <w:tl2br w:val="nil"/>
              <w:tr2bl w:val="nil"/>
            </w:tcBorders>
            <w:noWrap/>
            <w:vAlign w:val="center"/>
          </w:tcPr>
          <w:p w14:paraId="5B268253">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12.524</w:t>
            </w:r>
          </w:p>
        </w:tc>
      </w:tr>
      <w:tr w14:paraId="39192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single" w:color="auto" w:sz="4" w:space="0"/>
              <w:left w:val="single" w:color="auto" w:sz="12" w:space="0"/>
              <w:bottom w:val="single" w:color="auto" w:sz="4" w:space="0"/>
              <w:right w:val="single" w:color="auto" w:sz="4" w:space="0"/>
              <w:tl2br w:val="nil"/>
              <w:tr2bl w:val="nil"/>
            </w:tcBorders>
            <w:noWrap/>
            <w:vAlign w:val="top"/>
          </w:tcPr>
          <w:p w14:paraId="7DCE081F">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Y3</w:t>
            </w:r>
          </w:p>
        </w:tc>
        <w:tc>
          <w:tcPr>
            <w:tcW w:w="1716" w:type="dxa"/>
            <w:tcBorders>
              <w:top w:val="single" w:color="auto" w:sz="4" w:space="0"/>
              <w:left w:val="single" w:color="auto" w:sz="4" w:space="0"/>
              <w:bottom w:val="single" w:color="auto" w:sz="4" w:space="0"/>
              <w:right w:val="single" w:color="auto" w:sz="4" w:space="0"/>
              <w:tl2br w:val="nil"/>
              <w:tr2bl w:val="nil"/>
            </w:tcBorders>
            <w:noWrap/>
            <w:vAlign w:val="center"/>
          </w:tcPr>
          <w:p w14:paraId="5EA5FD4C">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奎溪</w:t>
            </w:r>
          </w:p>
        </w:tc>
        <w:tc>
          <w:tcPr>
            <w:tcW w:w="4477" w:type="dxa"/>
            <w:tcBorders>
              <w:top w:val="single" w:color="auto" w:sz="4" w:space="0"/>
              <w:left w:val="single" w:color="auto" w:sz="4" w:space="0"/>
              <w:bottom w:val="single" w:color="auto" w:sz="4" w:space="0"/>
              <w:right w:val="single" w:color="auto" w:sz="4" w:space="0"/>
              <w:tl2br w:val="nil"/>
              <w:tr2bl w:val="nil"/>
            </w:tcBorders>
            <w:noWrap/>
            <w:vAlign w:val="center"/>
          </w:tcPr>
          <w:p w14:paraId="66E4FB38">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P1+P2+P3+P4+P5</w:t>
            </w:r>
          </w:p>
        </w:tc>
        <w:tc>
          <w:tcPr>
            <w:tcW w:w="1717" w:type="dxa"/>
            <w:tcBorders>
              <w:top w:val="single" w:color="auto" w:sz="4" w:space="0"/>
              <w:left w:val="single" w:color="auto" w:sz="4" w:space="0"/>
              <w:bottom w:val="single" w:color="auto" w:sz="4" w:space="0"/>
              <w:right w:val="single" w:color="auto" w:sz="12" w:space="0"/>
              <w:tl2br w:val="nil"/>
              <w:tr2bl w:val="nil"/>
            </w:tcBorders>
            <w:noWrap/>
            <w:vAlign w:val="center"/>
          </w:tcPr>
          <w:p w14:paraId="3052CCC4">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45.441</w:t>
            </w:r>
          </w:p>
        </w:tc>
      </w:tr>
      <w:tr w14:paraId="5E2E8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single" w:color="auto" w:sz="4" w:space="0"/>
              <w:left w:val="single" w:color="auto" w:sz="12" w:space="0"/>
              <w:bottom w:val="single" w:color="auto" w:sz="4" w:space="0"/>
              <w:right w:val="single" w:color="auto" w:sz="4" w:space="0"/>
              <w:tl2br w:val="nil"/>
              <w:tr2bl w:val="nil"/>
            </w:tcBorders>
            <w:noWrap/>
            <w:vAlign w:val="top"/>
          </w:tcPr>
          <w:p w14:paraId="3C9B1570">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Y4</w:t>
            </w:r>
          </w:p>
        </w:tc>
        <w:tc>
          <w:tcPr>
            <w:tcW w:w="1716" w:type="dxa"/>
            <w:tcBorders>
              <w:top w:val="single" w:color="auto" w:sz="4" w:space="0"/>
              <w:left w:val="single" w:color="auto" w:sz="4" w:space="0"/>
              <w:bottom w:val="single" w:color="auto" w:sz="4" w:space="0"/>
              <w:right w:val="single" w:color="auto" w:sz="4" w:space="0"/>
              <w:tl2br w:val="nil"/>
              <w:tr2bl w:val="nil"/>
            </w:tcBorders>
            <w:noWrap/>
            <w:vAlign w:val="center"/>
          </w:tcPr>
          <w:p w14:paraId="029D985D">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eastAsia"/>
                <w:color w:val="auto"/>
                <w:highlight w:val="none"/>
                <w:u w:val="single"/>
                <w:lang w:val="en-US" w:eastAsia="zh-CN"/>
              </w:rPr>
              <w:t>洋溪</w:t>
            </w:r>
          </w:p>
        </w:tc>
        <w:tc>
          <w:tcPr>
            <w:tcW w:w="4477" w:type="dxa"/>
            <w:tcBorders>
              <w:top w:val="single" w:color="auto" w:sz="4" w:space="0"/>
              <w:left w:val="single" w:color="auto" w:sz="4" w:space="0"/>
              <w:bottom w:val="single" w:color="auto" w:sz="4" w:space="0"/>
              <w:right w:val="single" w:color="auto" w:sz="4" w:space="0"/>
              <w:tl2br w:val="nil"/>
              <w:tr2bl w:val="nil"/>
            </w:tcBorders>
            <w:noWrap/>
            <w:vAlign w:val="center"/>
          </w:tcPr>
          <w:p w14:paraId="1C1DD72D">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P1+P2+P3+P4+P5+P6+P7</w:t>
            </w:r>
          </w:p>
        </w:tc>
        <w:tc>
          <w:tcPr>
            <w:tcW w:w="1717" w:type="dxa"/>
            <w:tcBorders>
              <w:top w:val="single" w:color="auto" w:sz="4" w:space="0"/>
              <w:left w:val="single" w:color="auto" w:sz="4" w:space="0"/>
              <w:bottom w:val="single" w:color="auto" w:sz="4" w:space="0"/>
              <w:right w:val="single" w:color="auto" w:sz="12" w:space="0"/>
              <w:tl2br w:val="nil"/>
              <w:tr2bl w:val="nil"/>
            </w:tcBorders>
            <w:noWrap/>
            <w:vAlign w:val="center"/>
          </w:tcPr>
          <w:p w14:paraId="1A1D6142">
            <w:pPr>
              <w:pStyle w:val="26"/>
              <w:keepNext w:val="0"/>
              <w:keepLines w:val="0"/>
              <w:suppressLineNumbers w:val="0"/>
              <w:bidi w:val="0"/>
              <w:spacing w:before="0" w:beforeAutospacing="0" w:after="0" w:afterAutospacing="0"/>
              <w:ind w:left="0" w:right="0"/>
              <w:rPr>
                <w:rFonts w:hint="eastAsia"/>
                <w:color w:val="auto"/>
                <w:highlight w:val="none"/>
                <w:u w:val="single"/>
              </w:rPr>
            </w:pPr>
            <w:r>
              <w:rPr>
                <w:rFonts w:hint="default"/>
                <w:color w:val="auto"/>
                <w:highlight w:val="none"/>
                <w:u w:val="single"/>
                <w:lang w:val="en-US" w:eastAsia="zh-CN"/>
              </w:rPr>
              <w:t>232.85</w:t>
            </w:r>
          </w:p>
        </w:tc>
      </w:tr>
      <w:tr w14:paraId="40A6A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single" w:color="auto" w:sz="4" w:space="0"/>
              <w:left w:val="single" w:color="auto" w:sz="12" w:space="0"/>
              <w:bottom w:val="single" w:color="auto" w:sz="12" w:space="0"/>
              <w:right w:val="single" w:color="auto" w:sz="4" w:space="0"/>
              <w:tl2br w:val="nil"/>
              <w:tr2bl w:val="nil"/>
            </w:tcBorders>
            <w:noWrap/>
            <w:vAlign w:val="top"/>
          </w:tcPr>
          <w:p w14:paraId="3FBA0990">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Y5</w:t>
            </w:r>
          </w:p>
        </w:tc>
        <w:tc>
          <w:tcPr>
            <w:tcW w:w="1716" w:type="dxa"/>
            <w:tcBorders>
              <w:top w:val="single" w:color="auto" w:sz="4" w:space="0"/>
              <w:left w:val="single" w:color="auto" w:sz="4" w:space="0"/>
              <w:bottom w:val="single" w:color="auto" w:sz="12" w:space="0"/>
              <w:right w:val="single" w:color="auto" w:sz="4" w:space="0"/>
              <w:tl2br w:val="nil"/>
              <w:tr2bl w:val="nil"/>
            </w:tcBorders>
            <w:noWrap/>
            <w:vAlign w:val="center"/>
          </w:tcPr>
          <w:p w14:paraId="07254237">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资江</w:t>
            </w:r>
          </w:p>
        </w:tc>
        <w:tc>
          <w:tcPr>
            <w:tcW w:w="4477" w:type="dxa"/>
            <w:tcBorders>
              <w:top w:val="single" w:color="auto" w:sz="4" w:space="0"/>
              <w:left w:val="single" w:color="auto" w:sz="4" w:space="0"/>
              <w:bottom w:val="single" w:color="auto" w:sz="12" w:space="0"/>
              <w:right w:val="single" w:color="auto" w:sz="4" w:space="0"/>
              <w:tl2br w:val="nil"/>
              <w:tr2bl w:val="nil"/>
            </w:tcBorders>
            <w:noWrap/>
            <w:vAlign w:val="center"/>
          </w:tcPr>
          <w:p w14:paraId="36FFCB9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P8+P9</w:t>
            </w:r>
          </w:p>
        </w:tc>
        <w:tc>
          <w:tcPr>
            <w:tcW w:w="1717" w:type="dxa"/>
            <w:tcBorders>
              <w:top w:val="single" w:color="auto" w:sz="4" w:space="0"/>
              <w:left w:val="single" w:color="auto" w:sz="4" w:space="0"/>
              <w:bottom w:val="single" w:color="auto" w:sz="12" w:space="0"/>
              <w:right w:val="single" w:color="auto" w:sz="12" w:space="0"/>
              <w:tl2br w:val="nil"/>
              <w:tr2bl w:val="nil"/>
            </w:tcBorders>
            <w:noWrap/>
            <w:vAlign w:val="center"/>
          </w:tcPr>
          <w:p w14:paraId="015641F6">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19857.95</w:t>
            </w:r>
          </w:p>
        </w:tc>
      </w:tr>
    </w:tbl>
    <w:p w14:paraId="78738593">
      <w:pPr>
        <w:pStyle w:val="2"/>
        <w:bidi w:val="0"/>
        <w:rPr>
          <w:rFonts w:hint="default"/>
          <w:color w:val="auto"/>
          <w:highlight w:val="none"/>
          <w:lang w:val="en-US" w:eastAsia="zh-CN"/>
        </w:rPr>
      </w:pPr>
      <w:r>
        <w:rPr>
          <w:rFonts w:hint="default"/>
          <w:color w:val="auto"/>
          <w:highlight w:val="none"/>
          <w:lang w:val="en-US" w:eastAsia="zh-CN"/>
        </w:rPr>
        <w:t>③计算结果</w:t>
      </w:r>
    </w:p>
    <w:p w14:paraId="01C3D419">
      <w:pPr>
        <w:pStyle w:val="2"/>
        <w:bidi w:val="0"/>
        <w:rPr>
          <w:rFonts w:hint="default"/>
          <w:color w:val="auto"/>
          <w:highlight w:val="none"/>
          <w:lang w:val="en-US" w:eastAsia="zh-CN"/>
        </w:rPr>
      </w:pPr>
      <w:r>
        <w:rPr>
          <w:rFonts w:hint="eastAsia"/>
          <w:color w:val="auto"/>
          <w:highlight w:val="none"/>
          <w:lang w:val="en-US" w:eastAsia="zh-CN"/>
        </w:rPr>
        <w:t>采用水文比拟法，以梧桐水文站、桃江水文站作为参证站，</w:t>
      </w:r>
      <w:r>
        <w:rPr>
          <w:rFonts w:hint="default"/>
          <w:color w:val="auto"/>
          <w:highlight w:val="none"/>
          <w:lang w:val="en-US" w:eastAsia="zh-CN"/>
        </w:rPr>
        <w:t>计算各</w:t>
      </w:r>
      <w:r>
        <w:rPr>
          <w:rFonts w:hint="eastAsia"/>
          <w:color w:val="auto"/>
          <w:highlight w:val="none"/>
          <w:lang w:val="en-US" w:eastAsia="zh-CN"/>
        </w:rPr>
        <w:t>预测</w:t>
      </w:r>
      <w:r>
        <w:rPr>
          <w:rFonts w:hint="default"/>
          <w:color w:val="auto"/>
          <w:highlight w:val="none"/>
          <w:lang w:val="en-US" w:eastAsia="zh-CN"/>
        </w:rPr>
        <w:t>断面流量计算结果见下表。</w:t>
      </w:r>
    </w:p>
    <w:p w14:paraId="120E00E7">
      <w:pPr>
        <w:pStyle w:val="28"/>
        <w:bidi w:val="0"/>
        <w:rPr>
          <w:rFonts w:hint="default"/>
          <w:color w:val="auto"/>
          <w:highlight w:val="none"/>
          <w:u w:val="single"/>
          <w:lang w:val="en-US" w:eastAsia="zh-CN"/>
        </w:rPr>
      </w:pPr>
      <w:r>
        <w:rPr>
          <w:rFonts w:hint="default"/>
          <w:color w:val="auto"/>
          <w:highlight w:val="none"/>
          <w:u w:val="single"/>
        </w:rPr>
        <w:t>表</w:t>
      </w:r>
      <w:r>
        <w:rPr>
          <w:rFonts w:hint="default"/>
          <w:color w:val="auto"/>
          <w:highlight w:val="none"/>
          <w:u w:val="single"/>
        </w:rPr>
        <w:fldChar w:fldCharType="begin"/>
      </w:r>
      <w:r>
        <w:rPr>
          <w:rFonts w:hint="default"/>
          <w:color w:val="auto"/>
          <w:highlight w:val="none"/>
          <w:u w:val="single"/>
        </w:rPr>
        <w:instrText xml:space="preserve"> STYLEREF guo-二级标题 \n </w:instrText>
      </w:r>
      <w:r>
        <w:rPr>
          <w:rFonts w:hint="default"/>
          <w:color w:val="auto"/>
          <w:highlight w:val="none"/>
          <w:u w:val="single"/>
        </w:rPr>
        <w:fldChar w:fldCharType="separate"/>
      </w:r>
      <w:r>
        <w:rPr>
          <w:rFonts w:hint="default"/>
          <w:color w:val="auto"/>
          <w:highlight w:val="none"/>
          <w:u w:val="single"/>
        </w:rPr>
        <w:t>7.1</w:t>
      </w:r>
      <w:r>
        <w:rPr>
          <w:rFonts w:hint="default"/>
          <w:color w:val="auto"/>
          <w:highlight w:val="none"/>
          <w:u w:val="single"/>
        </w:rPr>
        <w:fldChar w:fldCharType="end"/>
      </w:r>
      <w:r>
        <w:rPr>
          <w:rFonts w:hint="default"/>
          <w:color w:val="auto"/>
          <w:highlight w:val="none"/>
          <w:u w:val="single"/>
        </w:rPr>
        <w:t>–</w:t>
      </w:r>
      <w:r>
        <w:rPr>
          <w:rFonts w:hint="default"/>
          <w:color w:val="auto"/>
          <w:highlight w:val="none"/>
          <w:u w:val="single"/>
        </w:rPr>
        <w:fldChar w:fldCharType="begin"/>
      </w:r>
      <w:r>
        <w:rPr>
          <w:rFonts w:hint="default"/>
          <w:color w:val="auto"/>
          <w:highlight w:val="none"/>
          <w:u w:val="single"/>
        </w:rPr>
        <w:instrText xml:space="preserve"> SEQ 表 \* ARABIC \s 2 </w:instrText>
      </w:r>
      <w:r>
        <w:rPr>
          <w:rFonts w:hint="default"/>
          <w:color w:val="auto"/>
          <w:highlight w:val="none"/>
          <w:u w:val="single"/>
        </w:rPr>
        <w:fldChar w:fldCharType="separate"/>
      </w:r>
      <w:r>
        <w:rPr>
          <w:rFonts w:hint="default"/>
          <w:color w:val="auto"/>
          <w:highlight w:val="none"/>
          <w:u w:val="single"/>
        </w:rPr>
        <w:t>4</w:t>
      </w:r>
      <w:r>
        <w:rPr>
          <w:rFonts w:hint="default"/>
          <w:color w:val="auto"/>
          <w:highlight w:val="none"/>
          <w:u w:val="single"/>
        </w:rPr>
        <w:fldChar w:fldCharType="end"/>
      </w:r>
      <w:r>
        <w:rPr>
          <w:rFonts w:hint="default"/>
          <w:color w:val="auto"/>
          <w:highlight w:val="none"/>
          <w:u w:val="single"/>
        </w:rPr>
        <w:t xml:space="preserve">  </w:t>
      </w:r>
      <w:r>
        <w:rPr>
          <w:rFonts w:hint="default"/>
          <w:color w:val="auto"/>
          <w:highlight w:val="none"/>
          <w:u w:val="single"/>
          <w:lang w:val="en-US" w:eastAsia="zh-CN"/>
        </w:rPr>
        <w:t>各计算断面近十一年最枯月流量、丰水期月平均流量计算结果表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47"/>
        <w:gridCol w:w="1848"/>
        <w:gridCol w:w="1849"/>
        <w:gridCol w:w="1849"/>
        <w:gridCol w:w="1849"/>
      </w:tblGrid>
      <w:tr w14:paraId="2A92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tcBorders>
              <w:top w:val="single" w:color="000000" w:sz="12" w:space="0"/>
              <w:left w:val="single" w:color="000000" w:sz="12" w:space="0"/>
              <w:tl2br w:val="nil"/>
            </w:tcBorders>
            <w:shd w:val="clear" w:color="auto" w:fill="auto"/>
            <w:vAlign w:val="center"/>
          </w:tcPr>
          <w:p w14:paraId="0EB4AAF7">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类别</w:t>
            </w:r>
          </w:p>
        </w:tc>
        <w:tc>
          <w:tcPr>
            <w:tcW w:w="1848" w:type="dxa"/>
            <w:tcBorders>
              <w:top w:val="single" w:color="000000" w:sz="12" w:space="0"/>
            </w:tcBorders>
            <w:shd w:val="clear" w:color="auto" w:fill="auto"/>
            <w:vAlign w:val="center"/>
          </w:tcPr>
          <w:p w14:paraId="00866E16">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项目</w:t>
            </w:r>
          </w:p>
        </w:tc>
        <w:tc>
          <w:tcPr>
            <w:tcW w:w="1849" w:type="dxa"/>
            <w:tcBorders>
              <w:top w:val="single" w:color="000000" w:sz="12" w:space="0"/>
            </w:tcBorders>
            <w:shd w:val="clear" w:color="auto" w:fill="auto"/>
            <w:vAlign w:val="center"/>
          </w:tcPr>
          <w:p w14:paraId="353041B7">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流域面积</w:t>
            </w:r>
          </w:p>
          <w:p w14:paraId="3B46143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（km</w:t>
            </w:r>
            <w:r>
              <w:rPr>
                <w:rFonts w:hint="eastAsia"/>
                <w:color w:val="auto"/>
                <w:highlight w:val="none"/>
                <w:u w:val="single"/>
                <w:vertAlign w:val="superscript"/>
                <w:lang w:val="en-US" w:eastAsia="zh-CN"/>
              </w:rPr>
              <w:t>2</w:t>
            </w:r>
            <w:r>
              <w:rPr>
                <w:rFonts w:hint="eastAsia"/>
                <w:color w:val="auto"/>
                <w:highlight w:val="none"/>
                <w:u w:val="single"/>
                <w:lang w:val="en-US" w:eastAsia="zh-CN"/>
              </w:rPr>
              <w:t>）</w:t>
            </w:r>
          </w:p>
        </w:tc>
        <w:tc>
          <w:tcPr>
            <w:tcW w:w="1849" w:type="dxa"/>
            <w:tcBorders>
              <w:top w:val="single" w:color="000000" w:sz="12" w:space="0"/>
            </w:tcBorders>
            <w:shd w:val="clear" w:color="auto" w:fill="auto"/>
            <w:vAlign w:val="center"/>
          </w:tcPr>
          <w:p w14:paraId="52D92F38">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近十一年最枯月</w:t>
            </w:r>
          </w:p>
          <w:p w14:paraId="6C8BC7F9">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eastAsia"/>
                <w:color w:val="auto"/>
                <w:highlight w:val="none"/>
                <w:u w:val="single"/>
                <w:lang w:val="en-US" w:eastAsia="zh-CN"/>
              </w:rPr>
              <w:t>/s）</w:t>
            </w:r>
          </w:p>
        </w:tc>
        <w:tc>
          <w:tcPr>
            <w:tcW w:w="1849" w:type="dxa"/>
            <w:tcBorders>
              <w:top w:val="single" w:color="000000" w:sz="12" w:space="0"/>
              <w:right w:val="single" w:color="000000" w:sz="12" w:space="0"/>
            </w:tcBorders>
            <w:shd w:val="clear" w:color="auto" w:fill="auto"/>
            <w:vAlign w:val="center"/>
          </w:tcPr>
          <w:p w14:paraId="0D45DB58">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丰水期流量</w:t>
            </w:r>
          </w:p>
          <w:p w14:paraId="5B1A3161">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r>
              <w:rPr>
                <w:rFonts w:hint="eastAsia"/>
                <w:color w:val="auto"/>
                <w:highlight w:val="none"/>
                <w:u w:val="single"/>
                <w:lang w:val="en-US" w:eastAsia="zh-CN"/>
              </w:rPr>
              <w:t>（m</w:t>
            </w:r>
            <w:r>
              <w:rPr>
                <w:rFonts w:hint="eastAsia"/>
                <w:color w:val="auto"/>
                <w:highlight w:val="none"/>
                <w:u w:val="single"/>
                <w:vertAlign w:val="superscript"/>
                <w:lang w:val="en-US" w:eastAsia="zh-CN"/>
              </w:rPr>
              <w:t>3</w:t>
            </w:r>
            <w:r>
              <w:rPr>
                <w:rFonts w:hint="eastAsia"/>
                <w:color w:val="auto"/>
                <w:highlight w:val="none"/>
                <w:u w:val="single"/>
                <w:lang w:val="en-US" w:eastAsia="zh-CN"/>
              </w:rPr>
              <w:t>/s）</w:t>
            </w:r>
          </w:p>
        </w:tc>
      </w:tr>
      <w:tr w14:paraId="0BF0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7" w:type="dxa"/>
            <w:tcBorders>
              <w:left w:val="single" w:color="000000" w:sz="12" w:space="0"/>
            </w:tcBorders>
            <w:shd w:val="clear" w:color="auto" w:fill="auto"/>
            <w:vAlign w:val="center"/>
          </w:tcPr>
          <w:p w14:paraId="2D72B121">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参证水文站情况</w:t>
            </w:r>
          </w:p>
        </w:tc>
        <w:tc>
          <w:tcPr>
            <w:tcW w:w="1848" w:type="dxa"/>
            <w:shd w:val="clear" w:color="auto" w:fill="auto"/>
            <w:vAlign w:val="center"/>
          </w:tcPr>
          <w:p w14:paraId="171638F3">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梧桐水文站</w:t>
            </w:r>
          </w:p>
        </w:tc>
        <w:tc>
          <w:tcPr>
            <w:tcW w:w="1849" w:type="dxa"/>
            <w:shd w:val="clear" w:color="auto" w:fill="auto"/>
            <w:vAlign w:val="center"/>
          </w:tcPr>
          <w:p w14:paraId="176AC6FF">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570</w:t>
            </w:r>
          </w:p>
        </w:tc>
        <w:tc>
          <w:tcPr>
            <w:tcW w:w="1849" w:type="dxa"/>
            <w:shd w:val="clear" w:color="auto" w:fill="auto"/>
            <w:vAlign w:val="center"/>
          </w:tcPr>
          <w:p w14:paraId="391D470C">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3.395</w:t>
            </w:r>
          </w:p>
        </w:tc>
        <w:tc>
          <w:tcPr>
            <w:tcW w:w="1849" w:type="dxa"/>
            <w:tcBorders>
              <w:right w:val="single" w:color="000000" w:sz="12" w:space="0"/>
            </w:tcBorders>
            <w:shd w:val="clear" w:color="auto" w:fill="auto"/>
            <w:vAlign w:val="center"/>
          </w:tcPr>
          <w:p w14:paraId="1ED0574C">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55.88</w:t>
            </w:r>
          </w:p>
        </w:tc>
      </w:tr>
      <w:tr w14:paraId="0BED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7" w:type="dxa"/>
            <w:vMerge w:val="restart"/>
            <w:tcBorders>
              <w:left w:val="single" w:color="000000" w:sz="12" w:space="0"/>
            </w:tcBorders>
            <w:shd w:val="clear" w:color="auto" w:fill="auto"/>
            <w:vAlign w:val="center"/>
          </w:tcPr>
          <w:p w14:paraId="3202A2A6">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预测断面情况</w:t>
            </w:r>
          </w:p>
        </w:tc>
        <w:tc>
          <w:tcPr>
            <w:tcW w:w="1848" w:type="dxa"/>
            <w:shd w:val="clear" w:color="auto" w:fill="auto"/>
            <w:vAlign w:val="center"/>
          </w:tcPr>
          <w:p w14:paraId="588CED10">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Y1</w:t>
            </w:r>
          </w:p>
        </w:tc>
        <w:tc>
          <w:tcPr>
            <w:tcW w:w="1849" w:type="dxa"/>
            <w:shd w:val="clear" w:color="auto" w:fill="auto"/>
            <w:vAlign w:val="center"/>
          </w:tcPr>
          <w:p w14:paraId="7625064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4.042</w:t>
            </w:r>
          </w:p>
        </w:tc>
        <w:tc>
          <w:tcPr>
            <w:tcW w:w="1849" w:type="dxa"/>
            <w:shd w:val="clear" w:color="auto" w:fill="auto"/>
            <w:vAlign w:val="center"/>
          </w:tcPr>
          <w:p w14:paraId="0781FCE8">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0.0</w:t>
            </w:r>
            <w:r>
              <w:rPr>
                <w:rFonts w:hint="eastAsia"/>
                <w:color w:val="auto"/>
                <w:highlight w:val="none"/>
                <w:u w:val="single"/>
                <w:lang w:val="en-US" w:eastAsia="zh-CN"/>
              </w:rPr>
              <w:t>24</w:t>
            </w:r>
          </w:p>
        </w:tc>
        <w:tc>
          <w:tcPr>
            <w:tcW w:w="1849" w:type="dxa"/>
            <w:tcBorders>
              <w:right w:val="single" w:color="000000" w:sz="12" w:space="0"/>
            </w:tcBorders>
            <w:shd w:val="clear" w:color="auto" w:fill="auto"/>
            <w:vAlign w:val="center"/>
          </w:tcPr>
          <w:p w14:paraId="27E4A214">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w:t>
            </w:r>
            <w:r>
              <w:rPr>
                <w:rFonts w:hint="eastAsia"/>
                <w:color w:val="auto"/>
                <w:highlight w:val="none"/>
                <w:u w:val="single"/>
                <w:lang w:val="en-US" w:eastAsia="zh-CN"/>
              </w:rPr>
              <w:t>396</w:t>
            </w:r>
          </w:p>
        </w:tc>
      </w:tr>
      <w:tr w14:paraId="084F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7" w:type="dxa"/>
            <w:vMerge w:val="continue"/>
            <w:tcBorders>
              <w:left w:val="single" w:color="000000" w:sz="12" w:space="0"/>
            </w:tcBorders>
            <w:shd w:val="clear" w:color="auto" w:fill="auto"/>
            <w:vAlign w:val="center"/>
          </w:tcPr>
          <w:p w14:paraId="392BC4F8">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p>
        </w:tc>
        <w:tc>
          <w:tcPr>
            <w:tcW w:w="1848" w:type="dxa"/>
            <w:shd w:val="clear" w:color="auto" w:fill="auto"/>
            <w:vAlign w:val="center"/>
          </w:tcPr>
          <w:p w14:paraId="041693BA">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Y2</w:t>
            </w:r>
          </w:p>
        </w:tc>
        <w:tc>
          <w:tcPr>
            <w:tcW w:w="1849" w:type="dxa"/>
            <w:shd w:val="clear" w:color="auto" w:fill="auto"/>
            <w:vAlign w:val="center"/>
          </w:tcPr>
          <w:p w14:paraId="5EAF066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12.524</w:t>
            </w:r>
          </w:p>
        </w:tc>
        <w:tc>
          <w:tcPr>
            <w:tcW w:w="1849" w:type="dxa"/>
            <w:shd w:val="clear" w:color="auto" w:fill="auto"/>
            <w:vAlign w:val="center"/>
          </w:tcPr>
          <w:p w14:paraId="2B3AD384">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w:t>
            </w:r>
            <w:r>
              <w:rPr>
                <w:rFonts w:hint="eastAsia"/>
                <w:color w:val="auto"/>
                <w:highlight w:val="none"/>
                <w:u w:val="single"/>
                <w:lang w:val="en-US" w:eastAsia="zh-CN"/>
              </w:rPr>
              <w:t>075</w:t>
            </w:r>
          </w:p>
        </w:tc>
        <w:tc>
          <w:tcPr>
            <w:tcW w:w="1849" w:type="dxa"/>
            <w:tcBorders>
              <w:right w:val="single" w:color="000000" w:sz="12" w:space="0"/>
            </w:tcBorders>
            <w:shd w:val="clear" w:color="auto" w:fill="auto"/>
            <w:vAlign w:val="center"/>
          </w:tcPr>
          <w:p w14:paraId="60092460">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1.228</w:t>
            </w:r>
          </w:p>
        </w:tc>
      </w:tr>
      <w:tr w14:paraId="3659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7" w:type="dxa"/>
            <w:vMerge w:val="continue"/>
            <w:tcBorders>
              <w:left w:val="single" w:color="000000" w:sz="12" w:space="0"/>
            </w:tcBorders>
            <w:shd w:val="clear" w:color="auto" w:fill="auto"/>
            <w:vAlign w:val="center"/>
          </w:tcPr>
          <w:p w14:paraId="0F8E45BC">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p>
        </w:tc>
        <w:tc>
          <w:tcPr>
            <w:tcW w:w="1848" w:type="dxa"/>
            <w:shd w:val="clear" w:color="auto" w:fill="auto"/>
            <w:vAlign w:val="center"/>
          </w:tcPr>
          <w:p w14:paraId="7CB86FC9">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Y3</w:t>
            </w:r>
          </w:p>
        </w:tc>
        <w:tc>
          <w:tcPr>
            <w:tcW w:w="1849" w:type="dxa"/>
            <w:shd w:val="clear" w:color="auto" w:fill="auto"/>
            <w:vAlign w:val="center"/>
          </w:tcPr>
          <w:p w14:paraId="79711FC5">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45.44</w:t>
            </w:r>
            <w:r>
              <w:rPr>
                <w:rFonts w:hint="eastAsia"/>
                <w:color w:val="auto"/>
                <w:highlight w:val="none"/>
                <w:u w:val="single"/>
                <w:lang w:val="en-US" w:eastAsia="zh-CN"/>
              </w:rPr>
              <w:t>1</w:t>
            </w:r>
          </w:p>
        </w:tc>
        <w:tc>
          <w:tcPr>
            <w:tcW w:w="1849" w:type="dxa"/>
            <w:shd w:val="clear" w:color="auto" w:fill="auto"/>
            <w:vAlign w:val="center"/>
          </w:tcPr>
          <w:p w14:paraId="41F86891">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default"/>
                <w:color w:val="auto"/>
                <w:highlight w:val="none"/>
                <w:u w:val="single"/>
                <w:lang w:val="en-US" w:eastAsia="zh-CN"/>
              </w:rPr>
              <w:t>0.</w:t>
            </w:r>
            <w:r>
              <w:rPr>
                <w:rFonts w:hint="eastAsia"/>
                <w:color w:val="auto"/>
                <w:highlight w:val="none"/>
                <w:u w:val="single"/>
                <w:lang w:val="en-US" w:eastAsia="zh-CN"/>
              </w:rPr>
              <w:t>271</w:t>
            </w:r>
          </w:p>
        </w:tc>
        <w:tc>
          <w:tcPr>
            <w:tcW w:w="1849" w:type="dxa"/>
            <w:tcBorders>
              <w:right w:val="single" w:color="000000" w:sz="12" w:space="0"/>
            </w:tcBorders>
            <w:shd w:val="clear" w:color="auto" w:fill="auto"/>
            <w:vAlign w:val="center"/>
          </w:tcPr>
          <w:p w14:paraId="36C4273C">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4.455</w:t>
            </w:r>
          </w:p>
        </w:tc>
      </w:tr>
      <w:tr w14:paraId="320C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7" w:type="dxa"/>
            <w:vMerge w:val="continue"/>
            <w:tcBorders>
              <w:left w:val="single" w:color="000000" w:sz="12" w:space="0"/>
            </w:tcBorders>
            <w:shd w:val="clear" w:color="auto" w:fill="auto"/>
            <w:vAlign w:val="center"/>
          </w:tcPr>
          <w:p w14:paraId="2B2DE269">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p>
        </w:tc>
        <w:tc>
          <w:tcPr>
            <w:tcW w:w="1848" w:type="dxa"/>
            <w:shd w:val="clear" w:color="auto" w:fill="auto"/>
            <w:vAlign w:val="center"/>
          </w:tcPr>
          <w:p w14:paraId="3AC04054">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u w:val="single"/>
                <w:lang w:val="en-US" w:eastAsia="zh-CN" w:bidi="ar-SA"/>
              </w:rPr>
            </w:pPr>
            <w:r>
              <w:rPr>
                <w:rFonts w:hint="eastAsia"/>
                <w:color w:val="auto"/>
                <w:highlight w:val="none"/>
                <w:u w:val="single"/>
                <w:lang w:val="en-US" w:eastAsia="zh-CN"/>
              </w:rPr>
              <w:t>Y4</w:t>
            </w:r>
          </w:p>
        </w:tc>
        <w:tc>
          <w:tcPr>
            <w:tcW w:w="1849" w:type="dxa"/>
            <w:shd w:val="clear" w:color="auto" w:fill="auto"/>
            <w:vAlign w:val="center"/>
          </w:tcPr>
          <w:p w14:paraId="38FBBA49">
            <w:pPr>
              <w:pStyle w:val="26"/>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u w:val="single"/>
                <w:lang w:val="en-US" w:eastAsia="zh-CN" w:bidi="ar-SA"/>
              </w:rPr>
            </w:pPr>
            <w:r>
              <w:rPr>
                <w:rFonts w:hint="default"/>
                <w:color w:val="auto"/>
                <w:highlight w:val="none"/>
                <w:u w:val="single"/>
                <w:lang w:val="en-US" w:eastAsia="zh-CN"/>
              </w:rPr>
              <w:t>232.85</w:t>
            </w:r>
          </w:p>
        </w:tc>
        <w:tc>
          <w:tcPr>
            <w:tcW w:w="1849" w:type="dxa"/>
            <w:shd w:val="clear" w:color="auto" w:fill="auto"/>
            <w:vAlign w:val="center"/>
          </w:tcPr>
          <w:p w14:paraId="46A1E462">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u w:val="single"/>
                <w:lang w:val="en-US" w:eastAsia="zh-CN" w:bidi="ar-SA"/>
              </w:rPr>
            </w:pPr>
            <w:r>
              <w:rPr>
                <w:rFonts w:hint="eastAsia"/>
                <w:color w:val="auto"/>
                <w:highlight w:val="none"/>
                <w:u w:val="single"/>
                <w:lang w:val="en-US" w:eastAsia="zh-CN"/>
              </w:rPr>
              <w:t>1.387</w:t>
            </w:r>
          </w:p>
        </w:tc>
        <w:tc>
          <w:tcPr>
            <w:tcW w:w="1849" w:type="dxa"/>
            <w:tcBorders>
              <w:right w:val="single" w:color="000000" w:sz="12" w:space="0"/>
            </w:tcBorders>
            <w:shd w:val="clear" w:color="auto" w:fill="auto"/>
            <w:vAlign w:val="center"/>
          </w:tcPr>
          <w:p w14:paraId="3B4A0C8D">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u w:val="single"/>
                <w:lang w:val="en-US" w:eastAsia="zh-CN" w:bidi="ar-SA"/>
              </w:rPr>
            </w:pPr>
            <w:r>
              <w:rPr>
                <w:rFonts w:hint="eastAsia"/>
                <w:color w:val="auto"/>
                <w:highlight w:val="none"/>
                <w:u w:val="single"/>
                <w:lang w:val="en-US" w:eastAsia="zh-CN"/>
              </w:rPr>
              <w:t>22.827</w:t>
            </w:r>
          </w:p>
        </w:tc>
      </w:tr>
      <w:tr w14:paraId="72DB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47" w:type="dxa"/>
            <w:vMerge w:val="continue"/>
            <w:tcBorders>
              <w:left w:val="single" w:color="000000" w:sz="12" w:space="0"/>
              <w:bottom w:val="single" w:color="000000" w:sz="12" w:space="0"/>
            </w:tcBorders>
            <w:shd w:val="clear" w:color="auto" w:fill="auto"/>
            <w:vAlign w:val="center"/>
          </w:tcPr>
          <w:p w14:paraId="5597BE44">
            <w:pPr>
              <w:pStyle w:val="26"/>
              <w:keepNext w:val="0"/>
              <w:keepLines w:val="0"/>
              <w:suppressLineNumbers w:val="0"/>
              <w:bidi w:val="0"/>
              <w:spacing w:before="0" w:beforeAutospacing="0" w:after="0" w:afterAutospacing="0"/>
              <w:ind w:left="0" w:right="0"/>
              <w:rPr>
                <w:rFonts w:hint="eastAsia"/>
                <w:color w:val="auto"/>
                <w:highlight w:val="none"/>
                <w:u w:val="single"/>
                <w:lang w:val="en-US" w:eastAsia="zh-CN"/>
              </w:rPr>
            </w:pPr>
          </w:p>
        </w:tc>
        <w:tc>
          <w:tcPr>
            <w:tcW w:w="1848" w:type="dxa"/>
            <w:tcBorders>
              <w:bottom w:val="single" w:color="000000" w:sz="12" w:space="0"/>
            </w:tcBorders>
            <w:shd w:val="clear" w:color="auto" w:fill="auto"/>
            <w:vAlign w:val="center"/>
          </w:tcPr>
          <w:p w14:paraId="4C4CC011">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Y5</w:t>
            </w:r>
          </w:p>
        </w:tc>
        <w:tc>
          <w:tcPr>
            <w:tcW w:w="1849" w:type="dxa"/>
            <w:tcBorders>
              <w:bottom w:val="single" w:color="000000" w:sz="12" w:space="0"/>
            </w:tcBorders>
            <w:shd w:val="clear" w:color="auto" w:fill="auto"/>
            <w:vAlign w:val="center"/>
          </w:tcPr>
          <w:p w14:paraId="0EB4A721">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19857.95</w:t>
            </w:r>
          </w:p>
        </w:tc>
        <w:tc>
          <w:tcPr>
            <w:tcW w:w="1849" w:type="dxa"/>
            <w:tcBorders>
              <w:bottom w:val="single" w:color="000000" w:sz="12" w:space="0"/>
            </w:tcBorders>
            <w:shd w:val="clear" w:color="auto" w:fill="auto"/>
            <w:vAlign w:val="center"/>
          </w:tcPr>
          <w:p w14:paraId="14767729">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8.358</w:t>
            </w:r>
          </w:p>
        </w:tc>
        <w:tc>
          <w:tcPr>
            <w:tcW w:w="1849" w:type="dxa"/>
            <w:tcBorders>
              <w:bottom w:val="single" w:color="000000" w:sz="12" w:space="0"/>
              <w:right w:val="single" w:color="000000" w:sz="12" w:space="0"/>
            </w:tcBorders>
            <w:shd w:val="clear" w:color="auto" w:fill="auto"/>
            <w:vAlign w:val="center"/>
          </w:tcPr>
          <w:p w14:paraId="5F0A8A1B">
            <w:pPr>
              <w:pStyle w:val="26"/>
              <w:keepNext w:val="0"/>
              <w:keepLines w:val="0"/>
              <w:suppressLineNumbers w:val="0"/>
              <w:bidi w:val="0"/>
              <w:spacing w:before="0" w:beforeAutospacing="0" w:after="0" w:afterAutospacing="0"/>
              <w:ind w:left="0" w:right="0"/>
              <w:rPr>
                <w:rFonts w:hint="default"/>
                <w:color w:val="auto"/>
                <w:highlight w:val="none"/>
                <w:u w:val="single"/>
                <w:lang w:val="en-US" w:eastAsia="zh-CN"/>
              </w:rPr>
            </w:pPr>
            <w:r>
              <w:rPr>
                <w:rFonts w:hint="eastAsia"/>
                <w:color w:val="auto"/>
                <w:highlight w:val="none"/>
                <w:u w:val="single"/>
                <w:lang w:val="en-US" w:eastAsia="zh-CN"/>
              </w:rPr>
              <w:t>804.849</w:t>
            </w:r>
          </w:p>
        </w:tc>
      </w:tr>
    </w:tbl>
    <w:p w14:paraId="16E29F9C">
      <w:pPr>
        <w:pStyle w:val="26"/>
        <w:jc w:val="left"/>
        <w:rPr>
          <w:rFonts w:hint="default"/>
          <w:color w:val="auto"/>
          <w:highlight w:val="none"/>
          <w:lang w:val="en-US" w:eastAsia="zh-CN"/>
        </w:rPr>
      </w:pPr>
      <w:r>
        <w:rPr>
          <w:rFonts w:hint="eastAsia"/>
          <w:color w:val="auto"/>
          <w:highlight w:val="none"/>
          <w:lang w:val="en-US" w:eastAsia="zh-CN"/>
        </w:rPr>
        <w:t>注：为与预测参数一致，Y1~Y5丰水期流量指多年平均的7月份径流量。</w:t>
      </w:r>
    </w:p>
    <w:p w14:paraId="70222AB4">
      <w:pPr>
        <w:pStyle w:val="2"/>
        <w:keepNext w:val="0"/>
        <w:keepLines w:val="0"/>
        <w:pageBreakBefore w:val="0"/>
        <w:widowControl w:val="0"/>
        <w:kinsoku/>
        <w:wordWrap/>
        <w:overflowPunct/>
        <w:topLinePunct w:val="0"/>
        <w:autoSpaceDE/>
        <w:autoSpaceDN/>
        <w:bidi w:val="0"/>
        <w:adjustRightInd/>
        <w:snapToGrid/>
        <w:textAlignment w:val="auto"/>
        <w:outlineLvl w:val="4"/>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二</w:t>
      </w:r>
      <w:r>
        <w:rPr>
          <w:rFonts w:hint="default"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水质参数的选取</w:t>
      </w:r>
    </w:p>
    <w:p w14:paraId="7F5519A6">
      <w:pPr>
        <w:keepNext w:val="0"/>
        <w:keepLines w:val="0"/>
        <w:pageBreakBefore w:val="0"/>
        <w:widowControl w:val="0"/>
        <w:numPr>
          <w:ilvl w:val="0"/>
          <w:numId w:val="0"/>
        </w:numPr>
        <w:tabs>
          <w:tab w:val="left" w:pos="1021"/>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0"/>
          <w:highlight w:val="none"/>
          <w:lang w:val="en-US" w:eastAsia="zh-CN"/>
        </w:rPr>
      </w:pPr>
      <w:r>
        <w:rPr>
          <w:rFonts w:hint="eastAsia" w:ascii="宋体" w:hAnsi="宋体" w:eastAsia="宋体" w:cs="宋体"/>
          <w:b/>
          <w:bCs/>
          <w:color w:val="auto"/>
          <w:sz w:val="24"/>
          <w:szCs w:val="20"/>
          <w:highlight w:val="none"/>
          <w:lang w:val="en-US" w:eastAsia="zh-CN"/>
        </w:rPr>
        <w:t>①各河流背景断面水质参数</w:t>
      </w:r>
    </w:p>
    <w:p w14:paraId="1DE860CB">
      <w:pPr>
        <w:pStyle w:val="2"/>
        <w:bidi w:val="0"/>
        <w:rPr>
          <w:rFonts w:hint="default"/>
          <w:color w:val="auto"/>
          <w:highlight w:val="none"/>
          <w:lang w:val="en-US" w:eastAsia="zh-CN"/>
        </w:rPr>
      </w:pPr>
      <w:r>
        <w:rPr>
          <w:rFonts w:hint="default"/>
          <w:color w:val="auto"/>
          <w:highlight w:val="none"/>
          <w:lang w:val="en-US" w:eastAsia="zh-CN"/>
        </w:rPr>
        <w:t>本次</w:t>
      </w:r>
      <w:r>
        <w:rPr>
          <w:rFonts w:hint="eastAsia"/>
          <w:color w:val="auto"/>
          <w:highlight w:val="none"/>
          <w:lang w:val="en-US" w:eastAsia="zh-CN"/>
        </w:rPr>
        <w:t>论证</w:t>
      </w:r>
      <w:r>
        <w:rPr>
          <w:rFonts w:hint="default"/>
          <w:color w:val="auto"/>
          <w:highlight w:val="none"/>
          <w:lang w:val="en-US" w:eastAsia="zh-CN"/>
        </w:rPr>
        <w:t>，对</w:t>
      </w:r>
      <w:r>
        <w:rPr>
          <w:rFonts w:hint="eastAsia"/>
          <w:color w:val="auto"/>
          <w:highlight w:val="none"/>
          <w:lang w:val="en-US" w:eastAsia="zh-CN"/>
        </w:rPr>
        <w:t>渣滓溪、白茅溪、奎溪、洋溪和资江</w:t>
      </w:r>
      <w:r>
        <w:rPr>
          <w:rFonts w:hint="default"/>
          <w:color w:val="auto"/>
          <w:highlight w:val="none"/>
          <w:lang w:val="en-US" w:eastAsia="zh-CN"/>
        </w:rPr>
        <w:t>各背景断面进行了</w:t>
      </w:r>
      <w:r>
        <w:rPr>
          <w:rFonts w:hint="eastAsia"/>
          <w:color w:val="auto"/>
          <w:highlight w:val="none"/>
          <w:lang w:val="en-US" w:eastAsia="zh-CN"/>
        </w:rPr>
        <w:t>枯水期和丰水期</w:t>
      </w:r>
      <w:r>
        <w:rPr>
          <w:rFonts w:hint="default"/>
          <w:color w:val="auto"/>
          <w:highlight w:val="none"/>
          <w:lang w:val="en-US" w:eastAsia="zh-CN"/>
        </w:rPr>
        <w:t>期监测，每次监测连续三天，可以反映</w:t>
      </w:r>
      <w:r>
        <w:rPr>
          <w:rFonts w:hint="eastAsia"/>
          <w:color w:val="auto"/>
          <w:highlight w:val="none"/>
          <w:lang w:val="en-US" w:eastAsia="zh-CN"/>
        </w:rPr>
        <w:t>渣滓溪、白茅溪、奎溪和洋溪</w:t>
      </w:r>
      <w:r>
        <w:rPr>
          <w:rFonts w:hint="default"/>
          <w:color w:val="auto"/>
          <w:highlight w:val="none"/>
          <w:lang w:val="en-US" w:eastAsia="zh-CN"/>
        </w:rPr>
        <w:t>的水质现状。各断面水质取现状监测时，三天监测值的算数平均值。</w:t>
      </w:r>
    </w:p>
    <w:p w14:paraId="118A4411">
      <w:pPr>
        <w:pStyle w:val="28"/>
        <w:bidi w:val="0"/>
        <w:rPr>
          <w:rFonts w:hint="default"/>
          <w:color w:val="auto"/>
          <w:highlight w:val="none"/>
          <w:lang w:val="en-US" w:eastAsia="zh-CN"/>
        </w:rPr>
      </w:pPr>
      <w:r>
        <w:rPr>
          <w:rFonts w:hint="default"/>
          <w:color w:val="auto"/>
          <w:highlight w:val="none"/>
        </w:rPr>
        <w:t>表</w:t>
      </w:r>
      <w:r>
        <w:rPr>
          <w:rFonts w:hint="default"/>
          <w:color w:val="auto"/>
          <w:highlight w:val="none"/>
        </w:rPr>
        <w:fldChar w:fldCharType="begin"/>
      </w:r>
      <w:r>
        <w:rPr>
          <w:rFonts w:hint="default"/>
          <w:color w:val="auto"/>
          <w:highlight w:val="none"/>
        </w:rPr>
        <w:instrText xml:space="preserve"> STYLEREF guo-二级标题 \n </w:instrText>
      </w:r>
      <w:r>
        <w:rPr>
          <w:rFonts w:hint="default"/>
          <w:color w:val="auto"/>
          <w:highlight w:val="none"/>
        </w:rPr>
        <w:fldChar w:fldCharType="separate"/>
      </w:r>
      <w:r>
        <w:rPr>
          <w:rFonts w:hint="default"/>
          <w:color w:val="auto"/>
          <w:highlight w:val="none"/>
        </w:rPr>
        <w:t>7.1</w:t>
      </w:r>
      <w:r>
        <w:rPr>
          <w:rFonts w:hint="default"/>
          <w:color w:val="auto"/>
          <w:highlight w:val="none"/>
        </w:rPr>
        <w:fldChar w:fldCharType="end"/>
      </w:r>
      <w:r>
        <w:rPr>
          <w:rFonts w:hint="default"/>
          <w:color w:val="auto"/>
          <w:highlight w:val="none"/>
        </w:rPr>
        <w:t>–</w:t>
      </w:r>
      <w:r>
        <w:rPr>
          <w:rFonts w:hint="default"/>
          <w:color w:val="auto"/>
          <w:highlight w:val="none"/>
        </w:rPr>
        <w:fldChar w:fldCharType="begin"/>
      </w:r>
      <w:r>
        <w:rPr>
          <w:rFonts w:hint="default"/>
          <w:color w:val="auto"/>
          <w:highlight w:val="none"/>
        </w:rPr>
        <w:instrText xml:space="preserve"> SEQ 表 \* ARABIC \s 2 </w:instrText>
      </w:r>
      <w:r>
        <w:rPr>
          <w:rFonts w:hint="default"/>
          <w:color w:val="auto"/>
          <w:highlight w:val="none"/>
        </w:rPr>
        <w:fldChar w:fldCharType="separate"/>
      </w:r>
      <w:r>
        <w:rPr>
          <w:rFonts w:hint="default"/>
          <w:color w:val="auto"/>
          <w:highlight w:val="none"/>
        </w:rPr>
        <w:t>5</w:t>
      </w:r>
      <w:r>
        <w:rPr>
          <w:rFonts w:hint="default"/>
          <w:color w:val="auto"/>
          <w:highlight w:val="none"/>
        </w:rPr>
        <w:fldChar w:fldCharType="end"/>
      </w:r>
      <w:r>
        <w:rPr>
          <w:rFonts w:hint="default"/>
          <w:color w:val="auto"/>
          <w:highlight w:val="none"/>
        </w:rPr>
        <w:t xml:space="preserve">  </w:t>
      </w:r>
      <w:r>
        <w:rPr>
          <w:rFonts w:hint="default"/>
          <w:color w:val="auto"/>
          <w:highlight w:val="none"/>
          <w:lang w:val="en-US" w:eastAsia="zh-CN"/>
        </w:rPr>
        <w:t>各河流背景断面水质水量一览表（单位mg/L）</w:t>
      </w:r>
    </w:p>
    <w:tbl>
      <w:tblPr>
        <w:tblStyle w:val="22"/>
        <w:tblW w:w="506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500"/>
        <w:gridCol w:w="4188"/>
        <w:gridCol w:w="2480"/>
      </w:tblGrid>
      <w:tr w14:paraId="6BE15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tcBorders>
              <w:tl2br w:val="nil"/>
              <w:tr2bl w:val="nil"/>
            </w:tcBorders>
            <w:noWrap w:val="0"/>
            <w:vAlign w:val="center"/>
          </w:tcPr>
          <w:p w14:paraId="13C6443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时期</w:t>
            </w:r>
          </w:p>
        </w:tc>
        <w:tc>
          <w:tcPr>
            <w:tcW w:w="2283" w:type="pct"/>
            <w:tcBorders>
              <w:tl2br w:val="nil"/>
              <w:tr2bl w:val="nil"/>
            </w:tcBorders>
            <w:noWrap w:val="0"/>
            <w:vAlign w:val="center"/>
          </w:tcPr>
          <w:p w14:paraId="58C8833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河流</w:t>
            </w:r>
          </w:p>
        </w:tc>
        <w:tc>
          <w:tcPr>
            <w:tcW w:w="1352" w:type="pct"/>
            <w:tcBorders>
              <w:tl2br w:val="nil"/>
              <w:tr2bl w:val="nil"/>
            </w:tcBorders>
            <w:noWrap w:val="0"/>
            <w:vAlign w:val="bottom"/>
          </w:tcPr>
          <w:p w14:paraId="417978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锑</w:t>
            </w:r>
          </w:p>
        </w:tc>
      </w:tr>
      <w:tr w14:paraId="33FA1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2" w:hRule="atLeast"/>
        </w:trPr>
        <w:tc>
          <w:tcPr>
            <w:tcW w:w="1363" w:type="pct"/>
            <w:vMerge w:val="restart"/>
            <w:tcBorders>
              <w:tl2br w:val="nil"/>
              <w:tr2bl w:val="nil"/>
            </w:tcBorders>
            <w:noWrap w:val="0"/>
            <w:vAlign w:val="center"/>
          </w:tcPr>
          <w:p w14:paraId="7FC9E9F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枯水期</w:t>
            </w:r>
          </w:p>
        </w:tc>
        <w:tc>
          <w:tcPr>
            <w:tcW w:w="2283" w:type="pct"/>
            <w:tcBorders>
              <w:tl2br w:val="nil"/>
              <w:tr2bl w:val="nil"/>
            </w:tcBorders>
            <w:noWrap w:val="0"/>
            <w:vAlign w:val="center"/>
          </w:tcPr>
          <w:p w14:paraId="499B060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w:t>
            </w:r>
            <w:r>
              <w:rPr>
                <w:rFonts w:hint="default"/>
                <w:color w:val="auto"/>
                <w:highlight w:val="none"/>
                <w:lang w:val="en-US" w:eastAsia="zh-CN"/>
              </w:rPr>
              <w:t>S</w:t>
            </w:r>
            <w:r>
              <w:rPr>
                <w:rFonts w:hint="eastAsia"/>
                <w:color w:val="auto"/>
                <w:highlight w:val="none"/>
                <w:lang w:val="en-US" w:eastAsia="zh-CN"/>
              </w:rPr>
              <w:t>1</w:t>
            </w:r>
          </w:p>
        </w:tc>
        <w:tc>
          <w:tcPr>
            <w:tcW w:w="1352" w:type="pct"/>
            <w:tcBorders>
              <w:tl2br w:val="nil"/>
              <w:tr2bl w:val="nil"/>
            </w:tcBorders>
            <w:noWrap w:val="0"/>
            <w:vAlign w:val="center"/>
          </w:tcPr>
          <w:p w14:paraId="0A1C273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0.0566</w:t>
            </w:r>
          </w:p>
        </w:tc>
      </w:tr>
      <w:tr w14:paraId="64A4E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227AB65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noWrap w:val="0"/>
            <w:vAlign w:val="center"/>
          </w:tcPr>
          <w:p w14:paraId="3095514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w:t>
            </w:r>
            <w:r>
              <w:rPr>
                <w:rFonts w:hint="default"/>
                <w:color w:val="auto"/>
                <w:highlight w:val="none"/>
                <w:lang w:val="en-US" w:eastAsia="zh-CN"/>
              </w:rPr>
              <w:t>S</w:t>
            </w:r>
            <w:r>
              <w:rPr>
                <w:rFonts w:hint="eastAsia"/>
                <w:color w:val="auto"/>
                <w:highlight w:val="none"/>
                <w:lang w:val="en-US" w:eastAsia="zh-CN"/>
              </w:rPr>
              <w:t>2</w:t>
            </w:r>
          </w:p>
        </w:tc>
        <w:tc>
          <w:tcPr>
            <w:tcW w:w="1352" w:type="pct"/>
            <w:tcBorders>
              <w:tl2br w:val="nil"/>
              <w:tr2bl w:val="nil"/>
            </w:tcBorders>
            <w:noWrap w:val="0"/>
            <w:vAlign w:val="center"/>
          </w:tcPr>
          <w:p w14:paraId="6029D45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0.1957</w:t>
            </w:r>
          </w:p>
        </w:tc>
      </w:tr>
      <w:tr w14:paraId="3DABC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45394CF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noWrap w:val="0"/>
            <w:vAlign w:val="center"/>
          </w:tcPr>
          <w:p w14:paraId="6392745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白茅溪S3</w:t>
            </w:r>
          </w:p>
        </w:tc>
        <w:tc>
          <w:tcPr>
            <w:tcW w:w="1352" w:type="pct"/>
            <w:tcBorders>
              <w:tl2br w:val="nil"/>
              <w:tr2bl w:val="nil"/>
            </w:tcBorders>
            <w:noWrap w:val="0"/>
            <w:vAlign w:val="center"/>
          </w:tcPr>
          <w:p w14:paraId="1DCCE099">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0.012</w:t>
            </w:r>
          </w:p>
        </w:tc>
      </w:tr>
      <w:tr w14:paraId="19876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59BCF0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noWrap w:val="0"/>
            <w:vAlign w:val="center"/>
          </w:tcPr>
          <w:p w14:paraId="2F078C9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白茅溪S4</w:t>
            </w:r>
          </w:p>
        </w:tc>
        <w:tc>
          <w:tcPr>
            <w:tcW w:w="1352" w:type="pct"/>
            <w:tcBorders>
              <w:tl2br w:val="nil"/>
              <w:tr2bl w:val="nil"/>
            </w:tcBorders>
            <w:noWrap w:val="0"/>
            <w:vAlign w:val="center"/>
          </w:tcPr>
          <w:p w14:paraId="2EF1DBB4">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0.0948</w:t>
            </w:r>
          </w:p>
        </w:tc>
      </w:tr>
      <w:tr w14:paraId="6FD34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2F5259BF">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shd w:val="clear" w:color="auto" w:fill="auto"/>
            <w:noWrap w:val="0"/>
            <w:vAlign w:val="center"/>
          </w:tcPr>
          <w:p w14:paraId="54B948D3">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奎溪S7</w:t>
            </w:r>
          </w:p>
        </w:tc>
        <w:tc>
          <w:tcPr>
            <w:tcW w:w="1352" w:type="pct"/>
            <w:tcBorders>
              <w:tl2br w:val="nil"/>
              <w:tr2bl w:val="nil"/>
            </w:tcBorders>
            <w:shd w:val="clear" w:color="auto" w:fill="auto"/>
            <w:noWrap w:val="0"/>
            <w:vAlign w:val="center"/>
          </w:tcPr>
          <w:p w14:paraId="42A0BD3A">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0.1503</w:t>
            </w:r>
          </w:p>
        </w:tc>
      </w:tr>
      <w:tr w14:paraId="5DE5C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78C09FB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shd w:val="clear" w:color="auto" w:fill="auto"/>
            <w:noWrap w:val="0"/>
            <w:vAlign w:val="center"/>
          </w:tcPr>
          <w:p w14:paraId="6C4D0A1F">
            <w:pPr>
              <w:pStyle w:val="26"/>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洋溪S9</w:t>
            </w:r>
          </w:p>
        </w:tc>
        <w:tc>
          <w:tcPr>
            <w:tcW w:w="1352" w:type="pct"/>
            <w:tcBorders>
              <w:tl2br w:val="nil"/>
              <w:tr2bl w:val="nil"/>
            </w:tcBorders>
            <w:shd w:val="clear" w:color="auto" w:fill="auto"/>
            <w:noWrap w:val="0"/>
            <w:vAlign w:val="center"/>
          </w:tcPr>
          <w:p w14:paraId="6E03D913">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0.0288</w:t>
            </w:r>
          </w:p>
        </w:tc>
      </w:tr>
      <w:tr w14:paraId="76962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0D3AD3B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noWrap w:val="0"/>
            <w:vAlign w:val="center"/>
          </w:tcPr>
          <w:p w14:paraId="34E34AE5">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资水S12</w:t>
            </w:r>
          </w:p>
        </w:tc>
        <w:tc>
          <w:tcPr>
            <w:tcW w:w="1352" w:type="pct"/>
            <w:tcBorders>
              <w:tl2br w:val="nil"/>
              <w:tr2bl w:val="nil"/>
            </w:tcBorders>
            <w:noWrap w:val="0"/>
            <w:vAlign w:val="center"/>
          </w:tcPr>
          <w:p w14:paraId="508E9B8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0.0035</w:t>
            </w:r>
          </w:p>
        </w:tc>
      </w:tr>
      <w:tr w14:paraId="1563C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1363" w:type="pct"/>
            <w:vMerge w:val="restart"/>
            <w:tcBorders>
              <w:tl2br w:val="nil"/>
              <w:tr2bl w:val="nil"/>
            </w:tcBorders>
            <w:noWrap w:val="0"/>
            <w:vAlign w:val="center"/>
          </w:tcPr>
          <w:p w14:paraId="63224D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丰水期</w:t>
            </w:r>
          </w:p>
        </w:tc>
        <w:tc>
          <w:tcPr>
            <w:tcW w:w="2283" w:type="pct"/>
            <w:tcBorders>
              <w:tl2br w:val="nil"/>
              <w:tr2bl w:val="nil"/>
            </w:tcBorders>
            <w:noWrap w:val="0"/>
            <w:vAlign w:val="center"/>
          </w:tcPr>
          <w:p w14:paraId="005D3E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w:t>
            </w:r>
            <w:r>
              <w:rPr>
                <w:rFonts w:hint="default"/>
                <w:color w:val="auto"/>
                <w:highlight w:val="none"/>
                <w:lang w:val="en-US" w:eastAsia="zh-CN"/>
              </w:rPr>
              <w:t>S</w:t>
            </w:r>
            <w:r>
              <w:rPr>
                <w:rFonts w:hint="eastAsia"/>
                <w:color w:val="auto"/>
                <w:highlight w:val="none"/>
                <w:lang w:val="en-US" w:eastAsia="zh-CN"/>
              </w:rPr>
              <w:t>1</w:t>
            </w:r>
          </w:p>
        </w:tc>
        <w:tc>
          <w:tcPr>
            <w:tcW w:w="1352" w:type="pct"/>
            <w:tcBorders>
              <w:tl2br w:val="nil"/>
              <w:tr2bl w:val="nil"/>
            </w:tcBorders>
            <w:noWrap w:val="0"/>
            <w:vAlign w:val="center"/>
          </w:tcPr>
          <w:p w14:paraId="2597C1A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0.0574</w:t>
            </w:r>
          </w:p>
        </w:tc>
      </w:tr>
      <w:tr w14:paraId="510A0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0AA80F6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noWrap w:val="0"/>
            <w:vAlign w:val="center"/>
          </w:tcPr>
          <w:p w14:paraId="3220C4E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w:t>
            </w:r>
            <w:r>
              <w:rPr>
                <w:rFonts w:hint="default"/>
                <w:color w:val="auto"/>
                <w:highlight w:val="none"/>
                <w:lang w:val="en-US" w:eastAsia="zh-CN"/>
              </w:rPr>
              <w:t>S</w:t>
            </w:r>
            <w:r>
              <w:rPr>
                <w:rFonts w:hint="eastAsia"/>
                <w:color w:val="auto"/>
                <w:highlight w:val="none"/>
                <w:lang w:val="en-US" w:eastAsia="zh-CN"/>
              </w:rPr>
              <w:t>2</w:t>
            </w:r>
          </w:p>
        </w:tc>
        <w:tc>
          <w:tcPr>
            <w:tcW w:w="1352" w:type="pct"/>
            <w:tcBorders>
              <w:tl2br w:val="nil"/>
              <w:tr2bl w:val="nil"/>
            </w:tcBorders>
            <w:noWrap w:val="0"/>
            <w:vAlign w:val="center"/>
          </w:tcPr>
          <w:p w14:paraId="1B4B71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0.6543</w:t>
            </w:r>
          </w:p>
        </w:tc>
      </w:tr>
      <w:tr w14:paraId="01CF0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5202B5E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noWrap w:val="0"/>
            <w:vAlign w:val="center"/>
          </w:tcPr>
          <w:p w14:paraId="7EDE9B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白茅溪S3</w:t>
            </w:r>
          </w:p>
        </w:tc>
        <w:tc>
          <w:tcPr>
            <w:tcW w:w="1352" w:type="pct"/>
            <w:tcBorders>
              <w:tl2br w:val="nil"/>
              <w:tr2bl w:val="nil"/>
            </w:tcBorders>
            <w:noWrap w:val="0"/>
            <w:vAlign w:val="center"/>
          </w:tcPr>
          <w:p w14:paraId="41E69C5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0.0115</w:t>
            </w:r>
          </w:p>
        </w:tc>
      </w:tr>
      <w:tr w14:paraId="0A355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2159645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noWrap w:val="0"/>
            <w:vAlign w:val="center"/>
          </w:tcPr>
          <w:p w14:paraId="09A44A69">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白茅溪S4</w:t>
            </w:r>
          </w:p>
        </w:tc>
        <w:tc>
          <w:tcPr>
            <w:tcW w:w="1352" w:type="pct"/>
            <w:tcBorders>
              <w:tl2br w:val="nil"/>
              <w:tr2bl w:val="nil"/>
            </w:tcBorders>
            <w:noWrap w:val="0"/>
            <w:vAlign w:val="center"/>
          </w:tcPr>
          <w:p w14:paraId="3F9DC4A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0.1897</w:t>
            </w:r>
          </w:p>
        </w:tc>
      </w:tr>
      <w:tr w14:paraId="71BAA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4DF503C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noWrap w:val="0"/>
            <w:vAlign w:val="center"/>
          </w:tcPr>
          <w:p w14:paraId="6D3906E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奎溪S7</w:t>
            </w:r>
          </w:p>
        </w:tc>
        <w:tc>
          <w:tcPr>
            <w:tcW w:w="1352" w:type="pct"/>
            <w:tcBorders>
              <w:tl2br w:val="nil"/>
              <w:tr2bl w:val="nil"/>
            </w:tcBorders>
            <w:noWrap w:val="0"/>
            <w:vAlign w:val="center"/>
          </w:tcPr>
          <w:p w14:paraId="28C4284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0.0115</w:t>
            </w:r>
          </w:p>
        </w:tc>
      </w:tr>
      <w:tr w14:paraId="3728F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25DBF2C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2283" w:type="pct"/>
            <w:tcBorders>
              <w:tl2br w:val="nil"/>
              <w:tr2bl w:val="nil"/>
            </w:tcBorders>
            <w:shd w:val="clear" w:color="auto" w:fill="auto"/>
            <w:noWrap w:val="0"/>
            <w:vAlign w:val="center"/>
          </w:tcPr>
          <w:p w14:paraId="05B152AB">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洋溪S9</w:t>
            </w:r>
          </w:p>
        </w:tc>
        <w:tc>
          <w:tcPr>
            <w:tcW w:w="1352" w:type="pct"/>
            <w:tcBorders>
              <w:tl2br w:val="nil"/>
              <w:tr2bl w:val="nil"/>
            </w:tcBorders>
            <w:shd w:val="clear" w:color="auto" w:fill="auto"/>
            <w:noWrap w:val="0"/>
            <w:vAlign w:val="center"/>
          </w:tcPr>
          <w:p w14:paraId="0E332AFC">
            <w:pPr>
              <w:pStyle w:val="26"/>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0.0106</w:t>
            </w:r>
          </w:p>
        </w:tc>
      </w:tr>
      <w:tr w14:paraId="426D8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363" w:type="pct"/>
            <w:vMerge w:val="continue"/>
            <w:tcBorders>
              <w:tl2br w:val="nil"/>
              <w:tr2bl w:val="nil"/>
            </w:tcBorders>
            <w:noWrap w:val="0"/>
            <w:vAlign w:val="center"/>
          </w:tcPr>
          <w:p w14:paraId="6D925A0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4188" w:type="dxa"/>
            <w:tcBorders>
              <w:tl2br w:val="nil"/>
              <w:tr2bl w:val="nil"/>
            </w:tcBorders>
            <w:noWrap w:val="0"/>
            <w:vAlign w:val="center"/>
          </w:tcPr>
          <w:p w14:paraId="06857257">
            <w:pPr>
              <w:pStyle w:val="26"/>
              <w:keepNext w:val="0"/>
              <w:keepLines w:val="0"/>
              <w:suppressLineNumbers w:val="0"/>
              <w:bidi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资水S12</w:t>
            </w:r>
          </w:p>
        </w:tc>
        <w:tc>
          <w:tcPr>
            <w:tcW w:w="2480" w:type="dxa"/>
            <w:tcBorders>
              <w:tl2br w:val="nil"/>
              <w:tr2bl w:val="nil"/>
            </w:tcBorders>
            <w:noWrap w:val="0"/>
            <w:vAlign w:val="center"/>
          </w:tcPr>
          <w:p w14:paraId="49A1E642">
            <w:pPr>
              <w:pStyle w:val="26"/>
              <w:keepNext w:val="0"/>
              <w:keepLines w:val="0"/>
              <w:suppressLineNumbers w:val="0"/>
              <w:bidi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0.0012</w:t>
            </w:r>
          </w:p>
        </w:tc>
      </w:tr>
    </w:tbl>
    <w:p w14:paraId="2C5DA4BD">
      <w:pPr>
        <w:pStyle w:val="26"/>
        <w:bidi w:val="0"/>
        <w:jc w:val="left"/>
        <w:rPr>
          <w:rFonts w:hint="default"/>
          <w:color w:val="auto"/>
          <w:highlight w:val="none"/>
          <w:lang w:val="en-US" w:eastAsia="zh-CN"/>
        </w:rPr>
      </w:pPr>
      <w:r>
        <w:rPr>
          <w:rFonts w:hint="default"/>
          <w:color w:val="auto"/>
          <w:highlight w:val="none"/>
          <w:lang w:val="en-US" w:eastAsia="zh-CN"/>
        </w:rPr>
        <w:t>注：未检出的按检出限的一半进行取值。</w:t>
      </w:r>
    </w:p>
    <w:p w14:paraId="55A2F554">
      <w:pPr>
        <w:pStyle w:val="26"/>
        <w:bidi w:val="0"/>
        <w:jc w:val="left"/>
        <w:rPr>
          <w:rFonts w:hint="default"/>
          <w:color w:val="auto"/>
          <w:highlight w:val="none"/>
          <w:lang w:val="en-US" w:eastAsia="zh-CN"/>
        </w:rPr>
      </w:pPr>
    </w:p>
    <w:p w14:paraId="179D38EB">
      <w:pPr>
        <w:keepNext w:val="0"/>
        <w:keepLines w:val="0"/>
        <w:pageBreakBefore w:val="0"/>
        <w:widowControl w:val="0"/>
        <w:numPr>
          <w:ilvl w:val="0"/>
          <w:numId w:val="0"/>
        </w:numPr>
        <w:tabs>
          <w:tab w:val="left" w:pos="1021"/>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0"/>
          <w:highlight w:val="none"/>
          <w:lang w:val="en-US" w:eastAsia="zh-CN"/>
        </w:rPr>
      </w:pPr>
      <w:r>
        <w:rPr>
          <w:rFonts w:hint="eastAsia" w:ascii="宋体" w:hAnsi="宋体" w:eastAsia="宋体" w:cs="宋体"/>
          <w:b/>
          <w:bCs/>
          <w:color w:val="auto"/>
          <w:sz w:val="24"/>
          <w:szCs w:val="20"/>
          <w:highlight w:val="none"/>
          <w:lang w:val="en-US" w:eastAsia="zh-CN"/>
        </w:rPr>
        <w:t>②</w:t>
      </w:r>
      <w:r>
        <w:rPr>
          <w:rFonts w:hint="eastAsia" w:ascii="Times New Roman" w:hAnsi="Times New Roman" w:eastAsia="宋体" w:cs="Times New Roman"/>
          <w:b/>
          <w:bCs/>
          <w:color w:val="auto"/>
          <w:sz w:val="24"/>
          <w:szCs w:val="20"/>
          <w:highlight w:val="none"/>
          <w:lang w:val="en-US" w:eastAsia="zh-CN"/>
        </w:rPr>
        <w:t>废水处理站</w:t>
      </w:r>
      <w:r>
        <w:rPr>
          <w:rFonts w:hint="default" w:ascii="Times New Roman" w:hAnsi="Times New Roman" w:eastAsia="宋体" w:cs="Times New Roman"/>
          <w:b/>
          <w:bCs/>
          <w:color w:val="auto"/>
          <w:sz w:val="24"/>
          <w:szCs w:val="20"/>
          <w:highlight w:val="none"/>
          <w:lang w:val="en-US" w:eastAsia="zh-CN"/>
        </w:rPr>
        <w:t>外排污水水质参数</w:t>
      </w:r>
    </w:p>
    <w:p w14:paraId="30262ABC">
      <w:pPr>
        <w:keepNext w:val="0"/>
        <w:keepLines w:val="0"/>
        <w:pageBreakBefore w:val="0"/>
        <w:widowControl w:val="0"/>
        <w:tabs>
          <w:tab w:val="left" w:pos="1021"/>
        </w:tabs>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w:t>
      </w:r>
      <w:r>
        <w:rPr>
          <w:rFonts w:hint="eastAsia" w:ascii="Times New Roman" w:hAnsi="Times New Roman" w:eastAsia="宋体" w:cs="Times New Roman"/>
          <w:color w:val="auto"/>
          <w:kern w:val="0"/>
          <w:sz w:val="24"/>
          <w:szCs w:val="24"/>
          <w:highlight w:val="none"/>
          <w:lang w:val="en-US" w:eastAsia="zh-CN" w:bidi="ar-SA"/>
        </w:rPr>
        <w:t>前文</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废水处理站</w:t>
      </w:r>
      <w:r>
        <w:rPr>
          <w:rFonts w:hint="default" w:ascii="Times New Roman" w:hAnsi="Times New Roman" w:eastAsia="宋体" w:cs="Times New Roman"/>
          <w:color w:val="auto"/>
          <w:kern w:val="0"/>
          <w:sz w:val="24"/>
          <w:szCs w:val="24"/>
          <w:highlight w:val="none"/>
          <w:lang w:val="en-US" w:eastAsia="zh-CN" w:bidi="ar-SA"/>
        </w:rPr>
        <w:t>出水水质水量见下表。</w:t>
      </w:r>
    </w:p>
    <w:p w14:paraId="114D34A5">
      <w:pPr>
        <w:tabs>
          <w:tab w:val="left" w:pos="1021"/>
        </w:tabs>
        <w:bidi w:val="0"/>
        <w:spacing w:line="288" w:lineRule="auto"/>
        <w:ind w:firstLine="0" w:firstLineChars="0"/>
        <w:jc w:val="center"/>
        <w:outlineLvl w:val="4"/>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STYLEREF guo-二级标题 \n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color w:val="auto"/>
          <w:sz w:val="24"/>
          <w:szCs w:val="24"/>
          <w:highlight w:val="none"/>
        </w:rPr>
        <w:t>7.1</w:t>
      </w:r>
      <w:r>
        <w:rPr>
          <w:rFonts w:hint="default" w:ascii="Times New Roman" w:hAnsi="Times New Roman" w:eastAsia="黑体"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t>–</w:t>
      </w: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SEQ 表 \* ARABIC \s 2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color w:val="auto"/>
          <w:sz w:val="24"/>
          <w:szCs w:val="24"/>
          <w:highlight w:val="none"/>
        </w:rPr>
        <w:t>6</w:t>
      </w:r>
      <w:r>
        <w:rPr>
          <w:rFonts w:hint="default" w:ascii="Times New Roman" w:hAnsi="Times New Roman" w:eastAsia="黑体"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渣滓溪锑矿废水处理站</w:t>
      </w:r>
      <w:r>
        <w:rPr>
          <w:rFonts w:hint="default" w:ascii="Times New Roman" w:hAnsi="Times New Roman" w:eastAsia="黑体" w:cs="Times New Roman"/>
          <w:color w:val="auto"/>
          <w:sz w:val="24"/>
          <w:szCs w:val="24"/>
          <w:highlight w:val="none"/>
          <w:lang w:val="en-US" w:eastAsia="zh-CN"/>
        </w:rPr>
        <w:t>出水水质水量一览表</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138"/>
        <w:gridCol w:w="2187"/>
        <w:gridCol w:w="2075"/>
        <w:gridCol w:w="1652"/>
      </w:tblGrid>
      <w:tr w14:paraId="13E70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733" w:type="pct"/>
            <w:tcBorders>
              <w:tl2br w:val="nil"/>
              <w:tr2bl w:val="nil"/>
            </w:tcBorders>
            <w:noWrap w:val="0"/>
            <w:vAlign w:val="center"/>
          </w:tcPr>
          <w:p w14:paraId="4F02033A">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因子</w:t>
            </w:r>
          </w:p>
        </w:tc>
        <w:tc>
          <w:tcPr>
            <w:tcW w:w="1208" w:type="pct"/>
            <w:tcBorders>
              <w:tl2br w:val="nil"/>
              <w:tr2bl w:val="nil"/>
            </w:tcBorders>
            <w:noWrap w:val="0"/>
            <w:vAlign w:val="center"/>
          </w:tcPr>
          <w:p w14:paraId="4410C8D5">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近十一年最枯月</w:t>
            </w:r>
          </w:p>
        </w:tc>
        <w:tc>
          <w:tcPr>
            <w:tcW w:w="1146" w:type="pct"/>
            <w:tcBorders>
              <w:tl2br w:val="nil"/>
              <w:tr2bl w:val="nil"/>
            </w:tcBorders>
            <w:noWrap w:val="0"/>
            <w:vAlign w:val="center"/>
          </w:tcPr>
          <w:p w14:paraId="250447FB">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丰水期水量</w:t>
            </w:r>
          </w:p>
        </w:tc>
        <w:tc>
          <w:tcPr>
            <w:tcW w:w="912" w:type="pct"/>
            <w:tcBorders>
              <w:tl2br w:val="nil"/>
              <w:tr2bl w:val="nil"/>
            </w:tcBorders>
            <w:noWrap w:val="0"/>
            <w:vAlign w:val="center"/>
          </w:tcPr>
          <w:p w14:paraId="348B5870">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总锑</w:t>
            </w:r>
          </w:p>
        </w:tc>
      </w:tr>
      <w:tr w14:paraId="71FBD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733" w:type="pct"/>
            <w:tcBorders>
              <w:tl2br w:val="nil"/>
              <w:tr2bl w:val="nil"/>
            </w:tcBorders>
            <w:noWrap w:val="0"/>
            <w:vAlign w:val="center"/>
          </w:tcPr>
          <w:p w14:paraId="70FB510A">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1208" w:type="pct"/>
            <w:tcBorders>
              <w:tl2br w:val="nil"/>
              <w:tr2bl w:val="nil"/>
            </w:tcBorders>
            <w:noWrap w:val="0"/>
            <w:vAlign w:val="center"/>
          </w:tcPr>
          <w:p w14:paraId="453D71BC">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0"/>
                <w:sz w:val="21"/>
                <w:szCs w:val="21"/>
                <w:highlight w:val="none"/>
                <w:lang w:eastAsia="zh-CN"/>
              </w:rPr>
              <w:t>m</w:t>
            </w:r>
            <w:r>
              <w:rPr>
                <w:rFonts w:hint="eastAsia" w:cs="Times New Roman"/>
                <w:color w:val="auto"/>
                <w:kern w:val="0"/>
                <w:sz w:val="21"/>
                <w:szCs w:val="21"/>
                <w:highlight w:val="none"/>
                <w:vertAlign w:val="superscript"/>
                <w:lang w:eastAsia="zh-CN"/>
              </w:rPr>
              <w:t>3</w:t>
            </w:r>
            <w:r>
              <w:rPr>
                <w:rFonts w:hint="default" w:ascii="Times New Roman" w:hAnsi="Times New Roman" w:eastAsia="宋体" w:cs="Times New Roman"/>
                <w:color w:val="auto"/>
                <w:kern w:val="0"/>
                <w:sz w:val="21"/>
                <w:szCs w:val="21"/>
                <w:highlight w:val="none"/>
              </w:rPr>
              <w:t>/s</w:t>
            </w:r>
          </w:p>
        </w:tc>
        <w:tc>
          <w:tcPr>
            <w:tcW w:w="1146" w:type="pct"/>
            <w:tcBorders>
              <w:tl2br w:val="nil"/>
              <w:tr2bl w:val="nil"/>
            </w:tcBorders>
            <w:noWrap w:val="0"/>
            <w:vAlign w:val="center"/>
          </w:tcPr>
          <w:p w14:paraId="419E6433">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eastAsia="zh-CN"/>
              </w:rPr>
              <w:t>m</w:t>
            </w:r>
            <w:r>
              <w:rPr>
                <w:rFonts w:hint="eastAsia" w:cs="Times New Roman"/>
                <w:color w:val="auto"/>
                <w:kern w:val="0"/>
                <w:sz w:val="21"/>
                <w:szCs w:val="21"/>
                <w:highlight w:val="none"/>
                <w:vertAlign w:val="superscript"/>
                <w:lang w:eastAsia="zh-CN"/>
              </w:rPr>
              <w:t>3</w:t>
            </w:r>
            <w:r>
              <w:rPr>
                <w:rFonts w:hint="default" w:ascii="Times New Roman" w:hAnsi="Times New Roman" w:eastAsia="宋体" w:cs="Times New Roman"/>
                <w:color w:val="auto"/>
                <w:kern w:val="0"/>
                <w:sz w:val="21"/>
                <w:szCs w:val="21"/>
                <w:highlight w:val="none"/>
              </w:rPr>
              <w:t>/s</w:t>
            </w:r>
          </w:p>
        </w:tc>
        <w:tc>
          <w:tcPr>
            <w:tcW w:w="912" w:type="pct"/>
            <w:tcBorders>
              <w:tl2br w:val="nil"/>
              <w:tr2bl w:val="nil"/>
            </w:tcBorders>
            <w:noWrap w:val="0"/>
            <w:vAlign w:val="center"/>
          </w:tcPr>
          <w:p w14:paraId="1F77DFE0">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r>
      <w:tr w14:paraId="498C3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8" w:hRule="atLeast"/>
        </w:trPr>
        <w:tc>
          <w:tcPr>
            <w:tcW w:w="1733" w:type="pct"/>
            <w:tcBorders>
              <w:tl2br w:val="nil"/>
              <w:tr2bl w:val="nil"/>
            </w:tcBorders>
            <w:noWrap w:val="0"/>
            <w:vAlign w:val="center"/>
          </w:tcPr>
          <w:p w14:paraId="64551134">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正常工况</w:t>
            </w:r>
          </w:p>
        </w:tc>
        <w:tc>
          <w:tcPr>
            <w:tcW w:w="1208" w:type="pct"/>
            <w:tcBorders>
              <w:tl2br w:val="nil"/>
              <w:tr2bl w:val="nil"/>
            </w:tcBorders>
            <w:noWrap w:val="0"/>
            <w:vAlign w:val="center"/>
          </w:tcPr>
          <w:p w14:paraId="63889E64">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（1）</w:t>
            </w:r>
          </w:p>
        </w:tc>
        <w:tc>
          <w:tcPr>
            <w:tcW w:w="1146" w:type="pct"/>
            <w:tcBorders>
              <w:tl2br w:val="nil"/>
              <w:tr2bl w:val="nil"/>
            </w:tcBorders>
            <w:noWrap w:val="0"/>
            <w:vAlign w:val="center"/>
          </w:tcPr>
          <w:p w14:paraId="4801A0AC">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035</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912" w:type="pct"/>
            <w:tcBorders>
              <w:tl2br w:val="nil"/>
              <w:tr2bl w:val="nil"/>
            </w:tcBorders>
            <w:noWrap w:val="0"/>
            <w:vAlign w:val="center"/>
          </w:tcPr>
          <w:p w14:paraId="21455896">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0.15</w:t>
            </w:r>
          </w:p>
        </w:tc>
      </w:tr>
      <w:tr w14:paraId="5C8AB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733" w:type="pct"/>
            <w:tcBorders>
              <w:tl2br w:val="nil"/>
              <w:tr2bl w:val="nil"/>
            </w:tcBorders>
            <w:noWrap w:val="0"/>
            <w:vAlign w:val="center"/>
          </w:tcPr>
          <w:p w14:paraId="3FD80094">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非正常</w:t>
            </w:r>
            <w:r>
              <w:rPr>
                <w:rFonts w:hint="default" w:ascii="Times New Roman" w:hAnsi="Times New Roman" w:eastAsia="宋体" w:cs="Times New Roman"/>
                <w:i w:val="0"/>
                <w:iCs w:val="0"/>
                <w:color w:val="auto"/>
                <w:kern w:val="0"/>
                <w:sz w:val="21"/>
                <w:szCs w:val="21"/>
                <w:highlight w:val="none"/>
                <w:u w:val="none"/>
                <w:lang w:val="en-US" w:eastAsia="zh-CN" w:bidi="ar"/>
              </w:rPr>
              <w:t>工况</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208" w:type="pct"/>
            <w:tcBorders>
              <w:tl2br w:val="nil"/>
              <w:tr2bl w:val="nil"/>
            </w:tcBorders>
            <w:noWrap w:val="0"/>
            <w:vAlign w:val="center"/>
          </w:tcPr>
          <w:p w14:paraId="5E01C09D">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p>
        </w:tc>
        <w:tc>
          <w:tcPr>
            <w:tcW w:w="1146" w:type="pct"/>
            <w:tcBorders>
              <w:tl2br w:val="nil"/>
              <w:tr2bl w:val="nil"/>
            </w:tcBorders>
            <w:noWrap w:val="0"/>
            <w:vAlign w:val="center"/>
          </w:tcPr>
          <w:p w14:paraId="1C959417">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12" w:type="pct"/>
            <w:tcBorders>
              <w:tl2br w:val="nil"/>
              <w:tr2bl w:val="nil"/>
            </w:tcBorders>
            <w:noWrap w:val="0"/>
            <w:vAlign w:val="center"/>
          </w:tcPr>
          <w:p w14:paraId="39C03737">
            <w:pPr>
              <w:keepNext w:val="0"/>
              <w:keepLines w:val="0"/>
              <w:widowControl/>
              <w:suppressLineNumbers w:val="0"/>
              <w:tabs>
                <w:tab w:val="left" w:pos="1021"/>
              </w:tabs>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2.30</w:t>
            </w:r>
          </w:p>
        </w:tc>
      </w:tr>
    </w:tbl>
    <w:p w14:paraId="0B68FC45">
      <w:pPr>
        <w:tabs>
          <w:tab w:val="left" w:pos="1021"/>
        </w:tabs>
        <w:kinsoku/>
        <w:wordWrap/>
        <w:topLinePunct w:val="0"/>
        <w:bidi w:val="0"/>
        <w:adjustRightInd/>
        <w:snapToGrid/>
        <w:spacing w:line="360" w:lineRule="auto"/>
        <w:ind w:firstLine="480" w:firstLineChars="20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注：（1）日均流量为</w:t>
      </w:r>
      <w:r>
        <w:rPr>
          <w:rFonts w:hint="eastAsia" w:cs="Times New Roman"/>
          <w:color w:val="auto"/>
          <w:sz w:val="24"/>
          <w:szCs w:val="20"/>
          <w:highlight w:val="none"/>
          <w:lang w:val="en-US" w:eastAsia="zh-CN"/>
        </w:rPr>
        <w:t>906</w:t>
      </w:r>
      <w:r>
        <w:rPr>
          <w:rFonts w:hint="eastAsia"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0</w:t>
      </w:r>
      <w:r>
        <w:rPr>
          <w:rFonts w:hint="eastAsia" w:ascii="Times New Roman" w:hAnsi="Times New Roman" w:eastAsia="宋体" w:cs="Times New Roman"/>
          <w:color w:val="auto"/>
          <w:sz w:val="24"/>
          <w:szCs w:val="20"/>
          <w:highlight w:val="none"/>
          <w:lang w:val="en-US" w:eastAsia="zh-CN"/>
        </w:rPr>
        <w:t>5</w:t>
      </w:r>
      <w:r>
        <w:rPr>
          <w:rFonts w:hint="eastAsia" w:cs="Times New Roman"/>
          <w:color w:val="auto"/>
          <w:sz w:val="24"/>
          <w:szCs w:val="20"/>
          <w:highlight w:val="none"/>
          <w:lang w:val="en-US" w:eastAsia="zh-CN"/>
        </w:rPr>
        <w:t>m</w:t>
      </w:r>
      <w:r>
        <w:rPr>
          <w:rFonts w:hint="eastAsia" w:cs="Times New Roman"/>
          <w:color w:val="auto"/>
          <w:sz w:val="24"/>
          <w:szCs w:val="20"/>
          <w:highlight w:val="none"/>
          <w:vertAlign w:val="superscript"/>
          <w:lang w:val="en-US" w:eastAsia="zh-CN"/>
        </w:rPr>
        <w:t>3</w:t>
      </w:r>
      <w:r>
        <w:rPr>
          <w:rFonts w:hint="default" w:ascii="Times New Roman" w:hAnsi="Times New Roman" w:eastAsia="宋体" w:cs="Times New Roman"/>
          <w:color w:val="auto"/>
          <w:sz w:val="24"/>
          <w:szCs w:val="20"/>
          <w:highlight w:val="none"/>
          <w:lang w:val="en-US" w:eastAsia="zh-CN"/>
        </w:rPr>
        <w:t>/d</w:t>
      </w:r>
      <w:r>
        <w:rPr>
          <w:rFonts w:hint="eastAsia" w:cs="Times New Roman"/>
          <w:color w:val="auto"/>
          <w:sz w:val="24"/>
          <w:szCs w:val="20"/>
          <w:highlight w:val="none"/>
          <w:lang w:val="en-US" w:eastAsia="zh-CN"/>
        </w:rPr>
        <w:t>，其中处理山体渗水427.9m</w:t>
      </w:r>
      <w:r>
        <w:rPr>
          <w:rFonts w:hint="eastAsia" w:cs="Times New Roman"/>
          <w:color w:val="auto"/>
          <w:sz w:val="24"/>
          <w:szCs w:val="20"/>
          <w:highlight w:val="none"/>
          <w:vertAlign w:val="superscript"/>
          <w:lang w:val="en-US" w:eastAsia="zh-CN"/>
        </w:rPr>
        <w:t>3</w:t>
      </w:r>
      <w:r>
        <w:rPr>
          <w:rFonts w:hint="default" w:ascii="Times New Roman" w:hAnsi="Times New Roman" w:eastAsia="宋体" w:cs="Times New Roman"/>
          <w:color w:val="auto"/>
          <w:sz w:val="24"/>
          <w:szCs w:val="20"/>
          <w:highlight w:val="none"/>
          <w:lang w:val="en-US" w:eastAsia="zh-CN"/>
        </w:rPr>
        <w:t>/d</w:t>
      </w:r>
      <w:r>
        <w:rPr>
          <w:rFonts w:hint="eastAsia" w:ascii="Times New Roman" w:hAnsi="Times New Roman" w:eastAsia="宋体" w:cs="Times New Roman"/>
          <w:color w:val="auto"/>
          <w:sz w:val="24"/>
          <w:szCs w:val="20"/>
          <w:highlight w:val="none"/>
          <w:lang w:val="en-US" w:eastAsia="zh-CN"/>
        </w:rPr>
        <w:t>，生产废水</w:t>
      </w:r>
      <w:r>
        <w:rPr>
          <w:rFonts w:hint="eastAsia" w:cs="Times New Roman"/>
          <w:color w:val="auto"/>
          <w:sz w:val="24"/>
          <w:szCs w:val="20"/>
          <w:highlight w:val="none"/>
          <w:lang w:val="en-US" w:eastAsia="zh-CN"/>
        </w:rPr>
        <w:t>478</w:t>
      </w:r>
      <w:r>
        <w:rPr>
          <w:rFonts w:hint="eastAsia"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1</w:t>
      </w:r>
      <w:r>
        <w:rPr>
          <w:rFonts w:hint="eastAsia" w:ascii="Times New Roman" w:hAnsi="Times New Roman" w:eastAsia="宋体" w:cs="Times New Roman"/>
          <w:color w:val="auto"/>
          <w:sz w:val="24"/>
          <w:szCs w:val="20"/>
          <w:highlight w:val="none"/>
          <w:lang w:val="en-US" w:eastAsia="zh-CN"/>
        </w:rPr>
        <w:t>5</w:t>
      </w:r>
      <w:r>
        <w:rPr>
          <w:rFonts w:hint="eastAsia" w:cs="Times New Roman"/>
          <w:color w:val="auto"/>
          <w:sz w:val="24"/>
          <w:szCs w:val="20"/>
          <w:highlight w:val="none"/>
          <w:lang w:val="en-US" w:eastAsia="zh-CN"/>
        </w:rPr>
        <w:t>m</w:t>
      </w:r>
      <w:r>
        <w:rPr>
          <w:rFonts w:hint="eastAsia" w:cs="Times New Roman"/>
          <w:color w:val="auto"/>
          <w:sz w:val="24"/>
          <w:szCs w:val="20"/>
          <w:highlight w:val="none"/>
          <w:vertAlign w:val="superscript"/>
          <w:lang w:val="en-US" w:eastAsia="zh-CN"/>
        </w:rPr>
        <w:t>3</w:t>
      </w:r>
      <w:r>
        <w:rPr>
          <w:rFonts w:hint="default" w:ascii="Times New Roman" w:hAnsi="Times New Roman" w:eastAsia="宋体" w:cs="Times New Roman"/>
          <w:color w:val="auto"/>
          <w:sz w:val="24"/>
          <w:szCs w:val="20"/>
          <w:highlight w:val="none"/>
          <w:lang w:val="en-US" w:eastAsia="zh-CN"/>
        </w:rPr>
        <w:t>/d；</w:t>
      </w:r>
    </w:p>
    <w:p w14:paraId="6C8E0747">
      <w:pPr>
        <w:tabs>
          <w:tab w:val="left" w:pos="1021"/>
        </w:tabs>
        <w:kinsoku/>
        <w:wordWrap/>
        <w:topLinePunct w:val="0"/>
        <w:bidi w:val="0"/>
        <w:adjustRightInd/>
        <w:snapToGrid/>
        <w:spacing w:line="360" w:lineRule="auto"/>
        <w:ind w:firstLine="960" w:firstLineChars="40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（2）日均流量为</w:t>
      </w:r>
      <w:r>
        <w:rPr>
          <w:rFonts w:hint="eastAsia" w:ascii="Times New Roman" w:hAnsi="Times New Roman" w:eastAsia="宋体" w:cs="Times New Roman"/>
          <w:color w:val="auto"/>
          <w:sz w:val="24"/>
          <w:szCs w:val="20"/>
          <w:highlight w:val="none"/>
          <w:lang w:val="en-US" w:eastAsia="zh-CN"/>
        </w:rPr>
        <w:t>3034</w:t>
      </w:r>
      <w:r>
        <w:rPr>
          <w:rFonts w:hint="eastAsia" w:cs="Times New Roman"/>
          <w:color w:val="auto"/>
          <w:sz w:val="24"/>
          <w:szCs w:val="20"/>
          <w:highlight w:val="none"/>
          <w:lang w:val="en-US" w:eastAsia="zh-CN"/>
        </w:rPr>
        <w:t>m</w:t>
      </w:r>
      <w:r>
        <w:rPr>
          <w:rFonts w:hint="eastAsia" w:cs="Times New Roman"/>
          <w:color w:val="auto"/>
          <w:sz w:val="24"/>
          <w:szCs w:val="20"/>
          <w:highlight w:val="none"/>
          <w:vertAlign w:val="superscript"/>
          <w:lang w:val="en-US" w:eastAsia="zh-CN"/>
        </w:rPr>
        <w:t>3</w:t>
      </w:r>
      <w:r>
        <w:rPr>
          <w:rFonts w:hint="default" w:ascii="Times New Roman" w:hAnsi="Times New Roman" w:eastAsia="宋体" w:cs="Times New Roman"/>
          <w:color w:val="auto"/>
          <w:sz w:val="24"/>
          <w:szCs w:val="20"/>
          <w:highlight w:val="none"/>
          <w:lang w:val="en-US" w:eastAsia="zh-CN"/>
        </w:rPr>
        <w:t>/d；</w:t>
      </w:r>
    </w:p>
    <w:p w14:paraId="6FDC6EFB">
      <w:pPr>
        <w:tabs>
          <w:tab w:val="left" w:pos="1021"/>
        </w:tabs>
        <w:kinsoku/>
        <w:wordWrap/>
        <w:topLinePunct w:val="0"/>
        <w:bidi w:val="0"/>
        <w:adjustRightInd/>
        <w:snapToGrid/>
        <w:spacing w:line="360" w:lineRule="auto"/>
        <w:ind w:firstLine="960" w:firstLineChars="400"/>
        <w:rPr>
          <w:rFonts w:hint="default" w:ascii="Times New Roman" w:hAnsi="Times New Roman" w:eastAsia="宋体" w:cs="Times New Roman"/>
          <w:b/>
          <w:bCs/>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（3）枯水期</w:t>
      </w:r>
      <w:r>
        <w:rPr>
          <w:rFonts w:hint="eastAsia" w:ascii="Times New Roman" w:hAnsi="Times New Roman" w:eastAsia="宋体" w:cs="Times New Roman"/>
          <w:color w:val="auto"/>
          <w:sz w:val="24"/>
          <w:szCs w:val="20"/>
          <w:highlight w:val="none"/>
          <w:lang w:val="en-US" w:eastAsia="zh-CN"/>
        </w:rPr>
        <w:t>非正常工况</w:t>
      </w:r>
      <w:r>
        <w:rPr>
          <w:rFonts w:hint="eastAsia" w:cs="Times New Roman"/>
          <w:color w:val="auto"/>
          <w:sz w:val="24"/>
          <w:szCs w:val="20"/>
          <w:highlight w:val="none"/>
          <w:lang w:val="en-US" w:eastAsia="zh-CN"/>
        </w:rPr>
        <w:t>不再处理隧洞内山体渗水</w:t>
      </w:r>
      <w:r>
        <w:rPr>
          <w:rFonts w:hint="eastAsia" w:ascii="Times New Roman" w:hAnsi="Times New Roman" w:eastAsia="宋体" w:cs="Times New Roman"/>
          <w:color w:val="auto"/>
          <w:sz w:val="24"/>
          <w:szCs w:val="20"/>
          <w:highlight w:val="none"/>
          <w:lang w:val="en-US" w:eastAsia="zh-CN"/>
        </w:rPr>
        <w:t>，出水水质</w:t>
      </w:r>
      <w:r>
        <w:rPr>
          <w:rFonts w:hint="default" w:ascii="Times New Roman" w:hAnsi="Times New Roman" w:eastAsia="宋体" w:cs="Times New Roman"/>
          <w:color w:val="auto"/>
          <w:sz w:val="24"/>
          <w:szCs w:val="20"/>
          <w:highlight w:val="none"/>
          <w:lang w:val="en-US" w:eastAsia="zh-CN"/>
        </w:rPr>
        <w:t>按</w:t>
      </w:r>
      <w:r>
        <w:rPr>
          <w:rFonts w:hint="eastAsia" w:ascii="Times New Roman" w:hAnsi="Times New Roman" w:eastAsia="宋体" w:cs="Times New Roman"/>
          <w:color w:val="auto"/>
          <w:sz w:val="24"/>
          <w:szCs w:val="20"/>
          <w:highlight w:val="none"/>
          <w:lang w:val="en-US" w:eastAsia="zh-CN"/>
        </w:rPr>
        <w:t>废水</w:t>
      </w:r>
      <w:r>
        <w:rPr>
          <w:rFonts w:hint="default" w:ascii="Times New Roman" w:hAnsi="Times New Roman" w:eastAsia="宋体" w:cs="Times New Roman"/>
          <w:color w:val="auto"/>
          <w:sz w:val="24"/>
          <w:szCs w:val="20"/>
          <w:highlight w:val="none"/>
          <w:lang w:val="en-US" w:eastAsia="zh-CN"/>
        </w:rPr>
        <w:t>处理站处理效率为0计算。</w:t>
      </w:r>
    </w:p>
    <w:p w14:paraId="6C13872B">
      <w:pPr>
        <w:pStyle w:val="2"/>
        <w:bidi w:val="0"/>
        <w:rPr>
          <w:rFonts w:hint="eastAsia"/>
          <w:color w:val="auto"/>
          <w:highlight w:val="none"/>
          <w:lang w:val="en-US" w:eastAsia="zh-CN"/>
        </w:rPr>
      </w:pPr>
    </w:p>
    <w:p w14:paraId="41D77014">
      <w:pPr>
        <w:pStyle w:val="2"/>
        <w:bidi w:val="0"/>
        <w:rPr>
          <w:rFonts w:hint="default"/>
          <w:color w:val="auto"/>
          <w:highlight w:val="none"/>
          <w:lang w:val="en-US" w:eastAsia="zh-CN"/>
        </w:rPr>
      </w:pPr>
      <w:r>
        <w:rPr>
          <w:rFonts w:hint="default"/>
          <w:color w:val="auto"/>
          <w:highlight w:val="none"/>
          <w:lang w:val="en-US" w:eastAsia="zh-CN"/>
        </w:rPr>
        <w:t>根据本项目工程分析，</w:t>
      </w:r>
      <w:r>
        <w:rPr>
          <w:rFonts w:hint="eastAsia"/>
          <w:color w:val="auto"/>
          <w:highlight w:val="none"/>
          <w:lang w:val="en-US" w:eastAsia="zh-CN"/>
        </w:rPr>
        <w:t>综合考虑废水处理站对隧洞中山体渗水的处理效果，本工程完成后区域减排情况见下表。本次预测，根据现状监测情况和区域减排情况，确定选取每年7月和近十一年最小流量的减排情况为预测参数。</w:t>
      </w:r>
    </w:p>
    <w:p w14:paraId="27DAB148">
      <w:pPr>
        <w:pStyle w:val="2"/>
        <w:bidi w:val="0"/>
        <w:rPr>
          <w:rFonts w:hint="eastAsia"/>
          <w:color w:val="auto"/>
          <w:highlight w:val="none"/>
          <w:lang w:val="en-US" w:eastAsia="zh-CN"/>
        </w:rPr>
        <w:sectPr>
          <w:footerReference r:id="rId13" w:type="default"/>
          <w:pgSz w:w="11906" w:h="16838"/>
          <w:pgMar w:top="1440" w:right="1440" w:bottom="1236"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color w:val="auto"/>
          <w:highlight w:val="none"/>
          <w:lang w:val="en-US" w:eastAsia="zh-CN"/>
        </w:rPr>
        <w:t>考虑到枯水期非正常工况下，调整前，企业已处理部分隧洞内锑含量高的渗水等。因此，枯水期非正常工况下应减去此部分减排量。</w:t>
      </w:r>
    </w:p>
    <w:p w14:paraId="1FBC6425">
      <w:pPr>
        <w:pStyle w:val="28"/>
        <w:bidi w:val="0"/>
        <w:rPr>
          <w:rFonts w:hint="eastAsia"/>
          <w:color w:val="auto"/>
          <w:highlight w:val="none"/>
          <w:lang w:eastAsia="zh-CN"/>
        </w:rPr>
      </w:pPr>
      <w:r>
        <w:rPr>
          <w:rFonts w:hint="default"/>
          <w:color w:val="auto"/>
          <w:highlight w:val="none"/>
        </w:rPr>
        <w:t>表</w:t>
      </w:r>
      <w:r>
        <w:rPr>
          <w:rFonts w:hint="default"/>
          <w:color w:val="auto"/>
          <w:highlight w:val="none"/>
        </w:rPr>
        <w:fldChar w:fldCharType="begin"/>
      </w:r>
      <w:r>
        <w:rPr>
          <w:rFonts w:hint="default"/>
          <w:color w:val="auto"/>
          <w:highlight w:val="none"/>
        </w:rPr>
        <w:instrText xml:space="preserve"> STYLEREF guo-二级标题 \n </w:instrText>
      </w:r>
      <w:r>
        <w:rPr>
          <w:rFonts w:hint="default"/>
          <w:color w:val="auto"/>
          <w:highlight w:val="none"/>
        </w:rPr>
        <w:fldChar w:fldCharType="separate"/>
      </w:r>
      <w:r>
        <w:rPr>
          <w:rFonts w:hint="default"/>
          <w:color w:val="auto"/>
          <w:highlight w:val="none"/>
        </w:rPr>
        <w:t>7.1</w:t>
      </w:r>
      <w:r>
        <w:rPr>
          <w:rFonts w:hint="default"/>
          <w:color w:val="auto"/>
          <w:highlight w:val="none"/>
        </w:rPr>
        <w:fldChar w:fldCharType="end"/>
      </w:r>
      <w:r>
        <w:rPr>
          <w:rFonts w:hint="default"/>
          <w:color w:val="auto"/>
          <w:highlight w:val="none"/>
        </w:rPr>
        <w:t>–</w:t>
      </w:r>
      <w:r>
        <w:rPr>
          <w:rFonts w:hint="default"/>
          <w:color w:val="auto"/>
          <w:highlight w:val="none"/>
        </w:rPr>
        <w:fldChar w:fldCharType="begin"/>
      </w:r>
      <w:r>
        <w:rPr>
          <w:rFonts w:hint="default"/>
          <w:color w:val="auto"/>
          <w:highlight w:val="none"/>
        </w:rPr>
        <w:instrText xml:space="preserve"> SEQ 表 \* ARABIC \s 2 </w:instrText>
      </w:r>
      <w:r>
        <w:rPr>
          <w:rFonts w:hint="default"/>
          <w:color w:val="auto"/>
          <w:highlight w:val="none"/>
        </w:rPr>
        <w:fldChar w:fldCharType="separate"/>
      </w:r>
      <w:r>
        <w:rPr>
          <w:rFonts w:hint="default"/>
          <w:color w:val="auto"/>
          <w:highlight w:val="none"/>
        </w:rPr>
        <w:t>7</w:t>
      </w:r>
      <w:r>
        <w:rPr>
          <w:rFonts w:hint="default"/>
          <w:color w:val="auto"/>
          <w:highlight w:val="none"/>
        </w:rPr>
        <w:fldChar w:fldCharType="end"/>
      </w:r>
      <w:r>
        <w:rPr>
          <w:rFonts w:hint="default"/>
          <w:color w:val="auto"/>
          <w:highlight w:val="none"/>
        </w:rPr>
        <w:t xml:space="preserve">  </w:t>
      </w:r>
      <w:r>
        <w:rPr>
          <w:rFonts w:hint="default"/>
          <w:color w:val="auto"/>
          <w:highlight w:val="none"/>
          <w:lang w:val="en-US" w:eastAsia="zh-CN"/>
        </w:rPr>
        <w:t>区域</w:t>
      </w:r>
      <w:r>
        <w:rPr>
          <w:rFonts w:hint="eastAsia"/>
          <w:color w:val="auto"/>
          <w:highlight w:val="none"/>
          <w:lang w:val="en-US" w:eastAsia="zh-CN"/>
        </w:rPr>
        <w:t>锑因子</w:t>
      </w:r>
      <w:r>
        <w:rPr>
          <w:rFonts w:hint="default"/>
          <w:color w:val="auto"/>
          <w:highlight w:val="none"/>
          <w:lang w:val="en-US" w:eastAsia="zh-CN"/>
        </w:rPr>
        <w:t>减排情况</w:t>
      </w:r>
      <w:r>
        <w:rPr>
          <w:rFonts w:hint="default"/>
          <w:color w:val="auto"/>
          <w:highlight w:val="none"/>
        </w:rPr>
        <w:t>表</w:t>
      </w:r>
      <w:r>
        <w:rPr>
          <w:rFonts w:hint="eastAsia"/>
          <w:color w:val="auto"/>
          <w:highlight w:val="none"/>
          <w:lang w:eastAsia="zh-CN"/>
        </w:rPr>
        <w:t>（</w:t>
      </w:r>
      <w:r>
        <w:rPr>
          <w:rFonts w:hint="eastAsia"/>
          <w:color w:val="auto"/>
          <w:highlight w:val="none"/>
          <w:lang w:val="en-US" w:eastAsia="zh-CN"/>
        </w:rPr>
        <w:t>单位：kg/d</w:t>
      </w:r>
      <w:r>
        <w:rPr>
          <w:rFonts w:hint="eastAsia"/>
          <w:color w:val="auto"/>
          <w:highlight w:val="none"/>
          <w:lang w:eastAsia="zh-CN"/>
        </w:rPr>
        <w:t>）</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95"/>
        <w:gridCol w:w="1020"/>
        <w:gridCol w:w="810"/>
        <w:gridCol w:w="960"/>
        <w:gridCol w:w="900"/>
        <w:gridCol w:w="810"/>
        <w:gridCol w:w="930"/>
        <w:gridCol w:w="990"/>
        <w:gridCol w:w="824"/>
        <w:gridCol w:w="1021"/>
        <w:gridCol w:w="837"/>
        <w:gridCol w:w="806"/>
        <w:gridCol w:w="1021"/>
        <w:gridCol w:w="837"/>
        <w:gridCol w:w="806"/>
        <w:gridCol w:w="1028"/>
        <w:gridCol w:w="1019"/>
      </w:tblGrid>
      <w:tr w14:paraId="44F13B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vMerge w:val="restart"/>
            <w:tcBorders>
              <w:tl2br w:val="nil"/>
              <w:tr2bl w:val="nil"/>
            </w:tcBorders>
            <w:shd w:val="clear" w:color="auto" w:fill="auto"/>
            <w:noWrap/>
            <w:vAlign w:val="center"/>
          </w:tcPr>
          <w:p w14:paraId="73D8144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月份</w:t>
            </w:r>
          </w:p>
        </w:tc>
        <w:tc>
          <w:tcPr>
            <w:tcW w:w="1738" w:type="pct"/>
            <w:gridSpan w:val="6"/>
            <w:tcBorders>
              <w:tl2br w:val="nil"/>
              <w:tr2bl w:val="nil"/>
            </w:tcBorders>
            <w:shd w:val="clear" w:color="auto" w:fill="auto"/>
            <w:noWrap/>
            <w:vAlign w:val="center"/>
          </w:tcPr>
          <w:p w14:paraId="50B2CD40">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调整前</w:t>
            </w:r>
          </w:p>
        </w:tc>
        <w:tc>
          <w:tcPr>
            <w:tcW w:w="2616" w:type="pct"/>
            <w:gridSpan w:val="9"/>
            <w:tcBorders>
              <w:tl2br w:val="nil"/>
              <w:tr2bl w:val="nil"/>
            </w:tcBorders>
            <w:shd w:val="clear" w:color="auto" w:fill="auto"/>
            <w:noWrap/>
            <w:vAlign w:val="center"/>
          </w:tcPr>
          <w:p w14:paraId="38AF468C">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调整后</w:t>
            </w:r>
          </w:p>
        </w:tc>
        <w:tc>
          <w:tcPr>
            <w:tcW w:w="326" w:type="pct"/>
            <w:vMerge w:val="restart"/>
            <w:tcBorders>
              <w:tl2br w:val="nil"/>
              <w:tr2bl w:val="nil"/>
            </w:tcBorders>
            <w:shd w:val="clear" w:color="auto" w:fill="auto"/>
            <w:noWrap/>
            <w:vAlign w:val="center"/>
          </w:tcPr>
          <w:p w14:paraId="6BF544B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减排量（kg/d)</w:t>
            </w:r>
          </w:p>
        </w:tc>
      </w:tr>
      <w:tr w14:paraId="17C94E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vMerge w:val="continue"/>
            <w:tcBorders>
              <w:tl2br w:val="nil"/>
              <w:tr2bl w:val="nil"/>
            </w:tcBorders>
            <w:shd w:val="clear" w:color="auto" w:fill="auto"/>
            <w:noWrap/>
            <w:vAlign w:val="center"/>
          </w:tcPr>
          <w:p w14:paraId="75B966F1">
            <w:pPr>
              <w:pStyle w:val="26"/>
              <w:keepNext w:val="0"/>
              <w:keepLines w:val="0"/>
              <w:suppressLineNumbers w:val="0"/>
              <w:bidi w:val="0"/>
              <w:spacing w:before="0" w:beforeAutospacing="0" w:after="0" w:afterAutospacing="0"/>
              <w:ind w:left="0" w:right="0"/>
              <w:rPr>
                <w:rFonts w:hint="default"/>
                <w:color w:val="auto"/>
                <w:highlight w:val="none"/>
              </w:rPr>
            </w:pPr>
          </w:p>
        </w:tc>
        <w:tc>
          <w:tcPr>
            <w:tcW w:w="893" w:type="pct"/>
            <w:gridSpan w:val="3"/>
            <w:tcBorders>
              <w:tl2br w:val="nil"/>
              <w:tr2bl w:val="nil"/>
            </w:tcBorders>
            <w:shd w:val="clear" w:color="auto" w:fill="auto"/>
            <w:noWrap/>
            <w:vAlign w:val="center"/>
          </w:tcPr>
          <w:p w14:paraId="35B4E4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隧洞出水</w:t>
            </w:r>
          </w:p>
        </w:tc>
        <w:tc>
          <w:tcPr>
            <w:tcW w:w="845" w:type="pct"/>
            <w:gridSpan w:val="3"/>
            <w:tcBorders>
              <w:tl2br w:val="nil"/>
              <w:tr2bl w:val="nil"/>
            </w:tcBorders>
            <w:shd w:val="clear" w:color="auto" w:fill="auto"/>
            <w:noWrap/>
            <w:vAlign w:val="center"/>
          </w:tcPr>
          <w:p w14:paraId="044956E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废水处理站出水</w:t>
            </w:r>
          </w:p>
        </w:tc>
        <w:tc>
          <w:tcPr>
            <w:tcW w:w="907" w:type="pct"/>
            <w:gridSpan w:val="3"/>
            <w:tcBorders>
              <w:tl2br w:val="nil"/>
              <w:tr2bl w:val="nil"/>
            </w:tcBorders>
            <w:shd w:val="clear" w:color="auto" w:fill="auto"/>
            <w:noWrap/>
            <w:vAlign w:val="center"/>
          </w:tcPr>
          <w:p w14:paraId="2791CD9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渣滓溪上游引水</w:t>
            </w:r>
          </w:p>
        </w:tc>
        <w:tc>
          <w:tcPr>
            <w:tcW w:w="853" w:type="pct"/>
            <w:gridSpan w:val="3"/>
            <w:tcBorders>
              <w:tl2br w:val="nil"/>
              <w:tr2bl w:val="nil"/>
            </w:tcBorders>
            <w:shd w:val="clear" w:color="auto" w:fill="auto"/>
            <w:noWrap/>
            <w:vAlign w:val="center"/>
          </w:tcPr>
          <w:p w14:paraId="095077C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隧洞出水</w:t>
            </w:r>
          </w:p>
        </w:tc>
        <w:tc>
          <w:tcPr>
            <w:tcW w:w="855" w:type="pct"/>
            <w:gridSpan w:val="3"/>
            <w:tcBorders>
              <w:tl2br w:val="nil"/>
              <w:tr2bl w:val="nil"/>
            </w:tcBorders>
            <w:shd w:val="clear" w:color="auto" w:fill="auto"/>
            <w:noWrap/>
            <w:vAlign w:val="center"/>
          </w:tcPr>
          <w:p w14:paraId="47EAA092">
            <w:pPr>
              <w:pStyle w:val="2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废水处理站出水</w:t>
            </w:r>
          </w:p>
        </w:tc>
        <w:tc>
          <w:tcPr>
            <w:tcW w:w="326" w:type="pct"/>
            <w:vMerge w:val="continue"/>
            <w:tcBorders>
              <w:tl2br w:val="nil"/>
              <w:tr2bl w:val="nil"/>
            </w:tcBorders>
            <w:shd w:val="clear" w:color="auto" w:fill="auto"/>
            <w:noWrap/>
            <w:vAlign w:val="center"/>
          </w:tcPr>
          <w:p w14:paraId="77AD8FFE">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52D5F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vMerge w:val="continue"/>
            <w:tcBorders>
              <w:tl2br w:val="nil"/>
              <w:tr2bl w:val="nil"/>
            </w:tcBorders>
            <w:shd w:val="clear" w:color="auto" w:fill="auto"/>
            <w:noWrap/>
            <w:vAlign w:val="center"/>
          </w:tcPr>
          <w:p w14:paraId="5AD023A4">
            <w:pPr>
              <w:pStyle w:val="26"/>
              <w:keepNext w:val="0"/>
              <w:keepLines w:val="0"/>
              <w:suppressLineNumbers w:val="0"/>
              <w:bidi w:val="0"/>
              <w:spacing w:before="0" w:beforeAutospacing="0" w:after="0" w:afterAutospacing="0"/>
              <w:ind w:left="0" w:right="0"/>
              <w:rPr>
                <w:rFonts w:hint="default"/>
                <w:color w:val="auto"/>
                <w:highlight w:val="none"/>
              </w:rPr>
            </w:pPr>
          </w:p>
        </w:tc>
        <w:tc>
          <w:tcPr>
            <w:tcW w:w="326" w:type="pct"/>
            <w:tcBorders>
              <w:tl2br w:val="nil"/>
              <w:tr2bl w:val="nil"/>
            </w:tcBorders>
            <w:shd w:val="clear" w:color="auto" w:fill="auto"/>
            <w:noWrap/>
            <w:vAlign w:val="center"/>
          </w:tcPr>
          <w:p w14:paraId="2C3AA33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水量(m</w:t>
            </w:r>
            <w:r>
              <w:rPr>
                <w:rFonts w:hint="eastAsia"/>
                <w:color w:val="auto"/>
                <w:highlight w:val="none"/>
                <w:vertAlign w:val="superscript"/>
                <w:lang w:val="en-US" w:eastAsia="zh-CN"/>
              </w:rPr>
              <w:t>3</w:t>
            </w:r>
            <w:r>
              <w:rPr>
                <w:rFonts w:hint="eastAsia"/>
                <w:color w:val="auto"/>
                <w:highlight w:val="none"/>
                <w:lang w:val="en-US" w:eastAsia="zh-CN"/>
              </w:rPr>
              <w:t>/d)</w:t>
            </w:r>
          </w:p>
        </w:tc>
        <w:tc>
          <w:tcPr>
            <w:tcW w:w="259" w:type="pct"/>
            <w:tcBorders>
              <w:tl2br w:val="nil"/>
              <w:tr2bl w:val="nil"/>
            </w:tcBorders>
            <w:shd w:val="clear" w:color="auto" w:fill="auto"/>
            <w:noWrap/>
            <w:vAlign w:val="center"/>
          </w:tcPr>
          <w:p w14:paraId="35B59163">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水质(mg/l)</w:t>
            </w:r>
          </w:p>
        </w:tc>
        <w:tc>
          <w:tcPr>
            <w:tcW w:w="307" w:type="pct"/>
            <w:tcBorders>
              <w:tl2br w:val="nil"/>
              <w:tr2bl w:val="nil"/>
            </w:tcBorders>
            <w:shd w:val="clear" w:color="auto" w:fill="auto"/>
            <w:noWrap/>
            <w:vAlign w:val="center"/>
          </w:tcPr>
          <w:p w14:paraId="358A849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排放量（kg/d)</w:t>
            </w:r>
          </w:p>
        </w:tc>
        <w:tc>
          <w:tcPr>
            <w:tcW w:w="288" w:type="pct"/>
            <w:tcBorders>
              <w:tl2br w:val="nil"/>
              <w:tr2bl w:val="nil"/>
            </w:tcBorders>
            <w:shd w:val="clear" w:color="auto" w:fill="auto"/>
            <w:noWrap/>
            <w:vAlign w:val="center"/>
          </w:tcPr>
          <w:p w14:paraId="000D7CA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水量(m</w:t>
            </w:r>
            <w:r>
              <w:rPr>
                <w:rFonts w:hint="eastAsia"/>
                <w:color w:val="auto"/>
                <w:highlight w:val="none"/>
                <w:vertAlign w:val="superscript"/>
                <w:lang w:val="en-US" w:eastAsia="zh-CN"/>
              </w:rPr>
              <w:t>3</w:t>
            </w:r>
            <w:r>
              <w:rPr>
                <w:rFonts w:hint="eastAsia"/>
                <w:color w:val="auto"/>
                <w:highlight w:val="none"/>
                <w:lang w:val="en-US" w:eastAsia="zh-CN"/>
              </w:rPr>
              <w:t>/d)</w:t>
            </w:r>
          </w:p>
        </w:tc>
        <w:tc>
          <w:tcPr>
            <w:tcW w:w="259" w:type="pct"/>
            <w:tcBorders>
              <w:tl2br w:val="nil"/>
              <w:tr2bl w:val="nil"/>
            </w:tcBorders>
            <w:shd w:val="clear" w:color="auto" w:fill="auto"/>
            <w:noWrap/>
            <w:vAlign w:val="center"/>
          </w:tcPr>
          <w:p w14:paraId="1169EFE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水质(mg/l)</w:t>
            </w:r>
          </w:p>
        </w:tc>
        <w:tc>
          <w:tcPr>
            <w:tcW w:w="297" w:type="pct"/>
            <w:tcBorders>
              <w:tl2br w:val="nil"/>
              <w:tr2bl w:val="nil"/>
            </w:tcBorders>
            <w:shd w:val="clear" w:color="auto" w:fill="auto"/>
            <w:noWrap/>
            <w:vAlign w:val="center"/>
          </w:tcPr>
          <w:p w14:paraId="644715E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排放量（kg/d)</w:t>
            </w:r>
          </w:p>
        </w:tc>
        <w:tc>
          <w:tcPr>
            <w:tcW w:w="317" w:type="pct"/>
            <w:tcBorders>
              <w:tl2br w:val="nil"/>
              <w:tr2bl w:val="nil"/>
            </w:tcBorders>
            <w:shd w:val="clear" w:color="auto" w:fill="auto"/>
            <w:noWrap/>
            <w:vAlign w:val="center"/>
          </w:tcPr>
          <w:p w14:paraId="26C24B6C">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水量(m</w:t>
            </w:r>
            <w:r>
              <w:rPr>
                <w:rFonts w:hint="eastAsia"/>
                <w:color w:val="auto"/>
                <w:highlight w:val="none"/>
                <w:vertAlign w:val="superscript"/>
                <w:lang w:val="en-US" w:eastAsia="zh-CN"/>
              </w:rPr>
              <w:t>3</w:t>
            </w:r>
            <w:r>
              <w:rPr>
                <w:rFonts w:hint="eastAsia"/>
                <w:color w:val="auto"/>
                <w:highlight w:val="none"/>
                <w:lang w:val="en-US" w:eastAsia="zh-CN"/>
              </w:rPr>
              <w:t>/d)</w:t>
            </w:r>
          </w:p>
        </w:tc>
        <w:tc>
          <w:tcPr>
            <w:tcW w:w="263" w:type="pct"/>
            <w:tcBorders>
              <w:tl2br w:val="nil"/>
              <w:tr2bl w:val="nil"/>
            </w:tcBorders>
            <w:shd w:val="clear" w:color="auto" w:fill="auto"/>
            <w:noWrap/>
            <w:vAlign w:val="center"/>
          </w:tcPr>
          <w:p w14:paraId="7719F823">
            <w:pPr>
              <w:pStyle w:val="2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水质(mg/l)</w:t>
            </w:r>
          </w:p>
        </w:tc>
        <w:tc>
          <w:tcPr>
            <w:tcW w:w="326" w:type="pct"/>
            <w:tcBorders>
              <w:tl2br w:val="nil"/>
              <w:tr2bl w:val="nil"/>
            </w:tcBorders>
            <w:shd w:val="clear" w:color="auto" w:fill="auto"/>
            <w:noWrap/>
            <w:vAlign w:val="center"/>
          </w:tcPr>
          <w:p w14:paraId="32CA4F1E">
            <w:pPr>
              <w:pStyle w:val="2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排放量（kg/d)</w:t>
            </w:r>
          </w:p>
        </w:tc>
        <w:tc>
          <w:tcPr>
            <w:tcW w:w="268" w:type="pct"/>
            <w:tcBorders>
              <w:tl2br w:val="nil"/>
              <w:tr2bl w:val="nil"/>
            </w:tcBorders>
            <w:shd w:val="clear" w:color="auto" w:fill="auto"/>
            <w:noWrap/>
            <w:vAlign w:val="center"/>
          </w:tcPr>
          <w:p w14:paraId="5912B472">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水量(m</w:t>
            </w:r>
            <w:r>
              <w:rPr>
                <w:rFonts w:hint="eastAsia"/>
                <w:color w:val="auto"/>
                <w:highlight w:val="none"/>
                <w:vertAlign w:val="superscript"/>
                <w:lang w:val="en-US" w:eastAsia="zh-CN"/>
              </w:rPr>
              <w:t>3</w:t>
            </w:r>
            <w:r>
              <w:rPr>
                <w:rFonts w:hint="eastAsia"/>
                <w:color w:val="auto"/>
                <w:highlight w:val="none"/>
                <w:lang w:val="en-US" w:eastAsia="zh-CN"/>
              </w:rPr>
              <w:t>/d)</w:t>
            </w:r>
          </w:p>
        </w:tc>
        <w:tc>
          <w:tcPr>
            <w:tcW w:w="258" w:type="pct"/>
            <w:tcBorders>
              <w:tl2br w:val="nil"/>
              <w:tr2bl w:val="nil"/>
            </w:tcBorders>
            <w:shd w:val="clear" w:color="auto" w:fill="auto"/>
            <w:noWrap/>
            <w:vAlign w:val="center"/>
          </w:tcPr>
          <w:p w14:paraId="01A954F3">
            <w:pPr>
              <w:pStyle w:val="2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水质(mg/l)</w:t>
            </w:r>
          </w:p>
        </w:tc>
        <w:tc>
          <w:tcPr>
            <w:tcW w:w="326" w:type="pct"/>
            <w:tcBorders>
              <w:tl2br w:val="nil"/>
              <w:tr2bl w:val="nil"/>
            </w:tcBorders>
            <w:shd w:val="clear" w:color="auto" w:fill="auto"/>
            <w:noWrap/>
            <w:vAlign w:val="center"/>
          </w:tcPr>
          <w:p w14:paraId="0052D6DC">
            <w:pPr>
              <w:pStyle w:val="2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排放量（kg/d)</w:t>
            </w:r>
          </w:p>
        </w:tc>
        <w:tc>
          <w:tcPr>
            <w:tcW w:w="268" w:type="pct"/>
            <w:tcBorders>
              <w:tl2br w:val="nil"/>
              <w:tr2bl w:val="nil"/>
            </w:tcBorders>
            <w:shd w:val="clear" w:color="auto" w:fill="auto"/>
            <w:noWrap/>
            <w:vAlign w:val="center"/>
          </w:tcPr>
          <w:p w14:paraId="7662F2CD">
            <w:pPr>
              <w:pStyle w:val="2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水量(m</w:t>
            </w:r>
            <w:r>
              <w:rPr>
                <w:rFonts w:hint="eastAsia"/>
                <w:color w:val="auto"/>
                <w:highlight w:val="none"/>
                <w:vertAlign w:val="superscript"/>
                <w:lang w:val="en-US" w:eastAsia="zh-CN"/>
              </w:rPr>
              <w:t>3</w:t>
            </w:r>
            <w:r>
              <w:rPr>
                <w:rFonts w:hint="eastAsia"/>
                <w:color w:val="auto"/>
                <w:highlight w:val="none"/>
                <w:lang w:val="en-US" w:eastAsia="zh-CN"/>
              </w:rPr>
              <w:t>/d)</w:t>
            </w:r>
          </w:p>
        </w:tc>
        <w:tc>
          <w:tcPr>
            <w:tcW w:w="258" w:type="pct"/>
            <w:tcBorders>
              <w:tl2br w:val="nil"/>
              <w:tr2bl w:val="nil"/>
            </w:tcBorders>
            <w:shd w:val="clear" w:color="auto" w:fill="auto"/>
            <w:noWrap/>
            <w:vAlign w:val="center"/>
          </w:tcPr>
          <w:p w14:paraId="714146B4">
            <w:pPr>
              <w:pStyle w:val="2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水质(mg/l)</w:t>
            </w:r>
          </w:p>
        </w:tc>
        <w:tc>
          <w:tcPr>
            <w:tcW w:w="329" w:type="pct"/>
            <w:tcBorders>
              <w:tl2br w:val="nil"/>
              <w:tr2bl w:val="nil"/>
            </w:tcBorders>
            <w:shd w:val="clear" w:color="auto" w:fill="auto"/>
            <w:noWrap/>
            <w:vAlign w:val="center"/>
          </w:tcPr>
          <w:p w14:paraId="1D08ED96">
            <w:pPr>
              <w:pStyle w:val="2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排放量（kg/d)</w:t>
            </w:r>
          </w:p>
        </w:tc>
        <w:tc>
          <w:tcPr>
            <w:tcW w:w="326" w:type="pct"/>
            <w:vMerge w:val="continue"/>
            <w:tcBorders>
              <w:tl2br w:val="nil"/>
              <w:tr2bl w:val="nil"/>
            </w:tcBorders>
            <w:shd w:val="clear" w:color="auto" w:fill="auto"/>
            <w:noWrap/>
            <w:vAlign w:val="center"/>
          </w:tcPr>
          <w:p w14:paraId="2D7284D1">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0030FA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27C32DF6">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1月</w:t>
            </w:r>
          </w:p>
        </w:tc>
        <w:tc>
          <w:tcPr>
            <w:tcW w:w="326" w:type="pct"/>
            <w:tcBorders>
              <w:tl2br w:val="nil"/>
              <w:tr2bl w:val="nil"/>
            </w:tcBorders>
            <w:shd w:val="clear" w:color="auto" w:fill="auto"/>
            <w:noWrap/>
            <w:vAlign w:val="center"/>
          </w:tcPr>
          <w:p w14:paraId="2E5B00A0">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3550.4</w:t>
            </w:r>
          </w:p>
        </w:tc>
        <w:tc>
          <w:tcPr>
            <w:tcW w:w="259" w:type="pct"/>
            <w:tcBorders>
              <w:tl2br w:val="nil"/>
              <w:tr2bl w:val="nil"/>
            </w:tcBorders>
            <w:shd w:val="clear" w:color="auto" w:fill="auto"/>
            <w:noWrap/>
            <w:vAlign w:val="center"/>
          </w:tcPr>
          <w:p w14:paraId="535EAAC8">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0.448</w:t>
            </w:r>
          </w:p>
        </w:tc>
        <w:tc>
          <w:tcPr>
            <w:tcW w:w="307" w:type="pct"/>
            <w:tcBorders>
              <w:tl2br w:val="nil"/>
              <w:tr2bl w:val="nil"/>
            </w:tcBorders>
            <w:shd w:val="clear" w:color="auto" w:fill="auto"/>
            <w:noWrap/>
            <w:vAlign w:val="center"/>
          </w:tcPr>
          <w:p w14:paraId="21798546">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1.591</w:t>
            </w:r>
          </w:p>
        </w:tc>
        <w:tc>
          <w:tcPr>
            <w:tcW w:w="288" w:type="pct"/>
            <w:tcBorders>
              <w:tl2br w:val="nil"/>
              <w:tr2bl w:val="nil"/>
            </w:tcBorders>
            <w:shd w:val="clear" w:color="auto" w:fill="auto"/>
            <w:noWrap/>
            <w:vAlign w:val="center"/>
          </w:tcPr>
          <w:p w14:paraId="6592CA57">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1581.6</w:t>
            </w:r>
          </w:p>
        </w:tc>
        <w:tc>
          <w:tcPr>
            <w:tcW w:w="259" w:type="pct"/>
            <w:tcBorders>
              <w:tl2br w:val="nil"/>
              <w:tr2bl w:val="nil"/>
            </w:tcBorders>
            <w:shd w:val="clear" w:color="auto" w:fill="auto"/>
            <w:noWrap/>
            <w:vAlign w:val="center"/>
          </w:tcPr>
          <w:p w14:paraId="429715D0">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2C5A446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0.158</w:t>
            </w:r>
          </w:p>
        </w:tc>
        <w:tc>
          <w:tcPr>
            <w:tcW w:w="317" w:type="pct"/>
            <w:tcBorders>
              <w:tl2br w:val="nil"/>
              <w:tr2bl w:val="nil"/>
            </w:tcBorders>
            <w:shd w:val="clear" w:color="auto" w:fill="auto"/>
            <w:noWrap/>
            <w:vAlign w:val="center"/>
          </w:tcPr>
          <w:p w14:paraId="4FBB0E50">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3715.2</w:t>
            </w:r>
          </w:p>
        </w:tc>
        <w:tc>
          <w:tcPr>
            <w:tcW w:w="263" w:type="pct"/>
            <w:tcBorders>
              <w:tl2br w:val="nil"/>
              <w:tr2bl w:val="nil"/>
            </w:tcBorders>
            <w:shd w:val="clear" w:color="auto" w:fill="auto"/>
            <w:noWrap/>
            <w:vAlign w:val="center"/>
          </w:tcPr>
          <w:p w14:paraId="2789291D">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0.057</w:t>
            </w:r>
          </w:p>
        </w:tc>
        <w:tc>
          <w:tcPr>
            <w:tcW w:w="326" w:type="pct"/>
            <w:tcBorders>
              <w:tl2br w:val="nil"/>
              <w:tr2bl w:val="nil"/>
            </w:tcBorders>
            <w:shd w:val="clear" w:color="auto" w:fill="auto"/>
            <w:noWrap/>
            <w:vAlign w:val="center"/>
          </w:tcPr>
          <w:p w14:paraId="17D4D1DA">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0.21</w:t>
            </w:r>
          </w:p>
        </w:tc>
        <w:tc>
          <w:tcPr>
            <w:tcW w:w="268" w:type="pct"/>
            <w:tcBorders>
              <w:tl2br w:val="nil"/>
              <w:tr2bl w:val="nil"/>
            </w:tcBorders>
            <w:shd w:val="clear" w:color="auto" w:fill="auto"/>
            <w:noWrap/>
            <w:vAlign w:val="center"/>
          </w:tcPr>
          <w:p w14:paraId="606DD5F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258" w:type="pct"/>
            <w:tcBorders>
              <w:tl2br w:val="nil"/>
              <w:tr2bl w:val="nil"/>
            </w:tcBorders>
            <w:shd w:val="clear" w:color="auto" w:fill="auto"/>
            <w:noWrap/>
            <w:vAlign w:val="center"/>
          </w:tcPr>
          <w:p w14:paraId="0105C538">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1.51</w:t>
            </w:r>
          </w:p>
        </w:tc>
        <w:tc>
          <w:tcPr>
            <w:tcW w:w="326" w:type="pct"/>
            <w:tcBorders>
              <w:tl2br w:val="nil"/>
              <w:tr2bl w:val="nil"/>
            </w:tcBorders>
            <w:shd w:val="clear" w:color="auto" w:fill="auto"/>
            <w:noWrap/>
            <w:vAlign w:val="center"/>
          </w:tcPr>
          <w:p w14:paraId="6B144FF1">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w:t>
            </w:r>
          </w:p>
        </w:tc>
        <w:tc>
          <w:tcPr>
            <w:tcW w:w="268" w:type="pct"/>
            <w:tcBorders>
              <w:tl2br w:val="nil"/>
              <w:tr2bl w:val="nil"/>
            </w:tcBorders>
            <w:shd w:val="clear" w:color="auto" w:fill="auto"/>
            <w:noWrap/>
            <w:vAlign w:val="center"/>
          </w:tcPr>
          <w:p w14:paraId="3CFBB5B0">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1324.9</w:t>
            </w:r>
          </w:p>
        </w:tc>
        <w:tc>
          <w:tcPr>
            <w:tcW w:w="258" w:type="pct"/>
            <w:tcBorders>
              <w:tl2br w:val="nil"/>
              <w:tr2bl w:val="nil"/>
            </w:tcBorders>
            <w:shd w:val="clear" w:color="auto" w:fill="auto"/>
            <w:noWrap/>
            <w:vAlign w:val="center"/>
          </w:tcPr>
          <w:p w14:paraId="09C4E8C4">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799DFC68">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0.199</w:t>
            </w:r>
          </w:p>
        </w:tc>
        <w:tc>
          <w:tcPr>
            <w:tcW w:w="326" w:type="pct"/>
            <w:tcBorders>
              <w:tl2br w:val="nil"/>
              <w:tr2bl w:val="nil"/>
            </w:tcBorders>
            <w:shd w:val="clear" w:color="auto" w:fill="auto"/>
            <w:noWrap/>
            <w:vAlign w:val="center"/>
          </w:tcPr>
          <w:p w14:paraId="6F6214FB">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1.34</w:t>
            </w:r>
          </w:p>
        </w:tc>
      </w:tr>
      <w:tr w14:paraId="563B1E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4B73816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2月</w:t>
            </w:r>
          </w:p>
        </w:tc>
        <w:tc>
          <w:tcPr>
            <w:tcW w:w="326" w:type="pct"/>
            <w:tcBorders>
              <w:tl2br w:val="nil"/>
              <w:tr2bl w:val="nil"/>
            </w:tcBorders>
            <w:shd w:val="clear" w:color="auto" w:fill="auto"/>
            <w:noWrap/>
            <w:vAlign w:val="center"/>
          </w:tcPr>
          <w:p w14:paraId="049DFCC8">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5399.2</w:t>
            </w:r>
          </w:p>
        </w:tc>
        <w:tc>
          <w:tcPr>
            <w:tcW w:w="259" w:type="pct"/>
            <w:tcBorders>
              <w:tl2br w:val="nil"/>
              <w:tr2bl w:val="nil"/>
            </w:tcBorders>
            <w:shd w:val="clear" w:color="auto" w:fill="auto"/>
            <w:noWrap/>
            <w:vAlign w:val="center"/>
          </w:tcPr>
          <w:p w14:paraId="013CCC35">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0.441</w:t>
            </w:r>
          </w:p>
        </w:tc>
        <w:tc>
          <w:tcPr>
            <w:tcW w:w="307" w:type="pct"/>
            <w:tcBorders>
              <w:tl2br w:val="nil"/>
              <w:tr2bl w:val="nil"/>
            </w:tcBorders>
            <w:shd w:val="clear" w:color="auto" w:fill="auto"/>
            <w:noWrap/>
            <w:vAlign w:val="center"/>
          </w:tcPr>
          <w:p w14:paraId="03EB36FE">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2.382</w:t>
            </w:r>
          </w:p>
        </w:tc>
        <w:tc>
          <w:tcPr>
            <w:tcW w:w="288" w:type="pct"/>
            <w:tcBorders>
              <w:tl2br w:val="nil"/>
              <w:tr2bl w:val="nil"/>
            </w:tcBorders>
            <w:shd w:val="clear" w:color="auto" w:fill="auto"/>
            <w:noWrap/>
            <w:vAlign w:val="center"/>
          </w:tcPr>
          <w:p w14:paraId="00AA7384">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1741.4</w:t>
            </w:r>
          </w:p>
        </w:tc>
        <w:tc>
          <w:tcPr>
            <w:tcW w:w="259" w:type="pct"/>
            <w:tcBorders>
              <w:tl2br w:val="nil"/>
              <w:tr2bl w:val="nil"/>
            </w:tcBorders>
            <w:shd w:val="clear" w:color="auto" w:fill="auto"/>
            <w:noWrap/>
            <w:vAlign w:val="center"/>
          </w:tcPr>
          <w:p w14:paraId="0220A443">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39141ED3">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0.174</w:t>
            </w:r>
          </w:p>
        </w:tc>
        <w:tc>
          <w:tcPr>
            <w:tcW w:w="317" w:type="pct"/>
            <w:tcBorders>
              <w:tl2br w:val="nil"/>
              <w:tr2bl w:val="nil"/>
            </w:tcBorders>
            <w:shd w:val="clear" w:color="auto" w:fill="auto"/>
            <w:noWrap/>
            <w:vAlign w:val="center"/>
          </w:tcPr>
          <w:p w14:paraId="78A77F3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5097.6</w:t>
            </w:r>
          </w:p>
        </w:tc>
        <w:tc>
          <w:tcPr>
            <w:tcW w:w="263" w:type="pct"/>
            <w:tcBorders>
              <w:tl2br w:val="nil"/>
              <w:tr2bl w:val="nil"/>
            </w:tcBorders>
            <w:shd w:val="clear" w:color="auto" w:fill="auto"/>
            <w:noWrap/>
            <w:vAlign w:val="center"/>
          </w:tcPr>
          <w:p w14:paraId="07608797">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0.057</w:t>
            </w:r>
          </w:p>
        </w:tc>
        <w:tc>
          <w:tcPr>
            <w:tcW w:w="326" w:type="pct"/>
            <w:tcBorders>
              <w:tl2br w:val="nil"/>
              <w:tr2bl w:val="nil"/>
            </w:tcBorders>
            <w:shd w:val="clear" w:color="auto" w:fill="auto"/>
            <w:noWrap/>
            <w:vAlign w:val="center"/>
          </w:tcPr>
          <w:p w14:paraId="02D169B6">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0.289</w:t>
            </w:r>
          </w:p>
        </w:tc>
        <w:tc>
          <w:tcPr>
            <w:tcW w:w="268" w:type="pct"/>
            <w:tcBorders>
              <w:tl2br w:val="nil"/>
              <w:tr2bl w:val="nil"/>
            </w:tcBorders>
            <w:shd w:val="clear" w:color="auto" w:fill="auto"/>
            <w:noWrap/>
            <w:vAlign w:val="center"/>
          </w:tcPr>
          <w:p w14:paraId="280BCDAF">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258" w:type="pct"/>
            <w:tcBorders>
              <w:tl2br w:val="nil"/>
              <w:tr2bl w:val="nil"/>
            </w:tcBorders>
            <w:shd w:val="clear" w:color="auto" w:fill="auto"/>
            <w:noWrap/>
            <w:vAlign w:val="center"/>
          </w:tcPr>
          <w:p w14:paraId="06A9E5C6">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1.51</w:t>
            </w:r>
          </w:p>
        </w:tc>
        <w:tc>
          <w:tcPr>
            <w:tcW w:w="326" w:type="pct"/>
            <w:tcBorders>
              <w:tl2br w:val="nil"/>
              <w:tr2bl w:val="nil"/>
            </w:tcBorders>
            <w:shd w:val="clear" w:color="auto" w:fill="auto"/>
            <w:noWrap/>
            <w:vAlign w:val="center"/>
          </w:tcPr>
          <w:p w14:paraId="168777FD">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w:t>
            </w:r>
          </w:p>
        </w:tc>
        <w:tc>
          <w:tcPr>
            <w:tcW w:w="268" w:type="pct"/>
            <w:tcBorders>
              <w:tl2br w:val="nil"/>
              <w:tr2bl w:val="nil"/>
            </w:tcBorders>
            <w:shd w:val="clear" w:color="auto" w:fill="auto"/>
            <w:noWrap/>
            <w:vAlign w:val="center"/>
          </w:tcPr>
          <w:p w14:paraId="796C2C3A">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1951.1</w:t>
            </w:r>
          </w:p>
        </w:tc>
        <w:tc>
          <w:tcPr>
            <w:tcW w:w="258" w:type="pct"/>
            <w:tcBorders>
              <w:tl2br w:val="nil"/>
              <w:tr2bl w:val="nil"/>
            </w:tcBorders>
            <w:shd w:val="clear" w:color="auto" w:fill="auto"/>
            <w:noWrap/>
            <w:vAlign w:val="center"/>
          </w:tcPr>
          <w:p w14:paraId="0DD47DBB">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0053C3E1">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0.293</w:t>
            </w:r>
          </w:p>
        </w:tc>
        <w:tc>
          <w:tcPr>
            <w:tcW w:w="326" w:type="pct"/>
            <w:tcBorders>
              <w:tl2br w:val="nil"/>
              <w:tr2bl w:val="nil"/>
            </w:tcBorders>
            <w:shd w:val="clear" w:color="auto" w:fill="auto"/>
            <w:noWrap/>
            <w:vAlign w:val="center"/>
          </w:tcPr>
          <w:p w14:paraId="66A5A7E0">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1.974</w:t>
            </w:r>
          </w:p>
        </w:tc>
      </w:tr>
      <w:tr w14:paraId="7478B8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3BC8F14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3月</w:t>
            </w:r>
          </w:p>
        </w:tc>
        <w:tc>
          <w:tcPr>
            <w:tcW w:w="326" w:type="pct"/>
            <w:tcBorders>
              <w:tl2br w:val="nil"/>
              <w:tr2bl w:val="nil"/>
            </w:tcBorders>
            <w:shd w:val="clear" w:color="auto" w:fill="auto"/>
            <w:noWrap/>
            <w:vAlign w:val="center"/>
          </w:tcPr>
          <w:p w14:paraId="7846A92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12350.4</w:t>
            </w:r>
          </w:p>
        </w:tc>
        <w:tc>
          <w:tcPr>
            <w:tcW w:w="259" w:type="pct"/>
            <w:tcBorders>
              <w:tl2br w:val="nil"/>
              <w:tr2bl w:val="nil"/>
            </w:tcBorders>
            <w:shd w:val="clear" w:color="auto" w:fill="auto"/>
            <w:noWrap/>
            <w:vAlign w:val="center"/>
          </w:tcPr>
          <w:p w14:paraId="4CA31F49">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0.504</w:t>
            </w:r>
          </w:p>
        </w:tc>
        <w:tc>
          <w:tcPr>
            <w:tcW w:w="307" w:type="pct"/>
            <w:tcBorders>
              <w:tl2br w:val="nil"/>
              <w:tr2bl w:val="nil"/>
            </w:tcBorders>
            <w:shd w:val="clear" w:color="auto" w:fill="auto"/>
            <w:noWrap/>
            <w:vAlign w:val="center"/>
          </w:tcPr>
          <w:p w14:paraId="3C87FB66">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6.222</w:t>
            </w:r>
          </w:p>
        </w:tc>
        <w:tc>
          <w:tcPr>
            <w:tcW w:w="288" w:type="pct"/>
            <w:tcBorders>
              <w:tl2br w:val="nil"/>
              <w:tr2bl w:val="nil"/>
            </w:tcBorders>
            <w:shd w:val="clear" w:color="auto" w:fill="auto"/>
            <w:noWrap/>
            <w:vAlign w:val="center"/>
          </w:tcPr>
          <w:p w14:paraId="318919C0">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2313.3</w:t>
            </w:r>
          </w:p>
        </w:tc>
        <w:tc>
          <w:tcPr>
            <w:tcW w:w="259" w:type="pct"/>
            <w:tcBorders>
              <w:tl2br w:val="nil"/>
              <w:tr2bl w:val="nil"/>
            </w:tcBorders>
            <w:shd w:val="clear" w:color="auto" w:fill="auto"/>
            <w:noWrap/>
            <w:vAlign w:val="center"/>
          </w:tcPr>
          <w:p w14:paraId="3785FDBB">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7339954B">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0.231</w:t>
            </w:r>
          </w:p>
        </w:tc>
        <w:tc>
          <w:tcPr>
            <w:tcW w:w="317" w:type="pct"/>
            <w:tcBorders>
              <w:tl2br w:val="nil"/>
              <w:tr2bl w:val="nil"/>
            </w:tcBorders>
            <w:shd w:val="clear" w:color="auto" w:fill="auto"/>
            <w:noWrap/>
            <w:vAlign w:val="center"/>
          </w:tcPr>
          <w:p w14:paraId="50F98800">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10281.6</w:t>
            </w:r>
          </w:p>
        </w:tc>
        <w:tc>
          <w:tcPr>
            <w:tcW w:w="263" w:type="pct"/>
            <w:tcBorders>
              <w:tl2br w:val="nil"/>
              <w:tr2bl w:val="nil"/>
            </w:tcBorders>
            <w:shd w:val="clear" w:color="auto" w:fill="auto"/>
            <w:noWrap/>
            <w:vAlign w:val="center"/>
          </w:tcPr>
          <w:p w14:paraId="642226C8">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0.036</w:t>
            </w:r>
          </w:p>
        </w:tc>
        <w:tc>
          <w:tcPr>
            <w:tcW w:w="326" w:type="pct"/>
            <w:tcBorders>
              <w:tl2br w:val="nil"/>
              <w:tr2bl w:val="nil"/>
            </w:tcBorders>
            <w:shd w:val="clear" w:color="auto" w:fill="auto"/>
            <w:noWrap/>
            <w:vAlign w:val="center"/>
          </w:tcPr>
          <w:p w14:paraId="5FF2FCF1">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0.37</w:t>
            </w:r>
          </w:p>
        </w:tc>
        <w:tc>
          <w:tcPr>
            <w:tcW w:w="268" w:type="pct"/>
            <w:tcBorders>
              <w:tl2br w:val="nil"/>
              <w:tr2bl w:val="nil"/>
            </w:tcBorders>
            <w:shd w:val="clear" w:color="auto" w:fill="auto"/>
            <w:noWrap/>
            <w:vAlign w:val="center"/>
          </w:tcPr>
          <w:p w14:paraId="5D671D6C">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1256.2</w:t>
            </w:r>
          </w:p>
        </w:tc>
        <w:tc>
          <w:tcPr>
            <w:tcW w:w="258" w:type="pct"/>
            <w:tcBorders>
              <w:tl2br w:val="nil"/>
              <w:tr2bl w:val="nil"/>
            </w:tcBorders>
            <w:shd w:val="clear" w:color="auto" w:fill="auto"/>
            <w:noWrap/>
            <w:vAlign w:val="center"/>
          </w:tcPr>
          <w:p w14:paraId="7E514D49">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1.84</w:t>
            </w:r>
          </w:p>
        </w:tc>
        <w:tc>
          <w:tcPr>
            <w:tcW w:w="326" w:type="pct"/>
            <w:tcBorders>
              <w:tl2br w:val="nil"/>
              <w:tr2bl w:val="nil"/>
            </w:tcBorders>
            <w:shd w:val="clear" w:color="auto" w:fill="auto"/>
            <w:noWrap/>
            <w:vAlign w:val="center"/>
          </w:tcPr>
          <w:p w14:paraId="17B6A8FC">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2.311</w:t>
            </w:r>
          </w:p>
        </w:tc>
        <w:tc>
          <w:tcPr>
            <w:tcW w:w="268" w:type="pct"/>
            <w:tcBorders>
              <w:tl2br w:val="nil"/>
              <w:tr2bl w:val="nil"/>
            </w:tcBorders>
            <w:shd w:val="clear" w:color="auto" w:fill="auto"/>
            <w:noWrap/>
            <w:vAlign w:val="center"/>
          </w:tcPr>
          <w:p w14:paraId="2EEB1B87">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3034</w:t>
            </w:r>
          </w:p>
        </w:tc>
        <w:tc>
          <w:tcPr>
            <w:tcW w:w="258" w:type="pct"/>
            <w:tcBorders>
              <w:tl2br w:val="nil"/>
              <w:tr2bl w:val="nil"/>
            </w:tcBorders>
            <w:shd w:val="clear" w:color="auto" w:fill="auto"/>
            <w:noWrap/>
            <w:vAlign w:val="center"/>
          </w:tcPr>
          <w:p w14:paraId="144EA774">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2C9286B3">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0.455</w:t>
            </w:r>
          </w:p>
        </w:tc>
        <w:tc>
          <w:tcPr>
            <w:tcW w:w="326" w:type="pct"/>
            <w:tcBorders>
              <w:tl2br w:val="nil"/>
              <w:tr2bl w:val="nil"/>
            </w:tcBorders>
            <w:shd w:val="clear" w:color="auto" w:fill="auto"/>
            <w:noWrap/>
            <w:vAlign w:val="center"/>
          </w:tcPr>
          <w:p w14:paraId="52B218C8">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3.317</w:t>
            </w:r>
          </w:p>
        </w:tc>
      </w:tr>
      <w:tr w14:paraId="04BA96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4F91C712">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4月</w:t>
            </w:r>
          </w:p>
        </w:tc>
        <w:tc>
          <w:tcPr>
            <w:tcW w:w="326" w:type="pct"/>
            <w:tcBorders>
              <w:tl2br w:val="nil"/>
              <w:tr2bl w:val="nil"/>
            </w:tcBorders>
            <w:shd w:val="clear" w:color="auto" w:fill="auto"/>
            <w:noWrap/>
            <w:vAlign w:val="center"/>
          </w:tcPr>
          <w:p w14:paraId="2D5BED62">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17342.5</w:t>
            </w:r>
          </w:p>
        </w:tc>
        <w:tc>
          <w:tcPr>
            <w:tcW w:w="259" w:type="pct"/>
            <w:tcBorders>
              <w:tl2br w:val="nil"/>
              <w:tr2bl w:val="nil"/>
            </w:tcBorders>
            <w:shd w:val="clear" w:color="auto" w:fill="auto"/>
            <w:noWrap/>
            <w:vAlign w:val="center"/>
          </w:tcPr>
          <w:p w14:paraId="4B40483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0.502</w:t>
            </w:r>
          </w:p>
        </w:tc>
        <w:tc>
          <w:tcPr>
            <w:tcW w:w="307" w:type="pct"/>
            <w:tcBorders>
              <w:tl2br w:val="nil"/>
              <w:tr2bl w:val="nil"/>
            </w:tcBorders>
            <w:shd w:val="clear" w:color="auto" w:fill="auto"/>
            <w:noWrap/>
            <w:vAlign w:val="center"/>
          </w:tcPr>
          <w:p w14:paraId="5DCAF10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8.707</w:t>
            </w:r>
          </w:p>
        </w:tc>
        <w:tc>
          <w:tcPr>
            <w:tcW w:w="288" w:type="pct"/>
            <w:tcBorders>
              <w:tl2br w:val="nil"/>
              <w:tr2bl w:val="nil"/>
            </w:tcBorders>
            <w:shd w:val="clear" w:color="auto" w:fill="auto"/>
            <w:noWrap/>
            <w:vAlign w:val="center"/>
          </w:tcPr>
          <w:p w14:paraId="47CCC2A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2738.7</w:t>
            </w:r>
          </w:p>
        </w:tc>
        <w:tc>
          <w:tcPr>
            <w:tcW w:w="259" w:type="pct"/>
            <w:tcBorders>
              <w:tl2br w:val="nil"/>
              <w:tr2bl w:val="nil"/>
            </w:tcBorders>
            <w:shd w:val="clear" w:color="auto" w:fill="auto"/>
            <w:noWrap/>
            <w:vAlign w:val="center"/>
          </w:tcPr>
          <w:p w14:paraId="2738CE81">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130BD397">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0.274</w:t>
            </w:r>
          </w:p>
        </w:tc>
        <w:tc>
          <w:tcPr>
            <w:tcW w:w="317" w:type="pct"/>
            <w:tcBorders>
              <w:tl2br w:val="nil"/>
              <w:tr2bl w:val="nil"/>
            </w:tcBorders>
            <w:shd w:val="clear" w:color="auto" w:fill="auto"/>
            <w:noWrap/>
            <w:vAlign w:val="center"/>
          </w:tcPr>
          <w:p w14:paraId="5AD55046">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13996.8</w:t>
            </w:r>
          </w:p>
        </w:tc>
        <w:tc>
          <w:tcPr>
            <w:tcW w:w="263" w:type="pct"/>
            <w:tcBorders>
              <w:tl2br w:val="nil"/>
              <w:tr2bl w:val="nil"/>
            </w:tcBorders>
            <w:shd w:val="clear" w:color="auto" w:fill="auto"/>
            <w:noWrap/>
            <w:vAlign w:val="center"/>
          </w:tcPr>
          <w:p w14:paraId="3A06A8B1">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0.036</w:t>
            </w:r>
          </w:p>
        </w:tc>
        <w:tc>
          <w:tcPr>
            <w:tcW w:w="326" w:type="pct"/>
            <w:tcBorders>
              <w:tl2br w:val="nil"/>
              <w:tr2bl w:val="nil"/>
            </w:tcBorders>
            <w:shd w:val="clear" w:color="auto" w:fill="auto"/>
            <w:noWrap/>
            <w:vAlign w:val="center"/>
          </w:tcPr>
          <w:p w14:paraId="6F3DEC94">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0.504</w:t>
            </w:r>
          </w:p>
        </w:tc>
        <w:tc>
          <w:tcPr>
            <w:tcW w:w="268" w:type="pct"/>
            <w:tcBorders>
              <w:tl2br w:val="nil"/>
              <w:tr2bl w:val="nil"/>
            </w:tcBorders>
            <w:shd w:val="clear" w:color="auto" w:fill="auto"/>
            <w:noWrap/>
            <w:vAlign w:val="center"/>
          </w:tcPr>
          <w:p w14:paraId="407E369E">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2958.5</w:t>
            </w:r>
          </w:p>
        </w:tc>
        <w:tc>
          <w:tcPr>
            <w:tcW w:w="258" w:type="pct"/>
            <w:tcBorders>
              <w:tl2br w:val="nil"/>
              <w:tr2bl w:val="nil"/>
            </w:tcBorders>
            <w:shd w:val="clear" w:color="auto" w:fill="auto"/>
            <w:noWrap/>
            <w:vAlign w:val="center"/>
          </w:tcPr>
          <w:p w14:paraId="4A37F904">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1.84</w:t>
            </w:r>
          </w:p>
        </w:tc>
        <w:tc>
          <w:tcPr>
            <w:tcW w:w="326" w:type="pct"/>
            <w:tcBorders>
              <w:tl2br w:val="nil"/>
              <w:tr2bl w:val="nil"/>
            </w:tcBorders>
            <w:shd w:val="clear" w:color="auto" w:fill="auto"/>
            <w:noWrap/>
            <w:vAlign w:val="center"/>
          </w:tcPr>
          <w:p w14:paraId="0CCC8FE4">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5.444</w:t>
            </w:r>
          </w:p>
        </w:tc>
        <w:tc>
          <w:tcPr>
            <w:tcW w:w="268" w:type="pct"/>
            <w:tcBorders>
              <w:tl2br w:val="nil"/>
              <w:tr2bl w:val="nil"/>
            </w:tcBorders>
            <w:shd w:val="clear" w:color="auto" w:fill="auto"/>
            <w:noWrap/>
            <w:vAlign w:val="center"/>
          </w:tcPr>
          <w:p w14:paraId="0B69EDD6">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3034</w:t>
            </w:r>
          </w:p>
        </w:tc>
        <w:tc>
          <w:tcPr>
            <w:tcW w:w="258" w:type="pct"/>
            <w:tcBorders>
              <w:tl2br w:val="nil"/>
              <w:tr2bl w:val="nil"/>
            </w:tcBorders>
            <w:shd w:val="clear" w:color="auto" w:fill="auto"/>
            <w:noWrap/>
            <w:vAlign w:val="center"/>
          </w:tcPr>
          <w:p w14:paraId="52E3BB6F">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79E7E30E">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0.455</w:t>
            </w:r>
          </w:p>
        </w:tc>
        <w:tc>
          <w:tcPr>
            <w:tcW w:w="326" w:type="pct"/>
            <w:tcBorders>
              <w:tl2br w:val="nil"/>
              <w:tr2bl w:val="nil"/>
            </w:tcBorders>
            <w:shd w:val="clear" w:color="auto" w:fill="auto"/>
            <w:noWrap/>
            <w:vAlign w:val="center"/>
          </w:tcPr>
          <w:p w14:paraId="780D0577">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2.578</w:t>
            </w:r>
          </w:p>
        </w:tc>
      </w:tr>
      <w:tr w14:paraId="7E4479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53D7221E">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5月</w:t>
            </w:r>
          </w:p>
        </w:tc>
        <w:tc>
          <w:tcPr>
            <w:tcW w:w="326" w:type="pct"/>
            <w:tcBorders>
              <w:tl2br w:val="nil"/>
              <w:tr2bl w:val="nil"/>
            </w:tcBorders>
            <w:shd w:val="clear" w:color="auto" w:fill="auto"/>
            <w:noWrap/>
            <w:vAlign w:val="center"/>
          </w:tcPr>
          <w:p w14:paraId="58EFFCA1">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22925.4</w:t>
            </w:r>
          </w:p>
        </w:tc>
        <w:tc>
          <w:tcPr>
            <w:tcW w:w="259" w:type="pct"/>
            <w:tcBorders>
              <w:tl2br w:val="nil"/>
              <w:tr2bl w:val="nil"/>
            </w:tcBorders>
            <w:shd w:val="clear" w:color="auto" w:fill="auto"/>
            <w:noWrap/>
            <w:vAlign w:val="center"/>
          </w:tcPr>
          <w:p w14:paraId="13B3BA59">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0.203</w:t>
            </w:r>
          </w:p>
        </w:tc>
        <w:tc>
          <w:tcPr>
            <w:tcW w:w="307" w:type="pct"/>
            <w:tcBorders>
              <w:tl2br w:val="nil"/>
              <w:tr2bl w:val="nil"/>
            </w:tcBorders>
            <w:shd w:val="clear" w:color="auto" w:fill="auto"/>
            <w:noWrap/>
            <w:vAlign w:val="center"/>
          </w:tcPr>
          <w:p w14:paraId="36ABA0C0">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4.66</w:t>
            </w:r>
          </w:p>
        </w:tc>
        <w:tc>
          <w:tcPr>
            <w:tcW w:w="288" w:type="pct"/>
            <w:tcBorders>
              <w:tl2br w:val="nil"/>
              <w:tr2bl w:val="nil"/>
            </w:tcBorders>
            <w:shd w:val="clear" w:color="auto" w:fill="auto"/>
            <w:noWrap/>
            <w:vAlign w:val="center"/>
          </w:tcPr>
          <w:p w14:paraId="5FEF52FE">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3206.8</w:t>
            </w:r>
          </w:p>
        </w:tc>
        <w:tc>
          <w:tcPr>
            <w:tcW w:w="259" w:type="pct"/>
            <w:tcBorders>
              <w:tl2br w:val="nil"/>
              <w:tr2bl w:val="nil"/>
            </w:tcBorders>
            <w:shd w:val="clear" w:color="auto" w:fill="auto"/>
            <w:noWrap/>
            <w:vAlign w:val="center"/>
          </w:tcPr>
          <w:p w14:paraId="3A7FCC92">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261FA1D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0.321</w:t>
            </w:r>
          </w:p>
        </w:tc>
        <w:tc>
          <w:tcPr>
            <w:tcW w:w="317" w:type="pct"/>
            <w:tcBorders>
              <w:tl2br w:val="nil"/>
              <w:tr2bl w:val="nil"/>
            </w:tcBorders>
            <w:shd w:val="clear" w:color="auto" w:fill="auto"/>
            <w:noWrap/>
            <w:vAlign w:val="center"/>
          </w:tcPr>
          <w:p w14:paraId="7040C271">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18144</w:t>
            </w:r>
          </w:p>
        </w:tc>
        <w:tc>
          <w:tcPr>
            <w:tcW w:w="263" w:type="pct"/>
            <w:tcBorders>
              <w:tl2br w:val="nil"/>
              <w:tr2bl w:val="nil"/>
            </w:tcBorders>
            <w:shd w:val="clear" w:color="auto" w:fill="auto"/>
            <w:noWrap/>
            <w:vAlign w:val="center"/>
          </w:tcPr>
          <w:p w14:paraId="6E6309C6">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0.057</w:t>
            </w:r>
          </w:p>
        </w:tc>
        <w:tc>
          <w:tcPr>
            <w:tcW w:w="326" w:type="pct"/>
            <w:tcBorders>
              <w:tl2br w:val="nil"/>
              <w:tr2bl w:val="nil"/>
            </w:tcBorders>
            <w:shd w:val="clear" w:color="auto" w:fill="auto"/>
            <w:noWrap/>
            <w:vAlign w:val="center"/>
          </w:tcPr>
          <w:p w14:paraId="29B88631">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1.041</w:t>
            </w:r>
          </w:p>
        </w:tc>
        <w:tc>
          <w:tcPr>
            <w:tcW w:w="268" w:type="pct"/>
            <w:tcBorders>
              <w:tl2br w:val="nil"/>
              <w:tr2bl w:val="nil"/>
            </w:tcBorders>
            <w:shd w:val="clear" w:color="auto" w:fill="auto"/>
            <w:noWrap/>
            <w:vAlign w:val="center"/>
          </w:tcPr>
          <w:p w14:paraId="214AA76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4862.3</w:t>
            </w:r>
          </w:p>
        </w:tc>
        <w:tc>
          <w:tcPr>
            <w:tcW w:w="258" w:type="pct"/>
            <w:tcBorders>
              <w:tl2br w:val="nil"/>
              <w:tr2bl w:val="nil"/>
            </w:tcBorders>
            <w:shd w:val="clear" w:color="auto" w:fill="auto"/>
            <w:noWrap/>
            <w:vAlign w:val="center"/>
          </w:tcPr>
          <w:p w14:paraId="3940799D">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0.623</w:t>
            </w:r>
          </w:p>
        </w:tc>
        <w:tc>
          <w:tcPr>
            <w:tcW w:w="326" w:type="pct"/>
            <w:tcBorders>
              <w:tl2br w:val="nil"/>
              <w:tr2bl w:val="nil"/>
            </w:tcBorders>
            <w:shd w:val="clear" w:color="auto" w:fill="auto"/>
            <w:noWrap/>
            <w:vAlign w:val="center"/>
          </w:tcPr>
          <w:p w14:paraId="722E31AC">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3.029</w:t>
            </w:r>
          </w:p>
        </w:tc>
        <w:tc>
          <w:tcPr>
            <w:tcW w:w="268" w:type="pct"/>
            <w:tcBorders>
              <w:tl2br w:val="nil"/>
              <w:tr2bl w:val="nil"/>
            </w:tcBorders>
            <w:shd w:val="clear" w:color="auto" w:fill="auto"/>
            <w:noWrap/>
            <w:vAlign w:val="center"/>
          </w:tcPr>
          <w:p w14:paraId="47B48008">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3034</w:t>
            </w:r>
          </w:p>
        </w:tc>
        <w:tc>
          <w:tcPr>
            <w:tcW w:w="258" w:type="pct"/>
            <w:tcBorders>
              <w:tl2br w:val="nil"/>
              <w:tr2bl w:val="nil"/>
            </w:tcBorders>
            <w:shd w:val="clear" w:color="auto" w:fill="auto"/>
            <w:noWrap/>
            <w:vAlign w:val="center"/>
          </w:tcPr>
          <w:p w14:paraId="41BB5B34">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7E41F812">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0.455</w:t>
            </w:r>
          </w:p>
        </w:tc>
        <w:tc>
          <w:tcPr>
            <w:tcW w:w="326" w:type="pct"/>
            <w:tcBorders>
              <w:tl2br w:val="nil"/>
              <w:tr2bl w:val="nil"/>
            </w:tcBorders>
            <w:shd w:val="clear" w:color="auto" w:fill="auto"/>
            <w:noWrap/>
            <w:vAlign w:val="center"/>
          </w:tcPr>
          <w:p w14:paraId="2F90005E">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0.456</w:t>
            </w:r>
          </w:p>
        </w:tc>
      </w:tr>
      <w:tr w14:paraId="388EF3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1E4F9CFD">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6月</w:t>
            </w:r>
          </w:p>
        </w:tc>
        <w:tc>
          <w:tcPr>
            <w:tcW w:w="326" w:type="pct"/>
            <w:tcBorders>
              <w:tl2br w:val="nil"/>
              <w:tr2bl w:val="nil"/>
            </w:tcBorders>
            <w:shd w:val="clear" w:color="auto" w:fill="auto"/>
            <w:noWrap/>
            <w:vAlign w:val="center"/>
          </w:tcPr>
          <w:p w14:paraId="2339BCE7">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25109</w:t>
            </w:r>
          </w:p>
        </w:tc>
        <w:tc>
          <w:tcPr>
            <w:tcW w:w="259" w:type="pct"/>
            <w:tcBorders>
              <w:tl2br w:val="nil"/>
              <w:tr2bl w:val="nil"/>
            </w:tcBorders>
            <w:shd w:val="clear" w:color="auto" w:fill="auto"/>
            <w:noWrap/>
            <w:vAlign w:val="center"/>
          </w:tcPr>
          <w:p w14:paraId="363069D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0.203</w:t>
            </w:r>
          </w:p>
        </w:tc>
        <w:tc>
          <w:tcPr>
            <w:tcW w:w="307" w:type="pct"/>
            <w:tcBorders>
              <w:tl2br w:val="nil"/>
              <w:tr2bl w:val="nil"/>
            </w:tcBorders>
            <w:shd w:val="clear" w:color="auto" w:fill="auto"/>
            <w:noWrap/>
            <w:vAlign w:val="center"/>
          </w:tcPr>
          <w:p w14:paraId="25E18622">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5.093</w:t>
            </w:r>
          </w:p>
        </w:tc>
        <w:tc>
          <w:tcPr>
            <w:tcW w:w="288" w:type="pct"/>
            <w:tcBorders>
              <w:tl2br w:val="nil"/>
              <w:tr2bl w:val="nil"/>
            </w:tcBorders>
            <w:shd w:val="clear" w:color="auto" w:fill="auto"/>
            <w:noWrap/>
            <w:vAlign w:val="center"/>
          </w:tcPr>
          <w:p w14:paraId="523D33F8">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3391.7</w:t>
            </w:r>
          </w:p>
        </w:tc>
        <w:tc>
          <w:tcPr>
            <w:tcW w:w="259" w:type="pct"/>
            <w:tcBorders>
              <w:tl2br w:val="nil"/>
              <w:tr2bl w:val="nil"/>
            </w:tcBorders>
            <w:shd w:val="clear" w:color="auto" w:fill="auto"/>
            <w:noWrap/>
            <w:vAlign w:val="center"/>
          </w:tcPr>
          <w:p w14:paraId="10AC6821">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1AD28122">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0.339</w:t>
            </w:r>
          </w:p>
        </w:tc>
        <w:tc>
          <w:tcPr>
            <w:tcW w:w="317" w:type="pct"/>
            <w:tcBorders>
              <w:tl2br w:val="nil"/>
              <w:tr2bl w:val="nil"/>
            </w:tcBorders>
            <w:shd w:val="clear" w:color="auto" w:fill="auto"/>
            <w:noWrap/>
            <w:vAlign w:val="center"/>
          </w:tcPr>
          <w:p w14:paraId="64BF00EC">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19785.6</w:t>
            </w:r>
          </w:p>
        </w:tc>
        <w:tc>
          <w:tcPr>
            <w:tcW w:w="263" w:type="pct"/>
            <w:tcBorders>
              <w:tl2br w:val="nil"/>
              <w:tr2bl w:val="nil"/>
            </w:tcBorders>
            <w:shd w:val="clear" w:color="auto" w:fill="auto"/>
            <w:noWrap/>
            <w:vAlign w:val="center"/>
          </w:tcPr>
          <w:p w14:paraId="6504BC88">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0.057</w:t>
            </w:r>
          </w:p>
        </w:tc>
        <w:tc>
          <w:tcPr>
            <w:tcW w:w="326" w:type="pct"/>
            <w:tcBorders>
              <w:tl2br w:val="nil"/>
              <w:tr2bl w:val="nil"/>
            </w:tcBorders>
            <w:shd w:val="clear" w:color="auto" w:fill="auto"/>
            <w:noWrap/>
            <w:vAlign w:val="center"/>
          </w:tcPr>
          <w:p w14:paraId="11964BAC">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1.136</w:t>
            </w:r>
          </w:p>
        </w:tc>
        <w:tc>
          <w:tcPr>
            <w:tcW w:w="268" w:type="pct"/>
            <w:tcBorders>
              <w:tl2br w:val="nil"/>
              <w:tr2bl w:val="nil"/>
            </w:tcBorders>
            <w:shd w:val="clear" w:color="auto" w:fill="auto"/>
            <w:noWrap/>
            <w:vAlign w:val="center"/>
          </w:tcPr>
          <w:p w14:paraId="3E5B4D78">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5589.2</w:t>
            </w:r>
          </w:p>
        </w:tc>
        <w:tc>
          <w:tcPr>
            <w:tcW w:w="258" w:type="pct"/>
            <w:tcBorders>
              <w:tl2br w:val="nil"/>
              <w:tr2bl w:val="nil"/>
            </w:tcBorders>
            <w:shd w:val="clear" w:color="auto" w:fill="auto"/>
            <w:noWrap/>
            <w:vAlign w:val="center"/>
          </w:tcPr>
          <w:p w14:paraId="23FF22AA">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0.623</w:t>
            </w:r>
          </w:p>
        </w:tc>
        <w:tc>
          <w:tcPr>
            <w:tcW w:w="326" w:type="pct"/>
            <w:tcBorders>
              <w:tl2br w:val="nil"/>
              <w:tr2bl w:val="nil"/>
            </w:tcBorders>
            <w:shd w:val="clear" w:color="auto" w:fill="auto"/>
            <w:noWrap/>
            <w:vAlign w:val="center"/>
          </w:tcPr>
          <w:p w14:paraId="1890209B">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3.482</w:t>
            </w:r>
          </w:p>
        </w:tc>
        <w:tc>
          <w:tcPr>
            <w:tcW w:w="268" w:type="pct"/>
            <w:tcBorders>
              <w:tl2br w:val="nil"/>
              <w:tr2bl w:val="nil"/>
            </w:tcBorders>
            <w:shd w:val="clear" w:color="auto" w:fill="auto"/>
            <w:noWrap/>
            <w:vAlign w:val="center"/>
          </w:tcPr>
          <w:p w14:paraId="729F2AD7">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3034</w:t>
            </w:r>
          </w:p>
        </w:tc>
        <w:tc>
          <w:tcPr>
            <w:tcW w:w="258" w:type="pct"/>
            <w:tcBorders>
              <w:tl2br w:val="nil"/>
              <w:tr2bl w:val="nil"/>
            </w:tcBorders>
            <w:shd w:val="clear" w:color="auto" w:fill="auto"/>
            <w:noWrap/>
            <w:vAlign w:val="center"/>
          </w:tcPr>
          <w:p w14:paraId="78229C86">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029A8F82">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0.455</w:t>
            </w:r>
          </w:p>
        </w:tc>
        <w:tc>
          <w:tcPr>
            <w:tcW w:w="326" w:type="pct"/>
            <w:tcBorders>
              <w:tl2br w:val="nil"/>
              <w:tr2bl w:val="nil"/>
            </w:tcBorders>
            <w:shd w:val="clear" w:color="auto" w:fill="auto"/>
            <w:noWrap/>
            <w:vAlign w:val="center"/>
          </w:tcPr>
          <w:p w14:paraId="46563CDE">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0.359</w:t>
            </w:r>
          </w:p>
        </w:tc>
      </w:tr>
      <w:tr w14:paraId="7149BE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1A636B30">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7月</w:t>
            </w:r>
          </w:p>
        </w:tc>
        <w:tc>
          <w:tcPr>
            <w:tcW w:w="326" w:type="pct"/>
            <w:tcBorders>
              <w:tl2br w:val="nil"/>
              <w:tr2bl w:val="nil"/>
            </w:tcBorders>
            <w:shd w:val="clear" w:color="auto" w:fill="auto"/>
            <w:noWrap/>
            <w:vAlign w:val="center"/>
          </w:tcPr>
          <w:p w14:paraId="73BDFA4C">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26260.4</w:t>
            </w:r>
          </w:p>
        </w:tc>
        <w:tc>
          <w:tcPr>
            <w:tcW w:w="259" w:type="pct"/>
            <w:tcBorders>
              <w:tl2br w:val="nil"/>
              <w:tr2bl w:val="nil"/>
            </w:tcBorders>
            <w:shd w:val="clear" w:color="auto" w:fill="auto"/>
            <w:noWrap/>
            <w:vAlign w:val="center"/>
          </w:tcPr>
          <w:p w14:paraId="78FA991F">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0.203</w:t>
            </w:r>
          </w:p>
        </w:tc>
        <w:tc>
          <w:tcPr>
            <w:tcW w:w="307" w:type="pct"/>
            <w:tcBorders>
              <w:tl2br w:val="nil"/>
              <w:tr2bl w:val="nil"/>
            </w:tcBorders>
            <w:shd w:val="clear" w:color="auto" w:fill="auto"/>
            <w:noWrap/>
            <w:vAlign w:val="center"/>
          </w:tcPr>
          <w:p w14:paraId="0C1FB31F">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5.322</w:t>
            </w:r>
          </w:p>
        </w:tc>
        <w:tc>
          <w:tcPr>
            <w:tcW w:w="288" w:type="pct"/>
            <w:tcBorders>
              <w:tl2br w:val="nil"/>
              <w:tr2bl w:val="nil"/>
            </w:tcBorders>
            <w:shd w:val="clear" w:color="auto" w:fill="auto"/>
            <w:noWrap/>
            <w:vAlign w:val="center"/>
          </w:tcPr>
          <w:p w14:paraId="7BD5CD0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3474.5</w:t>
            </w:r>
          </w:p>
        </w:tc>
        <w:tc>
          <w:tcPr>
            <w:tcW w:w="259" w:type="pct"/>
            <w:tcBorders>
              <w:tl2br w:val="nil"/>
              <w:tr2bl w:val="nil"/>
            </w:tcBorders>
            <w:shd w:val="clear" w:color="auto" w:fill="auto"/>
            <w:noWrap/>
            <w:vAlign w:val="center"/>
          </w:tcPr>
          <w:p w14:paraId="3DB66974">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154E0A93">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0.347</w:t>
            </w:r>
          </w:p>
        </w:tc>
        <w:tc>
          <w:tcPr>
            <w:tcW w:w="317" w:type="pct"/>
            <w:tcBorders>
              <w:tl2br w:val="nil"/>
              <w:tr2bl w:val="nil"/>
            </w:tcBorders>
            <w:shd w:val="clear" w:color="auto" w:fill="auto"/>
            <w:noWrap/>
            <w:vAlign w:val="center"/>
          </w:tcPr>
          <w:p w14:paraId="51F74DD4">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20649.6</w:t>
            </w:r>
          </w:p>
        </w:tc>
        <w:tc>
          <w:tcPr>
            <w:tcW w:w="263" w:type="pct"/>
            <w:tcBorders>
              <w:tl2br w:val="nil"/>
              <w:tr2bl w:val="nil"/>
            </w:tcBorders>
            <w:shd w:val="clear" w:color="auto" w:fill="auto"/>
            <w:noWrap/>
            <w:vAlign w:val="center"/>
          </w:tcPr>
          <w:p w14:paraId="493D90C1">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0.057</w:t>
            </w:r>
          </w:p>
        </w:tc>
        <w:tc>
          <w:tcPr>
            <w:tcW w:w="326" w:type="pct"/>
            <w:tcBorders>
              <w:tl2br w:val="nil"/>
              <w:tr2bl w:val="nil"/>
            </w:tcBorders>
            <w:shd w:val="clear" w:color="auto" w:fill="auto"/>
            <w:noWrap/>
            <w:vAlign w:val="center"/>
          </w:tcPr>
          <w:p w14:paraId="3688D68F">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1.185</w:t>
            </w:r>
          </w:p>
        </w:tc>
        <w:tc>
          <w:tcPr>
            <w:tcW w:w="268" w:type="pct"/>
            <w:tcBorders>
              <w:tl2br w:val="nil"/>
              <w:tr2bl w:val="nil"/>
            </w:tcBorders>
            <w:shd w:val="clear" w:color="auto" w:fill="auto"/>
            <w:noWrap/>
            <w:vAlign w:val="center"/>
          </w:tcPr>
          <w:p w14:paraId="52785EF9">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5959.4</w:t>
            </w:r>
          </w:p>
        </w:tc>
        <w:tc>
          <w:tcPr>
            <w:tcW w:w="258" w:type="pct"/>
            <w:tcBorders>
              <w:tl2br w:val="nil"/>
              <w:tr2bl w:val="nil"/>
            </w:tcBorders>
            <w:shd w:val="clear" w:color="auto" w:fill="auto"/>
            <w:noWrap/>
            <w:vAlign w:val="center"/>
          </w:tcPr>
          <w:p w14:paraId="2D0A8201">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0.623</w:t>
            </w:r>
          </w:p>
        </w:tc>
        <w:tc>
          <w:tcPr>
            <w:tcW w:w="326" w:type="pct"/>
            <w:tcBorders>
              <w:tl2br w:val="nil"/>
              <w:tr2bl w:val="nil"/>
            </w:tcBorders>
            <w:shd w:val="clear" w:color="auto" w:fill="auto"/>
            <w:noWrap/>
            <w:vAlign w:val="center"/>
          </w:tcPr>
          <w:p w14:paraId="0A6D6752">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3.713</w:t>
            </w:r>
          </w:p>
        </w:tc>
        <w:tc>
          <w:tcPr>
            <w:tcW w:w="268" w:type="pct"/>
            <w:tcBorders>
              <w:tl2br w:val="nil"/>
              <w:tr2bl w:val="nil"/>
            </w:tcBorders>
            <w:shd w:val="clear" w:color="auto" w:fill="auto"/>
            <w:noWrap/>
            <w:vAlign w:val="center"/>
          </w:tcPr>
          <w:p w14:paraId="1201F298">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3034</w:t>
            </w:r>
          </w:p>
        </w:tc>
        <w:tc>
          <w:tcPr>
            <w:tcW w:w="258" w:type="pct"/>
            <w:tcBorders>
              <w:tl2br w:val="nil"/>
              <w:tr2bl w:val="nil"/>
            </w:tcBorders>
            <w:shd w:val="clear" w:color="auto" w:fill="auto"/>
            <w:noWrap/>
            <w:vAlign w:val="center"/>
          </w:tcPr>
          <w:p w14:paraId="6E6CAD49">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4AB5CBE1">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0.455</w:t>
            </w:r>
          </w:p>
        </w:tc>
        <w:tc>
          <w:tcPr>
            <w:tcW w:w="326" w:type="pct"/>
            <w:tcBorders>
              <w:tl2br w:val="nil"/>
              <w:tr2bl w:val="nil"/>
            </w:tcBorders>
            <w:shd w:val="clear" w:color="auto" w:fill="auto"/>
            <w:noWrap/>
            <w:vAlign w:val="center"/>
          </w:tcPr>
          <w:p w14:paraId="6AFE97FD">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0.316</w:t>
            </w:r>
          </w:p>
        </w:tc>
      </w:tr>
      <w:tr w14:paraId="2C70F7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1B9C9A47">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8月</w:t>
            </w:r>
          </w:p>
        </w:tc>
        <w:tc>
          <w:tcPr>
            <w:tcW w:w="326" w:type="pct"/>
            <w:tcBorders>
              <w:tl2br w:val="nil"/>
              <w:tr2bl w:val="nil"/>
            </w:tcBorders>
            <w:shd w:val="clear" w:color="auto" w:fill="auto"/>
            <w:noWrap/>
            <w:vAlign w:val="center"/>
          </w:tcPr>
          <w:p w14:paraId="1EC28F4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10279.7</w:t>
            </w:r>
          </w:p>
        </w:tc>
        <w:tc>
          <w:tcPr>
            <w:tcW w:w="259" w:type="pct"/>
            <w:tcBorders>
              <w:tl2br w:val="nil"/>
              <w:tr2bl w:val="nil"/>
            </w:tcBorders>
            <w:shd w:val="clear" w:color="auto" w:fill="auto"/>
            <w:noWrap/>
            <w:vAlign w:val="center"/>
          </w:tcPr>
          <w:p w14:paraId="15FC1A51">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0.507</w:t>
            </w:r>
          </w:p>
        </w:tc>
        <w:tc>
          <w:tcPr>
            <w:tcW w:w="307" w:type="pct"/>
            <w:tcBorders>
              <w:tl2br w:val="nil"/>
              <w:tr2bl w:val="nil"/>
            </w:tcBorders>
            <w:shd w:val="clear" w:color="auto" w:fill="auto"/>
            <w:noWrap/>
            <w:vAlign w:val="center"/>
          </w:tcPr>
          <w:p w14:paraId="71106E66">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5.214</w:t>
            </w:r>
          </w:p>
        </w:tc>
        <w:tc>
          <w:tcPr>
            <w:tcW w:w="288" w:type="pct"/>
            <w:tcBorders>
              <w:tl2br w:val="nil"/>
              <w:tr2bl w:val="nil"/>
            </w:tcBorders>
            <w:shd w:val="clear" w:color="auto" w:fill="auto"/>
            <w:noWrap/>
            <w:vAlign w:val="center"/>
          </w:tcPr>
          <w:p w14:paraId="1CFEA17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2139.8</w:t>
            </w:r>
          </w:p>
        </w:tc>
        <w:tc>
          <w:tcPr>
            <w:tcW w:w="259" w:type="pct"/>
            <w:tcBorders>
              <w:tl2br w:val="nil"/>
              <w:tr2bl w:val="nil"/>
            </w:tcBorders>
            <w:shd w:val="clear" w:color="auto" w:fill="auto"/>
            <w:noWrap/>
            <w:vAlign w:val="center"/>
          </w:tcPr>
          <w:p w14:paraId="0E6B7AF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152207AB">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0.214</w:t>
            </w:r>
          </w:p>
        </w:tc>
        <w:tc>
          <w:tcPr>
            <w:tcW w:w="317" w:type="pct"/>
            <w:tcBorders>
              <w:tl2br w:val="nil"/>
              <w:tr2bl w:val="nil"/>
            </w:tcBorders>
            <w:shd w:val="clear" w:color="auto" w:fill="auto"/>
            <w:noWrap/>
            <w:vAlign w:val="center"/>
          </w:tcPr>
          <w:p w14:paraId="337746D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8726.4</w:t>
            </w:r>
          </w:p>
        </w:tc>
        <w:tc>
          <w:tcPr>
            <w:tcW w:w="263" w:type="pct"/>
            <w:tcBorders>
              <w:tl2br w:val="nil"/>
              <w:tr2bl w:val="nil"/>
            </w:tcBorders>
            <w:shd w:val="clear" w:color="auto" w:fill="auto"/>
            <w:noWrap/>
            <w:vAlign w:val="center"/>
          </w:tcPr>
          <w:p w14:paraId="0287F69A">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0.036</w:t>
            </w:r>
          </w:p>
        </w:tc>
        <w:tc>
          <w:tcPr>
            <w:tcW w:w="326" w:type="pct"/>
            <w:tcBorders>
              <w:tl2br w:val="nil"/>
              <w:tr2bl w:val="nil"/>
            </w:tcBorders>
            <w:shd w:val="clear" w:color="auto" w:fill="auto"/>
            <w:noWrap/>
            <w:vAlign w:val="center"/>
          </w:tcPr>
          <w:p w14:paraId="31198A1D">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0.314</w:t>
            </w:r>
          </w:p>
        </w:tc>
        <w:tc>
          <w:tcPr>
            <w:tcW w:w="268" w:type="pct"/>
            <w:tcBorders>
              <w:tl2br w:val="nil"/>
              <w:tr2bl w:val="nil"/>
            </w:tcBorders>
            <w:shd w:val="clear" w:color="auto" w:fill="auto"/>
            <w:noWrap/>
            <w:vAlign w:val="center"/>
          </w:tcPr>
          <w:p w14:paraId="214EDF34">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567.2</w:t>
            </w:r>
          </w:p>
        </w:tc>
        <w:tc>
          <w:tcPr>
            <w:tcW w:w="258" w:type="pct"/>
            <w:tcBorders>
              <w:tl2br w:val="nil"/>
              <w:tr2bl w:val="nil"/>
            </w:tcBorders>
            <w:shd w:val="clear" w:color="auto" w:fill="auto"/>
            <w:noWrap/>
            <w:vAlign w:val="center"/>
          </w:tcPr>
          <w:p w14:paraId="510C18AB">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1.84</w:t>
            </w:r>
          </w:p>
        </w:tc>
        <w:tc>
          <w:tcPr>
            <w:tcW w:w="326" w:type="pct"/>
            <w:tcBorders>
              <w:tl2br w:val="nil"/>
              <w:tr2bl w:val="nil"/>
            </w:tcBorders>
            <w:shd w:val="clear" w:color="auto" w:fill="auto"/>
            <w:noWrap/>
            <w:vAlign w:val="center"/>
          </w:tcPr>
          <w:p w14:paraId="3DA15C4C">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1.044</w:t>
            </w:r>
          </w:p>
        </w:tc>
        <w:tc>
          <w:tcPr>
            <w:tcW w:w="268" w:type="pct"/>
            <w:tcBorders>
              <w:tl2br w:val="nil"/>
              <w:tr2bl w:val="nil"/>
            </w:tcBorders>
            <w:shd w:val="clear" w:color="auto" w:fill="auto"/>
            <w:noWrap/>
            <w:vAlign w:val="center"/>
          </w:tcPr>
          <w:p w14:paraId="0652619D">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3034</w:t>
            </w:r>
          </w:p>
        </w:tc>
        <w:tc>
          <w:tcPr>
            <w:tcW w:w="258" w:type="pct"/>
            <w:tcBorders>
              <w:tl2br w:val="nil"/>
              <w:tr2bl w:val="nil"/>
            </w:tcBorders>
            <w:shd w:val="clear" w:color="auto" w:fill="auto"/>
            <w:noWrap/>
            <w:vAlign w:val="center"/>
          </w:tcPr>
          <w:p w14:paraId="31D68EC5">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056FED4D">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0.455</w:t>
            </w:r>
          </w:p>
        </w:tc>
        <w:tc>
          <w:tcPr>
            <w:tcW w:w="326" w:type="pct"/>
            <w:tcBorders>
              <w:tl2br w:val="nil"/>
              <w:tr2bl w:val="nil"/>
            </w:tcBorders>
            <w:shd w:val="clear" w:color="auto" w:fill="auto"/>
            <w:noWrap/>
            <w:vAlign w:val="center"/>
          </w:tcPr>
          <w:p w14:paraId="5116BF11">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3.615</w:t>
            </w:r>
          </w:p>
        </w:tc>
      </w:tr>
      <w:tr w14:paraId="28024A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75339A0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9月</w:t>
            </w:r>
          </w:p>
        </w:tc>
        <w:tc>
          <w:tcPr>
            <w:tcW w:w="326" w:type="pct"/>
            <w:tcBorders>
              <w:tl2br w:val="nil"/>
              <w:tr2bl w:val="nil"/>
            </w:tcBorders>
            <w:shd w:val="clear" w:color="auto" w:fill="auto"/>
            <w:noWrap/>
            <w:vAlign w:val="center"/>
          </w:tcPr>
          <w:p w14:paraId="3A486740">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6909.4</w:t>
            </w:r>
          </w:p>
        </w:tc>
        <w:tc>
          <w:tcPr>
            <w:tcW w:w="259" w:type="pct"/>
            <w:tcBorders>
              <w:tl2br w:val="nil"/>
              <w:tr2bl w:val="nil"/>
            </w:tcBorders>
            <w:shd w:val="clear" w:color="auto" w:fill="auto"/>
            <w:noWrap/>
            <w:vAlign w:val="center"/>
          </w:tcPr>
          <w:p w14:paraId="67C13A32">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0.439</w:t>
            </w:r>
          </w:p>
        </w:tc>
        <w:tc>
          <w:tcPr>
            <w:tcW w:w="307" w:type="pct"/>
            <w:tcBorders>
              <w:tl2br w:val="nil"/>
              <w:tr2bl w:val="nil"/>
            </w:tcBorders>
            <w:shd w:val="clear" w:color="auto" w:fill="auto"/>
            <w:noWrap/>
            <w:vAlign w:val="center"/>
          </w:tcPr>
          <w:p w14:paraId="55A0BA94">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3.032</w:t>
            </w:r>
          </w:p>
        </w:tc>
        <w:tc>
          <w:tcPr>
            <w:tcW w:w="288" w:type="pct"/>
            <w:tcBorders>
              <w:tl2br w:val="nil"/>
              <w:tr2bl w:val="nil"/>
            </w:tcBorders>
            <w:shd w:val="clear" w:color="auto" w:fill="auto"/>
            <w:noWrap/>
            <w:vAlign w:val="center"/>
          </w:tcPr>
          <w:p w14:paraId="2C7C5B4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1863.7</w:t>
            </w:r>
          </w:p>
        </w:tc>
        <w:tc>
          <w:tcPr>
            <w:tcW w:w="259" w:type="pct"/>
            <w:tcBorders>
              <w:tl2br w:val="nil"/>
              <w:tr2bl w:val="nil"/>
            </w:tcBorders>
            <w:shd w:val="clear" w:color="auto" w:fill="auto"/>
            <w:noWrap/>
            <w:vAlign w:val="center"/>
          </w:tcPr>
          <w:p w14:paraId="5684F9D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1EB5CEB2">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0.186</w:t>
            </w:r>
          </w:p>
        </w:tc>
        <w:tc>
          <w:tcPr>
            <w:tcW w:w="317" w:type="pct"/>
            <w:tcBorders>
              <w:tl2br w:val="nil"/>
              <w:tr2bl w:val="nil"/>
            </w:tcBorders>
            <w:shd w:val="clear" w:color="auto" w:fill="auto"/>
            <w:noWrap/>
            <w:vAlign w:val="center"/>
          </w:tcPr>
          <w:p w14:paraId="34990123">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6220.8</w:t>
            </w:r>
          </w:p>
        </w:tc>
        <w:tc>
          <w:tcPr>
            <w:tcW w:w="263" w:type="pct"/>
            <w:tcBorders>
              <w:tl2br w:val="nil"/>
              <w:tr2bl w:val="nil"/>
            </w:tcBorders>
            <w:shd w:val="clear" w:color="auto" w:fill="auto"/>
            <w:noWrap/>
            <w:vAlign w:val="center"/>
          </w:tcPr>
          <w:p w14:paraId="2D75B73C">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0.057</w:t>
            </w:r>
          </w:p>
        </w:tc>
        <w:tc>
          <w:tcPr>
            <w:tcW w:w="326" w:type="pct"/>
            <w:tcBorders>
              <w:tl2br w:val="nil"/>
              <w:tr2bl w:val="nil"/>
            </w:tcBorders>
            <w:shd w:val="clear" w:color="auto" w:fill="auto"/>
            <w:noWrap/>
            <w:vAlign w:val="center"/>
          </w:tcPr>
          <w:p w14:paraId="2178EDBA">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0.352</w:t>
            </w:r>
          </w:p>
        </w:tc>
        <w:tc>
          <w:tcPr>
            <w:tcW w:w="268" w:type="pct"/>
            <w:tcBorders>
              <w:tl2br w:val="nil"/>
              <w:tr2bl w:val="nil"/>
            </w:tcBorders>
            <w:shd w:val="clear" w:color="auto" w:fill="auto"/>
            <w:noWrap/>
            <w:vAlign w:val="center"/>
          </w:tcPr>
          <w:p w14:paraId="6F558710">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258" w:type="pct"/>
            <w:tcBorders>
              <w:tl2br w:val="nil"/>
              <w:tr2bl w:val="nil"/>
            </w:tcBorders>
            <w:shd w:val="clear" w:color="auto" w:fill="auto"/>
            <w:noWrap/>
            <w:vAlign w:val="center"/>
          </w:tcPr>
          <w:p w14:paraId="197CE0ED">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1.51</w:t>
            </w:r>
          </w:p>
        </w:tc>
        <w:tc>
          <w:tcPr>
            <w:tcW w:w="326" w:type="pct"/>
            <w:tcBorders>
              <w:tl2br w:val="nil"/>
              <w:tr2bl w:val="nil"/>
            </w:tcBorders>
            <w:shd w:val="clear" w:color="auto" w:fill="auto"/>
            <w:noWrap/>
            <w:vAlign w:val="center"/>
          </w:tcPr>
          <w:p w14:paraId="677565F6">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w:t>
            </w:r>
          </w:p>
        </w:tc>
        <w:tc>
          <w:tcPr>
            <w:tcW w:w="268" w:type="pct"/>
            <w:tcBorders>
              <w:tl2br w:val="nil"/>
              <w:tr2bl w:val="nil"/>
            </w:tcBorders>
            <w:shd w:val="clear" w:color="auto" w:fill="auto"/>
            <w:noWrap/>
            <w:vAlign w:val="center"/>
          </w:tcPr>
          <w:p w14:paraId="22DB3D08">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2460.4</w:t>
            </w:r>
          </w:p>
        </w:tc>
        <w:tc>
          <w:tcPr>
            <w:tcW w:w="258" w:type="pct"/>
            <w:tcBorders>
              <w:tl2br w:val="nil"/>
              <w:tr2bl w:val="nil"/>
            </w:tcBorders>
            <w:shd w:val="clear" w:color="auto" w:fill="auto"/>
            <w:noWrap/>
            <w:vAlign w:val="center"/>
          </w:tcPr>
          <w:p w14:paraId="3223CE75">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5728488B">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0.369</w:t>
            </w:r>
          </w:p>
        </w:tc>
        <w:tc>
          <w:tcPr>
            <w:tcW w:w="326" w:type="pct"/>
            <w:tcBorders>
              <w:tl2br w:val="nil"/>
              <w:tr2bl w:val="nil"/>
            </w:tcBorders>
            <w:shd w:val="clear" w:color="auto" w:fill="auto"/>
            <w:noWrap/>
            <w:vAlign w:val="center"/>
          </w:tcPr>
          <w:p w14:paraId="1B0E4ABA">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2.497</w:t>
            </w:r>
          </w:p>
        </w:tc>
      </w:tr>
      <w:tr w14:paraId="0B73C3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69059B9A">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10月</w:t>
            </w:r>
          </w:p>
        </w:tc>
        <w:tc>
          <w:tcPr>
            <w:tcW w:w="326" w:type="pct"/>
            <w:tcBorders>
              <w:tl2br w:val="nil"/>
              <w:tr2bl w:val="nil"/>
            </w:tcBorders>
            <w:shd w:val="clear" w:color="auto" w:fill="auto"/>
            <w:noWrap/>
            <w:vAlign w:val="center"/>
          </w:tcPr>
          <w:p w14:paraId="652132E8">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4249.1</w:t>
            </w:r>
          </w:p>
        </w:tc>
        <w:tc>
          <w:tcPr>
            <w:tcW w:w="259" w:type="pct"/>
            <w:tcBorders>
              <w:tl2br w:val="nil"/>
              <w:tr2bl w:val="nil"/>
            </w:tcBorders>
            <w:shd w:val="clear" w:color="auto" w:fill="auto"/>
            <w:noWrap/>
            <w:vAlign w:val="center"/>
          </w:tcPr>
          <w:p w14:paraId="004DE7B4">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0.446</w:t>
            </w:r>
          </w:p>
        </w:tc>
        <w:tc>
          <w:tcPr>
            <w:tcW w:w="307" w:type="pct"/>
            <w:tcBorders>
              <w:tl2br w:val="nil"/>
              <w:tr2bl w:val="nil"/>
            </w:tcBorders>
            <w:shd w:val="clear" w:color="auto" w:fill="auto"/>
            <w:noWrap/>
            <w:vAlign w:val="center"/>
          </w:tcPr>
          <w:p w14:paraId="4256CB87">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1.895</w:t>
            </w:r>
          </w:p>
        </w:tc>
        <w:tc>
          <w:tcPr>
            <w:tcW w:w="288" w:type="pct"/>
            <w:tcBorders>
              <w:tl2br w:val="nil"/>
              <w:tr2bl w:val="nil"/>
            </w:tcBorders>
            <w:shd w:val="clear" w:color="auto" w:fill="auto"/>
            <w:noWrap/>
            <w:vAlign w:val="center"/>
          </w:tcPr>
          <w:p w14:paraId="300FE45B">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1639.8</w:t>
            </w:r>
          </w:p>
        </w:tc>
        <w:tc>
          <w:tcPr>
            <w:tcW w:w="259" w:type="pct"/>
            <w:tcBorders>
              <w:tl2br w:val="nil"/>
              <w:tr2bl w:val="nil"/>
            </w:tcBorders>
            <w:shd w:val="clear" w:color="auto" w:fill="auto"/>
            <w:noWrap/>
            <w:vAlign w:val="center"/>
          </w:tcPr>
          <w:p w14:paraId="70750FF5">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35D3F1B6">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0.164</w:t>
            </w:r>
          </w:p>
        </w:tc>
        <w:tc>
          <w:tcPr>
            <w:tcW w:w="317" w:type="pct"/>
            <w:tcBorders>
              <w:tl2br w:val="nil"/>
              <w:tr2bl w:val="nil"/>
            </w:tcBorders>
            <w:shd w:val="clear" w:color="auto" w:fill="auto"/>
            <w:noWrap/>
            <w:vAlign w:val="center"/>
          </w:tcPr>
          <w:p w14:paraId="05D752D3">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4233.6</w:t>
            </w:r>
          </w:p>
        </w:tc>
        <w:tc>
          <w:tcPr>
            <w:tcW w:w="263" w:type="pct"/>
            <w:tcBorders>
              <w:tl2br w:val="nil"/>
              <w:tr2bl w:val="nil"/>
            </w:tcBorders>
            <w:shd w:val="clear" w:color="auto" w:fill="auto"/>
            <w:noWrap/>
            <w:vAlign w:val="center"/>
          </w:tcPr>
          <w:p w14:paraId="5677C217">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0.057</w:t>
            </w:r>
          </w:p>
        </w:tc>
        <w:tc>
          <w:tcPr>
            <w:tcW w:w="326" w:type="pct"/>
            <w:tcBorders>
              <w:tl2br w:val="nil"/>
              <w:tr2bl w:val="nil"/>
            </w:tcBorders>
            <w:shd w:val="clear" w:color="auto" w:fill="auto"/>
            <w:noWrap/>
            <w:vAlign w:val="center"/>
          </w:tcPr>
          <w:p w14:paraId="37F00062">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0.24</w:t>
            </w:r>
          </w:p>
        </w:tc>
        <w:tc>
          <w:tcPr>
            <w:tcW w:w="268" w:type="pct"/>
            <w:tcBorders>
              <w:tl2br w:val="nil"/>
              <w:tr2bl w:val="nil"/>
            </w:tcBorders>
            <w:shd w:val="clear" w:color="auto" w:fill="auto"/>
            <w:noWrap/>
            <w:vAlign w:val="center"/>
          </w:tcPr>
          <w:p w14:paraId="69AF0D10">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258" w:type="pct"/>
            <w:tcBorders>
              <w:tl2br w:val="nil"/>
              <w:tr2bl w:val="nil"/>
            </w:tcBorders>
            <w:shd w:val="clear" w:color="auto" w:fill="auto"/>
            <w:noWrap/>
            <w:vAlign w:val="center"/>
          </w:tcPr>
          <w:p w14:paraId="0AC2BF9F">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1.51</w:t>
            </w:r>
          </w:p>
        </w:tc>
        <w:tc>
          <w:tcPr>
            <w:tcW w:w="326" w:type="pct"/>
            <w:tcBorders>
              <w:tl2br w:val="nil"/>
              <w:tr2bl w:val="nil"/>
            </w:tcBorders>
            <w:shd w:val="clear" w:color="auto" w:fill="auto"/>
            <w:noWrap/>
            <w:vAlign w:val="center"/>
          </w:tcPr>
          <w:p w14:paraId="6B3109D6">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w:t>
            </w:r>
          </w:p>
        </w:tc>
        <w:tc>
          <w:tcPr>
            <w:tcW w:w="268" w:type="pct"/>
            <w:tcBorders>
              <w:tl2br w:val="nil"/>
              <w:tr2bl w:val="nil"/>
            </w:tcBorders>
            <w:shd w:val="clear" w:color="auto" w:fill="auto"/>
            <w:noWrap/>
            <w:vAlign w:val="center"/>
          </w:tcPr>
          <w:p w14:paraId="1CEBD6AC">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1563.4</w:t>
            </w:r>
          </w:p>
        </w:tc>
        <w:tc>
          <w:tcPr>
            <w:tcW w:w="258" w:type="pct"/>
            <w:tcBorders>
              <w:tl2br w:val="nil"/>
              <w:tr2bl w:val="nil"/>
            </w:tcBorders>
            <w:shd w:val="clear" w:color="auto" w:fill="auto"/>
            <w:noWrap/>
            <w:vAlign w:val="center"/>
          </w:tcPr>
          <w:p w14:paraId="5ADAA458">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76EF7BC6">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0.235</w:t>
            </w:r>
          </w:p>
        </w:tc>
        <w:tc>
          <w:tcPr>
            <w:tcW w:w="326" w:type="pct"/>
            <w:tcBorders>
              <w:tl2br w:val="nil"/>
              <w:tr2bl w:val="nil"/>
            </w:tcBorders>
            <w:shd w:val="clear" w:color="auto" w:fill="auto"/>
            <w:noWrap/>
            <w:vAlign w:val="center"/>
          </w:tcPr>
          <w:p w14:paraId="675E15AF">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1.584</w:t>
            </w:r>
          </w:p>
        </w:tc>
      </w:tr>
      <w:tr w14:paraId="16D26D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773A5AE4">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11月</w:t>
            </w:r>
          </w:p>
        </w:tc>
        <w:tc>
          <w:tcPr>
            <w:tcW w:w="326" w:type="pct"/>
            <w:tcBorders>
              <w:tl2br w:val="nil"/>
              <w:tr2bl w:val="nil"/>
            </w:tcBorders>
            <w:shd w:val="clear" w:color="auto" w:fill="auto"/>
            <w:noWrap/>
            <w:vAlign w:val="center"/>
          </w:tcPr>
          <w:p w14:paraId="51DE1E8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4725.8</w:t>
            </w:r>
          </w:p>
        </w:tc>
        <w:tc>
          <w:tcPr>
            <w:tcW w:w="259" w:type="pct"/>
            <w:tcBorders>
              <w:tl2br w:val="nil"/>
              <w:tr2bl w:val="nil"/>
            </w:tcBorders>
            <w:shd w:val="clear" w:color="auto" w:fill="auto"/>
            <w:noWrap/>
            <w:vAlign w:val="center"/>
          </w:tcPr>
          <w:p w14:paraId="74880274">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0.447</w:t>
            </w:r>
          </w:p>
        </w:tc>
        <w:tc>
          <w:tcPr>
            <w:tcW w:w="307" w:type="pct"/>
            <w:tcBorders>
              <w:tl2br w:val="nil"/>
              <w:tr2bl w:val="nil"/>
            </w:tcBorders>
            <w:shd w:val="clear" w:color="auto" w:fill="auto"/>
            <w:noWrap/>
            <w:vAlign w:val="center"/>
          </w:tcPr>
          <w:p w14:paraId="7D33A625">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2.112</w:t>
            </w:r>
          </w:p>
        </w:tc>
        <w:tc>
          <w:tcPr>
            <w:tcW w:w="288" w:type="pct"/>
            <w:tcBorders>
              <w:tl2br w:val="nil"/>
              <w:tr2bl w:val="nil"/>
            </w:tcBorders>
            <w:shd w:val="clear" w:color="auto" w:fill="auto"/>
            <w:noWrap/>
            <w:vAlign w:val="center"/>
          </w:tcPr>
          <w:p w14:paraId="447A2F45">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1688.2</w:t>
            </w:r>
          </w:p>
        </w:tc>
        <w:tc>
          <w:tcPr>
            <w:tcW w:w="259" w:type="pct"/>
            <w:tcBorders>
              <w:tl2br w:val="nil"/>
              <w:tr2bl w:val="nil"/>
            </w:tcBorders>
            <w:shd w:val="clear" w:color="auto" w:fill="auto"/>
            <w:noWrap/>
            <w:vAlign w:val="center"/>
          </w:tcPr>
          <w:p w14:paraId="4CF9D3B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12AA8DB2">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0.169</w:t>
            </w:r>
          </w:p>
        </w:tc>
        <w:tc>
          <w:tcPr>
            <w:tcW w:w="317" w:type="pct"/>
            <w:tcBorders>
              <w:tl2br w:val="nil"/>
              <w:tr2bl w:val="nil"/>
            </w:tcBorders>
            <w:shd w:val="clear" w:color="auto" w:fill="auto"/>
            <w:noWrap/>
            <w:vAlign w:val="center"/>
          </w:tcPr>
          <w:p w14:paraId="620D02AC">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4579.2</w:t>
            </w:r>
          </w:p>
        </w:tc>
        <w:tc>
          <w:tcPr>
            <w:tcW w:w="263" w:type="pct"/>
            <w:tcBorders>
              <w:tl2br w:val="nil"/>
              <w:tr2bl w:val="nil"/>
            </w:tcBorders>
            <w:shd w:val="clear" w:color="auto" w:fill="auto"/>
            <w:noWrap/>
            <w:vAlign w:val="center"/>
          </w:tcPr>
          <w:p w14:paraId="32809F47">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0.057</w:t>
            </w:r>
          </w:p>
        </w:tc>
        <w:tc>
          <w:tcPr>
            <w:tcW w:w="326" w:type="pct"/>
            <w:tcBorders>
              <w:tl2br w:val="nil"/>
              <w:tr2bl w:val="nil"/>
            </w:tcBorders>
            <w:shd w:val="clear" w:color="auto" w:fill="auto"/>
            <w:noWrap/>
            <w:vAlign w:val="center"/>
          </w:tcPr>
          <w:p w14:paraId="5CFA3957">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0.259</w:t>
            </w:r>
          </w:p>
        </w:tc>
        <w:tc>
          <w:tcPr>
            <w:tcW w:w="268" w:type="pct"/>
            <w:tcBorders>
              <w:tl2br w:val="nil"/>
              <w:tr2bl w:val="nil"/>
            </w:tcBorders>
            <w:shd w:val="clear" w:color="auto" w:fill="auto"/>
            <w:noWrap/>
            <w:vAlign w:val="center"/>
          </w:tcPr>
          <w:p w14:paraId="6D2F032F">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258" w:type="pct"/>
            <w:tcBorders>
              <w:tl2br w:val="nil"/>
              <w:tr2bl w:val="nil"/>
            </w:tcBorders>
            <w:shd w:val="clear" w:color="auto" w:fill="auto"/>
            <w:noWrap/>
            <w:vAlign w:val="center"/>
          </w:tcPr>
          <w:p w14:paraId="5DF5D791">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1.51</w:t>
            </w:r>
          </w:p>
        </w:tc>
        <w:tc>
          <w:tcPr>
            <w:tcW w:w="326" w:type="pct"/>
            <w:tcBorders>
              <w:tl2br w:val="nil"/>
              <w:tr2bl w:val="nil"/>
            </w:tcBorders>
            <w:shd w:val="clear" w:color="auto" w:fill="auto"/>
            <w:noWrap/>
            <w:vAlign w:val="center"/>
          </w:tcPr>
          <w:p w14:paraId="1E850E56">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w:t>
            </w:r>
          </w:p>
        </w:tc>
        <w:tc>
          <w:tcPr>
            <w:tcW w:w="268" w:type="pct"/>
            <w:tcBorders>
              <w:tl2br w:val="nil"/>
              <w:tr2bl w:val="nil"/>
            </w:tcBorders>
            <w:shd w:val="clear" w:color="auto" w:fill="auto"/>
            <w:noWrap/>
            <w:vAlign w:val="center"/>
          </w:tcPr>
          <w:p w14:paraId="1C7B0C80">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1742.9</w:t>
            </w:r>
          </w:p>
        </w:tc>
        <w:tc>
          <w:tcPr>
            <w:tcW w:w="258" w:type="pct"/>
            <w:tcBorders>
              <w:tl2br w:val="nil"/>
              <w:tr2bl w:val="nil"/>
            </w:tcBorders>
            <w:shd w:val="clear" w:color="auto" w:fill="auto"/>
            <w:noWrap/>
            <w:vAlign w:val="center"/>
          </w:tcPr>
          <w:p w14:paraId="23C3F0F0">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6E39F749">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0.261</w:t>
            </w:r>
          </w:p>
        </w:tc>
        <w:tc>
          <w:tcPr>
            <w:tcW w:w="326" w:type="pct"/>
            <w:tcBorders>
              <w:tl2br w:val="nil"/>
              <w:tr2bl w:val="nil"/>
            </w:tcBorders>
            <w:shd w:val="clear" w:color="auto" w:fill="auto"/>
            <w:noWrap/>
            <w:vAlign w:val="center"/>
          </w:tcPr>
          <w:p w14:paraId="64464C04">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1.761</w:t>
            </w:r>
          </w:p>
        </w:tc>
      </w:tr>
      <w:tr w14:paraId="1C3E55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0E94E3C8">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12月</w:t>
            </w:r>
          </w:p>
        </w:tc>
        <w:tc>
          <w:tcPr>
            <w:tcW w:w="326" w:type="pct"/>
            <w:tcBorders>
              <w:tl2br w:val="nil"/>
              <w:tr2bl w:val="nil"/>
            </w:tcBorders>
            <w:shd w:val="clear" w:color="auto" w:fill="auto"/>
            <w:noWrap/>
            <w:vAlign w:val="center"/>
          </w:tcPr>
          <w:p w14:paraId="30E6BB6B">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3086.4</w:t>
            </w:r>
          </w:p>
        </w:tc>
        <w:tc>
          <w:tcPr>
            <w:tcW w:w="259" w:type="pct"/>
            <w:tcBorders>
              <w:tl2br w:val="nil"/>
              <w:tr2bl w:val="nil"/>
            </w:tcBorders>
            <w:shd w:val="clear" w:color="auto" w:fill="auto"/>
            <w:noWrap/>
            <w:vAlign w:val="center"/>
          </w:tcPr>
          <w:p w14:paraId="7129E304">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0.45</w:t>
            </w:r>
          </w:p>
        </w:tc>
        <w:tc>
          <w:tcPr>
            <w:tcW w:w="307" w:type="pct"/>
            <w:tcBorders>
              <w:tl2br w:val="nil"/>
              <w:tr2bl w:val="nil"/>
            </w:tcBorders>
            <w:shd w:val="clear" w:color="auto" w:fill="auto"/>
            <w:noWrap/>
            <w:vAlign w:val="center"/>
          </w:tcPr>
          <w:p w14:paraId="169DD4E9">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1.39</w:t>
            </w:r>
          </w:p>
        </w:tc>
        <w:tc>
          <w:tcPr>
            <w:tcW w:w="288" w:type="pct"/>
            <w:tcBorders>
              <w:tl2br w:val="nil"/>
              <w:tr2bl w:val="nil"/>
            </w:tcBorders>
            <w:shd w:val="clear" w:color="auto" w:fill="auto"/>
            <w:noWrap/>
            <w:vAlign w:val="center"/>
          </w:tcPr>
          <w:p w14:paraId="2E28744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1546.2</w:t>
            </w:r>
          </w:p>
        </w:tc>
        <w:tc>
          <w:tcPr>
            <w:tcW w:w="259" w:type="pct"/>
            <w:tcBorders>
              <w:tl2br w:val="nil"/>
              <w:tr2bl w:val="nil"/>
            </w:tcBorders>
            <w:shd w:val="clear" w:color="auto" w:fill="auto"/>
            <w:noWrap/>
            <w:vAlign w:val="center"/>
          </w:tcPr>
          <w:p w14:paraId="13A01447">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2F5E4C82">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0.155</w:t>
            </w:r>
          </w:p>
        </w:tc>
        <w:tc>
          <w:tcPr>
            <w:tcW w:w="317" w:type="pct"/>
            <w:tcBorders>
              <w:tl2br w:val="nil"/>
              <w:tr2bl w:val="nil"/>
            </w:tcBorders>
            <w:shd w:val="clear" w:color="auto" w:fill="auto"/>
            <w:noWrap/>
            <w:vAlign w:val="center"/>
          </w:tcPr>
          <w:p w14:paraId="0A21B5CB">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3369.6</w:t>
            </w:r>
          </w:p>
        </w:tc>
        <w:tc>
          <w:tcPr>
            <w:tcW w:w="263" w:type="pct"/>
            <w:tcBorders>
              <w:tl2br w:val="nil"/>
              <w:tr2bl w:val="nil"/>
            </w:tcBorders>
            <w:shd w:val="clear" w:color="auto" w:fill="auto"/>
            <w:noWrap/>
            <w:vAlign w:val="center"/>
          </w:tcPr>
          <w:p w14:paraId="7B57E4BB">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0.057</w:t>
            </w:r>
          </w:p>
        </w:tc>
        <w:tc>
          <w:tcPr>
            <w:tcW w:w="326" w:type="pct"/>
            <w:tcBorders>
              <w:tl2br w:val="nil"/>
              <w:tr2bl w:val="nil"/>
            </w:tcBorders>
            <w:shd w:val="clear" w:color="auto" w:fill="auto"/>
            <w:noWrap/>
            <w:vAlign w:val="center"/>
          </w:tcPr>
          <w:p w14:paraId="710B9081">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0.191</w:t>
            </w:r>
          </w:p>
        </w:tc>
        <w:tc>
          <w:tcPr>
            <w:tcW w:w="268" w:type="pct"/>
            <w:tcBorders>
              <w:tl2br w:val="nil"/>
              <w:tr2bl w:val="nil"/>
            </w:tcBorders>
            <w:shd w:val="clear" w:color="auto" w:fill="auto"/>
            <w:noWrap/>
            <w:vAlign w:val="center"/>
          </w:tcPr>
          <w:p w14:paraId="56A800F1">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258" w:type="pct"/>
            <w:tcBorders>
              <w:tl2br w:val="nil"/>
              <w:tr2bl w:val="nil"/>
            </w:tcBorders>
            <w:shd w:val="clear" w:color="auto" w:fill="auto"/>
            <w:noWrap/>
            <w:vAlign w:val="center"/>
          </w:tcPr>
          <w:p w14:paraId="6C3DC6AA">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1.51</w:t>
            </w:r>
          </w:p>
        </w:tc>
        <w:tc>
          <w:tcPr>
            <w:tcW w:w="326" w:type="pct"/>
            <w:tcBorders>
              <w:tl2br w:val="nil"/>
              <w:tr2bl w:val="nil"/>
            </w:tcBorders>
            <w:shd w:val="clear" w:color="auto" w:fill="auto"/>
            <w:noWrap/>
            <w:vAlign w:val="center"/>
          </w:tcPr>
          <w:p w14:paraId="70C2B583">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w:t>
            </w:r>
          </w:p>
        </w:tc>
        <w:tc>
          <w:tcPr>
            <w:tcW w:w="268" w:type="pct"/>
            <w:tcBorders>
              <w:tl2br w:val="nil"/>
              <w:tr2bl w:val="nil"/>
            </w:tcBorders>
            <w:shd w:val="clear" w:color="auto" w:fill="auto"/>
            <w:noWrap/>
            <w:vAlign w:val="center"/>
          </w:tcPr>
          <w:p w14:paraId="45857DEE">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1171.1</w:t>
            </w:r>
          </w:p>
        </w:tc>
        <w:tc>
          <w:tcPr>
            <w:tcW w:w="258" w:type="pct"/>
            <w:tcBorders>
              <w:tl2br w:val="nil"/>
              <w:tr2bl w:val="nil"/>
            </w:tcBorders>
            <w:shd w:val="clear" w:color="auto" w:fill="auto"/>
            <w:noWrap/>
            <w:vAlign w:val="center"/>
          </w:tcPr>
          <w:p w14:paraId="3B92C2C4">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0.15</w:t>
            </w:r>
          </w:p>
        </w:tc>
        <w:tc>
          <w:tcPr>
            <w:tcW w:w="329" w:type="pct"/>
            <w:tcBorders>
              <w:tl2br w:val="nil"/>
              <w:tr2bl w:val="nil"/>
            </w:tcBorders>
            <w:shd w:val="clear" w:color="auto" w:fill="auto"/>
            <w:noWrap/>
            <w:vAlign w:val="center"/>
          </w:tcPr>
          <w:p w14:paraId="21478D7A">
            <w:pPr>
              <w:pStyle w:val="26"/>
              <w:keepNext w:val="0"/>
              <w:keepLines w:val="0"/>
              <w:suppressLineNumbers w:val="0"/>
              <w:bidi w:val="0"/>
              <w:spacing w:before="0" w:beforeAutospacing="0" w:after="0" w:afterAutospacing="0"/>
              <w:ind w:left="0" w:right="0"/>
              <w:rPr>
                <w:rFonts w:hint="default"/>
              </w:rPr>
            </w:pPr>
            <w:r>
              <w:rPr>
                <w:rFonts w:hint="eastAsia"/>
                <w:lang w:val="en-US" w:eastAsia="zh-CN"/>
              </w:rPr>
              <w:t>0.176</w:t>
            </w:r>
          </w:p>
        </w:tc>
        <w:tc>
          <w:tcPr>
            <w:tcW w:w="326" w:type="pct"/>
            <w:tcBorders>
              <w:tl2br w:val="nil"/>
              <w:tr2bl w:val="nil"/>
            </w:tcBorders>
            <w:shd w:val="clear" w:color="auto" w:fill="auto"/>
            <w:noWrap/>
            <w:vAlign w:val="center"/>
          </w:tcPr>
          <w:p w14:paraId="1F2B0A60">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1.178</w:t>
            </w:r>
          </w:p>
        </w:tc>
      </w:tr>
      <w:tr w14:paraId="125F00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50C0FF5B">
            <w:pPr>
              <w:pStyle w:val="2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近十一年最枯月正常工况</w:t>
            </w:r>
          </w:p>
        </w:tc>
        <w:tc>
          <w:tcPr>
            <w:tcW w:w="326" w:type="pct"/>
            <w:tcBorders>
              <w:tl2br w:val="nil"/>
              <w:tr2bl w:val="nil"/>
            </w:tcBorders>
            <w:shd w:val="clear" w:color="auto" w:fill="auto"/>
            <w:noWrap/>
            <w:vAlign w:val="center"/>
          </w:tcPr>
          <w:p w14:paraId="1367A4AE">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291.1</w:t>
            </w:r>
          </w:p>
        </w:tc>
        <w:tc>
          <w:tcPr>
            <w:tcW w:w="259" w:type="pct"/>
            <w:tcBorders>
              <w:tl2br w:val="nil"/>
              <w:tr2bl w:val="nil"/>
            </w:tcBorders>
            <w:shd w:val="clear" w:color="auto" w:fill="auto"/>
            <w:noWrap/>
            <w:vAlign w:val="center"/>
          </w:tcPr>
          <w:p w14:paraId="3F62373B">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0.584</w:t>
            </w:r>
          </w:p>
        </w:tc>
        <w:tc>
          <w:tcPr>
            <w:tcW w:w="307" w:type="pct"/>
            <w:tcBorders>
              <w:tl2br w:val="nil"/>
              <w:tr2bl w:val="nil"/>
            </w:tcBorders>
            <w:shd w:val="clear" w:color="auto" w:fill="auto"/>
            <w:noWrap/>
            <w:vAlign w:val="center"/>
          </w:tcPr>
          <w:p w14:paraId="07BFBEAD">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0.170</w:t>
            </w:r>
          </w:p>
        </w:tc>
        <w:tc>
          <w:tcPr>
            <w:tcW w:w="288" w:type="pct"/>
            <w:tcBorders>
              <w:tl2br w:val="nil"/>
              <w:tr2bl w:val="nil"/>
            </w:tcBorders>
            <w:shd w:val="clear" w:color="auto" w:fill="auto"/>
            <w:noWrap/>
            <w:vAlign w:val="center"/>
          </w:tcPr>
          <w:p w14:paraId="796ACA74">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1676.9</w:t>
            </w:r>
          </w:p>
        </w:tc>
        <w:tc>
          <w:tcPr>
            <w:tcW w:w="259" w:type="pct"/>
            <w:tcBorders>
              <w:tl2br w:val="nil"/>
              <w:tr2bl w:val="nil"/>
            </w:tcBorders>
            <w:shd w:val="clear" w:color="auto" w:fill="auto"/>
            <w:noWrap/>
            <w:vAlign w:val="center"/>
          </w:tcPr>
          <w:p w14:paraId="39967F85">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0.1</w:t>
            </w:r>
          </w:p>
        </w:tc>
        <w:tc>
          <w:tcPr>
            <w:tcW w:w="297" w:type="pct"/>
            <w:tcBorders>
              <w:tl2br w:val="nil"/>
              <w:tr2bl w:val="nil"/>
            </w:tcBorders>
            <w:shd w:val="clear" w:color="auto" w:fill="auto"/>
            <w:noWrap/>
            <w:vAlign w:val="center"/>
          </w:tcPr>
          <w:p w14:paraId="32EDF9FF">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0.130</w:t>
            </w:r>
          </w:p>
        </w:tc>
        <w:tc>
          <w:tcPr>
            <w:tcW w:w="317" w:type="pct"/>
            <w:tcBorders>
              <w:tl2br w:val="nil"/>
              <w:tr2bl w:val="nil"/>
            </w:tcBorders>
            <w:shd w:val="clear" w:color="auto" w:fill="auto"/>
            <w:noWrap/>
            <w:vAlign w:val="center"/>
          </w:tcPr>
          <w:p w14:paraId="25958F16">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1296</w:t>
            </w:r>
          </w:p>
        </w:tc>
        <w:tc>
          <w:tcPr>
            <w:tcW w:w="263" w:type="pct"/>
            <w:tcBorders>
              <w:tl2br w:val="nil"/>
              <w:tr2bl w:val="nil"/>
            </w:tcBorders>
            <w:shd w:val="clear" w:color="auto" w:fill="auto"/>
            <w:noWrap/>
            <w:vAlign w:val="center"/>
          </w:tcPr>
          <w:p w14:paraId="7FD4666C">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0.057</w:t>
            </w:r>
          </w:p>
        </w:tc>
        <w:tc>
          <w:tcPr>
            <w:tcW w:w="326" w:type="pct"/>
            <w:tcBorders>
              <w:tl2br w:val="nil"/>
              <w:tr2bl w:val="nil"/>
            </w:tcBorders>
            <w:shd w:val="clear" w:color="auto" w:fill="auto"/>
            <w:noWrap/>
            <w:vAlign w:val="center"/>
          </w:tcPr>
          <w:p w14:paraId="5A91D43C">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0.073</w:t>
            </w:r>
          </w:p>
        </w:tc>
        <w:tc>
          <w:tcPr>
            <w:tcW w:w="268" w:type="pct"/>
            <w:tcBorders>
              <w:tl2br w:val="nil"/>
              <w:tr2bl w:val="nil"/>
            </w:tcBorders>
            <w:shd w:val="clear" w:color="auto" w:fill="auto"/>
            <w:noWrap/>
            <w:vAlign w:val="center"/>
          </w:tcPr>
          <w:p w14:paraId="65A85F18">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w:t>
            </w:r>
          </w:p>
        </w:tc>
        <w:tc>
          <w:tcPr>
            <w:tcW w:w="258" w:type="pct"/>
            <w:tcBorders>
              <w:tl2br w:val="nil"/>
              <w:tr2bl w:val="nil"/>
            </w:tcBorders>
            <w:shd w:val="clear" w:color="auto" w:fill="auto"/>
            <w:noWrap/>
            <w:vAlign w:val="center"/>
          </w:tcPr>
          <w:p w14:paraId="50E4B2A2">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1.51</w:t>
            </w:r>
          </w:p>
        </w:tc>
        <w:tc>
          <w:tcPr>
            <w:tcW w:w="326" w:type="pct"/>
            <w:tcBorders>
              <w:tl2br w:val="nil"/>
              <w:tr2bl w:val="nil"/>
            </w:tcBorders>
            <w:shd w:val="clear" w:color="auto" w:fill="auto"/>
            <w:noWrap/>
            <w:vAlign w:val="center"/>
          </w:tcPr>
          <w:p w14:paraId="659D382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268" w:type="pct"/>
            <w:tcBorders>
              <w:tl2br w:val="nil"/>
              <w:tr2bl w:val="nil"/>
            </w:tcBorders>
            <w:shd w:val="clear" w:color="auto" w:fill="auto"/>
            <w:noWrap/>
            <w:vAlign w:val="center"/>
          </w:tcPr>
          <w:p w14:paraId="00B649E2">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906.05</w:t>
            </w:r>
          </w:p>
        </w:tc>
        <w:tc>
          <w:tcPr>
            <w:tcW w:w="258" w:type="pct"/>
            <w:tcBorders>
              <w:tl2br w:val="nil"/>
              <w:tr2bl w:val="nil"/>
            </w:tcBorders>
            <w:shd w:val="clear" w:color="auto" w:fill="auto"/>
            <w:noWrap/>
            <w:vAlign w:val="center"/>
          </w:tcPr>
          <w:p w14:paraId="564D7450">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0.15</w:t>
            </w:r>
          </w:p>
        </w:tc>
        <w:tc>
          <w:tcPr>
            <w:tcW w:w="329" w:type="pct"/>
            <w:tcBorders>
              <w:tl2br w:val="nil"/>
              <w:tr2bl w:val="nil"/>
            </w:tcBorders>
            <w:shd w:val="clear" w:color="auto" w:fill="auto"/>
            <w:noWrap/>
            <w:vAlign w:val="center"/>
          </w:tcPr>
          <w:p w14:paraId="1F6A7C39">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0.031</w:t>
            </w:r>
          </w:p>
        </w:tc>
        <w:tc>
          <w:tcPr>
            <w:tcW w:w="326" w:type="pct"/>
            <w:tcBorders>
              <w:tl2br w:val="nil"/>
              <w:tr2bl w:val="nil"/>
            </w:tcBorders>
            <w:shd w:val="clear" w:color="auto" w:fill="auto"/>
            <w:noWrap/>
            <w:vAlign w:val="center"/>
          </w:tcPr>
          <w:p w14:paraId="3A0B63AD">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0.129</w:t>
            </w:r>
          </w:p>
        </w:tc>
      </w:tr>
      <w:tr w14:paraId="354B08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8" w:type="pct"/>
            <w:tcBorders>
              <w:tl2br w:val="nil"/>
              <w:tr2bl w:val="nil"/>
            </w:tcBorders>
            <w:shd w:val="clear" w:color="auto" w:fill="auto"/>
            <w:noWrap/>
            <w:vAlign w:val="center"/>
          </w:tcPr>
          <w:p w14:paraId="3F16C376">
            <w:pPr>
              <w:pStyle w:val="2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近十一年最枯月非正常工况</w:t>
            </w:r>
          </w:p>
        </w:tc>
        <w:tc>
          <w:tcPr>
            <w:tcW w:w="326" w:type="pct"/>
            <w:tcBorders>
              <w:tl2br w:val="nil"/>
              <w:tr2bl w:val="nil"/>
            </w:tcBorders>
            <w:shd w:val="clear" w:color="auto" w:fill="auto"/>
            <w:noWrap/>
            <w:vAlign w:val="center"/>
          </w:tcPr>
          <w:p w14:paraId="42E29078">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291.1</w:t>
            </w:r>
          </w:p>
        </w:tc>
        <w:tc>
          <w:tcPr>
            <w:tcW w:w="259" w:type="pct"/>
            <w:tcBorders>
              <w:tl2br w:val="nil"/>
              <w:tr2bl w:val="nil"/>
            </w:tcBorders>
            <w:shd w:val="clear" w:color="auto" w:fill="auto"/>
            <w:noWrap/>
            <w:vAlign w:val="center"/>
          </w:tcPr>
          <w:p w14:paraId="1D7B2DC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0.584</w:t>
            </w:r>
          </w:p>
        </w:tc>
        <w:tc>
          <w:tcPr>
            <w:tcW w:w="307" w:type="pct"/>
            <w:tcBorders>
              <w:tl2br w:val="nil"/>
              <w:tr2bl w:val="nil"/>
            </w:tcBorders>
            <w:shd w:val="clear" w:color="auto" w:fill="auto"/>
            <w:noWrap/>
            <w:vAlign w:val="center"/>
          </w:tcPr>
          <w:p w14:paraId="7E89AE4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0.170</w:t>
            </w:r>
          </w:p>
        </w:tc>
        <w:tc>
          <w:tcPr>
            <w:tcW w:w="900" w:type="dxa"/>
            <w:tcBorders>
              <w:tl2br w:val="nil"/>
              <w:tr2bl w:val="nil"/>
            </w:tcBorders>
            <w:shd w:val="clear" w:color="auto" w:fill="auto"/>
            <w:noWrap/>
            <w:vAlign w:val="center"/>
          </w:tcPr>
          <w:p w14:paraId="5C419C1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1676.9</w:t>
            </w:r>
          </w:p>
        </w:tc>
        <w:tc>
          <w:tcPr>
            <w:tcW w:w="810" w:type="dxa"/>
            <w:tcBorders>
              <w:tl2br w:val="nil"/>
              <w:tr2bl w:val="nil"/>
            </w:tcBorders>
            <w:shd w:val="clear" w:color="auto" w:fill="auto"/>
            <w:noWrap/>
            <w:vAlign w:val="center"/>
          </w:tcPr>
          <w:p w14:paraId="55BB3A85">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w:t>
            </w:r>
          </w:p>
        </w:tc>
        <w:tc>
          <w:tcPr>
            <w:tcW w:w="930" w:type="dxa"/>
            <w:tcBorders>
              <w:tl2br w:val="nil"/>
              <w:tr2bl w:val="nil"/>
            </w:tcBorders>
            <w:shd w:val="clear" w:color="auto" w:fill="auto"/>
            <w:noWrap/>
            <w:vAlign w:val="center"/>
          </w:tcPr>
          <w:p w14:paraId="6AF4E4AC">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0.130</w:t>
            </w:r>
          </w:p>
        </w:tc>
        <w:tc>
          <w:tcPr>
            <w:tcW w:w="317" w:type="pct"/>
            <w:tcBorders>
              <w:tl2br w:val="nil"/>
              <w:tr2bl w:val="nil"/>
            </w:tcBorders>
            <w:shd w:val="clear" w:color="auto" w:fill="auto"/>
            <w:noWrap/>
            <w:vAlign w:val="center"/>
          </w:tcPr>
          <w:p w14:paraId="4B0DBA74">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1296</w:t>
            </w:r>
          </w:p>
        </w:tc>
        <w:tc>
          <w:tcPr>
            <w:tcW w:w="263" w:type="pct"/>
            <w:tcBorders>
              <w:tl2br w:val="nil"/>
              <w:tr2bl w:val="nil"/>
            </w:tcBorders>
            <w:shd w:val="clear" w:color="auto" w:fill="auto"/>
            <w:noWrap/>
            <w:vAlign w:val="center"/>
          </w:tcPr>
          <w:p w14:paraId="373AE36A">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0.057</w:t>
            </w:r>
          </w:p>
        </w:tc>
        <w:tc>
          <w:tcPr>
            <w:tcW w:w="326" w:type="pct"/>
            <w:tcBorders>
              <w:tl2br w:val="nil"/>
              <w:tr2bl w:val="nil"/>
            </w:tcBorders>
            <w:shd w:val="clear" w:color="auto" w:fill="auto"/>
            <w:noWrap/>
            <w:vAlign w:val="center"/>
          </w:tcPr>
          <w:p w14:paraId="5C069818">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0.073</w:t>
            </w:r>
          </w:p>
        </w:tc>
        <w:tc>
          <w:tcPr>
            <w:tcW w:w="268" w:type="pct"/>
            <w:tcBorders>
              <w:tl2br w:val="nil"/>
              <w:tr2bl w:val="nil"/>
            </w:tcBorders>
            <w:shd w:val="clear" w:color="auto" w:fill="auto"/>
            <w:noWrap/>
            <w:vAlign w:val="center"/>
          </w:tcPr>
          <w:p w14:paraId="130B935D">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258" w:type="pct"/>
            <w:tcBorders>
              <w:tl2br w:val="nil"/>
              <w:tr2bl w:val="nil"/>
            </w:tcBorders>
            <w:shd w:val="clear" w:color="auto" w:fill="auto"/>
            <w:noWrap/>
            <w:vAlign w:val="center"/>
          </w:tcPr>
          <w:p w14:paraId="325D001B">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1.84</w:t>
            </w:r>
          </w:p>
        </w:tc>
        <w:tc>
          <w:tcPr>
            <w:tcW w:w="326" w:type="pct"/>
            <w:tcBorders>
              <w:tl2br w:val="nil"/>
              <w:tr2bl w:val="nil"/>
            </w:tcBorders>
            <w:shd w:val="clear" w:color="auto" w:fill="auto"/>
            <w:noWrap/>
            <w:vAlign w:val="center"/>
          </w:tcPr>
          <w:p w14:paraId="4A3D5FA6">
            <w:pPr>
              <w:pStyle w:val="2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c>
          <w:tcPr>
            <w:tcW w:w="268" w:type="pct"/>
            <w:tcBorders>
              <w:tl2br w:val="nil"/>
              <w:tr2bl w:val="nil"/>
            </w:tcBorders>
            <w:shd w:val="clear" w:color="auto" w:fill="auto"/>
            <w:noWrap/>
            <w:vAlign w:val="center"/>
          </w:tcPr>
          <w:p w14:paraId="5597BEAA">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478.15</w:t>
            </w:r>
          </w:p>
        </w:tc>
        <w:tc>
          <w:tcPr>
            <w:tcW w:w="258" w:type="pct"/>
            <w:tcBorders>
              <w:tl2br w:val="nil"/>
              <w:tr2bl w:val="nil"/>
            </w:tcBorders>
            <w:shd w:val="clear" w:color="auto" w:fill="auto"/>
            <w:noWrap/>
            <w:vAlign w:val="center"/>
          </w:tcPr>
          <w:p w14:paraId="6587CABC">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2.30</w:t>
            </w:r>
          </w:p>
        </w:tc>
        <w:tc>
          <w:tcPr>
            <w:tcW w:w="329" w:type="pct"/>
            <w:tcBorders>
              <w:tl2br w:val="nil"/>
              <w:tr2bl w:val="nil"/>
            </w:tcBorders>
            <w:shd w:val="clear" w:color="auto" w:fill="auto"/>
            <w:noWrap/>
            <w:vAlign w:val="center"/>
          </w:tcPr>
          <w:p w14:paraId="37D5ECC9">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0.470</w:t>
            </w:r>
          </w:p>
        </w:tc>
        <w:tc>
          <w:tcPr>
            <w:tcW w:w="326" w:type="pct"/>
            <w:tcBorders>
              <w:tl2br w:val="nil"/>
              <w:tr2bl w:val="nil"/>
            </w:tcBorders>
            <w:shd w:val="clear" w:color="auto" w:fill="auto"/>
            <w:noWrap/>
            <w:vAlign w:val="center"/>
          </w:tcPr>
          <w:p w14:paraId="3D7B53D9">
            <w:pPr>
              <w:pStyle w:val="2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-0.835</w:t>
            </w:r>
          </w:p>
        </w:tc>
      </w:tr>
    </w:tbl>
    <w:p w14:paraId="7AA47E69">
      <w:pPr>
        <w:pStyle w:val="2"/>
        <w:bidi w:val="0"/>
        <w:rPr>
          <w:rFonts w:hint="default"/>
          <w:color w:val="auto"/>
          <w:highlight w:val="none"/>
          <w:lang w:val="en-US" w:eastAsia="zh-CN"/>
        </w:rPr>
      </w:pPr>
    </w:p>
    <w:p w14:paraId="114F83C3">
      <w:pPr>
        <w:pStyle w:val="2"/>
        <w:bidi w:val="0"/>
        <w:ind w:left="0" w:leftChars="0" w:firstLine="0" w:firstLineChars="0"/>
        <w:rPr>
          <w:rFonts w:hint="eastAsia"/>
          <w:color w:val="auto"/>
          <w:highlight w:val="none"/>
          <w:lang w:val="en-US"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14:paraId="0C663A34">
      <w:pPr>
        <w:pStyle w:val="34"/>
        <w:tabs>
          <w:tab w:val="left" w:pos="1021"/>
        </w:tabs>
        <w:bidi w:val="0"/>
        <w:rPr>
          <w:rFonts w:hint="default"/>
          <w:color w:val="auto"/>
          <w:highlight w:val="none"/>
          <w:lang w:val="en-US" w:eastAsia="zh-CN"/>
        </w:rPr>
      </w:pPr>
      <w:r>
        <w:rPr>
          <w:rFonts w:hint="default"/>
          <w:color w:val="auto"/>
          <w:highlight w:val="none"/>
          <w:lang w:val="en-US" w:eastAsia="zh-CN"/>
        </w:rPr>
        <w:t>预测结果</w:t>
      </w:r>
    </w:p>
    <w:p w14:paraId="303CF54A">
      <w:pPr>
        <w:pStyle w:val="28"/>
        <w:bidi w:val="0"/>
        <w:rPr>
          <w:rFonts w:hint="eastAsia" w:eastAsia="黑体"/>
          <w:color w:val="auto"/>
          <w:highlight w:val="none"/>
          <w:lang w:val="en-US" w:eastAsia="zh-CN"/>
        </w:rPr>
      </w:pPr>
      <w:r>
        <w:rPr>
          <w:rFonts w:hint="default"/>
          <w:color w:val="auto"/>
          <w:highlight w:val="none"/>
        </w:rPr>
        <w:t>表</w:t>
      </w:r>
      <w:r>
        <w:rPr>
          <w:rFonts w:hint="default"/>
          <w:color w:val="auto"/>
          <w:highlight w:val="none"/>
        </w:rPr>
        <w:fldChar w:fldCharType="begin"/>
      </w:r>
      <w:r>
        <w:rPr>
          <w:rFonts w:hint="default"/>
          <w:color w:val="auto"/>
          <w:highlight w:val="none"/>
        </w:rPr>
        <w:instrText xml:space="preserve"> STYLEREF guo-二级标题 \n </w:instrText>
      </w:r>
      <w:r>
        <w:rPr>
          <w:rFonts w:hint="default"/>
          <w:color w:val="auto"/>
          <w:highlight w:val="none"/>
        </w:rPr>
        <w:fldChar w:fldCharType="separate"/>
      </w:r>
      <w:r>
        <w:rPr>
          <w:rFonts w:hint="default"/>
          <w:color w:val="auto"/>
          <w:highlight w:val="none"/>
        </w:rPr>
        <w:t>7.1</w:t>
      </w:r>
      <w:r>
        <w:rPr>
          <w:rFonts w:hint="default"/>
          <w:color w:val="auto"/>
          <w:highlight w:val="none"/>
        </w:rPr>
        <w:fldChar w:fldCharType="end"/>
      </w:r>
      <w:r>
        <w:rPr>
          <w:rFonts w:hint="default"/>
          <w:color w:val="auto"/>
          <w:highlight w:val="none"/>
        </w:rPr>
        <w:t>–</w:t>
      </w:r>
      <w:r>
        <w:rPr>
          <w:rFonts w:hint="default"/>
          <w:color w:val="auto"/>
          <w:highlight w:val="none"/>
        </w:rPr>
        <w:fldChar w:fldCharType="begin"/>
      </w:r>
      <w:r>
        <w:rPr>
          <w:rFonts w:hint="default"/>
          <w:color w:val="auto"/>
          <w:highlight w:val="none"/>
        </w:rPr>
        <w:instrText xml:space="preserve"> SEQ 表 \* ARABIC \s 2 </w:instrText>
      </w:r>
      <w:r>
        <w:rPr>
          <w:rFonts w:hint="default"/>
          <w:color w:val="auto"/>
          <w:highlight w:val="none"/>
        </w:rPr>
        <w:fldChar w:fldCharType="separate"/>
      </w:r>
      <w:r>
        <w:rPr>
          <w:rFonts w:hint="default"/>
          <w:color w:val="auto"/>
          <w:highlight w:val="none"/>
        </w:rPr>
        <w:t>8</w:t>
      </w:r>
      <w:r>
        <w:rPr>
          <w:rFonts w:hint="default"/>
          <w:color w:val="auto"/>
          <w:highlight w:val="none"/>
        </w:rPr>
        <w:fldChar w:fldCharType="end"/>
      </w:r>
      <w:r>
        <w:rPr>
          <w:rFonts w:hint="default"/>
          <w:color w:val="auto"/>
          <w:highlight w:val="none"/>
        </w:rPr>
        <w:t xml:space="preserve">  </w:t>
      </w:r>
      <w:r>
        <w:rPr>
          <w:rFonts w:hint="default"/>
          <w:color w:val="auto"/>
          <w:highlight w:val="none"/>
          <w:lang w:val="en-US" w:eastAsia="zh-CN"/>
        </w:rPr>
        <w:t>Y1、Y2预测断面锑含量</w:t>
      </w:r>
      <w:r>
        <w:rPr>
          <w:rFonts w:hint="default"/>
          <w:color w:val="auto"/>
          <w:highlight w:val="none"/>
        </w:rPr>
        <w:t>预测结果一览表</w:t>
      </w:r>
    </w:p>
    <w:tbl>
      <w:tblPr>
        <w:tblStyle w:val="21"/>
        <w:tblW w:w="5005"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Layout w:type="autofit"/>
        <w:tblCellMar>
          <w:top w:w="0" w:type="dxa"/>
          <w:left w:w="6" w:type="dxa"/>
          <w:bottom w:w="0" w:type="dxa"/>
          <w:right w:w="6" w:type="dxa"/>
        </w:tblCellMar>
      </w:tblPr>
      <w:tblGrid>
        <w:gridCol w:w="3112"/>
        <w:gridCol w:w="535"/>
        <w:gridCol w:w="838"/>
        <w:gridCol w:w="1175"/>
        <w:gridCol w:w="1005"/>
        <w:gridCol w:w="1011"/>
        <w:gridCol w:w="1030"/>
        <w:gridCol w:w="1407"/>
        <w:gridCol w:w="838"/>
        <w:gridCol w:w="1181"/>
        <w:gridCol w:w="1654"/>
        <w:gridCol w:w="1657"/>
      </w:tblGrid>
      <w:tr w14:paraId="77624F5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6" w:type="dxa"/>
            <w:bottom w:w="0" w:type="dxa"/>
            <w:right w:w="6" w:type="dxa"/>
          </w:tblCellMar>
        </w:tblPrEx>
        <w:trPr>
          <w:trHeight w:val="285" w:hRule="atLeast"/>
        </w:trPr>
        <w:tc>
          <w:tcPr>
            <w:tcW w:w="1007" w:type="pct"/>
            <w:vMerge w:val="restart"/>
            <w:tcBorders>
              <w:bottom w:val="single" w:color="000000" w:sz="4" w:space="0"/>
              <w:right w:val="single" w:color="000000" w:sz="4" w:space="0"/>
              <w:tl2br w:val="nil"/>
            </w:tcBorders>
            <w:shd w:val="clear" w:color="auto" w:fill="FFFFFF"/>
            <w:noWrap/>
            <w:vAlign w:val="center"/>
          </w:tcPr>
          <w:p w14:paraId="22FFE04D">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工况</w:t>
            </w:r>
          </w:p>
        </w:tc>
        <w:tc>
          <w:tcPr>
            <w:tcW w:w="173" w:type="pct"/>
            <w:vMerge w:val="restart"/>
            <w:tcBorders>
              <w:left w:val="single" w:color="000000" w:sz="4" w:space="0"/>
              <w:bottom w:val="single" w:color="000000" w:sz="4" w:space="0"/>
              <w:right w:val="single" w:color="000000" w:sz="4" w:space="0"/>
            </w:tcBorders>
            <w:shd w:val="clear" w:color="auto" w:fill="FFFFFF"/>
            <w:noWrap/>
            <w:vAlign w:val="center"/>
          </w:tcPr>
          <w:p w14:paraId="215608FD">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断面</w:t>
            </w:r>
          </w:p>
        </w:tc>
        <w:tc>
          <w:tcPr>
            <w:tcW w:w="651" w:type="pct"/>
            <w:gridSpan w:val="2"/>
            <w:tcBorders>
              <w:left w:val="single" w:color="000000" w:sz="4" w:space="0"/>
              <w:bottom w:val="single" w:color="000000" w:sz="4" w:space="0"/>
              <w:right w:val="single" w:color="000000" w:sz="4" w:space="0"/>
            </w:tcBorders>
            <w:shd w:val="clear" w:color="auto" w:fill="FFFFFF"/>
            <w:noWrap/>
            <w:vAlign w:val="center"/>
          </w:tcPr>
          <w:p w14:paraId="0BC3DC6C">
            <w:pPr>
              <w:pStyle w:val="26"/>
              <w:keepNext w:val="0"/>
              <w:keepLines w:val="0"/>
              <w:suppressLineNumbers w:val="0"/>
              <w:bidi w:val="0"/>
              <w:spacing w:before="0" w:beforeAutospacing="0" w:after="0" w:afterAutospacing="0"/>
              <w:ind w:left="0" w:right="0"/>
              <w:rPr>
                <w:rFonts w:hint="default" w:eastAsia="宋体"/>
                <w:b w:val="0"/>
                <w:color w:val="auto"/>
                <w:sz w:val="20"/>
                <w:szCs w:val="20"/>
                <w:highlight w:val="none"/>
                <w:lang w:val="en-US" w:eastAsia="zh-CN"/>
              </w:rPr>
            </w:pPr>
            <w:r>
              <w:rPr>
                <w:rFonts w:hint="eastAsia"/>
                <w:b w:val="0"/>
                <w:color w:val="auto"/>
                <w:sz w:val="20"/>
                <w:szCs w:val="20"/>
                <w:highlight w:val="none"/>
                <w:lang w:val="en-US" w:eastAsia="zh-CN"/>
              </w:rPr>
              <w:t>背景断面</w:t>
            </w:r>
          </w:p>
        </w:tc>
        <w:tc>
          <w:tcPr>
            <w:tcW w:w="652" w:type="pct"/>
            <w:gridSpan w:val="2"/>
            <w:tcBorders>
              <w:left w:val="single" w:color="000000" w:sz="4" w:space="0"/>
              <w:bottom w:val="single" w:color="000000" w:sz="4" w:space="0"/>
              <w:right w:val="single" w:color="000000" w:sz="4" w:space="0"/>
            </w:tcBorders>
            <w:shd w:val="clear" w:color="auto" w:fill="FFFFFF"/>
            <w:noWrap/>
            <w:vAlign w:val="center"/>
          </w:tcPr>
          <w:p w14:paraId="6125B02A">
            <w:pPr>
              <w:pStyle w:val="26"/>
              <w:keepNext w:val="0"/>
              <w:keepLines w:val="0"/>
              <w:suppressLineNumbers w:val="0"/>
              <w:bidi w:val="0"/>
              <w:spacing w:before="0" w:beforeAutospacing="0" w:after="0" w:afterAutospacing="0"/>
              <w:ind w:left="0" w:right="0"/>
              <w:rPr>
                <w:rFonts w:hint="eastAsia"/>
                <w:b w:val="0"/>
                <w:color w:val="auto"/>
                <w:sz w:val="20"/>
                <w:szCs w:val="20"/>
                <w:highlight w:val="none"/>
                <w:lang w:val="en-US" w:eastAsia="zh-CN"/>
              </w:rPr>
            </w:pPr>
            <w:r>
              <w:rPr>
                <w:rFonts w:hint="eastAsia"/>
                <w:b w:val="0"/>
                <w:color w:val="auto"/>
                <w:sz w:val="20"/>
                <w:szCs w:val="20"/>
                <w:highlight w:val="none"/>
                <w:lang w:val="en-US" w:eastAsia="zh-CN"/>
              </w:rPr>
              <w:t>下泄隧洞水</w:t>
            </w:r>
          </w:p>
        </w:tc>
        <w:tc>
          <w:tcPr>
            <w:tcW w:w="788" w:type="pct"/>
            <w:gridSpan w:val="2"/>
            <w:tcBorders>
              <w:left w:val="single" w:color="000000" w:sz="4" w:space="0"/>
              <w:bottom w:val="single" w:color="000000" w:sz="4" w:space="0"/>
              <w:right w:val="single" w:color="000000" w:sz="4" w:space="0"/>
            </w:tcBorders>
            <w:shd w:val="clear" w:color="auto" w:fill="FFFFFF"/>
            <w:noWrap/>
            <w:vAlign w:val="center"/>
          </w:tcPr>
          <w:p w14:paraId="40D1EC71">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污水处理站处理排放情况</w:t>
            </w:r>
          </w:p>
        </w:tc>
        <w:tc>
          <w:tcPr>
            <w:tcW w:w="653" w:type="pct"/>
            <w:gridSpan w:val="2"/>
            <w:tcBorders>
              <w:left w:val="single" w:color="000000" w:sz="4" w:space="0"/>
              <w:bottom w:val="single" w:color="000000" w:sz="4" w:space="0"/>
              <w:right w:val="single" w:color="000000" w:sz="4" w:space="0"/>
            </w:tcBorders>
            <w:shd w:val="clear" w:color="auto" w:fill="FFFFFF"/>
            <w:noWrap/>
            <w:vAlign w:val="center"/>
          </w:tcPr>
          <w:p w14:paraId="1F03CA01">
            <w:pPr>
              <w:pStyle w:val="26"/>
              <w:keepNext w:val="0"/>
              <w:keepLines w:val="0"/>
              <w:suppressLineNumbers w:val="0"/>
              <w:bidi w:val="0"/>
              <w:spacing w:before="0" w:beforeAutospacing="0" w:after="0" w:afterAutospacing="0"/>
              <w:ind w:left="0" w:right="0"/>
              <w:rPr>
                <w:rFonts w:hint="default" w:eastAsia="宋体"/>
                <w:b w:val="0"/>
                <w:color w:val="auto"/>
                <w:sz w:val="20"/>
                <w:szCs w:val="20"/>
                <w:highlight w:val="none"/>
                <w:lang w:val="en-US" w:eastAsia="zh-CN"/>
              </w:rPr>
            </w:pPr>
            <w:r>
              <w:rPr>
                <w:rFonts w:hint="eastAsia"/>
                <w:b w:val="0"/>
                <w:color w:val="auto"/>
                <w:sz w:val="20"/>
                <w:szCs w:val="20"/>
                <w:highlight w:val="none"/>
                <w:lang w:val="en-US" w:eastAsia="zh-CN"/>
              </w:rPr>
              <w:t>预测断面预测结果</w:t>
            </w:r>
          </w:p>
        </w:tc>
        <w:tc>
          <w:tcPr>
            <w:tcW w:w="535" w:type="pct"/>
            <w:vMerge w:val="restart"/>
            <w:tcBorders>
              <w:left w:val="single" w:color="000000" w:sz="4" w:space="0"/>
              <w:right w:val="single" w:color="000000" w:sz="4" w:space="0"/>
            </w:tcBorders>
            <w:shd w:val="clear" w:color="auto" w:fill="FFFFFF"/>
            <w:noWrap/>
            <w:vAlign w:val="center"/>
          </w:tcPr>
          <w:p w14:paraId="2A2C8028">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预测断面现状值</w:t>
            </w:r>
          </w:p>
        </w:tc>
        <w:tc>
          <w:tcPr>
            <w:tcW w:w="536" w:type="pct"/>
            <w:vMerge w:val="restart"/>
            <w:tcBorders>
              <w:left w:val="single" w:color="000000" w:sz="4" w:space="0"/>
            </w:tcBorders>
            <w:shd w:val="clear" w:color="auto" w:fill="FFFFFF"/>
            <w:noWrap/>
            <w:vAlign w:val="center"/>
          </w:tcPr>
          <w:p w14:paraId="74C13228">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预测浓度变化量</w:t>
            </w:r>
          </w:p>
        </w:tc>
      </w:tr>
      <w:tr w14:paraId="7DB5502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0" w:type="dxa"/>
            <w:left w:w="6" w:type="dxa"/>
            <w:bottom w:w="0" w:type="dxa"/>
            <w:right w:w="6" w:type="dxa"/>
          </w:tblCellMar>
        </w:tblPrEx>
        <w:trPr>
          <w:trHeight w:val="271" w:hRule="atLeast"/>
        </w:trPr>
        <w:tc>
          <w:tcPr>
            <w:tcW w:w="1007" w:type="pct"/>
            <w:vMerge w:val="continue"/>
            <w:tcBorders>
              <w:top w:val="single" w:color="000000" w:sz="4" w:space="0"/>
              <w:bottom w:val="single" w:color="000000" w:sz="4" w:space="0"/>
              <w:right w:val="single" w:color="000000" w:sz="4" w:space="0"/>
            </w:tcBorders>
            <w:shd w:val="clear" w:color="auto" w:fill="FFFFFF"/>
            <w:noWrap/>
            <w:vAlign w:val="center"/>
          </w:tcPr>
          <w:p w14:paraId="784C2B11">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p>
        </w:tc>
        <w:tc>
          <w:tcPr>
            <w:tcW w:w="17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68B98">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C4A675">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背景浓度</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941B7">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河流流量</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BE7E74">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lang w:val="en-US" w:eastAsia="zh-CN"/>
              </w:rPr>
            </w:pPr>
            <w:r>
              <w:rPr>
                <w:rFonts w:hint="eastAsia"/>
                <w:b w:val="0"/>
                <w:color w:val="auto"/>
                <w:sz w:val="20"/>
                <w:szCs w:val="20"/>
                <w:highlight w:val="none"/>
                <w:lang w:val="en-US" w:eastAsia="zh-CN"/>
              </w:rPr>
              <w:t>背景浓度</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20AD3">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lang w:val="en-US" w:eastAsia="zh-CN"/>
              </w:rPr>
            </w:pPr>
            <w:r>
              <w:rPr>
                <w:rFonts w:hint="eastAsia"/>
                <w:b w:val="0"/>
                <w:color w:val="auto"/>
                <w:sz w:val="20"/>
                <w:szCs w:val="20"/>
                <w:highlight w:val="none"/>
                <w:lang w:val="en-US" w:eastAsia="zh-CN"/>
              </w:rPr>
              <w:t>下泄流量</w:t>
            </w:r>
          </w:p>
        </w:tc>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45423">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lang w:val="en-US" w:eastAsia="zh-CN"/>
              </w:rPr>
            </w:pPr>
            <w:r>
              <w:rPr>
                <w:rFonts w:hint="eastAsia"/>
                <w:b w:val="0"/>
                <w:color w:val="auto"/>
                <w:sz w:val="20"/>
                <w:szCs w:val="20"/>
                <w:highlight w:val="none"/>
                <w:lang w:val="en-US" w:eastAsia="zh-CN"/>
              </w:rPr>
              <w:t>排放值</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EE19E6">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lang w:val="en-US" w:eastAsia="zh-CN"/>
              </w:rPr>
            </w:pPr>
            <w:r>
              <w:rPr>
                <w:rFonts w:hint="eastAsia"/>
                <w:b w:val="0"/>
                <w:color w:val="auto"/>
                <w:sz w:val="20"/>
                <w:szCs w:val="20"/>
                <w:highlight w:val="none"/>
                <w:lang w:val="en-US" w:eastAsia="zh-CN"/>
              </w:rPr>
              <w:t>排放流量</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BE4F6">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预测值</w:t>
            </w:r>
          </w:p>
        </w:tc>
        <w:tc>
          <w:tcPr>
            <w:tcW w:w="3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BCA92">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rPr>
            </w:pPr>
            <w:r>
              <w:rPr>
                <w:rFonts w:hint="eastAsia"/>
                <w:b w:val="0"/>
                <w:color w:val="auto"/>
                <w:sz w:val="20"/>
                <w:szCs w:val="20"/>
                <w:highlight w:val="none"/>
                <w:lang w:val="en-US" w:eastAsia="zh-CN"/>
              </w:rPr>
              <w:t>断面流量</w:t>
            </w:r>
          </w:p>
        </w:tc>
        <w:tc>
          <w:tcPr>
            <w:tcW w:w="535" w:type="pct"/>
            <w:vMerge w:val="continue"/>
            <w:tcBorders>
              <w:left w:val="single" w:color="000000" w:sz="4" w:space="0"/>
              <w:bottom w:val="single" w:color="000000" w:sz="4" w:space="0"/>
              <w:right w:val="single" w:color="000000" w:sz="4" w:space="0"/>
            </w:tcBorders>
            <w:shd w:val="clear" w:color="auto" w:fill="FFFFFF"/>
            <w:noWrap/>
            <w:vAlign w:val="center"/>
          </w:tcPr>
          <w:p w14:paraId="519E14D4">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p>
        </w:tc>
        <w:tc>
          <w:tcPr>
            <w:tcW w:w="536" w:type="pct"/>
            <w:vMerge w:val="continue"/>
            <w:tcBorders>
              <w:left w:val="single" w:color="000000" w:sz="4" w:space="0"/>
              <w:bottom w:val="single" w:color="000000" w:sz="4" w:space="0"/>
            </w:tcBorders>
            <w:shd w:val="clear" w:color="auto" w:fill="FFFFFF"/>
            <w:noWrap/>
            <w:vAlign w:val="center"/>
          </w:tcPr>
          <w:p w14:paraId="2B211A35">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p>
        </w:tc>
      </w:tr>
      <w:tr w14:paraId="2110755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0" w:type="dxa"/>
            <w:left w:w="6" w:type="dxa"/>
            <w:bottom w:w="0" w:type="dxa"/>
            <w:right w:w="6" w:type="dxa"/>
          </w:tblCellMar>
        </w:tblPrEx>
        <w:trPr>
          <w:trHeight w:val="271" w:hRule="atLeast"/>
        </w:trPr>
        <w:tc>
          <w:tcPr>
            <w:tcW w:w="1007" w:type="pct"/>
            <w:vMerge w:val="continue"/>
            <w:tcBorders>
              <w:top w:val="single" w:color="000000" w:sz="4" w:space="0"/>
              <w:bottom w:val="single" w:color="000000" w:sz="4" w:space="0"/>
              <w:right w:val="single" w:color="000000" w:sz="4" w:space="0"/>
            </w:tcBorders>
            <w:shd w:val="clear" w:color="auto" w:fill="FFFFFF"/>
            <w:noWrap/>
            <w:vAlign w:val="center"/>
          </w:tcPr>
          <w:p w14:paraId="38ABC47C">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p>
        </w:tc>
        <w:tc>
          <w:tcPr>
            <w:tcW w:w="17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01686">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95AADB">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default"/>
                <w:b w:val="0"/>
                <w:color w:val="auto"/>
                <w:sz w:val="20"/>
                <w:szCs w:val="20"/>
                <w:highlight w:val="none"/>
                <w:lang w:val="en-US" w:eastAsia="zh-CN"/>
              </w:rPr>
              <w:t>mg/L</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E1B95">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eastAsia"/>
                <w:color w:val="auto"/>
                <w:sz w:val="20"/>
                <w:szCs w:val="20"/>
                <w:highlight w:val="none"/>
                <w:lang w:val="en-US" w:eastAsia="zh-CN"/>
              </w:rPr>
              <w:t>m</w:t>
            </w:r>
            <w:r>
              <w:rPr>
                <w:rFonts w:hint="eastAsia"/>
                <w:color w:val="auto"/>
                <w:sz w:val="20"/>
                <w:szCs w:val="20"/>
                <w:highlight w:val="none"/>
                <w:vertAlign w:val="superscript"/>
                <w:lang w:val="en-US" w:eastAsia="zh-CN"/>
              </w:rPr>
              <w:t>3</w:t>
            </w:r>
            <w:r>
              <w:rPr>
                <w:rFonts w:hint="eastAsia"/>
                <w:color w:val="auto"/>
                <w:sz w:val="20"/>
                <w:szCs w:val="20"/>
                <w:highlight w:val="none"/>
                <w:lang w:val="en-US" w:eastAsia="zh-CN"/>
              </w:rPr>
              <w:t>/s</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C284B0">
            <w:pPr>
              <w:pStyle w:val="26"/>
              <w:keepNext w:val="0"/>
              <w:keepLines w:val="0"/>
              <w:suppressLineNumbers w:val="0"/>
              <w:bidi w:val="0"/>
              <w:spacing w:before="0" w:beforeAutospacing="0" w:after="0" w:afterAutospacing="0"/>
              <w:ind w:left="0" w:leftChars="0" w:right="0" w:rightChars="0"/>
              <w:rPr>
                <w:rFonts w:hint="eastAsia"/>
                <w:color w:val="auto"/>
                <w:sz w:val="20"/>
                <w:szCs w:val="20"/>
                <w:highlight w:val="none"/>
                <w:lang w:val="en-US" w:eastAsia="zh-CN"/>
              </w:rPr>
            </w:pPr>
            <w:r>
              <w:rPr>
                <w:rFonts w:hint="default"/>
                <w:b w:val="0"/>
                <w:color w:val="auto"/>
                <w:sz w:val="20"/>
                <w:szCs w:val="20"/>
                <w:highlight w:val="none"/>
                <w:lang w:val="en-US" w:eastAsia="zh-CN"/>
              </w:rPr>
              <w:t>mg/L</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88787">
            <w:pPr>
              <w:pStyle w:val="26"/>
              <w:keepNext w:val="0"/>
              <w:keepLines w:val="0"/>
              <w:suppressLineNumbers w:val="0"/>
              <w:bidi w:val="0"/>
              <w:spacing w:before="0" w:beforeAutospacing="0" w:after="0" w:afterAutospacing="0"/>
              <w:ind w:left="0" w:leftChars="0" w:right="0" w:rightChars="0"/>
              <w:rPr>
                <w:rFonts w:hint="eastAsia"/>
                <w:color w:val="auto"/>
                <w:sz w:val="20"/>
                <w:szCs w:val="20"/>
                <w:highlight w:val="none"/>
                <w:lang w:val="en-US" w:eastAsia="zh-CN"/>
              </w:rPr>
            </w:pPr>
            <w:r>
              <w:rPr>
                <w:rFonts w:hint="eastAsia"/>
                <w:color w:val="auto"/>
                <w:sz w:val="20"/>
                <w:szCs w:val="20"/>
                <w:highlight w:val="none"/>
                <w:lang w:val="en-US" w:eastAsia="zh-CN"/>
              </w:rPr>
              <w:t>m</w:t>
            </w:r>
            <w:r>
              <w:rPr>
                <w:rFonts w:hint="eastAsia"/>
                <w:color w:val="auto"/>
                <w:sz w:val="20"/>
                <w:szCs w:val="20"/>
                <w:highlight w:val="none"/>
                <w:vertAlign w:val="superscript"/>
                <w:lang w:val="en-US" w:eastAsia="zh-CN"/>
              </w:rPr>
              <w:t>3</w:t>
            </w:r>
            <w:r>
              <w:rPr>
                <w:rFonts w:hint="eastAsia"/>
                <w:color w:val="auto"/>
                <w:sz w:val="20"/>
                <w:szCs w:val="20"/>
                <w:highlight w:val="none"/>
                <w:lang w:val="en-US" w:eastAsia="zh-CN"/>
              </w:rPr>
              <w:t>/s</w:t>
            </w:r>
          </w:p>
        </w:tc>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51E42">
            <w:pPr>
              <w:pStyle w:val="26"/>
              <w:keepNext w:val="0"/>
              <w:keepLines w:val="0"/>
              <w:suppressLineNumbers w:val="0"/>
              <w:bidi w:val="0"/>
              <w:spacing w:before="0" w:beforeAutospacing="0" w:after="0" w:afterAutospacing="0"/>
              <w:ind w:left="0" w:leftChars="0" w:right="0" w:rightChars="0"/>
              <w:rPr>
                <w:rFonts w:hint="eastAsia"/>
                <w:color w:val="auto"/>
                <w:sz w:val="20"/>
                <w:szCs w:val="20"/>
                <w:highlight w:val="none"/>
                <w:lang w:val="en-US" w:eastAsia="zh-CN"/>
              </w:rPr>
            </w:pPr>
            <w:r>
              <w:rPr>
                <w:rFonts w:hint="default"/>
                <w:b w:val="0"/>
                <w:color w:val="auto"/>
                <w:sz w:val="20"/>
                <w:szCs w:val="20"/>
                <w:highlight w:val="none"/>
                <w:lang w:val="en-US" w:eastAsia="zh-CN"/>
              </w:rPr>
              <w:t>mg/L</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82392">
            <w:pPr>
              <w:pStyle w:val="26"/>
              <w:keepNext w:val="0"/>
              <w:keepLines w:val="0"/>
              <w:suppressLineNumbers w:val="0"/>
              <w:bidi w:val="0"/>
              <w:spacing w:before="0" w:beforeAutospacing="0" w:after="0" w:afterAutospacing="0"/>
              <w:ind w:left="0" w:leftChars="0" w:right="0" w:rightChars="0"/>
              <w:rPr>
                <w:rFonts w:hint="eastAsia"/>
                <w:color w:val="auto"/>
                <w:sz w:val="20"/>
                <w:szCs w:val="20"/>
                <w:highlight w:val="none"/>
                <w:lang w:val="en-US" w:eastAsia="zh-CN"/>
              </w:rPr>
            </w:pPr>
            <w:r>
              <w:rPr>
                <w:rFonts w:hint="eastAsia"/>
                <w:color w:val="auto"/>
                <w:sz w:val="20"/>
                <w:szCs w:val="20"/>
                <w:highlight w:val="none"/>
                <w:lang w:val="en-US" w:eastAsia="zh-CN"/>
              </w:rPr>
              <w:t>m</w:t>
            </w:r>
            <w:r>
              <w:rPr>
                <w:rFonts w:hint="eastAsia"/>
                <w:color w:val="auto"/>
                <w:sz w:val="20"/>
                <w:szCs w:val="20"/>
                <w:highlight w:val="none"/>
                <w:vertAlign w:val="superscript"/>
                <w:lang w:val="en-US" w:eastAsia="zh-CN"/>
              </w:rPr>
              <w:t>3</w:t>
            </w:r>
            <w:r>
              <w:rPr>
                <w:rFonts w:hint="eastAsia"/>
                <w:color w:val="auto"/>
                <w:sz w:val="20"/>
                <w:szCs w:val="20"/>
                <w:highlight w:val="none"/>
                <w:lang w:val="en-US" w:eastAsia="zh-CN"/>
              </w:rPr>
              <w:t>/s</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81615">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default"/>
                <w:b w:val="0"/>
                <w:color w:val="auto"/>
                <w:sz w:val="20"/>
                <w:szCs w:val="20"/>
                <w:highlight w:val="none"/>
                <w:lang w:val="en-US" w:eastAsia="zh-CN"/>
              </w:rPr>
              <w:t>mg/L</w:t>
            </w:r>
          </w:p>
        </w:tc>
        <w:tc>
          <w:tcPr>
            <w:tcW w:w="3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06D3B">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rPr>
            </w:pPr>
            <w:r>
              <w:rPr>
                <w:rFonts w:hint="eastAsia"/>
                <w:color w:val="auto"/>
                <w:sz w:val="20"/>
                <w:szCs w:val="20"/>
                <w:highlight w:val="none"/>
                <w:lang w:val="en-US" w:eastAsia="zh-CN"/>
              </w:rPr>
              <w:t>m</w:t>
            </w:r>
            <w:r>
              <w:rPr>
                <w:rFonts w:hint="eastAsia"/>
                <w:color w:val="auto"/>
                <w:sz w:val="20"/>
                <w:szCs w:val="20"/>
                <w:highlight w:val="none"/>
                <w:vertAlign w:val="superscript"/>
                <w:lang w:val="en-US" w:eastAsia="zh-CN"/>
              </w:rPr>
              <w:t>3</w:t>
            </w:r>
            <w:r>
              <w:rPr>
                <w:rFonts w:hint="eastAsia"/>
                <w:color w:val="auto"/>
                <w:sz w:val="20"/>
                <w:szCs w:val="20"/>
                <w:highlight w:val="none"/>
                <w:lang w:val="en-US" w:eastAsia="zh-CN"/>
              </w:rPr>
              <w:t>/s</w:t>
            </w:r>
          </w:p>
        </w:tc>
        <w:tc>
          <w:tcPr>
            <w:tcW w:w="5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A9272A">
            <w:pPr>
              <w:pStyle w:val="26"/>
              <w:keepNext w:val="0"/>
              <w:keepLines w:val="0"/>
              <w:suppressLineNumbers w:val="0"/>
              <w:bidi w:val="0"/>
              <w:spacing w:before="0" w:beforeAutospacing="0" w:after="0" w:afterAutospacing="0"/>
              <w:ind w:left="0" w:leftChars="0" w:right="0" w:rightChars="0"/>
              <w:rPr>
                <w:rFonts w:hint="eastAsia"/>
                <w:color w:val="auto"/>
                <w:sz w:val="20"/>
                <w:szCs w:val="20"/>
                <w:highlight w:val="none"/>
                <w:lang w:val="en-US" w:eastAsia="zh-CN"/>
              </w:rPr>
            </w:pPr>
            <w:r>
              <w:rPr>
                <w:rFonts w:hint="default"/>
                <w:b w:val="0"/>
                <w:color w:val="auto"/>
                <w:sz w:val="20"/>
                <w:szCs w:val="20"/>
                <w:highlight w:val="none"/>
                <w:lang w:val="en-US" w:eastAsia="zh-CN"/>
              </w:rPr>
              <w:t>mg/L</w:t>
            </w:r>
          </w:p>
        </w:tc>
        <w:tc>
          <w:tcPr>
            <w:tcW w:w="536" w:type="pct"/>
            <w:tcBorders>
              <w:top w:val="single" w:color="000000" w:sz="4" w:space="0"/>
              <w:left w:val="single" w:color="000000" w:sz="4" w:space="0"/>
              <w:bottom w:val="single" w:color="000000" w:sz="4" w:space="0"/>
            </w:tcBorders>
            <w:shd w:val="clear" w:color="auto" w:fill="FFFFFF"/>
            <w:noWrap/>
            <w:vAlign w:val="center"/>
          </w:tcPr>
          <w:p w14:paraId="67D8D8B1">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default"/>
                <w:b w:val="0"/>
                <w:color w:val="auto"/>
                <w:sz w:val="20"/>
                <w:szCs w:val="20"/>
                <w:highlight w:val="none"/>
                <w:lang w:val="en-US" w:eastAsia="zh-CN"/>
              </w:rPr>
              <w:t>mg/L</w:t>
            </w:r>
          </w:p>
        </w:tc>
      </w:tr>
      <w:tr w14:paraId="3E1AA58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0" w:type="dxa"/>
            <w:left w:w="6" w:type="dxa"/>
            <w:bottom w:w="0" w:type="dxa"/>
            <w:right w:w="6" w:type="dxa"/>
          </w:tblCellMar>
        </w:tblPrEx>
        <w:trPr>
          <w:trHeight w:val="271" w:hRule="atLeast"/>
        </w:trPr>
        <w:tc>
          <w:tcPr>
            <w:tcW w:w="1007" w:type="pct"/>
            <w:vMerge w:val="restart"/>
            <w:tcBorders>
              <w:top w:val="single" w:color="000000" w:sz="4" w:space="0"/>
              <w:bottom w:val="single" w:color="000000" w:sz="4" w:space="0"/>
              <w:right w:val="single" w:color="000000" w:sz="4" w:space="0"/>
            </w:tcBorders>
            <w:shd w:val="clear" w:color="auto" w:fill="FFFFFF"/>
            <w:noWrap/>
            <w:vAlign w:val="center"/>
          </w:tcPr>
          <w:p w14:paraId="6084069B">
            <w:pPr>
              <w:pStyle w:val="26"/>
              <w:keepNext w:val="0"/>
              <w:keepLines w:val="0"/>
              <w:suppressLineNumbers w:val="0"/>
              <w:bidi w:val="0"/>
              <w:spacing w:before="0" w:beforeAutospacing="0" w:after="0" w:afterAutospacing="0"/>
              <w:ind w:left="0" w:right="0"/>
              <w:rPr>
                <w:rFonts w:hint="default"/>
                <w:color w:val="auto"/>
                <w:sz w:val="20"/>
                <w:szCs w:val="20"/>
                <w:highlight w:val="none"/>
                <w:lang w:val="en-US"/>
              </w:rPr>
            </w:pPr>
            <w:r>
              <w:rPr>
                <w:rFonts w:hint="eastAsia"/>
                <w:color w:val="auto"/>
                <w:sz w:val="20"/>
                <w:szCs w:val="20"/>
                <w:highlight w:val="none"/>
                <w:lang w:val="en-US" w:eastAsia="zh-CN"/>
              </w:rPr>
              <w:t>丰水期正常工况</w:t>
            </w:r>
          </w:p>
        </w:tc>
        <w:tc>
          <w:tcPr>
            <w:tcW w:w="1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AB0C4">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default"/>
                <w:b w:val="0"/>
                <w:color w:val="auto"/>
                <w:sz w:val="20"/>
                <w:szCs w:val="20"/>
                <w:highlight w:val="none"/>
                <w:lang w:val="en-US" w:eastAsia="zh-CN"/>
              </w:rPr>
              <w:t>Y1</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24D5C">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default"/>
                <w:b w:val="0"/>
                <w:color w:val="auto"/>
                <w:sz w:val="20"/>
                <w:szCs w:val="20"/>
                <w:highlight w:val="none"/>
                <w:lang w:val="en-US" w:eastAsia="zh-CN"/>
              </w:rPr>
              <w:t>0.</w:t>
            </w:r>
            <w:r>
              <w:rPr>
                <w:rFonts w:hint="eastAsia"/>
                <w:b w:val="0"/>
                <w:color w:val="auto"/>
                <w:sz w:val="20"/>
                <w:szCs w:val="20"/>
                <w:highlight w:val="none"/>
                <w:lang w:val="en-US" w:eastAsia="zh-CN"/>
              </w:rPr>
              <w:t>0574</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F179F">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0.396</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972AE">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0.623</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144DC">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0.069</w:t>
            </w:r>
          </w:p>
        </w:tc>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9A3FC">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0.15</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4463BB">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0.035</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2476E">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0.1419</w:t>
            </w:r>
          </w:p>
        </w:tc>
        <w:tc>
          <w:tcPr>
            <w:tcW w:w="3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D3FF8">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0.500</w:t>
            </w:r>
          </w:p>
        </w:tc>
        <w:tc>
          <w:tcPr>
            <w:tcW w:w="5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03737">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0.6543</w:t>
            </w:r>
          </w:p>
        </w:tc>
        <w:tc>
          <w:tcPr>
            <w:tcW w:w="536" w:type="pct"/>
            <w:tcBorders>
              <w:top w:val="single" w:color="000000" w:sz="4" w:space="0"/>
              <w:left w:val="single" w:color="000000" w:sz="4" w:space="0"/>
              <w:bottom w:val="single" w:color="000000" w:sz="4" w:space="0"/>
            </w:tcBorders>
            <w:shd w:val="clear" w:color="auto" w:fill="FFFFFF"/>
            <w:noWrap/>
            <w:vAlign w:val="center"/>
          </w:tcPr>
          <w:p w14:paraId="4E00DE36">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-0.5124</w:t>
            </w:r>
          </w:p>
        </w:tc>
      </w:tr>
      <w:tr w14:paraId="3808A12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0" w:type="dxa"/>
            <w:left w:w="6" w:type="dxa"/>
            <w:bottom w:w="0" w:type="dxa"/>
            <w:right w:w="6" w:type="dxa"/>
          </w:tblCellMar>
        </w:tblPrEx>
        <w:trPr>
          <w:trHeight w:val="271" w:hRule="atLeast"/>
        </w:trPr>
        <w:tc>
          <w:tcPr>
            <w:tcW w:w="1007" w:type="pct"/>
            <w:vMerge w:val="continue"/>
            <w:tcBorders>
              <w:top w:val="single" w:color="000000" w:sz="4" w:space="0"/>
              <w:bottom w:val="single" w:color="000000" w:sz="4" w:space="0"/>
              <w:right w:val="single" w:color="000000" w:sz="4" w:space="0"/>
            </w:tcBorders>
            <w:shd w:val="clear" w:color="auto" w:fill="FFFFFF"/>
            <w:noWrap/>
            <w:vAlign w:val="center"/>
          </w:tcPr>
          <w:p w14:paraId="2E450674">
            <w:pPr>
              <w:pStyle w:val="26"/>
              <w:keepNext w:val="0"/>
              <w:keepLines w:val="0"/>
              <w:suppressLineNumbers w:val="0"/>
              <w:bidi w:val="0"/>
              <w:spacing w:before="0" w:beforeAutospacing="0" w:after="0" w:afterAutospacing="0"/>
              <w:ind w:left="0" w:right="0"/>
              <w:rPr>
                <w:rFonts w:hint="default"/>
                <w:color w:val="auto"/>
                <w:sz w:val="20"/>
                <w:szCs w:val="20"/>
                <w:highlight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FB19D">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default"/>
                <w:b w:val="0"/>
                <w:color w:val="auto"/>
                <w:sz w:val="20"/>
                <w:szCs w:val="20"/>
                <w:highlight w:val="none"/>
                <w:lang w:val="en-US" w:eastAsia="zh-CN"/>
              </w:rPr>
              <w:t>Y2</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059F7">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default"/>
                <w:b w:val="0"/>
                <w:color w:val="auto"/>
                <w:sz w:val="20"/>
                <w:szCs w:val="20"/>
                <w:highlight w:val="none"/>
                <w:lang w:val="en-US" w:eastAsia="zh-CN"/>
              </w:rPr>
              <w:t>0.0</w:t>
            </w:r>
            <w:r>
              <w:rPr>
                <w:rFonts w:hint="eastAsia"/>
                <w:b w:val="0"/>
                <w:color w:val="auto"/>
                <w:sz w:val="20"/>
                <w:szCs w:val="20"/>
                <w:highlight w:val="none"/>
                <w:lang w:val="en-US" w:eastAsia="zh-CN"/>
              </w:rPr>
              <w:t>115</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D23A4">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default"/>
                <w:b w:val="0"/>
                <w:color w:val="auto"/>
                <w:sz w:val="20"/>
                <w:szCs w:val="20"/>
                <w:highlight w:val="none"/>
                <w:lang w:val="en-US" w:eastAsia="zh-CN"/>
              </w:rPr>
              <w:t>1</w:t>
            </w:r>
            <w:r>
              <w:rPr>
                <w:rFonts w:hint="eastAsia"/>
                <w:b w:val="0"/>
                <w:color w:val="auto"/>
                <w:sz w:val="20"/>
                <w:szCs w:val="20"/>
                <w:highlight w:val="none"/>
                <w:lang w:val="en-US" w:eastAsia="zh-CN"/>
              </w:rPr>
              <w:t>.228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56D71">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0.623</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29ABA">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0.069</w:t>
            </w:r>
          </w:p>
        </w:tc>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4317B">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0.15</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44E8E">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0.035</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9798D">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0.0468</w:t>
            </w:r>
          </w:p>
        </w:tc>
        <w:tc>
          <w:tcPr>
            <w:tcW w:w="3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9ED59">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1.332</w:t>
            </w:r>
          </w:p>
        </w:tc>
        <w:tc>
          <w:tcPr>
            <w:tcW w:w="5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B024AF">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0.1897</w:t>
            </w:r>
          </w:p>
        </w:tc>
        <w:tc>
          <w:tcPr>
            <w:tcW w:w="536" w:type="pct"/>
            <w:tcBorders>
              <w:top w:val="single" w:color="000000" w:sz="4" w:space="0"/>
              <w:left w:val="single" w:color="000000" w:sz="4" w:space="0"/>
              <w:bottom w:val="single" w:color="000000" w:sz="4" w:space="0"/>
            </w:tcBorders>
            <w:shd w:val="clear" w:color="auto" w:fill="FFFFFF"/>
            <w:noWrap/>
            <w:vAlign w:val="center"/>
          </w:tcPr>
          <w:p w14:paraId="2D065312">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-0.1429</w:t>
            </w:r>
          </w:p>
        </w:tc>
      </w:tr>
      <w:tr w14:paraId="602AF4A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0" w:type="dxa"/>
            <w:left w:w="6" w:type="dxa"/>
            <w:bottom w:w="0" w:type="dxa"/>
            <w:right w:w="6" w:type="dxa"/>
          </w:tblCellMar>
        </w:tblPrEx>
        <w:trPr>
          <w:trHeight w:val="271" w:hRule="atLeast"/>
        </w:trPr>
        <w:tc>
          <w:tcPr>
            <w:tcW w:w="1007" w:type="pct"/>
            <w:vMerge w:val="restart"/>
            <w:tcBorders>
              <w:top w:val="single" w:color="000000" w:sz="4" w:space="0"/>
              <w:bottom w:val="single" w:color="000000" w:sz="4" w:space="0"/>
              <w:right w:val="single" w:color="000000" w:sz="4" w:space="0"/>
            </w:tcBorders>
            <w:shd w:val="clear" w:color="auto" w:fill="FFFFFF"/>
            <w:noWrap/>
            <w:vAlign w:val="center"/>
          </w:tcPr>
          <w:p w14:paraId="66F558C5">
            <w:pPr>
              <w:pStyle w:val="26"/>
              <w:keepNext w:val="0"/>
              <w:keepLines w:val="0"/>
              <w:suppressLineNumbers w:val="0"/>
              <w:bidi w:val="0"/>
              <w:spacing w:before="0" w:beforeAutospacing="0" w:after="0" w:afterAutospacing="0"/>
              <w:ind w:left="0" w:right="0"/>
              <w:rPr>
                <w:rFonts w:hint="default"/>
                <w:color w:val="auto"/>
                <w:sz w:val="20"/>
                <w:szCs w:val="20"/>
                <w:highlight w:val="none"/>
                <w:lang w:val="en-US"/>
              </w:rPr>
            </w:pPr>
            <w:r>
              <w:rPr>
                <w:rFonts w:hint="eastAsia"/>
                <w:color w:val="auto"/>
                <w:sz w:val="20"/>
                <w:szCs w:val="20"/>
                <w:highlight w:val="none"/>
              </w:rPr>
              <w:t>近十</w:t>
            </w:r>
            <w:r>
              <w:rPr>
                <w:rFonts w:hint="eastAsia"/>
                <w:color w:val="auto"/>
                <w:sz w:val="20"/>
                <w:szCs w:val="20"/>
                <w:highlight w:val="none"/>
                <w:lang w:val="en-US" w:eastAsia="zh-CN"/>
              </w:rPr>
              <w:t>一</w:t>
            </w:r>
            <w:r>
              <w:rPr>
                <w:rFonts w:hint="eastAsia"/>
                <w:color w:val="auto"/>
                <w:sz w:val="20"/>
                <w:szCs w:val="20"/>
                <w:highlight w:val="none"/>
              </w:rPr>
              <w:t>年</w:t>
            </w:r>
            <w:r>
              <w:rPr>
                <w:rFonts w:hint="eastAsia"/>
                <w:color w:val="auto"/>
                <w:sz w:val="20"/>
                <w:szCs w:val="20"/>
                <w:highlight w:val="none"/>
                <w:lang w:val="en-US" w:eastAsia="zh-CN"/>
              </w:rPr>
              <w:t>最枯月正常工况</w:t>
            </w:r>
          </w:p>
        </w:tc>
        <w:tc>
          <w:tcPr>
            <w:tcW w:w="1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133F9">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default"/>
                <w:b w:val="0"/>
                <w:color w:val="auto"/>
                <w:sz w:val="20"/>
                <w:szCs w:val="20"/>
                <w:highlight w:val="none"/>
                <w:lang w:val="en-US" w:eastAsia="zh-CN"/>
              </w:rPr>
              <w:t>Y1</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97959">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default"/>
                <w:b w:val="0"/>
                <w:color w:val="auto"/>
                <w:sz w:val="20"/>
                <w:szCs w:val="20"/>
                <w:highlight w:val="none"/>
                <w:lang w:val="en-US" w:eastAsia="zh-CN"/>
              </w:rPr>
              <w:t>0.</w:t>
            </w:r>
            <w:r>
              <w:rPr>
                <w:rFonts w:hint="eastAsia"/>
                <w:b w:val="0"/>
                <w:color w:val="auto"/>
                <w:sz w:val="20"/>
                <w:szCs w:val="20"/>
                <w:highlight w:val="none"/>
                <w:lang w:val="en-US" w:eastAsia="zh-CN"/>
              </w:rPr>
              <w:t>0566</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E4F7F8">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0.024</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B68A4">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1.51</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AF19C">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w:t>
            </w:r>
          </w:p>
        </w:tc>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08DF2">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0.15</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E24C8">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0.010</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B90C3">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0.0841</w:t>
            </w:r>
          </w:p>
        </w:tc>
        <w:tc>
          <w:tcPr>
            <w:tcW w:w="3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D9E12">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0.026</w:t>
            </w:r>
          </w:p>
        </w:tc>
        <w:tc>
          <w:tcPr>
            <w:tcW w:w="5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2526D">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0.1957</w:t>
            </w:r>
          </w:p>
        </w:tc>
        <w:tc>
          <w:tcPr>
            <w:tcW w:w="536" w:type="pct"/>
            <w:tcBorders>
              <w:top w:val="single" w:color="000000" w:sz="4" w:space="0"/>
              <w:left w:val="single" w:color="000000" w:sz="4" w:space="0"/>
              <w:bottom w:val="single" w:color="000000" w:sz="4" w:space="0"/>
            </w:tcBorders>
            <w:shd w:val="clear" w:color="auto" w:fill="FFFFFF"/>
            <w:noWrap/>
            <w:vAlign w:val="center"/>
          </w:tcPr>
          <w:p w14:paraId="1A6D49FF">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-0.1116</w:t>
            </w:r>
          </w:p>
        </w:tc>
      </w:tr>
      <w:tr w14:paraId="1D46B53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0" w:type="dxa"/>
            <w:left w:w="6" w:type="dxa"/>
            <w:bottom w:w="0" w:type="dxa"/>
            <w:right w:w="6" w:type="dxa"/>
          </w:tblCellMar>
        </w:tblPrEx>
        <w:trPr>
          <w:trHeight w:val="271" w:hRule="atLeast"/>
        </w:trPr>
        <w:tc>
          <w:tcPr>
            <w:tcW w:w="1007" w:type="pct"/>
            <w:vMerge w:val="continue"/>
            <w:tcBorders>
              <w:top w:val="single" w:color="000000" w:sz="4" w:space="0"/>
              <w:bottom w:val="single" w:color="000000" w:sz="4" w:space="0"/>
              <w:right w:val="single" w:color="000000" w:sz="4" w:space="0"/>
            </w:tcBorders>
            <w:shd w:val="clear" w:color="auto" w:fill="FFFFFF"/>
            <w:noWrap/>
            <w:vAlign w:val="center"/>
          </w:tcPr>
          <w:p w14:paraId="3D0E7337">
            <w:pPr>
              <w:pStyle w:val="26"/>
              <w:keepNext w:val="0"/>
              <w:keepLines w:val="0"/>
              <w:suppressLineNumbers w:val="0"/>
              <w:bidi w:val="0"/>
              <w:spacing w:before="0" w:beforeAutospacing="0" w:after="0" w:afterAutospacing="0"/>
              <w:ind w:left="0" w:right="0"/>
              <w:rPr>
                <w:rFonts w:hint="default"/>
                <w:color w:val="auto"/>
                <w:sz w:val="20"/>
                <w:szCs w:val="20"/>
                <w:highlight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2A077">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default"/>
                <w:b w:val="0"/>
                <w:color w:val="auto"/>
                <w:sz w:val="20"/>
                <w:szCs w:val="20"/>
                <w:highlight w:val="none"/>
                <w:lang w:val="en-US" w:eastAsia="zh-CN"/>
              </w:rPr>
              <w:t>Y2</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2782E">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default"/>
                <w:b w:val="0"/>
                <w:color w:val="auto"/>
                <w:sz w:val="20"/>
                <w:szCs w:val="20"/>
                <w:highlight w:val="none"/>
                <w:lang w:val="en-US" w:eastAsia="zh-CN"/>
              </w:rPr>
              <w:t>0.</w:t>
            </w:r>
            <w:r>
              <w:rPr>
                <w:rFonts w:hint="eastAsia"/>
                <w:b w:val="0"/>
                <w:color w:val="auto"/>
                <w:sz w:val="20"/>
                <w:szCs w:val="20"/>
                <w:highlight w:val="none"/>
                <w:lang w:val="en-US" w:eastAsia="zh-CN"/>
              </w:rPr>
              <w:t>0120</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C4CBF">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0.075</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77D82">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1.51</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0E266">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0</w:t>
            </w:r>
          </w:p>
        </w:tc>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2CCF6">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0.15</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E9B1B6">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0.010</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23FAC">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0.0282</w:t>
            </w:r>
          </w:p>
        </w:tc>
        <w:tc>
          <w:tcPr>
            <w:tcW w:w="3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A76B4">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0.077</w:t>
            </w:r>
          </w:p>
        </w:tc>
        <w:tc>
          <w:tcPr>
            <w:tcW w:w="5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8B6D4">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0.0948</w:t>
            </w:r>
          </w:p>
        </w:tc>
        <w:tc>
          <w:tcPr>
            <w:tcW w:w="536" w:type="pct"/>
            <w:tcBorders>
              <w:top w:val="single" w:color="000000" w:sz="4" w:space="0"/>
              <w:left w:val="single" w:color="000000" w:sz="4" w:space="0"/>
              <w:bottom w:val="single" w:color="000000" w:sz="4" w:space="0"/>
            </w:tcBorders>
            <w:shd w:val="clear" w:color="auto" w:fill="FFFFFF"/>
            <w:noWrap/>
            <w:vAlign w:val="center"/>
          </w:tcPr>
          <w:p w14:paraId="5B33052A">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rPr>
            </w:pPr>
            <w:r>
              <w:rPr>
                <w:rFonts w:hint="eastAsia"/>
                <w:b w:val="0"/>
                <w:color w:val="auto"/>
                <w:sz w:val="20"/>
                <w:szCs w:val="20"/>
                <w:highlight w:val="none"/>
                <w:lang w:val="en-US" w:eastAsia="zh-CN"/>
              </w:rPr>
              <w:t>-0.0666</w:t>
            </w:r>
          </w:p>
        </w:tc>
      </w:tr>
      <w:tr w14:paraId="7D981DB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0" w:type="dxa"/>
            <w:left w:w="6" w:type="dxa"/>
            <w:bottom w:w="0" w:type="dxa"/>
            <w:right w:w="6" w:type="dxa"/>
          </w:tblCellMar>
        </w:tblPrEx>
        <w:trPr>
          <w:trHeight w:val="271" w:hRule="atLeast"/>
        </w:trPr>
        <w:tc>
          <w:tcPr>
            <w:tcW w:w="1007" w:type="pct"/>
            <w:vMerge w:val="restart"/>
            <w:tcBorders>
              <w:top w:val="single" w:color="000000" w:sz="4" w:space="0"/>
              <w:right w:val="single" w:color="000000" w:sz="4" w:space="0"/>
            </w:tcBorders>
            <w:shd w:val="clear" w:color="auto" w:fill="FFFFFF"/>
            <w:noWrap/>
            <w:vAlign w:val="center"/>
          </w:tcPr>
          <w:p w14:paraId="55E1EB36">
            <w:pPr>
              <w:pStyle w:val="26"/>
              <w:keepNext w:val="0"/>
              <w:keepLines w:val="0"/>
              <w:suppressLineNumbers w:val="0"/>
              <w:bidi w:val="0"/>
              <w:spacing w:before="0" w:beforeAutospacing="0" w:after="0" w:afterAutospacing="0"/>
              <w:ind w:left="0" w:right="0"/>
              <w:rPr>
                <w:rFonts w:hint="default"/>
                <w:color w:val="auto"/>
                <w:sz w:val="20"/>
                <w:szCs w:val="20"/>
                <w:highlight w:val="none"/>
                <w:lang w:val="en-US" w:eastAsia="zh-CN"/>
              </w:rPr>
            </w:pPr>
            <w:r>
              <w:rPr>
                <w:rFonts w:hint="eastAsia"/>
                <w:color w:val="auto"/>
                <w:sz w:val="20"/>
                <w:szCs w:val="20"/>
                <w:highlight w:val="none"/>
              </w:rPr>
              <w:t>近十</w:t>
            </w:r>
            <w:r>
              <w:rPr>
                <w:rFonts w:hint="eastAsia"/>
                <w:color w:val="auto"/>
                <w:sz w:val="20"/>
                <w:szCs w:val="20"/>
                <w:highlight w:val="none"/>
                <w:lang w:val="en-US" w:eastAsia="zh-CN"/>
              </w:rPr>
              <w:t>一</w:t>
            </w:r>
            <w:r>
              <w:rPr>
                <w:rFonts w:hint="eastAsia"/>
                <w:color w:val="auto"/>
                <w:sz w:val="20"/>
                <w:szCs w:val="20"/>
                <w:highlight w:val="none"/>
              </w:rPr>
              <w:t>年</w:t>
            </w:r>
            <w:r>
              <w:rPr>
                <w:rFonts w:hint="eastAsia"/>
                <w:color w:val="auto"/>
                <w:sz w:val="20"/>
                <w:szCs w:val="20"/>
                <w:highlight w:val="none"/>
                <w:lang w:val="en-US" w:eastAsia="zh-CN"/>
              </w:rPr>
              <w:t>最枯月</w:t>
            </w:r>
            <w:r>
              <w:rPr>
                <w:rFonts w:hint="eastAsia"/>
                <w:color w:val="auto"/>
                <w:sz w:val="20"/>
                <w:szCs w:val="20"/>
                <w:highlight w:val="none"/>
              </w:rPr>
              <w:t>非正常工况</w:t>
            </w:r>
          </w:p>
        </w:tc>
        <w:tc>
          <w:tcPr>
            <w:tcW w:w="1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77ED2">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default"/>
                <w:b w:val="0"/>
                <w:color w:val="auto"/>
                <w:sz w:val="20"/>
                <w:szCs w:val="20"/>
                <w:highlight w:val="none"/>
                <w:lang w:val="en-US" w:eastAsia="zh-CN"/>
              </w:rPr>
              <w:t>Y1</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EF55AB">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default"/>
                <w:b w:val="0"/>
                <w:color w:val="auto"/>
                <w:sz w:val="20"/>
                <w:szCs w:val="20"/>
                <w:highlight w:val="none"/>
                <w:lang w:val="en-US" w:eastAsia="zh-CN"/>
              </w:rPr>
              <w:t>0.</w:t>
            </w:r>
            <w:r>
              <w:rPr>
                <w:rFonts w:hint="eastAsia"/>
                <w:b w:val="0"/>
                <w:color w:val="auto"/>
                <w:sz w:val="20"/>
                <w:szCs w:val="20"/>
                <w:highlight w:val="none"/>
                <w:lang w:val="en-US" w:eastAsia="zh-CN"/>
              </w:rPr>
              <w:t>0566</w:t>
            </w:r>
          </w:p>
        </w:tc>
        <w:tc>
          <w:tcPr>
            <w:tcW w:w="3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6868E">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lang w:val="en-US" w:eastAsia="zh-CN"/>
              </w:rPr>
            </w:pPr>
            <w:r>
              <w:rPr>
                <w:rFonts w:hint="eastAsia"/>
                <w:b w:val="0"/>
                <w:color w:val="auto"/>
                <w:sz w:val="20"/>
                <w:szCs w:val="20"/>
                <w:highlight w:val="none"/>
                <w:lang w:val="en-US" w:eastAsia="zh-CN"/>
              </w:rPr>
              <w:t>0.024</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50C136">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lang w:val="en-US" w:eastAsia="zh-CN"/>
              </w:rPr>
            </w:pPr>
            <w:r>
              <w:rPr>
                <w:rFonts w:hint="eastAsia"/>
                <w:b w:val="0"/>
                <w:color w:val="auto"/>
                <w:sz w:val="20"/>
                <w:szCs w:val="20"/>
                <w:highlight w:val="none"/>
                <w:lang w:val="en-US" w:eastAsia="zh-CN"/>
              </w:rPr>
              <w:t>1.84</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573E7">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0.005</w:t>
            </w:r>
          </w:p>
        </w:tc>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CC8C8">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2.30</w:t>
            </w:r>
          </w:p>
        </w:tc>
        <w:tc>
          <w:tcPr>
            <w:tcW w:w="4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CCECB">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0.006</w:t>
            </w:r>
          </w:p>
        </w:tc>
        <w:tc>
          <w:tcPr>
            <w:tcW w:w="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8A386">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0.6488</w:t>
            </w:r>
          </w:p>
        </w:tc>
        <w:tc>
          <w:tcPr>
            <w:tcW w:w="3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51A1F">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0.035</w:t>
            </w:r>
          </w:p>
        </w:tc>
        <w:tc>
          <w:tcPr>
            <w:tcW w:w="5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F74DF">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lang w:val="en-US" w:eastAsia="zh-CN"/>
              </w:rPr>
            </w:pPr>
            <w:r>
              <w:rPr>
                <w:rFonts w:hint="eastAsia"/>
                <w:b w:val="0"/>
                <w:color w:val="auto"/>
                <w:sz w:val="20"/>
                <w:szCs w:val="20"/>
                <w:highlight w:val="none"/>
                <w:lang w:val="en-US" w:eastAsia="zh-CN"/>
              </w:rPr>
              <w:t>0.1957</w:t>
            </w:r>
          </w:p>
        </w:tc>
        <w:tc>
          <w:tcPr>
            <w:tcW w:w="536" w:type="pct"/>
            <w:tcBorders>
              <w:top w:val="single" w:color="000000" w:sz="4" w:space="0"/>
              <w:left w:val="single" w:color="000000" w:sz="4" w:space="0"/>
              <w:bottom w:val="single" w:color="000000" w:sz="4" w:space="0"/>
            </w:tcBorders>
            <w:shd w:val="clear" w:color="auto" w:fill="FFFFFF"/>
            <w:noWrap/>
            <w:vAlign w:val="center"/>
          </w:tcPr>
          <w:p w14:paraId="0A424AF7">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+0.4531</w:t>
            </w:r>
          </w:p>
        </w:tc>
      </w:tr>
      <w:tr w14:paraId="5B64F78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0" w:type="dxa"/>
            <w:left w:w="6" w:type="dxa"/>
            <w:bottom w:w="0" w:type="dxa"/>
            <w:right w:w="6" w:type="dxa"/>
          </w:tblCellMar>
        </w:tblPrEx>
        <w:trPr>
          <w:trHeight w:val="271" w:hRule="atLeast"/>
        </w:trPr>
        <w:tc>
          <w:tcPr>
            <w:tcW w:w="1007" w:type="pct"/>
            <w:vMerge w:val="continue"/>
            <w:tcBorders>
              <w:right w:val="single" w:color="000000" w:sz="4" w:space="0"/>
            </w:tcBorders>
            <w:shd w:val="clear" w:color="auto" w:fill="FFFFFF"/>
            <w:noWrap/>
            <w:vAlign w:val="center"/>
          </w:tcPr>
          <w:p w14:paraId="44B9140C">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p>
        </w:tc>
        <w:tc>
          <w:tcPr>
            <w:tcW w:w="173" w:type="pct"/>
            <w:tcBorders>
              <w:top w:val="single" w:color="000000" w:sz="4" w:space="0"/>
              <w:left w:val="single" w:color="000000" w:sz="4" w:space="0"/>
              <w:right w:val="single" w:color="000000" w:sz="4" w:space="0"/>
            </w:tcBorders>
            <w:shd w:val="clear" w:color="auto" w:fill="FFFFFF"/>
            <w:noWrap/>
            <w:vAlign w:val="center"/>
          </w:tcPr>
          <w:p w14:paraId="12499ED4">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default"/>
                <w:b w:val="0"/>
                <w:color w:val="auto"/>
                <w:sz w:val="20"/>
                <w:szCs w:val="20"/>
                <w:highlight w:val="none"/>
                <w:lang w:val="en-US" w:eastAsia="zh-CN"/>
              </w:rPr>
              <w:t>Y2</w:t>
            </w:r>
          </w:p>
        </w:tc>
        <w:tc>
          <w:tcPr>
            <w:tcW w:w="271" w:type="pct"/>
            <w:tcBorders>
              <w:top w:val="single" w:color="000000" w:sz="4" w:space="0"/>
              <w:left w:val="single" w:color="000000" w:sz="4" w:space="0"/>
              <w:right w:val="single" w:color="000000" w:sz="4" w:space="0"/>
            </w:tcBorders>
            <w:shd w:val="clear" w:color="auto" w:fill="FFFFFF"/>
            <w:noWrap/>
            <w:vAlign w:val="center"/>
          </w:tcPr>
          <w:p w14:paraId="2512C25B">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default"/>
                <w:b w:val="0"/>
                <w:color w:val="auto"/>
                <w:sz w:val="20"/>
                <w:szCs w:val="20"/>
                <w:highlight w:val="none"/>
                <w:lang w:val="en-US" w:eastAsia="zh-CN"/>
              </w:rPr>
              <w:t>0.</w:t>
            </w:r>
            <w:r>
              <w:rPr>
                <w:rFonts w:hint="eastAsia"/>
                <w:b w:val="0"/>
                <w:color w:val="auto"/>
                <w:sz w:val="20"/>
                <w:szCs w:val="20"/>
                <w:highlight w:val="none"/>
                <w:lang w:val="en-US" w:eastAsia="zh-CN"/>
              </w:rPr>
              <w:t>0120</w:t>
            </w:r>
          </w:p>
        </w:tc>
        <w:tc>
          <w:tcPr>
            <w:tcW w:w="380" w:type="pct"/>
            <w:tcBorders>
              <w:top w:val="single" w:color="000000" w:sz="4" w:space="0"/>
              <w:left w:val="single" w:color="000000" w:sz="4" w:space="0"/>
              <w:right w:val="single" w:color="000000" w:sz="4" w:space="0"/>
            </w:tcBorders>
            <w:shd w:val="clear" w:color="auto" w:fill="FFFFFF"/>
            <w:noWrap/>
            <w:vAlign w:val="center"/>
          </w:tcPr>
          <w:p w14:paraId="13355825">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lang w:val="en-US" w:eastAsia="zh-CN"/>
              </w:rPr>
            </w:pPr>
            <w:r>
              <w:rPr>
                <w:rFonts w:hint="eastAsia"/>
                <w:b w:val="0"/>
                <w:color w:val="auto"/>
                <w:sz w:val="20"/>
                <w:szCs w:val="20"/>
                <w:highlight w:val="none"/>
                <w:lang w:val="en-US" w:eastAsia="zh-CN"/>
              </w:rPr>
              <w:t>0.075</w:t>
            </w:r>
          </w:p>
        </w:tc>
        <w:tc>
          <w:tcPr>
            <w:tcW w:w="325" w:type="pct"/>
            <w:tcBorders>
              <w:top w:val="single" w:color="000000" w:sz="4" w:space="0"/>
              <w:left w:val="single" w:color="000000" w:sz="4" w:space="0"/>
              <w:right w:val="single" w:color="000000" w:sz="4" w:space="0"/>
            </w:tcBorders>
            <w:shd w:val="clear" w:color="auto" w:fill="FFFFFF"/>
            <w:noWrap/>
            <w:vAlign w:val="center"/>
          </w:tcPr>
          <w:p w14:paraId="39B68973">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lang w:val="en-US" w:eastAsia="zh-CN"/>
              </w:rPr>
            </w:pPr>
            <w:r>
              <w:rPr>
                <w:rFonts w:hint="eastAsia"/>
                <w:b w:val="0"/>
                <w:color w:val="auto"/>
                <w:sz w:val="20"/>
                <w:szCs w:val="20"/>
                <w:highlight w:val="none"/>
                <w:lang w:val="en-US" w:eastAsia="zh-CN"/>
              </w:rPr>
              <w:t>1.84</w:t>
            </w:r>
          </w:p>
        </w:tc>
        <w:tc>
          <w:tcPr>
            <w:tcW w:w="327" w:type="pct"/>
            <w:tcBorders>
              <w:top w:val="single" w:color="000000" w:sz="4" w:space="0"/>
              <w:left w:val="single" w:color="000000" w:sz="4" w:space="0"/>
              <w:right w:val="single" w:color="000000" w:sz="4" w:space="0"/>
            </w:tcBorders>
            <w:shd w:val="clear" w:color="auto" w:fill="FFFFFF"/>
            <w:noWrap/>
            <w:vAlign w:val="center"/>
          </w:tcPr>
          <w:p w14:paraId="24B1DB67">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0.005</w:t>
            </w:r>
          </w:p>
        </w:tc>
        <w:tc>
          <w:tcPr>
            <w:tcW w:w="333" w:type="pct"/>
            <w:tcBorders>
              <w:top w:val="single" w:color="000000" w:sz="4" w:space="0"/>
              <w:left w:val="single" w:color="000000" w:sz="4" w:space="0"/>
              <w:right w:val="single" w:color="000000" w:sz="4" w:space="0"/>
            </w:tcBorders>
            <w:shd w:val="clear" w:color="auto" w:fill="FFFFFF"/>
            <w:noWrap/>
            <w:vAlign w:val="center"/>
          </w:tcPr>
          <w:p w14:paraId="1CDB6387">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2.30</w:t>
            </w:r>
          </w:p>
        </w:tc>
        <w:tc>
          <w:tcPr>
            <w:tcW w:w="455" w:type="pct"/>
            <w:tcBorders>
              <w:top w:val="single" w:color="000000" w:sz="4" w:space="0"/>
              <w:left w:val="single" w:color="000000" w:sz="4" w:space="0"/>
              <w:right w:val="single" w:color="000000" w:sz="4" w:space="0"/>
            </w:tcBorders>
            <w:shd w:val="clear" w:color="auto" w:fill="FFFFFF"/>
            <w:noWrap/>
            <w:vAlign w:val="center"/>
          </w:tcPr>
          <w:p w14:paraId="7817AC4A">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0.006</w:t>
            </w:r>
          </w:p>
        </w:tc>
        <w:tc>
          <w:tcPr>
            <w:tcW w:w="271" w:type="pct"/>
            <w:tcBorders>
              <w:top w:val="single" w:color="000000" w:sz="4" w:space="0"/>
              <w:left w:val="single" w:color="000000" w:sz="4" w:space="0"/>
              <w:right w:val="single" w:color="000000" w:sz="4" w:space="0"/>
            </w:tcBorders>
            <w:shd w:val="clear" w:color="auto" w:fill="FFFFFF"/>
            <w:noWrap/>
            <w:vAlign w:val="center"/>
          </w:tcPr>
          <w:p w14:paraId="1E3577B8">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0.2587</w:t>
            </w:r>
          </w:p>
        </w:tc>
        <w:tc>
          <w:tcPr>
            <w:tcW w:w="382" w:type="pct"/>
            <w:tcBorders>
              <w:top w:val="single" w:color="000000" w:sz="4" w:space="0"/>
              <w:left w:val="single" w:color="000000" w:sz="4" w:space="0"/>
              <w:right w:val="single" w:color="000000" w:sz="4" w:space="0"/>
            </w:tcBorders>
            <w:shd w:val="clear" w:color="auto" w:fill="FFFFFF"/>
            <w:noWrap/>
            <w:vAlign w:val="center"/>
          </w:tcPr>
          <w:p w14:paraId="3ACB9A94">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0.086</w:t>
            </w:r>
          </w:p>
        </w:tc>
        <w:tc>
          <w:tcPr>
            <w:tcW w:w="535" w:type="pct"/>
            <w:tcBorders>
              <w:top w:val="single" w:color="000000" w:sz="4" w:space="0"/>
              <w:left w:val="single" w:color="000000" w:sz="4" w:space="0"/>
              <w:right w:val="single" w:color="000000" w:sz="4" w:space="0"/>
            </w:tcBorders>
            <w:shd w:val="clear" w:color="auto" w:fill="FFFFFF"/>
            <w:noWrap/>
            <w:vAlign w:val="center"/>
          </w:tcPr>
          <w:p w14:paraId="237C373D">
            <w:pPr>
              <w:pStyle w:val="26"/>
              <w:keepNext w:val="0"/>
              <w:keepLines w:val="0"/>
              <w:suppressLineNumbers w:val="0"/>
              <w:bidi w:val="0"/>
              <w:spacing w:before="0" w:beforeAutospacing="0" w:after="0" w:afterAutospacing="0"/>
              <w:ind w:left="0" w:leftChars="0" w:right="0" w:rightChars="0"/>
              <w:rPr>
                <w:rFonts w:hint="eastAsia"/>
                <w:b w:val="0"/>
                <w:color w:val="auto"/>
                <w:sz w:val="20"/>
                <w:szCs w:val="20"/>
                <w:highlight w:val="none"/>
                <w:lang w:val="en-US" w:eastAsia="zh-CN"/>
              </w:rPr>
            </w:pPr>
            <w:r>
              <w:rPr>
                <w:rFonts w:hint="eastAsia"/>
                <w:b w:val="0"/>
                <w:color w:val="auto"/>
                <w:sz w:val="20"/>
                <w:szCs w:val="20"/>
                <w:highlight w:val="none"/>
                <w:lang w:val="en-US" w:eastAsia="zh-CN"/>
              </w:rPr>
              <w:t>0.0948</w:t>
            </w:r>
          </w:p>
        </w:tc>
        <w:tc>
          <w:tcPr>
            <w:tcW w:w="536" w:type="pct"/>
            <w:tcBorders>
              <w:top w:val="single" w:color="000000" w:sz="4" w:space="0"/>
              <w:left w:val="single" w:color="000000" w:sz="4" w:space="0"/>
            </w:tcBorders>
            <w:shd w:val="clear" w:color="auto" w:fill="FFFFFF"/>
            <w:noWrap/>
            <w:vAlign w:val="center"/>
          </w:tcPr>
          <w:p w14:paraId="4F930BF1">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+0.1639</w:t>
            </w:r>
          </w:p>
        </w:tc>
      </w:tr>
    </w:tbl>
    <w:p w14:paraId="01C4689D">
      <w:pPr>
        <w:keepNext w:val="0"/>
        <w:keepLines w:val="0"/>
        <w:widowControl w:val="0"/>
        <w:suppressLineNumbers w:val="0"/>
        <w:tabs>
          <w:tab w:val="left" w:pos="1021"/>
        </w:tabs>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kern w:val="2"/>
          <w:sz w:val="24"/>
          <w:szCs w:val="21"/>
          <w:highlight w:val="none"/>
          <w:lang w:val="en-US" w:eastAsia="zh-CN" w:bidi="ar-SA"/>
        </w:rPr>
      </w:pPr>
    </w:p>
    <w:p w14:paraId="2B44DC7C">
      <w:pPr>
        <w:pStyle w:val="28"/>
        <w:bidi w:val="0"/>
        <w:rPr>
          <w:rFonts w:hint="eastAsia" w:eastAsia="黑体"/>
          <w:color w:val="auto"/>
          <w:highlight w:val="none"/>
          <w:lang w:val="en-US" w:eastAsia="zh-CN"/>
        </w:rPr>
      </w:pPr>
      <w:r>
        <w:rPr>
          <w:rFonts w:hint="default"/>
          <w:color w:val="auto"/>
          <w:highlight w:val="none"/>
        </w:rPr>
        <w:t>表</w:t>
      </w:r>
      <w:r>
        <w:rPr>
          <w:rFonts w:hint="default"/>
          <w:color w:val="auto"/>
          <w:highlight w:val="none"/>
        </w:rPr>
        <w:fldChar w:fldCharType="begin"/>
      </w:r>
      <w:r>
        <w:rPr>
          <w:rFonts w:hint="default"/>
          <w:color w:val="auto"/>
          <w:highlight w:val="none"/>
        </w:rPr>
        <w:instrText xml:space="preserve"> STYLEREF guo-二级标题 \n </w:instrText>
      </w:r>
      <w:r>
        <w:rPr>
          <w:rFonts w:hint="default"/>
          <w:color w:val="auto"/>
          <w:highlight w:val="none"/>
        </w:rPr>
        <w:fldChar w:fldCharType="separate"/>
      </w:r>
      <w:r>
        <w:rPr>
          <w:rFonts w:hint="default"/>
          <w:color w:val="auto"/>
          <w:highlight w:val="none"/>
        </w:rPr>
        <w:t>7.1</w:t>
      </w:r>
      <w:r>
        <w:rPr>
          <w:rFonts w:hint="default"/>
          <w:color w:val="auto"/>
          <w:highlight w:val="none"/>
        </w:rPr>
        <w:fldChar w:fldCharType="end"/>
      </w:r>
      <w:r>
        <w:rPr>
          <w:rFonts w:hint="default"/>
          <w:color w:val="auto"/>
          <w:highlight w:val="none"/>
        </w:rPr>
        <w:t>–</w:t>
      </w:r>
      <w:r>
        <w:rPr>
          <w:rFonts w:hint="default"/>
          <w:color w:val="auto"/>
          <w:highlight w:val="none"/>
        </w:rPr>
        <w:fldChar w:fldCharType="begin"/>
      </w:r>
      <w:r>
        <w:rPr>
          <w:rFonts w:hint="default"/>
          <w:color w:val="auto"/>
          <w:highlight w:val="none"/>
        </w:rPr>
        <w:instrText xml:space="preserve"> SEQ 表 \* ARABIC \s 2 </w:instrText>
      </w:r>
      <w:r>
        <w:rPr>
          <w:rFonts w:hint="default"/>
          <w:color w:val="auto"/>
          <w:highlight w:val="none"/>
        </w:rPr>
        <w:fldChar w:fldCharType="separate"/>
      </w:r>
      <w:r>
        <w:rPr>
          <w:rFonts w:hint="default"/>
          <w:color w:val="auto"/>
          <w:highlight w:val="none"/>
        </w:rPr>
        <w:t>9</w:t>
      </w:r>
      <w:r>
        <w:rPr>
          <w:rFonts w:hint="default"/>
          <w:color w:val="auto"/>
          <w:highlight w:val="none"/>
        </w:rPr>
        <w:fldChar w:fldCharType="end"/>
      </w:r>
      <w:r>
        <w:rPr>
          <w:rFonts w:hint="default"/>
          <w:color w:val="auto"/>
          <w:highlight w:val="none"/>
        </w:rPr>
        <w:t xml:space="preserve">  </w:t>
      </w:r>
      <w:r>
        <w:rPr>
          <w:rFonts w:hint="default"/>
          <w:color w:val="auto"/>
          <w:highlight w:val="none"/>
          <w:lang w:val="en-US" w:eastAsia="zh-CN"/>
        </w:rPr>
        <w:t>Y3、Y4、Y5预测断面锑含量</w:t>
      </w:r>
      <w:r>
        <w:rPr>
          <w:rFonts w:hint="default"/>
          <w:color w:val="auto"/>
          <w:highlight w:val="none"/>
        </w:rPr>
        <w:t>预测结果一览表</w:t>
      </w:r>
    </w:p>
    <w:tbl>
      <w:tblPr>
        <w:tblStyle w:val="21"/>
        <w:tblW w:w="500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6" w:type="dxa"/>
          <w:bottom w:w="0" w:type="dxa"/>
          <w:right w:w="6" w:type="dxa"/>
        </w:tblCellMar>
      </w:tblPr>
      <w:tblGrid>
        <w:gridCol w:w="3851"/>
        <w:gridCol w:w="2153"/>
        <w:gridCol w:w="1949"/>
        <w:gridCol w:w="1779"/>
        <w:gridCol w:w="1801"/>
        <w:gridCol w:w="1791"/>
        <w:gridCol w:w="2106"/>
        <w:gridCol w:w="4"/>
      </w:tblGrid>
      <w:tr w14:paraId="7B3C9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trHeight w:val="23" w:hRule="atLeast"/>
        </w:trPr>
        <w:tc>
          <w:tcPr>
            <w:tcW w:w="1247" w:type="pct"/>
            <w:vMerge w:val="restart"/>
            <w:tcBorders>
              <w:top w:val="single" w:color="000000" w:sz="12" w:space="0"/>
              <w:left w:val="single" w:color="000000" w:sz="12" w:space="0"/>
              <w:bottom w:val="single" w:color="000000" w:sz="4" w:space="0"/>
              <w:right w:val="single" w:color="000000" w:sz="4" w:space="0"/>
              <w:tl2br w:val="nil"/>
            </w:tcBorders>
            <w:shd w:val="clear" w:color="auto" w:fill="FFFFFF"/>
            <w:noWrap/>
            <w:vAlign w:val="center"/>
          </w:tcPr>
          <w:p w14:paraId="4AF50AA4">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工况</w:t>
            </w:r>
          </w:p>
        </w:tc>
        <w:tc>
          <w:tcPr>
            <w:tcW w:w="697" w:type="pct"/>
            <w:vMerge w:val="restar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52162EDF">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断面</w:t>
            </w:r>
          </w:p>
        </w:tc>
        <w:tc>
          <w:tcPr>
            <w:tcW w:w="1207" w:type="pct"/>
            <w:gridSpan w:val="2"/>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5DA5D3DF">
            <w:pPr>
              <w:pStyle w:val="26"/>
              <w:keepNext w:val="0"/>
              <w:keepLines w:val="0"/>
              <w:suppressLineNumbers w:val="0"/>
              <w:bidi w:val="0"/>
              <w:spacing w:before="0" w:beforeAutospacing="0" w:after="0" w:afterAutospacing="0"/>
              <w:ind w:left="0" w:right="0"/>
              <w:rPr>
                <w:rFonts w:hint="eastAsia" w:eastAsia="宋体"/>
                <w:b w:val="0"/>
                <w:color w:val="auto"/>
                <w:sz w:val="20"/>
                <w:szCs w:val="20"/>
                <w:highlight w:val="none"/>
                <w:lang w:val="en-US" w:eastAsia="zh-CN"/>
              </w:rPr>
            </w:pPr>
            <w:r>
              <w:rPr>
                <w:rFonts w:hint="eastAsia"/>
                <w:b w:val="0"/>
                <w:color w:val="auto"/>
                <w:sz w:val="20"/>
                <w:szCs w:val="20"/>
                <w:highlight w:val="none"/>
                <w:lang w:val="en-US" w:eastAsia="zh-CN"/>
              </w:rPr>
              <w:t>背景断面</w:t>
            </w:r>
          </w:p>
        </w:tc>
        <w:tc>
          <w:tcPr>
            <w:tcW w:w="583"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ED7B16F">
            <w:pPr>
              <w:pStyle w:val="26"/>
              <w:keepNext w:val="0"/>
              <w:keepLines w:val="0"/>
              <w:suppressLineNumbers w:val="0"/>
              <w:bidi w:val="0"/>
              <w:spacing w:before="0" w:beforeAutospacing="0" w:after="0" w:afterAutospacing="0"/>
              <w:ind w:left="0" w:right="0"/>
              <w:rPr>
                <w:rFonts w:hint="default"/>
                <w:b w:val="0"/>
                <w:color w:val="auto"/>
                <w:sz w:val="20"/>
                <w:szCs w:val="20"/>
                <w:highlight w:val="none"/>
                <w:lang w:val="en-US" w:eastAsia="zh-CN"/>
              </w:rPr>
            </w:pPr>
            <w:r>
              <w:rPr>
                <w:rFonts w:hint="eastAsia"/>
                <w:b w:val="0"/>
                <w:color w:val="auto"/>
                <w:sz w:val="20"/>
                <w:szCs w:val="20"/>
                <w:highlight w:val="none"/>
                <w:lang w:val="en-US" w:eastAsia="zh-CN"/>
              </w:rPr>
              <w:t>废水处理站</w:t>
            </w:r>
          </w:p>
        </w:tc>
        <w:tc>
          <w:tcPr>
            <w:tcW w:w="580"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AEDA4C4">
            <w:pPr>
              <w:pStyle w:val="26"/>
              <w:keepNext w:val="0"/>
              <w:keepLines w:val="0"/>
              <w:suppressLineNumbers w:val="0"/>
              <w:bidi w:val="0"/>
              <w:spacing w:before="0" w:beforeAutospacing="0" w:after="0" w:afterAutospacing="0"/>
              <w:ind w:left="0" w:right="0"/>
              <w:rPr>
                <w:rFonts w:hint="eastAsia" w:eastAsia="宋体"/>
                <w:b w:val="0"/>
                <w:color w:val="auto"/>
                <w:sz w:val="20"/>
                <w:szCs w:val="20"/>
                <w:highlight w:val="none"/>
                <w:lang w:val="en-US" w:eastAsia="zh-CN"/>
              </w:rPr>
            </w:pPr>
            <w:r>
              <w:rPr>
                <w:rFonts w:hint="eastAsia"/>
                <w:b w:val="0"/>
                <w:color w:val="auto"/>
                <w:sz w:val="20"/>
                <w:szCs w:val="20"/>
                <w:highlight w:val="none"/>
                <w:lang w:val="en-US" w:eastAsia="zh-CN"/>
              </w:rPr>
              <w:t>预测断面</w:t>
            </w:r>
          </w:p>
        </w:tc>
        <w:tc>
          <w:tcPr>
            <w:tcW w:w="683" w:type="pct"/>
            <w:gridSpan w:val="2"/>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742AF09E">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增减量</w:t>
            </w:r>
          </w:p>
        </w:tc>
      </w:tr>
      <w:tr w14:paraId="75F93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gridAfter w:val="1"/>
          <w:wAfter w:w="4" w:type="dxa"/>
          <w:trHeight w:val="23" w:hRule="atLeast"/>
        </w:trPr>
        <w:tc>
          <w:tcPr>
            <w:tcW w:w="1247"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848062B">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p>
        </w:tc>
        <w:tc>
          <w:tcPr>
            <w:tcW w:w="69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44003">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9AE97">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背景值</w:t>
            </w:r>
          </w:p>
        </w:tc>
        <w:tc>
          <w:tcPr>
            <w:tcW w:w="5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430B1">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rPr>
            </w:pPr>
            <w:r>
              <w:rPr>
                <w:rFonts w:hint="eastAsia"/>
                <w:b w:val="0"/>
                <w:color w:val="auto"/>
                <w:sz w:val="20"/>
                <w:szCs w:val="20"/>
                <w:highlight w:val="none"/>
                <w:lang w:val="en-US" w:eastAsia="zh-CN"/>
              </w:rPr>
              <w:t>河流流量</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5A23E">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lang w:val="en-US" w:eastAsia="zh-CN"/>
              </w:rPr>
            </w:pPr>
            <w:r>
              <w:rPr>
                <w:rFonts w:hint="eastAsia"/>
                <w:b w:val="0"/>
                <w:color w:val="auto"/>
                <w:sz w:val="20"/>
                <w:szCs w:val="20"/>
                <w:highlight w:val="none"/>
                <w:lang w:val="en-US" w:eastAsia="zh-CN"/>
              </w:rPr>
              <w:t>减排量</w:t>
            </w:r>
          </w:p>
        </w:tc>
        <w:tc>
          <w:tcPr>
            <w:tcW w:w="5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83868">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预测值</w:t>
            </w:r>
          </w:p>
        </w:tc>
        <w:tc>
          <w:tcPr>
            <w:tcW w:w="6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AFA8AB">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r>
              <w:rPr>
                <w:rFonts w:hint="eastAsia"/>
                <w:b w:val="0"/>
                <w:color w:val="auto"/>
                <w:sz w:val="20"/>
                <w:szCs w:val="20"/>
                <w:highlight w:val="none"/>
                <w:lang w:val="en-US" w:eastAsia="zh-CN"/>
              </w:rPr>
              <w:t>数值</w:t>
            </w:r>
          </w:p>
        </w:tc>
      </w:tr>
      <w:tr w14:paraId="52B0E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gridAfter w:val="1"/>
          <w:wAfter w:w="4" w:type="dxa"/>
          <w:trHeight w:val="23" w:hRule="atLeast"/>
        </w:trPr>
        <w:tc>
          <w:tcPr>
            <w:tcW w:w="1247"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12C7594">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p>
        </w:tc>
        <w:tc>
          <w:tcPr>
            <w:tcW w:w="69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E31E6">
            <w:pPr>
              <w:pStyle w:val="26"/>
              <w:keepNext w:val="0"/>
              <w:keepLines w:val="0"/>
              <w:suppressLineNumbers w:val="0"/>
              <w:bidi w:val="0"/>
              <w:spacing w:before="0" w:beforeAutospacing="0" w:after="0" w:afterAutospacing="0"/>
              <w:ind w:left="0" w:right="0"/>
              <w:rPr>
                <w:rFonts w:hint="eastAsia"/>
                <w:b w:val="0"/>
                <w:color w:val="auto"/>
                <w:sz w:val="20"/>
                <w:szCs w:val="20"/>
                <w:highlight w:val="none"/>
              </w:rPr>
            </w:pP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C5100">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default"/>
                <w:b w:val="0"/>
                <w:color w:val="auto"/>
                <w:sz w:val="20"/>
                <w:szCs w:val="20"/>
                <w:highlight w:val="none"/>
                <w:lang w:val="en-US" w:eastAsia="zh-CN"/>
              </w:rPr>
              <w:t>mg/L</w:t>
            </w:r>
          </w:p>
        </w:tc>
        <w:tc>
          <w:tcPr>
            <w:tcW w:w="5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04707">
            <w:pPr>
              <w:pStyle w:val="26"/>
              <w:keepNext w:val="0"/>
              <w:keepLines w:val="0"/>
              <w:suppressLineNumbers w:val="0"/>
              <w:bidi w:val="0"/>
              <w:spacing w:before="0" w:beforeAutospacing="0" w:after="0" w:afterAutospacing="0"/>
              <w:ind w:left="0" w:leftChars="0" w:right="0" w:rightChars="0"/>
              <w:rPr>
                <w:rFonts w:hint="default"/>
                <w:b w:val="0"/>
                <w:color w:val="auto"/>
                <w:sz w:val="20"/>
                <w:szCs w:val="20"/>
                <w:highlight w:val="none"/>
              </w:rPr>
            </w:pPr>
            <w:r>
              <w:rPr>
                <w:rFonts w:hint="eastAsia"/>
                <w:color w:val="auto"/>
                <w:sz w:val="20"/>
                <w:szCs w:val="20"/>
                <w:highlight w:val="none"/>
                <w:lang w:val="en-US" w:eastAsia="zh-CN"/>
              </w:rPr>
              <w:t>m</w:t>
            </w:r>
            <w:r>
              <w:rPr>
                <w:rFonts w:hint="eastAsia"/>
                <w:color w:val="auto"/>
                <w:sz w:val="20"/>
                <w:szCs w:val="20"/>
                <w:highlight w:val="none"/>
                <w:vertAlign w:val="superscript"/>
                <w:lang w:val="en-US" w:eastAsia="zh-CN"/>
              </w:rPr>
              <w:t>3</w:t>
            </w:r>
            <w:r>
              <w:rPr>
                <w:rFonts w:hint="eastAsia"/>
                <w:color w:val="auto"/>
                <w:sz w:val="20"/>
                <w:szCs w:val="20"/>
                <w:highlight w:val="none"/>
                <w:lang w:val="en-US" w:eastAsia="zh-CN"/>
              </w:rPr>
              <w:t>/s</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D83BF">
            <w:pPr>
              <w:pStyle w:val="26"/>
              <w:keepNext w:val="0"/>
              <w:keepLines w:val="0"/>
              <w:suppressLineNumbers w:val="0"/>
              <w:bidi w:val="0"/>
              <w:spacing w:before="0" w:beforeAutospacing="0" w:after="0" w:afterAutospacing="0"/>
              <w:ind w:left="0" w:leftChars="0" w:right="0" w:rightChars="0"/>
              <w:rPr>
                <w:rFonts w:hint="eastAsia"/>
                <w:color w:val="auto"/>
                <w:sz w:val="20"/>
                <w:szCs w:val="20"/>
                <w:highlight w:val="none"/>
                <w:lang w:val="en-US" w:eastAsia="zh-CN"/>
              </w:rPr>
            </w:pPr>
            <w:r>
              <w:rPr>
                <w:rFonts w:hint="eastAsia"/>
                <w:color w:val="auto"/>
                <w:sz w:val="20"/>
                <w:szCs w:val="20"/>
                <w:highlight w:val="none"/>
                <w:lang w:val="en-US" w:eastAsia="zh-CN"/>
              </w:rPr>
              <w:t>kg/d</w:t>
            </w:r>
          </w:p>
        </w:tc>
        <w:tc>
          <w:tcPr>
            <w:tcW w:w="5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F433D">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default"/>
                <w:b w:val="0"/>
                <w:color w:val="auto"/>
                <w:sz w:val="20"/>
                <w:szCs w:val="20"/>
                <w:highlight w:val="none"/>
                <w:lang w:val="en-US" w:eastAsia="zh-CN"/>
              </w:rPr>
              <w:t>mg/L</w:t>
            </w:r>
          </w:p>
        </w:tc>
        <w:tc>
          <w:tcPr>
            <w:tcW w:w="68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E68C40">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r>
              <w:rPr>
                <w:rFonts w:hint="default"/>
                <w:b w:val="0"/>
                <w:color w:val="auto"/>
                <w:sz w:val="20"/>
                <w:szCs w:val="20"/>
                <w:highlight w:val="none"/>
                <w:lang w:val="en-US" w:eastAsia="zh-CN"/>
              </w:rPr>
              <w:t>mg/L</w:t>
            </w:r>
          </w:p>
        </w:tc>
      </w:tr>
      <w:tr w14:paraId="114E4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6" w:type="dxa"/>
            <w:bottom w:w="0" w:type="dxa"/>
            <w:right w:w="6" w:type="dxa"/>
          </w:tblCellMar>
        </w:tblPrEx>
        <w:trPr>
          <w:gridAfter w:val="1"/>
          <w:wAfter w:w="4" w:type="dxa"/>
          <w:trHeight w:val="23" w:hRule="atLeast"/>
        </w:trPr>
        <w:tc>
          <w:tcPr>
            <w:tcW w:w="1247" w:type="pct"/>
            <w:vMerge w:val="restar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E7AB1C3">
            <w:pPr>
              <w:pStyle w:val="26"/>
              <w:keepNext w:val="0"/>
              <w:keepLines w:val="0"/>
              <w:suppressLineNumbers w:val="0"/>
              <w:bidi w:val="0"/>
              <w:spacing w:before="0" w:beforeAutospacing="0" w:after="0" w:afterAutospacing="0"/>
              <w:ind w:left="0" w:right="0"/>
              <w:rPr>
                <w:rFonts w:hint="eastAsia"/>
                <w:color w:val="auto"/>
                <w:sz w:val="20"/>
                <w:szCs w:val="20"/>
                <w:highlight w:val="none"/>
              </w:rPr>
            </w:pPr>
            <w:r>
              <w:rPr>
                <w:rFonts w:hint="eastAsia"/>
                <w:color w:val="auto"/>
                <w:sz w:val="20"/>
                <w:szCs w:val="20"/>
                <w:highlight w:val="none"/>
                <w:lang w:val="en-US" w:eastAsia="zh-CN"/>
              </w:rPr>
              <w:t>丰水期正常工况</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95852">
            <w:pPr>
              <w:pStyle w:val="26"/>
              <w:keepNext w:val="0"/>
              <w:keepLines w:val="0"/>
              <w:suppressLineNumbers w:val="0"/>
              <w:bidi w:val="0"/>
              <w:spacing w:before="0" w:beforeAutospacing="0" w:after="0" w:afterAutospacing="0"/>
              <w:ind w:left="0" w:right="0"/>
              <w:rPr>
                <w:rFonts w:hint="default"/>
                <w:sz w:val="20"/>
                <w:szCs w:val="20"/>
              </w:rPr>
            </w:pPr>
            <w:r>
              <w:rPr>
                <w:rFonts w:hint="default"/>
                <w:sz w:val="20"/>
                <w:szCs w:val="20"/>
                <w:lang w:val="en-US" w:eastAsia="zh-CN"/>
              </w:rPr>
              <w:t>Y3</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5A014">
            <w:pPr>
              <w:pStyle w:val="26"/>
              <w:keepNext w:val="0"/>
              <w:keepLines w:val="0"/>
              <w:suppressLineNumbers w:val="0"/>
              <w:bidi w:val="0"/>
              <w:spacing w:before="0" w:beforeAutospacing="0" w:after="0" w:afterAutospacing="0"/>
              <w:ind w:left="0" w:right="0"/>
              <w:rPr>
                <w:rFonts w:hint="default"/>
                <w:sz w:val="20"/>
                <w:szCs w:val="20"/>
                <w:lang w:val="en-US"/>
              </w:rPr>
            </w:pPr>
            <w:r>
              <w:rPr>
                <w:rFonts w:hint="default"/>
                <w:sz w:val="20"/>
                <w:szCs w:val="20"/>
                <w:lang w:val="en-US" w:eastAsia="zh-CN"/>
              </w:rPr>
              <w:t>0.</w:t>
            </w:r>
            <w:r>
              <w:rPr>
                <w:rFonts w:hint="eastAsia"/>
                <w:sz w:val="20"/>
                <w:szCs w:val="20"/>
                <w:lang w:val="en-US" w:eastAsia="zh-CN"/>
              </w:rPr>
              <w:t>0115</w:t>
            </w:r>
          </w:p>
        </w:tc>
        <w:tc>
          <w:tcPr>
            <w:tcW w:w="5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4373C">
            <w:pPr>
              <w:pStyle w:val="26"/>
              <w:keepNext w:val="0"/>
              <w:keepLines w:val="0"/>
              <w:suppressLineNumbers w:val="0"/>
              <w:bidi w:val="0"/>
              <w:spacing w:before="0" w:beforeAutospacing="0" w:after="0" w:afterAutospacing="0"/>
              <w:ind w:left="0" w:right="0"/>
              <w:rPr>
                <w:rFonts w:hint="default"/>
                <w:sz w:val="20"/>
                <w:szCs w:val="20"/>
                <w:lang w:val="en-US"/>
              </w:rPr>
            </w:pPr>
            <w:r>
              <w:rPr>
                <w:rFonts w:hint="eastAsia"/>
                <w:sz w:val="20"/>
                <w:szCs w:val="20"/>
                <w:lang w:val="en-US" w:eastAsia="zh-CN"/>
              </w:rPr>
              <w:t>4.455</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A2BEA3">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0.316</w:t>
            </w:r>
          </w:p>
        </w:tc>
        <w:tc>
          <w:tcPr>
            <w:tcW w:w="1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C087F">
            <w:pPr>
              <w:pStyle w:val="26"/>
              <w:keepNext w:val="0"/>
              <w:keepLines w:val="0"/>
              <w:suppressLineNumbers w:val="0"/>
              <w:bidi w:val="0"/>
              <w:spacing w:before="0" w:beforeAutospacing="0" w:after="0" w:afterAutospacing="0"/>
              <w:ind w:left="0" w:right="0"/>
              <w:rPr>
                <w:rFonts w:hint="default"/>
                <w:sz w:val="20"/>
                <w:szCs w:val="20"/>
                <w:lang w:val="en-US"/>
              </w:rPr>
            </w:pPr>
            <w:r>
              <w:rPr>
                <w:rFonts w:hint="eastAsia"/>
                <w:sz w:val="20"/>
                <w:szCs w:val="20"/>
                <w:lang w:val="en-US" w:eastAsia="zh-CN"/>
              </w:rPr>
              <w:t>0.0107</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F4C748">
            <w:pPr>
              <w:pStyle w:val="26"/>
              <w:keepNext w:val="0"/>
              <w:keepLines w:val="0"/>
              <w:suppressLineNumbers w:val="0"/>
              <w:bidi w:val="0"/>
              <w:spacing w:before="0" w:beforeAutospacing="0" w:after="0" w:afterAutospacing="0"/>
              <w:ind w:left="0" w:right="0"/>
              <w:rPr>
                <w:rFonts w:hint="default"/>
                <w:sz w:val="20"/>
                <w:szCs w:val="20"/>
                <w:lang w:val="en-US"/>
              </w:rPr>
            </w:pPr>
            <w:r>
              <w:rPr>
                <w:rFonts w:hint="eastAsia"/>
                <w:sz w:val="20"/>
                <w:szCs w:val="20"/>
                <w:lang w:val="en-US" w:eastAsia="zh-CN"/>
              </w:rPr>
              <w:t>-0.0008</w:t>
            </w:r>
          </w:p>
        </w:tc>
      </w:tr>
      <w:tr w14:paraId="5B62B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gridAfter w:val="1"/>
          <w:wAfter w:w="4" w:type="dxa"/>
          <w:trHeight w:val="23" w:hRule="atLeast"/>
        </w:trPr>
        <w:tc>
          <w:tcPr>
            <w:tcW w:w="1247"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3D19783">
            <w:pPr>
              <w:pStyle w:val="26"/>
              <w:keepNext w:val="0"/>
              <w:keepLines w:val="0"/>
              <w:suppressLineNumbers w:val="0"/>
              <w:bidi w:val="0"/>
              <w:spacing w:before="0" w:beforeAutospacing="0" w:after="0" w:afterAutospacing="0"/>
              <w:ind w:left="0" w:right="0"/>
              <w:rPr>
                <w:rFonts w:hint="default"/>
                <w:color w:val="auto"/>
                <w:sz w:val="20"/>
                <w:szCs w:val="20"/>
                <w:highlight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4CEA8">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Y4</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37F5A">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w:t>
            </w:r>
            <w:r>
              <w:rPr>
                <w:rFonts w:hint="eastAsia"/>
                <w:sz w:val="20"/>
                <w:szCs w:val="20"/>
                <w:lang w:val="en-US" w:eastAsia="zh-CN"/>
              </w:rPr>
              <w:t>0106</w:t>
            </w:r>
          </w:p>
        </w:tc>
        <w:tc>
          <w:tcPr>
            <w:tcW w:w="5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C7787">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22.827</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3AE5E">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0.316</w:t>
            </w:r>
          </w:p>
        </w:tc>
        <w:tc>
          <w:tcPr>
            <w:tcW w:w="1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4DEC8">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0.0104</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6F3DEC">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-0.0002</w:t>
            </w:r>
          </w:p>
        </w:tc>
      </w:tr>
      <w:tr w14:paraId="148EF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gridAfter w:val="1"/>
          <w:wAfter w:w="4" w:type="dxa"/>
          <w:trHeight w:val="23" w:hRule="atLeast"/>
        </w:trPr>
        <w:tc>
          <w:tcPr>
            <w:tcW w:w="1247"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A263F9E">
            <w:pPr>
              <w:pStyle w:val="26"/>
              <w:keepNext w:val="0"/>
              <w:keepLines w:val="0"/>
              <w:suppressLineNumbers w:val="0"/>
              <w:bidi w:val="0"/>
              <w:spacing w:before="0" w:beforeAutospacing="0" w:after="0" w:afterAutospacing="0"/>
              <w:ind w:left="0" w:right="0"/>
              <w:rPr>
                <w:rFonts w:hint="default"/>
                <w:color w:val="auto"/>
                <w:sz w:val="20"/>
                <w:szCs w:val="20"/>
                <w:highlight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01DAA0">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Y5</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9E67E">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0.0012</w:t>
            </w:r>
          </w:p>
        </w:tc>
        <w:tc>
          <w:tcPr>
            <w:tcW w:w="5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D1C3D">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804.849</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3377C">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0.316</w:t>
            </w:r>
          </w:p>
        </w:tc>
        <w:tc>
          <w:tcPr>
            <w:tcW w:w="1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FF279">
            <w:pPr>
              <w:pStyle w:val="26"/>
              <w:keepNext w:val="0"/>
              <w:keepLines w:val="0"/>
              <w:suppressLineNumbers w:val="0"/>
              <w:bidi w:val="0"/>
              <w:spacing w:before="0" w:beforeAutospacing="0" w:after="0" w:afterAutospacing="0"/>
              <w:ind w:left="0" w:right="0"/>
              <w:rPr>
                <w:rFonts w:hint="default"/>
                <w:sz w:val="20"/>
                <w:szCs w:val="20"/>
                <w:lang w:val="en-US"/>
              </w:rPr>
            </w:pPr>
            <w:r>
              <w:rPr>
                <w:rFonts w:hint="eastAsia"/>
                <w:sz w:val="20"/>
                <w:szCs w:val="20"/>
                <w:lang w:val="en-US" w:eastAsia="zh-CN"/>
              </w:rPr>
              <w:t>0.0012</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7B147">
            <w:pPr>
              <w:pStyle w:val="26"/>
              <w:keepNext w:val="0"/>
              <w:keepLines w:val="0"/>
              <w:suppressLineNumbers w:val="0"/>
              <w:bidi w:val="0"/>
              <w:spacing w:before="0" w:beforeAutospacing="0" w:after="0" w:afterAutospacing="0"/>
              <w:ind w:left="0" w:right="0"/>
              <w:rPr>
                <w:rFonts w:hint="eastAsia"/>
                <w:sz w:val="20"/>
                <w:szCs w:val="20"/>
              </w:rPr>
            </w:pPr>
            <w:r>
              <w:rPr>
                <w:rFonts w:hint="eastAsia"/>
                <w:sz w:val="20"/>
                <w:szCs w:val="20"/>
                <w:lang w:val="en-US" w:eastAsia="zh-CN"/>
              </w:rPr>
              <w:t>0</w:t>
            </w:r>
          </w:p>
        </w:tc>
      </w:tr>
      <w:tr w14:paraId="31072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gridAfter w:val="1"/>
          <w:wAfter w:w="4" w:type="dxa"/>
          <w:trHeight w:val="280" w:hRule="atLeast"/>
        </w:trPr>
        <w:tc>
          <w:tcPr>
            <w:tcW w:w="1247" w:type="pct"/>
            <w:vMerge w:val="restar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6B68B2A">
            <w:pPr>
              <w:pStyle w:val="26"/>
              <w:keepNext w:val="0"/>
              <w:keepLines w:val="0"/>
              <w:suppressLineNumbers w:val="0"/>
              <w:bidi w:val="0"/>
              <w:spacing w:before="0" w:beforeAutospacing="0" w:after="0" w:afterAutospacing="0"/>
              <w:ind w:left="0" w:right="0"/>
              <w:rPr>
                <w:rFonts w:hint="eastAsia"/>
                <w:color w:val="auto"/>
                <w:sz w:val="20"/>
                <w:szCs w:val="20"/>
                <w:highlight w:val="none"/>
              </w:rPr>
            </w:pPr>
            <w:r>
              <w:rPr>
                <w:rFonts w:hint="eastAsia"/>
                <w:color w:val="auto"/>
                <w:sz w:val="20"/>
                <w:szCs w:val="20"/>
                <w:highlight w:val="none"/>
              </w:rPr>
              <w:t>近十</w:t>
            </w:r>
            <w:r>
              <w:rPr>
                <w:rFonts w:hint="eastAsia"/>
                <w:color w:val="auto"/>
                <w:sz w:val="20"/>
                <w:szCs w:val="20"/>
                <w:highlight w:val="none"/>
                <w:lang w:val="en-US" w:eastAsia="zh-CN"/>
              </w:rPr>
              <w:t>一</w:t>
            </w:r>
            <w:r>
              <w:rPr>
                <w:rFonts w:hint="eastAsia"/>
                <w:color w:val="auto"/>
                <w:sz w:val="20"/>
                <w:szCs w:val="20"/>
                <w:highlight w:val="none"/>
              </w:rPr>
              <w:t>年</w:t>
            </w:r>
            <w:r>
              <w:rPr>
                <w:rFonts w:hint="eastAsia"/>
                <w:color w:val="auto"/>
                <w:sz w:val="20"/>
                <w:szCs w:val="20"/>
                <w:highlight w:val="none"/>
                <w:lang w:val="en-US" w:eastAsia="zh-CN"/>
              </w:rPr>
              <w:t>最枯月正常工况</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A8D8D">
            <w:pPr>
              <w:pStyle w:val="26"/>
              <w:keepNext w:val="0"/>
              <w:keepLines w:val="0"/>
              <w:suppressLineNumbers w:val="0"/>
              <w:bidi w:val="0"/>
              <w:spacing w:before="0" w:beforeAutospacing="0" w:after="0" w:afterAutospacing="0"/>
              <w:ind w:left="0" w:right="0"/>
              <w:rPr>
                <w:rFonts w:hint="default"/>
                <w:sz w:val="20"/>
                <w:szCs w:val="20"/>
              </w:rPr>
            </w:pPr>
            <w:r>
              <w:rPr>
                <w:rFonts w:hint="default"/>
                <w:sz w:val="20"/>
                <w:szCs w:val="20"/>
                <w:lang w:val="en-US" w:eastAsia="zh-CN"/>
              </w:rPr>
              <w:t>Y3</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722917">
            <w:pPr>
              <w:pStyle w:val="26"/>
              <w:keepNext w:val="0"/>
              <w:keepLines w:val="0"/>
              <w:suppressLineNumbers w:val="0"/>
              <w:bidi w:val="0"/>
              <w:spacing w:before="0" w:beforeAutospacing="0" w:after="0" w:afterAutospacing="0"/>
              <w:ind w:left="0" w:right="0"/>
              <w:rPr>
                <w:rFonts w:hint="default"/>
                <w:sz w:val="20"/>
                <w:szCs w:val="20"/>
                <w:lang w:val="en-US"/>
              </w:rPr>
            </w:pPr>
            <w:r>
              <w:rPr>
                <w:rFonts w:hint="default"/>
                <w:sz w:val="20"/>
                <w:szCs w:val="20"/>
                <w:lang w:val="en-US" w:eastAsia="zh-CN"/>
              </w:rPr>
              <w:t>0.</w:t>
            </w:r>
            <w:r>
              <w:rPr>
                <w:rFonts w:hint="eastAsia"/>
                <w:sz w:val="20"/>
                <w:szCs w:val="20"/>
                <w:lang w:val="en-US" w:eastAsia="zh-CN"/>
              </w:rPr>
              <w:t>1503</w:t>
            </w:r>
          </w:p>
        </w:tc>
        <w:tc>
          <w:tcPr>
            <w:tcW w:w="5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86288">
            <w:pPr>
              <w:pStyle w:val="26"/>
              <w:keepNext w:val="0"/>
              <w:keepLines w:val="0"/>
              <w:suppressLineNumbers w:val="0"/>
              <w:bidi w:val="0"/>
              <w:spacing w:before="0" w:beforeAutospacing="0" w:after="0" w:afterAutospacing="0"/>
              <w:ind w:left="0" w:right="0"/>
              <w:rPr>
                <w:rFonts w:hint="default"/>
                <w:sz w:val="20"/>
                <w:szCs w:val="20"/>
                <w:lang w:val="en-US"/>
              </w:rPr>
            </w:pPr>
            <w:r>
              <w:rPr>
                <w:rFonts w:hint="eastAsia"/>
                <w:sz w:val="20"/>
                <w:szCs w:val="20"/>
                <w:lang w:val="en-US" w:eastAsia="zh-CN"/>
              </w:rPr>
              <w:t>0.271</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11F6C">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0.129</w:t>
            </w:r>
          </w:p>
        </w:tc>
        <w:tc>
          <w:tcPr>
            <w:tcW w:w="1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ED70F">
            <w:pPr>
              <w:pStyle w:val="26"/>
              <w:keepNext w:val="0"/>
              <w:keepLines w:val="0"/>
              <w:suppressLineNumbers w:val="0"/>
              <w:bidi w:val="0"/>
              <w:spacing w:before="0" w:beforeAutospacing="0" w:after="0" w:afterAutospacing="0"/>
              <w:ind w:left="0" w:right="0"/>
              <w:rPr>
                <w:rFonts w:hint="default"/>
                <w:sz w:val="20"/>
                <w:szCs w:val="20"/>
                <w:lang w:val="en-US"/>
              </w:rPr>
            </w:pPr>
            <w:r>
              <w:rPr>
                <w:rFonts w:hint="eastAsia"/>
                <w:sz w:val="20"/>
                <w:szCs w:val="20"/>
                <w:lang w:val="en-US" w:eastAsia="zh-CN"/>
              </w:rPr>
              <w:t>0.145</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35E18">
            <w:pPr>
              <w:pStyle w:val="26"/>
              <w:keepNext w:val="0"/>
              <w:keepLines w:val="0"/>
              <w:suppressLineNumbers w:val="0"/>
              <w:bidi w:val="0"/>
              <w:spacing w:before="0" w:beforeAutospacing="0" w:after="0" w:afterAutospacing="0"/>
              <w:ind w:left="0" w:right="0"/>
              <w:rPr>
                <w:rFonts w:hint="default"/>
                <w:sz w:val="20"/>
                <w:szCs w:val="20"/>
                <w:lang w:val="en-US"/>
              </w:rPr>
            </w:pPr>
            <w:r>
              <w:rPr>
                <w:rFonts w:hint="eastAsia"/>
                <w:sz w:val="20"/>
                <w:szCs w:val="20"/>
                <w:lang w:val="en-US" w:eastAsia="zh-CN"/>
              </w:rPr>
              <w:t>-0.0053</w:t>
            </w:r>
          </w:p>
        </w:tc>
      </w:tr>
      <w:tr w14:paraId="1DC80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gridAfter w:val="1"/>
          <w:wAfter w:w="4" w:type="dxa"/>
          <w:trHeight w:val="23" w:hRule="atLeast"/>
        </w:trPr>
        <w:tc>
          <w:tcPr>
            <w:tcW w:w="1247"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E07E710">
            <w:pPr>
              <w:pStyle w:val="26"/>
              <w:keepNext w:val="0"/>
              <w:keepLines w:val="0"/>
              <w:suppressLineNumbers w:val="0"/>
              <w:bidi w:val="0"/>
              <w:spacing w:before="0" w:beforeAutospacing="0" w:after="0" w:afterAutospacing="0"/>
              <w:ind w:left="0" w:right="0"/>
              <w:rPr>
                <w:rFonts w:hint="default"/>
                <w:color w:val="auto"/>
                <w:sz w:val="20"/>
                <w:szCs w:val="20"/>
                <w:highlight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F3837">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Y4</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6524E">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w:t>
            </w:r>
            <w:r>
              <w:rPr>
                <w:rFonts w:hint="eastAsia"/>
                <w:sz w:val="20"/>
                <w:szCs w:val="20"/>
                <w:lang w:val="en-US" w:eastAsia="zh-CN"/>
              </w:rPr>
              <w:t>0288</w:t>
            </w:r>
          </w:p>
        </w:tc>
        <w:tc>
          <w:tcPr>
            <w:tcW w:w="5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2CC4B">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1.387</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E5CEE">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0.129</w:t>
            </w:r>
          </w:p>
        </w:tc>
        <w:tc>
          <w:tcPr>
            <w:tcW w:w="1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D133E">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0.0277</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E6337">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-0.0011</w:t>
            </w:r>
          </w:p>
        </w:tc>
      </w:tr>
      <w:tr w14:paraId="6E78F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gridAfter w:val="1"/>
          <w:wAfter w:w="4" w:type="dxa"/>
          <w:trHeight w:val="23" w:hRule="atLeast"/>
        </w:trPr>
        <w:tc>
          <w:tcPr>
            <w:tcW w:w="1247"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1F36F34">
            <w:pPr>
              <w:pStyle w:val="26"/>
              <w:keepNext w:val="0"/>
              <w:keepLines w:val="0"/>
              <w:suppressLineNumbers w:val="0"/>
              <w:bidi w:val="0"/>
              <w:spacing w:before="0" w:beforeAutospacing="0" w:after="0" w:afterAutospacing="0"/>
              <w:ind w:left="0" w:right="0"/>
              <w:rPr>
                <w:rFonts w:hint="default"/>
                <w:color w:val="auto"/>
                <w:sz w:val="20"/>
                <w:szCs w:val="20"/>
                <w:highlight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A310E1">
            <w:pPr>
              <w:pStyle w:val="26"/>
              <w:keepNext w:val="0"/>
              <w:keepLines w:val="0"/>
              <w:suppressLineNumbers w:val="0"/>
              <w:bidi w:val="0"/>
              <w:spacing w:before="0" w:beforeAutospacing="0" w:after="0" w:afterAutospacing="0"/>
              <w:ind w:left="0" w:right="0"/>
              <w:rPr>
                <w:rFonts w:hint="default"/>
                <w:sz w:val="20"/>
                <w:szCs w:val="20"/>
              </w:rPr>
            </w:pPr>
            <w:r>
              <w:rPr>
                <w:rFonts w:hint="eastAsia"/>
                <w:sz w:val="20"/>
                <w:szCs w:val="20"/>
                <w:lang w:val="en-US" w:eastAsia="zh-CN"/>
              </w:rPr>
              <w:t>Y5</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7ACFEE">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0.0035</w:t>
            </w:r>
          </w:p>
        </w:tc>
        <w:tc>
          <w:tcPr>
            <w:tcW w:w="5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37DF9">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8.358</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FEF8A6">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0.129</w:t>
            </w:r>
          </w:p>
        </w:tc>
        <w:tc>
          <w:tcPr>
            <w:tcW w:w="1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34201">
            <w:pPr>
              <w:pStyle w:val="26"/>
              <w:keepNext w:val="0"/>
              <w:keepLines w:val="0"/>
              <w:suppressLineNumbers w:val="0"/>
              <w:bidi w:val="0"/>
              <w:spacing w:before="0" w:beforeAutospacing="0" w:after="0" w:afterAutospacing="0"/>
              <w:ind w:left="0" w:right="0"/>
              <w:rPr>
                <w:rFonts w:hint="default"/>
                <w:sz w:val="20"/>
                <w:szCs w:val="20"/>
                <w:lang w:val="en-US"/>
              </w:rPr>
            </w:pPr>
            <w:r>
              <w:rPr>
                <w:rFonts w:hint="eastAsia"/>
                <w:sz w:val="20"/>
                <w:szCs w:val="20"/>
                <w:lang w:val="en-US" w:eastAsia="zh-CN"/>
              </w:rPr>
              <w:t>0.0033</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A61D3">
            <w:pPr>
              <w:pStyle w:val="26"/>
              <w:keepNext w:val="0"/>
              <w:keepLines w:val="0"/>
              <w:suppressLineNumbers w:val="0"/>
              <w:bidi w:val="0"/>
              <w:spacing w:before="0" w:beforeAutospacing="0" w:after="0" w:afterAutospacing="0"/>
              <w:ind w:left="0" w:right="0"/>
              <w:rPr>
                <w:rFonts w:hint="default"/>
                <w:sz w:val="20"/>
                <w:szCs w:val="20"/>
                <w:lang w:val="en-US"/>
              </w:rPr>
            </w:pPr>
            <w:r>
              <w:rPr>
                <w:rFonts w:hint="eastAsia"/>
                <w:sz w:val="20"/>
                <w:szCs w:val="20"/>
                <w:lang w:val="en-US" w:eastAsia="zh-CN"/>
              </w:rPr>
              <w:t>-0.0002</w:t>
            </w:r>
          </w:p>
        </w:tc>
      </w:tr>
      <w:tr w14:paraId="5F63E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gridAfter w:val="1"/>
          <w:wAfter w:w="4" w:type="dxa"/>
          <w:trHeight w:val="23" w:hRule="atLeast"/>
        </w:trPr>
        <w:tc>
          <w:tcPr>
            <w:tcW w:w="1247" w:type="pct"/>
            <w:vMerge w:val="restart"/>
            <w:tcBorders>
              <w:top w:val="single" w:color="000000" w:sz="4" w:space="0"/>
              <w:left w:val="single" w:color="000000" w:sz="12" w:space="0"/>
              <w:right w:val="single" w:color="000000" w:sz="4" w:space="0"/>
            </w:tcBorders>
            <w:shd w:val="clear" w:color="auto" w:fill="FFFFFF"/>
            <w:noWrap/>
            <w:vAlign w:val="center"/>
          </w:tcPr>
          <w:p w14:paraId="25C0DAC4">
            <w:pPr>
              <w:pStyle w:val="26"/>
              <w:keepNext w:val="0"/>
              <w:keepLines w:val="0"/>
              <w:suppressLineNumbers w:val="0"/>
              <w:bidi w:val="0"/>
              <w:spacing w:before="0" w:beforeAutospacing="0" w:after="0" w:afterAutospacing="0"/>
              <w:ind w:left="0" w:right="0"/>
              <w:rPr>
                <w:rFonts w:hint="default"/>
                <w:color w:val="auto"/>
                <w:sz w:val="20"/>
                <w:szCs w:val="20"/>
                <w:highlight w:val="none"/>
              </w:rPr>
            </w:pPr>
            <w:r>
              <w:rPr>
                <w:rFonts w:hint="eastAsia"/>
                <w:color w:val="auto"/>
                <w:sz w:val="20"/>
                <w:szCs w:val="20"/>
                <w:highlight w:val="none"/>
              </w:rPr>
              <w:t>近十</w:t>
            </w:r>
            <w:r>
              <w:rPr>
                <w:rFonts w:hint="eastAsia"/>
                <w:color w:val="auto"/>
                <w:sz w:val="20"/>
                <w:szCs w:val="20"/>
                <w:highlight w:val="none"/>
                <w:lang w:val="en-US" w:eastAsia="zh-CN"/>
              </w:rPr>
              <w:t>一</w:t>
            </w:r>
            <w:r>
              <w:rPr>
                <w:rFonts w:hint="eastAsia"/>
                <w:color w:val="auto"/>
                <w:sz w:val="20"/>
                <w:szCs w:val="20"/>
                <w:highlight w:val="none"/>
              </w:rPr>
              <w:t>年</w:t>
            </w:r>
            <w:r>
              <w:rPr>
                <w:rFonts w:hint="eastAsia"/>
                <w:color w:val="auto"/>
                <w:sz w:val="20"/>
                <w:szCs w:val="20"/>
                <w:highlight w:val="none"/>
                <w:lang w:val="en-US" w:eastAsia="zh-CN"/>
              </w:rPr>
              <w:t>最枯月</w:t>
            </w:r>
            <w:r>
              <w:rPr>
                <w:rFonts w:hint="eastAsia"/>
                <w:color w:val="auto"/>
                <w:sz w:val="20"/>
                <w:szCs w:val="20"/>
                <w:highlight w:val="none"/>
              </w:rPr>
              <w:t>非正常工况</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C20CB">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Y3</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F9FCC">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w:t>
            </w:r>
            <w:r>
              <w:rPr>
                <w:rFonts w:hint="eastAsia"/>
                <w:sz w:val="20"/>
                <w:szCs w:val="20"/>
                <w:lang w:val="en-US" w:eastAsia="zh-CN"/>
              </w:rPr>
              <w:t>1503</w:t>
            </w:r>
          </w:p>
        </w:tc>
        <w:tc>
          <w:tcPr>
            <w:tcW w:w="5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191F1">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0.271</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4A6D13">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-0.835</w:t>
            </w:r>
          </w:p>
        </w:tc>
        <w:tc>
          <w:tcPr>
            <w:tcW w:w="1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85F63">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0.186</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4F8CD">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0.0357</w:t>
            </w:r>
          </w:p>
        </w:tc>
      </w:tr>
      <w:tr w14:paraId="29C70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gridAfter w:val="1"/>
          <w:wAfter w:w="4" w:type="dxa"/>
          <w:trHeight w:val="23" w:hRule="atLeast"/>
        </w:trPr>
        <w:tc>
          <w:tcPr>
            <w:tcW w:w="1247" w:type="pct"/>
            <w:vMerge w:val="continue"/>
            <w:tcBorders>
              <w:left w:val="single" w:color="000000" w:sz="12" w:space="0"/>
              <w:bottom w:val="single" w:color="000000" w:sz="4" w:space="0"/>
              <w:right w:val="single" w:color="000000" w:sz="4" w:space="0"/>
            </w:tcBorders>
            <w:shd w:val="clear" w:color="auto" w:fill="FFFFFF"/>
            <w:noWrap/>
            <w:vAlign w:val="center"/>
          </w:tcPr>
          <w:p w14:paraId="0B4A95FE">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579F4">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Y4</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2CA48">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w:t>
            </w:r>
            <w:r>
              <w:rPr>
                <w:rFonts w:hint="eastAsia"/>
                <w:sz w:val="20"/>
                <w:szCs w:val="20"/>
                <w:lang w:val="en-US" w:eastAsia="zh-CN"/>
              </w:rPr>
              <w:t>0288</w:t>
            </w:r>
          </w:p>
        </w:tc>
        <w:tc>
          <w:tcPr>
            <w:tcW w:w="5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AF2C7">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1.387</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16C55">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-0.835</w:t>
            </w:r>
          </w:p>
        </w:tc>
        <w:tc>
          <w:tcPr>
            <w:tcW w:w="1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B432F">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0.0358</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9842F5">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0.007</w:t>
            </w:r>
          </w:p>
        </w:tc>
      </w:tr>
      <w:tr w14:paraId="244FE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6" w:type="dxa"/>
            <w:bottom w:w="0" w:type="dxa"/>
            <w:right w:w="6" w:type="dxa"/>
          </w:tblCellMar>
        </w:tblPrEx>
        <w:trPr>
          <w:gridAfter w:val="1"/>
          <w:wAfter w:w="4" w:type="dxa"/>
          <w:trHeight w:val="23" w:hRule="atLeast"/>
        </w:trPr>
        <w:tc>
          <w:tcPr>
            <w:tcW w:w="1247" w:type="pct"/>
            <w:vMerge w:val="continue"/>
            <w:tcBorders>
              <w:left w:val="single" w:color="000000" w:sz="12" w:space="0"/>
              <w:bottom w:val="single" w:color="000000" w:sz="4" w:space="0"/>
              <w:right w:val="single" w:color="000000" w:sz="4" w:space="0"/>
            </w:tcBorders>
            <w:shd w:val="clear" w:color="auto" w:fill="FFFFFF"/>
            <w:noWrap/>
            <w:vAlign w:val="center"/>
          </w:tcPr>
          <w:p w14:paraId="0D6F548A">
            <w:pPr>
              <w:pStyle w:val="26"/>
              <w:keepNext w:val="0"/>
              <w:keepLines w:val="0"/>
              <w:suppressLineNumbers w:val="0"/>
              <w:bidi w:val="0"/>
              <w:spacing w:before="0" w:beforeAutospacing="0" w:after="0" w:afterAutospacing="0"/>
              <w:ind w:left="0" w:right="0"/>
              <w:rPr>
                <w:rFonts w:hint="default"/>
                <w:b w:val="0"/>
                <w:color w:val="auto"/>
                <w:sz w:val="20"/>
                <w:szCs w:val="20"/>
                <w:highlight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190F4">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Y5</w:t>
            </w:r>
          </w:p>
        </w:tc>
        <w:tc>
          <w:tcPr>
            <w:tcW w:w="19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37BA5">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0.0035</w:t>
            </w:r>
          </w:p>
        </w:tc>
        <w:tc>
          <w:tcPr>
            <w:tcW w:w="1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4E204">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8.358</w:t>
            </w: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E8FF2D">
            <w:pPr>
              <w:pStyle w:val="26"/>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-0.835</w:t>
            </w:r>
          </w:p>
        </w:tc>
        <w:tc>
          <w:tcPr>
            <w:tcW w:w="1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FA35E">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0.0047</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A2E90">
            <w:pPr>
              <w:pStyle w:val="26"/>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0.0012</w:t>
            </w:r>
          </w:p>
        </w:tc>
      </w:tr>
    </w:tbl>
    <w:p w14:paraId="5AB0D5E4">
      <w:pPr>
        <w:pStyle w:val="3"/>
        <w:bidi w:val="0"/>
        <w:rPr>
          <w:rFonts w:hint="eastAsia"/>
          <w:lang w:val="en-US"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cols w:space="0" w:num="1"/>
          <w:rtlGutter w:val="0"/>
          <w:docGrid w:type="lines" w:linePitch="322" w:charSpace="0"/>
        </w:sectPr>
      </w:pPr>
    </w:p>
    <w:p w14:paraId="0345E576">
      <w:pPr>
        <w:pStyle w:val="36"/>
        <w:bidi w:val="0"/>
        <w:rPr>
          <w:rFonts w:hint="eastAsia" w:ascii="Times New Roman" w:hAnsi="Times New Roman" w:cs="Times New Roman"/>
          <w:color w:val="auto"/>
          <w:highlight w:val="none"/>
          <w:lang w:val="en-US" w:eastAsia="zh-CN"/>
        </w:rPr>
      </w:pPr>
      <w:bookmarkStart w:id="66" w:name="_Toc15912"/>
      <w:r>
        <w:rPr>
          <w:rFonts w:hint="eastAsia" w:ascii="Times New Roman" w:hAnsi="Times New Roman" w:cs="Times New Roman"/>
          <w:color w:val="auto"/>
          <w:highlight w:val="none"/>
          <w:lang w:val="en-US" w:eastAsia="zh-CN"/>
        </w:rPr>
        <w:t>水域污染物排放总量控制要求</w:t>
      </w:r>
      <w:bookmarkEnd w:id="66"/>
    </w:p>
    <w:p w14:paraId="75EA19E0">
      <w:pPr>
        <w:pStyle w:val="2"/>
        <w:rPr>
          <w:rFonts w:hint="eastAsia"/>
          <w:color w:val="auto"/>
          <w:highlight w:val="none"/>
          <w:lang w:val="en-US" w:eastAsia="zh-CN"/>
        </w:rPr>
      </w:pPr>
      <w:r>
        <w:rPr>
          <w:rFonts w:hint="eastAsia"/>
          <w:color w:val="auto"/>
          <w:highlight w:val="none"/>
          <w:lang w:val="en-US" w:eastAsia="zh-CN"/>
        </w:rPr>
        <w:t>调整后，由于废水处理站处理水量增加（其中企业产生的生产废水水量减少，处理区域山体渗水水量增加，综合处理水量增加），COD、氨氮、总磷的排放量有所增加，但未超出企业现有排污权的量。因此，企业无需购买COD、氨氮总量。从下表可知，渣滓溪矿业仅总磷尚未申请总量，其他总量控制因子实际排放量均低于企业排污权所有量。渣滓溪矿业应尽快按照地方管理要求，购买总磷指标。</w:t>
      </w:r>
    </w:p>
    <w:p w14:paraId="13DD87AF">
      <w:pPr>
        <w:widowControl w:val="0"/>
        <w:tabs>
          <w:tab w:val="left" w:pos="1021"/>
        </w:tabs>
        <w:bidi w:val="0"/>
        <w:spacing w:line="300" w:lineRule="auto"/>
        <w:jc w:val="center"/>
        <w:outlineLvl w:val="4"/>
        <w:rPr>
          <w:rFonts w:hint="eastAsia"/>
          <w:color w:val="auto"/>
          <w:highlight w:val="none"/>
          <w:lang w:val="en-US" w:eastAsia="zh-CN"/>
        </w:rPr>
      </w:pPr>
      <w:r>
        <w:rPr>
          <w:rFonts w:hint="default" w:ascii="Times New Roman" w:hAnsi="Times New Roman" w:eastAsia="黑体" w:cs="Times New Roman"/>
          <w:color w:val="auto"/>
          <w:kern w:val="2"/>
          <w:sz w:val="24"/>
          <w:szCs w:val="20"/>
          <w:highlight w:val="none"/>
          <w:lang w:val="en-US" w:eastAsia="zh-CN" w:bidi="ar-SA"/>
        </w:rPr>
        <w:t>表</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STYLEREF guo-二级标题 \n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7.2</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w:t>
      </w:r>
      <w:r>
        <w:rPr>
          <w:rFonts w:hint="default" w:ascii="Times New Roman" w:hAnsi="Times New Roman" w:eastAsia="黑体" w:cs="Times New Roman"/>
          <w:color w:val="auto"/>
          <w:kern w:val="2"/>
          <w:sz w:val="24"/>
          <w:szCs w:val="20"/>
          <w:highlight w:val="none"/>
          <w:lang w:val="en-US" w:eastAsia="zh-CN" w:bidi="ar-SA"/>
        </w:rPr>
        <w:fldChar w:fldCharType="begin"/>
      </w:r>
      <w:r>
        <w:rPr>
          <w:rFonts w:hint="default" w:ascii="Times New Roman" w:hAnsi="Times New Roman" w:eastAsia="黑体" w:cs="Times New Roman"/>
          <w:color w:val="auto"/>
          <w:kern w:val="2"/>
          <w:sz w:val="24"/>
          <w:szCs w:val="20"/>
          <w:highlight w:val="none"/>
          <w:lang w:val="en-US" w:eastAsia="zh-CN" w:bidi="ar-SA"/>
        </w:rPr>
        <w:instrText xml:space="preserve"> SEQ 表 \* ARABIC \s 2 </w:instrText>
      </w:r>
      <w:r>
        <w:rPr>
          <w:rFonts w:hint="default" w:ascii="Times New Roman" w:hAnsi="Times New Roman" w:eastAsia="黑体" w:cs="Times New Roman"/>
          <w:color w:val="auto"/>
          <w:kern w:val="2"/>
          <w:sz w:val="24"/>
          <w:szCs w:val="20"/>
          <w:highlight w:val="none"/>
          <w:lang w:val="en-US" w:eastAsia="zh-CN" w:bidi="ar-SA"/>
        </w:rPr>
        <w:fldChar w:fldCharType="separate"/>
      </w:r>
      <w:r>
        <w:rPr>
          <w:rFonts w:hint="default" w:ascii="Times New Roman" w:hAnsi="Times New Roman" w:eastAsia="黑体" w:cs="Times New Roman"/>
          <w:color w:val="auto"/>
          <w:kern w:val="2"/>
          <w:sz w:val="24"/>
          <w:szCs w:val="20"/>
          <w:highlight w:val="none"/>
          <w:lang w:val="en-US" w:eastAsia="zh-CN" w:bidi="ar-SA"/>
        </w:rPr>
        <w:t>1</w:t>
      </w:r>
      <w:r>
        <w:rPr>
          <w:rFonts w:hint="default" w:ascii="Times New Roman" w:hAnsi="Times New Roman" w:eastAsia="黑体" w:cs="Times New Roman"/>
          <w:color w:val="auto"/>
          <w:kern w:val="2"/>
          <w:sz w:val="24"/>
          <w:szCs w:val="20"/>
          <w:highlight w:val="none"/>
          <w:lang w:val="en-US" w:eastAsia="zh-CN" w:bidi="ar-SA"/>
        </w:rPr>
        <w:fldChar w:fldCharType="end"/>
      </w:r>
      <w:r>
        <w:rPr>
          <w:rFonts w:hint="default" w:ascii="Times New Roman" w:hAnsi="Times New Roman" w:eastAsia="黑体" w:cs="Times New Roman"/>
          <w:color w:val="auto"/>
          <w:kern w:val="2"/>
          <w:sz w:val="24"/>
          <w:szCs w:val="20"/>
          <w:highlight w:val="none"/>
          <w:lang w:val="en-US" w:eastAsia="zh-CN" w:bidi="ar-SA"/>
        </w:rPr>
        <w:t xml:space="preserve">  </w:t>
      </w:r>
      <w:r>
        <w:rPr>
          <w:rFonts w:hint="eastAsia" w:eastAsia="黑体" w:cs="Times New Roman"/>
          <w:color w:val="auto"/>
          <w:kern w:val="2"/>
          <w:sz w:val="24"/>
          <w:szCs w:val="20"/>
          <w:highlight w:val="none"/>
          <w:lang w:val="en-US" w:eastAsia="zh-CN" w:bidi="ar-SA"/>
        </w:rPr>
        <w:t>调整</w:t>
      </w:r>
      <w:r>
        <w:rPr>
          <w:rFonts w:hint="eastAsia" w:ascii="Times New Roman" w:hAnsi="Times New Roman" w:eastAsia="黑体" w:cs="Times New Roman"/>
          <w:color w:val="auto"/>
          <w:kern w:val="2"/>
          <w:sz w:val="24"/>
          <w:szCs w:val="20"/>
          <w:highlight w:val="none"/>
          <w:lang w:val="en-US" w:eastAsia="zh-CN" w:bidi="ar-SA"/>
        </w:rPr>
        <w:t>后</w:t>
      </w:r>
      <w:r>
        <w:rPr>
          <w:rFonts w:hint="eastAsia" w:eastAsia="黑体" w:cs="Times New Roman"/>
          <w:color w:val="auto"/>
          <w:kern w:val="2"/>
          <w:sz w:val="24"/>
          <w:szCs w:val="20"/>
          <w:highlight w:val="none"/>
          <w:lang w:val="en-US" w:eastAsia="zh-CN" w:bidi="ar-SA"/>
        </w:rPr>
        <w:t>企业</w:t>
      </w:r>
      <w:r>
        <w:rPr>
          <w:rFonts w:hint="default" w:ascii="Times New Roman" w:hAnsi="Times New Roman" w:eastAsia="黑体" w:cs="Times New Roman"/>
          <w:color w:val="auto"/>
          <w:kern w:val="2"/>
          <w:sz w:val="24"/>
          <w:szCs w:val="20"/>
          <w:highlight w:val="none"/>
          <w:lang w:val="en-US" w:eastAsia="zh-CN" w:bidi="ar-SA"/>
        </w:rPr>
        <w:t>污染物</w:t>
      </w:r>
      <w:r>
        <w:rPr>
          <w:rFonts w:hint="eastAsia" w:ascii="Times New Roman" w:hAnsi="Times New Roman" w:eastAsia="黑体" w:cs="Times New Roman"/>
          <w:color w:val="auto"/>
          <w:kern w:val="2"/>
          <w:sz w:val="24"/>
          <w:szCs w:val="20"/>
          <w:highlight w:val="none"/>
          <w:lang w:val="en-US" w:eastAsia="zh-CN" w:bidi="ar-SA"/>
        </w:rPr>
        <w:t>总量情况</w:t>
      </w:r>
      <w:r>
        <w:rPr>
          <w:rFonts w:hint="default" w:ascii="Times New Roman" w:hAnsi="Times New Roman" w:eastAsia="黑体" w:cs="Times New Roman"/>
          <w:color w:val="auto"/>
          <w:kern w:val="2"/>
          <w:sz w:val="24"/>
          <w:szCs w:val="20"/>
          <w:highlight w:val="none"/>
          <w:lang w:val="en-US" w:eastAsia="zh-CN" w:bidi="ar-SA"/>
        </w:rPr>
        <w:t>一览表</w:t>
      </w:r>
    </w:p>
    <w:tbl>
      <w:tblPr>
        <w:tblStyle w:val="21"/>
        <w:tblW w:w="501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1" w:type="dxa"/>
          <w:bottom w:w="0" w:type="dxa"/>
          <w:right w:w="11" w:type="dxa"/>
        </w:tblCellMar>
      </w:tblPr>
      <w:tblGrid>
        <w:gridCol w:w="613"/>
        <w:gridCol w:w="1966"/>
        <w:gridCol w:w="1344"/>
        <w:gridCol w:w="1184"/>
        <w:gridCol w:w="990"/>
        <w:gridCol w:w="1485"/>
        <w:gridCol w:w="1492"/>
      </w:tblGrid>
      <w:tr w14:paraId="11059F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5E7B779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因子</w:t>
            </w:r>
          </w:p>
        </w:tc>
        <w:tc>
          <w:tcPr>
            <w:tcW w:w="1083" w:type="pct"/>
            <w:tcBorders>
              <w:tl2br w:val="nil"/>
              <w:tr2bl w:val="nil"/>
            </w:tcBorders>
            <w:shd w:val="clear" w:color="auto" w:fill="auto"/>
            <w:noWrap/>
            <w:vAlign w:val="center"/>
          </w:tcPr>
          <w:p w14:paraId="448C3D0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现状排放总量</w:t>
            </w:r>
          </w:p>
        </w:tc>
        <w:tc>
          <w:tcPr>
            <w:tcW w:w="740" w:type="pct"/>
            <w:tcBorders>
              <w:tl2br w:val="nil"/>
              <w:tr2bl w:val="nil"/>
            </w:tcBorders>
            <w:shd w:val="clear" w:color="auto" w:fill="auto"/>
            <w:noWrap/>
            <w:vAlign w:val="center"/>
          </w:tcPr>
          <w:p w14:paraId="33DF0B6E">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预测排放总量</w:t>
            </w:r>
          </w:p>
        </w:tc>
        <w:tc>
          <w:tcPr>
            <w:tcW w:w="652" w:type="pct"/>
            <w:tcBorders>
              <w:tl2br w:val="nil"/>
              <w:tr2bl w:val="nil"/>
            </w:tcBorders>
            <w:shd w:val="clear" w:color="auto" w:fill="auto"/>
            <w:noWrap/>
            <w:vAlign w:val="center"/>
          </w:tcPr>
          <w:p w14:paraId="7138328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变化情况</w:t>
            </w:r>
          </w:p>
        </w:tc>
        <w:tc>
          <w:tcPr>
            <w:tcW w:w="1363" w:type="pct"/>
            <w:gridSpan w:val="2"/>
            <w:tcBorders>
              <w:tl2br w:val="nil"/>
              <w:tr2bl w:val="nil"/>
            </w:tcBorders>
            <w:shd w:val="clear" w:color="auto" w:fill="auto"/>
            <w:noWrap/>
            <w:vAlign w:val="center"/>
          </w:tcPr>
          <w:p w14:paraId="13E8B4C9">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排放</w:t>
            </w:r>
            <w:r>
              <w:rPr>
                <w:rFonts w:hint="eastAsia" w:cs="Times New Roman"/>
                <w:color w:val="auto"/>
                <w:kern w:val="2"/>
                <w:sz w:val="22"/>
                <w:szCs w:val="22"/>
                <w:highlight w:val="none"/>
                <w:lang w:val="en-US" w:eastAsia="zh-CN" w:bidi="ar-SA"/>
              </w:rPr>
              <w:t>权</w:t>
            </w:r>
            <w:r>
              <w:rPr>
                <w:rFonts w:hint="eastAsia" w:ascii="Times New Roman" w:hAnsi="Times New Roman" w:eastAsia="宋体" w:cs="Times New Roman"/>
                <w:color w:val="auto"/>
                <w:kern w:val="2"/>
                <w:sz w:val="22"/>
                <w:szCs w:val="22"/>
                <w:highlight w:val="none"/>
                <w:lang w:val="en-US" w:eastAsia="zh-CN" w:bidi="ar-SA"/>
              </w:rPr>
              <w:t>量</w:t>
            </w:r>
          </w:p>
        </w:tc>
        <w:tc>
          <w:tcPr>
            <w:tcW w:w="822" w:type="pct"/>
            <w:tcBorders>
              <w:tl2br w:val="nil"/>
              <w:tr2bl w:val="nil"/>
            </w:tcBorders>
            <w:shd w:val="clear" w:color="auto" w:fill="auto"/>
            <w:noWrap/>
            <w:vAlign w:val="center"/>
          </w:tcPr>
          <w:p w14:paraId="4F61530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富余</w:t>
            </w:r>
          </w:p>
        </w:tc>
      </w:tr>
      <w:tr w14:paraId="4DFFC6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1F2B0D6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SO</w:t>
            </w:r>
            <w:r>
              <w:rPr>
                <w:rFonts w:hint="eastAsia" w:cs="Times New Roman"/>
                <w:color w:val="auto"/>
                <w:kern w:val="2"/>
                <w:sz w:val="22"/>
                <w:szCs w:val="22"/>
                <w:highlight w:val="none"/>
                <w:vertAlign w:val="subscript"/>
                <w:lang w:val="en-US" w:eastAsia="zh-CN" w:bidi="ar-SA"/>
              </w:rPr>
              <w:t>2</w:t>
            </w:r>
          </w:p>
        </w:tc>
        <w:tc>
          <w:tcPr>
            <w:tcW w:w="1083" w:type="pct"/>
            <w:tcBorders>
              <w:tl2br w:val="nil"/>
              <w:tr2bl w:val="nil"/>
            </w:tcBorders>
            <w:shd w:val="clear" w:color="auto" w:fill="auto"/>
            <w:noWrap/>
            <w:vAlign w:val="center"/>
          </w:tcPr>
          <w:p w14:paraId="5D780782">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4.082</w:t>
            </w:r>
            <w:r>
              <w:rPr>
                <w:rFonts w:hint="eastAsia" w:ascii="Times New Roman" w:hAnsi="Times New Roman" w:eastAsia="宋体" w:cs="Times New Roman"/>
                <w:color w:val="auto"/>
                <w:kern w:val="2"/>
                <w:sz w:val="22"/>
                <w:szCs w:val="22"/>
                <w:highlight w:val="none"/>
                <w:lang w:val="en-US" w:eastAsia="zh-CN" w:bidi="ar-SA"/>
              </w:rPr>
              <w:t>t/a</w:t>
            </w:r>
          </w:p>
        </w:tc>
        <w:tc>
          <w:tcPr>
            <w:tcW w:w="740" w:type="pct"/>
            <w:tcBorders>
              <w:tl2br w:val="nil"/>
              <w:tr2bl w:val="nil"/>
            </w:tcBorders>
            <w:shd w:val="clear" w:color="auto" w:fill="auto"/>
            <w:noWrap/>
            <w:vAlign w:val="center"/>
          </w:tcPr>
          <w:p w14:paraId="13EF221C">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4.082</w:t>
            </w:r>
            <w:r>
              <w:rPr>
                <w:rFonts w:hint="eastAsia" w:ascii="Times New Roman" w:hAnsi="Times New Roman" w:eastAsia="宋体" w:cs="Times New Roman"/>
                <w:color w:val="auto"/>
                <w:kern w:val="2"/>
                <w:sz w:val="22"/>
                <w:szCs w:val="22"/>
                <w:highlight w:val="none"/>
                <w:lang w:val="en-US" w:eastAsia="zh-CN" w:bidi="ar-SA"/>
              </w:rPr>
              <w:t>t/a</w:t>
            </w:r>
          </w:p>
        </w:tc>
        <w:tc>
          <w:tcPr>
            <w:tcW w:w="652" w:type="pct"/>
            <w:tcBorders>
              <w:tl2br w:val="nil"/>
              <w:tr2bl w:val="nil"/>
            </w:tcBorders>
            <w:shd w:val="clear" w:color="auto" w:fill="auto"/>
            <w:noWrap/>
            <w:vAlign w:val="center"/>
          </w:tcPr>
          <w:p w14:paraId="03AD07CF">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0</w:t>
            </w:r>
          </w:p>
        </w:tc>
        <w:tc>
          <w:tcPr>
            <w:tcW w:w="1363" w:type="pct"/>
            <w:gridSpan w:val="2"/>
            <w:tcBorders>
              <w:tl2br w:val="nil"/>
              <w:tr2bl w:val="nil"/>
            </w:tcBorders>
            <w:shd w:val="clear" w:color="auto" w:fill="auto"/>
            <w:noWrap/>
            <w:vAlign w:val="center"/>
          </w:tcPr>
          <w:p w14:paraId="761C57A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500</w:t>
            </w:r>
            <w:r>
              <w:rPr>
                <w:rFonts w:hint="eastAsia" w:ascii="Times New Roman" w:hAnsi="Times New Roman" w:eastAsia="宋体" w:cs="Times New Roman"/>
                <w:color w:val="auto"/>
                <w:kern w:val="2"/>
                <w:sz w:val="22"/>
                <w:szCs w:val="22"/>
                <w:highlight w:val="none"/>
                <w:lang w:val="en-US" w:eastAsia="zh-CN" w:bidi="ar-SA"/>
              </w:rPr>
              <w:t>t/a</w:t>
            </w:r>
          </w:p>
        </w:tc>
        <w:tc>
          <w:tcPr>
            <w:tcW w:w="822" w:type="pct"/>
            <w:tcBorders>
              <w:tl2br w:val="nil"/>
              <w:tr2bl w:val="nil"/>
            </w:tcBorders>
            <w:shd w:val="clear" w:color="auto" w:fill="auto"/>
            <w:noWrap/>
            <w:vAlign w:val="center"/>
          </w:tcPr>
          <w:p w14:paraId="5B9340A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olor w:val="auto"/>
                <w:sz w:val="22"/>
                <w:szCs w:val="22"/>
                <w:highlight w:val="none"/>
              </w:rPr>
              <w:t>495.918</w:t>
            </w:r>
            <w:r>
              <w:rPr>
                <w:rFonts w:hint="eastAsia" w:ascii="Times New Roman" w:hAnsi="Times New Roman" w:eastAsia="宋体" w:cs="Times New Roman"/>
                <w:color w:val="auto"/>
                <w:kern w:val="2"/>
                <w:sz w:val="22"/>
                <w:szCs w:val="22"/>
                <w:highlight w:val="none"/>
                <w:lang w:val="en-US" w:eastAsia="zh-CN" w:bidi="ar-SA"/>
              </w:rPr>
              <w:t>t/a</w:t>
            </w:r>
          </w:p>
        </w:tc>
      </w:tr>
      <w:tr w14:paraId="5F44D0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224" w:hRule="atLeast"/>
        </w:trPr>
        <w:tc>
          <w:tcPr>
            <w:tcW w:w="338" w:type="pct"/>
            <w:tcBorders>
              <w:tl2br w:val="nil"/>
              <w:tr2bl w:val="nil"/>
            </w:tcBorders>
            <w:shd w:val="clear" w:color="auto" w:fill="auto"/>
            <w:noWrap/>
            <w:vAlign w:val="center"/>
          </w:tcPr>
          <w:p w14:paraId="2DC84E2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NO</w:t>
            </w:r>
            <w:r>
              <w:rPr>
                <w:rFonts w:hint="eastAsia" w:cs="Times New Roman"/>
                <w:color w:val="auto"/>
                <w:kern w:val="2"/>
                <w:sz w:val="22"/>
                <w:szCs w:val="22"/>
                <w:highlight w:val="none"/>
                <w:vertAlign w:val="subscript"/>
                <w:lang w:val="en-US" w:eastAsia="zh-CN" w:bidi="ar-SA"/>
              </w:rPr>
              <w:t>X</w:t>
            </w:r>
          </w:p>
        </w:tc>
        <w:tc>
          <w:tcPr>
            <w:tcW w:w="1083" w:type="pct"/>
            <w:tcBorders>
              <w:tl2br w:val="nil"/>
              <w:tr2bl w:val="nil"/>
            </w:tcBorders>
            <w:shd w:val="clear" w:color="auto" w:fill="auto"/>
            <w:noWrap/>
            <w:vAlign w:val="center"/>
          </w:tcPr>
          <w:p w14:paraId="22CE4F2D">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9.020</w:t>
            </w:r>
            <w:r>
              <w:rPr>
                <w:rFonts w:hint="eastAsia" w:ascii="Times New Roman" w:hAnsi="Times New Roman" w:eastAsia="宋体" w:cs="Times New Roman"/>
                <w:color w:val="auto"/>
                <w:kern w:val="2"/>
                <w:sz w:val="22"/>
                <w:szCs w:val="22"/>
                <w:highlight w:val="none"/>
                <w:lang w:val="en-US" w:eastAsia="zh-CN" w:bidi="ar-SA"/>
              </w:rPr>
              <w:t>t/a</w:t>
            </w:r>
          </w:p>
        </w:tc>
        <w:tc>
          <w:tcPr>
            <w:tcW w:w="740" w:type="pct"/>
            <w:tcBorders>
              <w:tl2br w:val="nil"/>
              <w:tr2bl w:val="nil"/>
            </w:tcBorders>
            <w:shd w:val="clear" w:color="auto" w:fill="auto"/>
            <w:noWrap/>
            <w:vAlign w:val="center"/>
          </w:tcPr>
          <w:p w14:paraId="32392706">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9.020</w:t>
            </w:r>
            <w:r>
              <w:rPr>
                <w:rFonts w:hint="eastAsia" w:ascii="Times New Roman" w:hAnsi="Times New Roman" w:eastAsia="宋体" w:cs="Times New Roman"/>
                <w:color w:val="auto"/>
                <w:kern w:val="2"/>
                <w:sz w:val="22"/>
                <w:szCs w:val="22"/>
                <w:highlight w:val="none"/>
                <w:lang w:val="en-US" w:eastAsia="zh-CN" w:bidi="ar-SA"/>
              </w:rPr>
              <w:t>t/a</w:t>
            </w:r>
          </w:p>
        </w:tc>
        <w:tc>
          <w:tcPr>
            <w:tcW w:w="652" w:type="pct"/>
            <w:tcBorders>
              <w:tl2br w:val="nil"/>
              <w:tr2bl w:val="nil"/>
            </w:tcBorders>
            <w:shd w:val="clear" w:color="auto" w:fill="auto"/>
            <w:noWrap/>
            <w:vAlign w:val="center"/>
          </w:tcPr>
          <w:p w14:paraId="0C577A51">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0</w:t>
            </w:r>
          </w:p>
        </w:tc>
        <w:tc>
          <w:tcPr>
            <w:tcW w:w="1363" w:type="pct"/>
            <w:gridSpan w:val="2"/>
            <w:tcBorders>
              <w:tl2br w:val="nil"/>
              <w:tr2bl w:val="nil"/>
            </w:tcBorders>
            <w:shd w:val="clear" w:color="auto" w:fill="auto"/>
            <w:noWrap/>
            <w:vAlign w:val="center"/>
          </w:tcPr>
          <w:p w14:paraId="3E3FDA4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18.2</w:t>
            </w:r>
            <w:r>
              <w:rPr>
                <w:rFonts w:hint="eastAsia" w:ascii="Times New Roman" w:hAnsi="Times New Roman" w:eastAsia="宋体" w:cs="Times New Roman"/>
                <w:color w:val="auto"/>
                <w:kern w:val="2"/>
                <w:sz w:val="22"/>
                <w:szCs w:val="22"/>
                <w:highlight w:val="none"/>
                <w:lang w:val="en-US" w:eastAsia="zh-CN" w:bidi="ar-SA"/>
              </w:rPr>
              <w:t>t/a</w:t>
            </w:r>
          </w:p>
        </w:tc>
        <w:tc>
          <w:tcPr>
            <w:tcW w:w="822" w:type="pct"/>
            <w:tcBorders>
              <w:tl2br w:val="nil"/>
              <w:tr2bl w:val="nil"/>
            </w:tcBorders>
            <w:shd w:val="clear" w:color="auto" w:fill="auto"/>
            <w:noWrap/>
            <w:vAlign w:val="center"/>
          </w:tcPr>
          <w:p w14:paraId="1FFEB98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9.18</w:t>
            </w:r>
            <w:r>
              <w:rPr>
                <w:rFonts w:hint="eastAsia" w:ascii="Times New Roman" w:hAnsi="Times New Roman" w:eastAsia="宋体" w:cs="Times New Roman"/>
                <w:color w:val="auto"/>
                <w:kern w:val="2"/>
                <w:sz w:val="22"/>
                <w:szCs w:val="22"/>
                <w:highlight w:val="none"/>
                <w:lang w:val="en-US" w:eastAsia="zh-CN" w:bidi="ar-SA"/>
              </w:rPr>
              <w:t>t/a</w:t>
            </w:r>
          </w:p>
        </w:tc>
      </w:tr>
      <w:tr w14:paraId="5E56F3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90" w:hRule="atLeast"/>
        </w:trPr>
        <w:tc>
          <w:tcPr>
            <w:tcW w:w="338" w:type="pct"/>
            <w:tcBorders>
              <w:tl2br w:val="nil"/>
              <w:tr2bl w:val="nil"/>
            </w:tcBorders>
            <w:shd w:val="clear" w:color="auto" w:fill="auto"/>
            <w:noWrap/>
            <w:vAlign w:val="center"/>
          </w:tcPr>
          <w:p w14:paraId="266D64A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砷</w:t>
            </w:r>
          </w:p>
        </w:tc>
        <w:tc>
          <w:tcPr>
            <w:tcW w:w="1083" w:type="pct"/>
            <w:tcBorders>
              <w:tl2br w:val="nil"/>
              <w:tr2bl w:val="nil"/>
            </w:tcBorders>
            <w:shd w:val="clear" w:color="auto" w:fill="auto"/>
            <w:noWrap/>
            <w:vAlign w:val="center"/>
          </w:tcPr>
          <w:p w14:paraId="53ADD5F6">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28.434kg/a</w:t>
            </w:r>
          </w:p>
        </w:tc>
        <w:tc>
          <w:tcPr>
            <w:tcW w:w="740" w:type="pct"/>
            <w:tcBorders>
              <w:tl2br w:val="nil"/>
              <w:tr2bl w:val="nil"/>
            </w:tcBorders>
            <w:shd w:val="clear" w:color="auto" w:fill="auto"/>
            <w:noWrap/>
            <w:vAlign w:val="center"/>
          </w:tcPr>
          <w:p w14:paraId="2A0856DF">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29.570kg/a</w:t>
            </w:r>
          </w:p>
        </w:tc>
        <w:tc>
          <w:tcPr>
            <w:tcW w:w="652" w:type="pct"/>
            <w:tcBorders>
              <w:tl2br w:val="nil"/>
              <w:tr2bl w:val="nil"/>
            </w:tcBorders>
            <w:shd w:val="clear" w:color="auto" w:fill="auto"/>
            <w:noWrap/>
            <w:vAlign w:val="center"/>
          </w:tcPr>
          <w:p w14:paraId="6D465F23">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1.136kg/a</w:t>
            </w:r>
          </w:p>
        </w:tc>
        <w:tc>
          <w:tcPr>
            <w:tcW w:w="545" w:type="pct"/>
            <w:tcBorders>
              <w:tl2br w:val="nil"/>
              <w:tr2bl w:val="nil"/>
            </w:tcBorders>
            <w:shd w:val="clear" w:color="auto" w:fill="auto"/>
            <w:noWrap/>
            <w:vAlign w:val="center"/>
          </w:tcPr>
          <w:p w14:paraId="22C7909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384.31</w:t>
            </w:r>
            <w:r>
              <w:rPr>
                <w:rFonts w:hint="eastAsia"/>
                <w:color w:val="auto"/>
                <w:highlight w:val="none"/>
                <w:lang w:val="en-US" w:eastAsia="zh-CN"/>
              </w:rPr>
              <w:t>kg/a</w:t>
            </w:r>
          </w:p>
        </w:tc>
        <w:tc>
          <w:tcPr>
            <w:tcW w:w="818" w:type="pct"/>
            <w:vMerge w:val="restart"/>
            <w:tcBorders>
              <w:tl2br w:val="nil"/>
              <w:tr2bl w:val="nil"/>
            </w:tcBorders>
            <w:shd w:val="clear" w:color="auto" w:fill="auto"/>
            <w:noWrap/>
            <w:vAlign w:val="center"/>
          </w:tcPr>
          <w:p w14:paraId="46AB25B2">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合计559.26</w:t>
            </w:r>
            <w:r>
              <w:rPr>
                <w:rFonts w:hint="eastAsia"/>
                <w:color w:val="auto"/>
                <w:highlight w:val="none"/>
                <w:lang w:val="en-US" w:eastAsia="zh-CN"/>
              </w:rPr>
              <w:t>kg/a</w:t>
            </w:r>
          </w:p>
        </w:tc>
        <w:tc>
          <w:tcPr>
            <w:tcW w:w="822" w:type="pct"/>
            <w:vMerge w:val="restart"/>
            <w:tcBorders>
              <w:tl2br w:val="nil"/>
              <w:tr2bl w:val="nil"/>
            </w:tcBorders>
            <w:shd w:val="clear" w:color="auto" w:fill="auto"/>
            <w:noWrap/>
            <w:vAlign w:val="center"/>
          </w:tcPr>
          <w:p w14:paraId="1D430EA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r>
              <w:rPr>
                <w:rFonts w:hint="eastAsia"/>
                <w:color w:val="auto"/>
                <w:sz w:val="22"/>
                <w:szCs w:val="22"/>
                <w:highlight w:val="none"/>
              </w:rPr>
              <w:t>4</w:t>
            </w:r>
            <w:r>
              <w:rPr>
                <w:rFonts w:hint="eastAsia"/>
                <w:color w:val="auto"/>
                <w:sz w:val="22"/>
                <w:szCs w:val="22"/>
                <w:highlight w:val="none"/>
                <w:lang w:val="en-US" w:eastAsia="zh-CN"/>
              </w:rPr>
              <w:t>76</w:t>
            </w:r>
            <w:r>
              <w:rPr>
                <w:rFonts w:hint="eastAsia"/>
                <w:color w:val="auto"/>
                <w:sz w:val="22"/>
                <w:szCs w:val="22"/>
                <w:highlight w:val="none"/>
              </w:rPr>
              <w:t>.</w:t>
            </w:r>
            <w:r>
              <w:rPr>
                <w:rFonts w:hint="eastAsia"/>
                <w:color w:val="auto"/>
                <w:sz w:val="22"/>
                <w:szCs w:val="22"/>
                <w:highlight w:val="none"/>
                <w:lang w:val="en-US" w:eastAsia="zh-CN"/>
              </w:rPr>
              <w:t>29</w:t>
            </w:r>
            <w:r>
              <w:rPr>
                <w:rFonts w:hint="eastAsia"/>
                <w:color w:val="auto"/>
                <w:highlight w:val="none"/>
                <w:lang w:val="en-US" w:eastAsia="zh-CN"/>
              </w:rPr>
              <w:t>kg/a</w:t>
            </w:r>
          </w:p>
        </w:tc>
      </w:tr>
      <w:tr w14:paraId="5B376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1F75B1D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铅</w:t>
            </w:r>
          </w:p>
        </w:tc>
        <w:tc>
          <w:tcPr>
            <w:tcW w:w="1083" w:type="pct"/>
            <w:tcBorders>
              <w:tl2br w:val="nil"/>
              <w:tr2bl w:val="nil"/>
            </w:tcBorders>
            <w:shd w:val="clear" w:color="auto" w:fill="auto"/>
            <w:noWrap/>
            <w:vAlign w:val="center"/>
          </w:tcPr>
          <w:p w14:paraId="33436E44">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49.632kg/a</w:t>
            </w:r>
          </w:p>
        </w:tc>
        <w:tc>
          <w:tcPr>
            <w:tcW w:w="740" w:type="pct"/>
            <w:tcBorders>
              <w:tl2br w:val="nil"/>
              <w:tr2bl w:val="nil"/>
            </w:tcBorders>
            <w:shd w:val="clear" w:color="auto" w:fill="auto"/>
            <w:noWrap/>
            <w:vAlign w:val="center"/>
          </w:tcPr>
          <w:p w14:paraId="19D99B5E">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50.434kg/a</w:t>
            </w:r>
          </w:p>
        </w:tc>
        <w:tc>
          <w:tcPr>
            <w:tcW w:w="652" w:type="pct"/>
            <w:tcBorders>
              <w:tl2br w:val="nil"/>
              <w:tr2bl w:val="nil"/>
            </w:tcBorders>
            <w:shd w:val="clear" w:color="auto" w:fill="auto"/>
            <w:noWrap/>
            <w:vAlign w:val="center"/>
          </w:tcPr>
          <w:p w14:paraId="02DB66B1">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0.802kg/a</w:t>
            </w:r>
          </w:p>
        </w:tc>
        <w:tc>
          <w:tcPr>
            <w:tcW w:w="545" w:type="pct"/>
            <w:tcBorders>
              <w:tl2br w:val="nil"/>
              <w:tr2bl w:val="nil"/>
            </w:tcBorders>
            <w:shd w:val="clear" w:color="auto" w:fill="auto"/>
            <w:noWrap/>
            <w:vAlign w:val="center"/>
          </w:tcPr>
          <w:p w14:paraId="204ABF6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169.61</w:t>
            </w:r>
            <w:r>
              <w:rPr>
                <w:rFonts w:hint="eastAsia"/>
                <w:color w:val="auto"/>
                <w:highlight w:val="none"/>
                <w:lang w:val="en-US" w:eastAsia="zh-CN"/>
              </w:rPr>
              <w:t>kg/a</w:t>
            </w:r>
          </w:p>
        </w:tc>
        <w:tc>
          <w:tcPr>
            <w:tcW w:w="818" w:type="pct"/>
            <w:vMerge w:val="continue"/>
            <w:tcBorders>
              <w:tl2br w:val="nil"/>
              <w:tr2bl w:val="nil"/>
            </w:tcBorders>
            <w:shd w:val="clear" w:color="auto" w:fill="auto"/>
            <w:noWrap/>
            <w:vAlign w:val="center"/>
          </w:tcPr>
          <w:p w14:paraId="727E927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s="Times New Roman"/>
                <w:color w:val="auto"/>
                <w:kern w:val="2"/>
                <w:sz w:val="22"/>
                <w:szCs w:val="22"/>
                <w:highlight w:val="none"/>
                <w:lang w:val="en-US" w:eastAsia="zh-CN" w:bidi="ar-SA"/>
              </w:rPr>
            </w:pPr>
          </w:p>
        </w:tc>
        <w:tc>
          <w:tcPr>
            <w:tcW w:w="822" w:type="pct"/>
            <w:vMerge w:val="continue"/>
            <w:tcBorders>
              <w:tl2br w:val="nil"/>
              <w:tr2bl w:val="nil"/>
            </w:tcBorders>
            <w:shd w:val="clear" w:color="auto" w:fill="auto"/>
            <w:noWrap/>
            <w:vAlign w:val="center"/>
          </w:tcPr>
          <w:p w14:paraId="46D2CB4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highlight w:val="none"/>
                <w:lang w:val="en-US" w:eastAsia="zh-CN" w:bidi="ar-SA"/>
              </w:rPr>
            </w:pPr>
          </w:p>
        </w:tc>
      </w:tr>
      <w:tr w14:paraId="42DEDB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6CAC6D0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汞</w:t>
            </w:r>
          </w:p>
        </w:tc>
        <w:tc>
          <w:tcPr>
            <w:tcW w:w="1083" w:type="pct"/>
            <w:tcBorders>
              <w:tl2br w:val="nil"/>
              <w:tr2bl w:val="nil"/>
            </w:tcBorders>
            <w:shd w:val="clear" w:color="auto" w:fill="auto"/>
            <w:noWrap/>
            <w:vAlign w:val="center"/>
          </w:tcPr>
          <w:p w14:paraId="5BC6408C">
            <w:pPr>
              <w:pStyle w:val="2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2"/>
                <w:szCs w:val="22"/>
                <w:highlight w:val="none"/>
                <w:lang w:val="en-US" w:eastAsia="zh-CN" w:bidi="ar-SA"/>
              </w:rPr>
            </w:pPr>
            <w:r>
              <w:rPr>
                <w:rFonts w:hint="eastAsia"/>
                <w:color w:val="auto"/>
                <w:highlight w:val="none"/>
                <w:lang w:val="en-US" w:eastAsia="zh-CN"/>
              </w:rPr>
              <w:t>0.274kg/a</w:t>
            </w:r>
          </w:p>
        </w:tc>
        <w:tc>
          <w:tcPr>
            <w:tcW w:w="740" w:type="pct"/>
            <w:tcBorders>
              <w:tl2br w:val="nil"/>
              <w:tr2bl w:val="nil"/>
            </w:tcBorders>
            <w:shd w:val="clear" w:color="auto" w:fill="auto"/>
            <w:noWrap/>
            <w:vAlign w:val="center"/>
          </w:tcPr>
          <w:p w14:paraId="2CFB059E">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0.277kg/a</w:t>
            </w:r>
          </w:p>
        </w:tc>
        <w:tc>
          <w:tcPr>
            <w:tcW w:w="652" w:type="pct"/>
            <w:tcBorders>
              <w:tl2br w:val="nil"/>
              <w:tr2bl w:val="nil"/>
            </w:tcBorders>
            <w:shd w:val="clear" w:color="auto" w:fill="auto"/>
            <w:noWrap/>
            <w:vAlign w:val="center"/>
          </w:tcPr>
          <w:p w14:paraId="34A069A0">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0.003kg/a</w:t>
            </w:r>
          </w:p>
        </w:tc>
        <w:tc>
          <w:tcPr>
            <w:tcW w:w="545" w:type="pct"/>
            <w:tcBorders>
              <w:tl2br w:val="nil"/>
              <w:tr2bl w:val="nil"/>
            </w:tcBorders>
            <w:shd w:val="clear" w:color="auto" w:fill="auto"/>
            <w:noWrap/>
            <w:vAlign w:val="center"/>
          </w:tcPr>
          <w:p w14:paraId="40672277">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0</w:t>
            </w:r>
          </w:p>
        </w:tc>
        <w:tc>
          <w:tcPr>
            <w:tcW w:w="818" w:type="pct"/>
            <w:vMerge w:val="continue"/>
            <w:tcBorders>
              <w:tl2br w:val="nil"/>
              <w:tr2bl w:val="nil"/>
            </w:tcBorders>
            <w:shd w:val="clear" w:color="auto" w:fill="auto"/>
            <w:noWrap/>
            <w:vAlign w:val="center"/>
          </w:tcPr>
          <w:p w14:paraId="535ABD8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s="Times New Roman"/>
                <w:color w:val="auto"/>
                <w:kern w:val="2"/>
                <w:sz w:val="22"/>
                <w:szCs w:val="22"/>
                <w:highlight w:val="none"/>
                <w:lang w:val="en-US" w:eastAsia="zh-CN" w:bidi="ar-SA"/>
              </w:rPr>
            </w:pPr>
          </w:p>
        </w:tc>
        <w:tc>
          <w:tcPr>
            <w:tcW w:w="822" w:type="pct"/>
            <w:vMerge w:val="continue"/>
            <w:tcBorders>
              <w:tl2br w:val="nil"/>
              <w:tr2bl w:val="nil"/>
            </w:tcBorders>
            <w:shd w:val="clear" w:color="auto" w:fill="auto"/>
            <w:noWrap/>
            <w:vAlign w:val="center"/>
          </w:tcPr>
          <w:p w14:paraId="6747FDE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p>
        </w:tc>
      </w:tr>
      <w:tr w14:paraId="0606DF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06960BE5">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镉</w:t>
            </w:r>
          </w:p>
        </w:tc>
        <w:tc>
          <w:tcPr>
            <w:tcW w:w="1083" w:type="pct"/>
            <w:tcBorders>
              <w:tl2br w:val="nil"/>
              <w:tr2bl w:val="nil"/>
            </w:tcBorders>
            <w:shd w:val="clear" w:color="auto" w:fill="auto"/>
            <w:noWrap/>
            <w:vAlign w:val="center"/>
          </w:tcPr>
          <w:p w14:paraId="32F65792">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2.589kg/a</w:t>
            </w:r>
          </w:p>
        </w:tc>
        <w:tc>
          <w:tcPr>
            <w:tcW w:w="740" w:type="pct"/>
            <w:tcBorders>
              <w:tl2br w:val="nil"/>
              <w:tr2bl w:val="nil"/>
            </w:tcBorders>
            <w:shd w:val="clear" w:color="auto" w:fill="auto"/>
            <w:noWrap/>
            <w:vAlign w:val="center"/>
          </w:tcPr>
          <w:p w14:paraId="5A940BC8">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2.689kg/a</w:t>
            </w:r>
          </w:p>
        </w:tc>
        <w:tc>
          <w:tcPr>
            <w:tcW w:w="652" w:type="pct"/>
            <w:tcBorders>
              <w:tl2br w:val="nil"/>
              <w:tr2bl w:val="nil"/>
            </w:tcBorders>
            <w:shd w:val="clear" w:color="auto" w:fill="auto"/>
            <w:noWrap/>
            <w:vAlign w:val="center"/>
          </w:tcPr>
          <w:p w14:paraId="53E6F59A">
            <w:pPr>
              <w:pStyle w:val="26"/>
              <w:keepNext w:val="0"/>
              <w:keepLines w:val="0"/>
              <w:suppressLineNumbers w:val="0"/>
              <w:spacing w:before="0" w:beforeAutospacing="0" w:after="0" w:afterAutospacing="0"/>
              <w:ind w:left="0" w:leftChars="0" w:right="0" w:rightChars="0"/>
              <w:rPr>
                <w:rFonts w:hint="default"/>
                <w:color w:val="auto"/>
                <w:highlight w:val="none"/>
                <w:lang w:val="en-US" w:eastAsia="zh-CN"/>
              </w:rPr>
            </w:pPr>
            <w:r>
              <w:rPr>
                <w:rFonts w:hint="eastAsia"/>
                <w:color w:val="auto"/>
                <w:highlight w:val="none"/>
                <w:lang w:val="en-US" w:eastAsia="zh-CN"/>
              </w:rPr>
              <w:t>0.1kg/a</w:t>
            </w:r>
          </w:p>
        </w:tc>
        <w:tc>
          <w:tcPr>
            <w:tcW w:w="545" w:type="pct"/>
            <w:tcBorders>
              <w:tl2br w:val="nil"/>
              <w:tr2bl w:val="nil"/>
            </w:tcBorders>
            <w:shd w:val="clear" w:color="auto" w:fill="auto"/>
            <w:noWrap/>
            <w:vAlign w:val="center"/>
          </w:tcPr>
          <w:p w14:paraId="57C45B54">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1.37</w:t>
            </w:r>
            <w:r>
              <w:rPr>
                <w:rFonts w:hint="eastAsia"/>
                <w:color w:val="auto"/>
                <w:highlight w:val="none"/>
                <w:lang w:val="en-US" w:eastAsia="zh-CN"/>
              </w:rPr>
              <w:t>kg/a</w:t>
            </w:r>
          </w:p>
        </w:tc>
        <w:tc>
          <w:tcPr>
            <w:tcW w:w="818" w:type="pct"/>
            <w:vMerge w:val="continue"/>
            <w:tcBorders>
              <w:tl2br w:val="nil"/>
              <w:tr2bl w:val="nil"/>
            </w:tcBorders>
            <w:shd w:val="clear" w:color="auto" w:fill="auto"/>
            <w:noWrap/>
            <w:vAlign w:val="center"/>
          </w:tcPr>
          <w:p w14:paraId="3D78BD5C">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eastAsia" w:cs="Times New Roman"/>
                <w:color w:val="auto"/>
                <w:kern w:val="2"/>
                <w:sz w:val="22"/>
                <w:szCs w:val="22"/>
                <w:highlight w:val="none"/>
                <w:lang w:val="en-US" w:eastAsia="zh-CN" w:bidi="ar-SA"/>
              </w:rPr>
            </w:pPr>
          </w:p>
        </w:tc>
        <w:tc>
          <w:tcPr>
            <w:tcW w:w="822" w:type="pct"/>
            <w:vMerge w:val="continue"/>
            <w:tcBorders>
              <w:tl2br w:val="nil"/>
              <w:tr2bl w:val="nil"/>
            </w:tcBorders>
            <w:shd w:val="clear" w:color="auto" w:fill="auto"/>
            <w:noWrap/>
            <w:vAlign w:val="center"/>
          </w:tcPr>
          <w:p w14:paraId="6D01E231">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p>
        </w:tc>
      </w:tr>
      <w:tr w14:paraId="0633C2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493CD550">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right="0"/>
              <w:jc w:val="center"/>
              <w:rPr>
                <w:rFonts w:hint="default"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锑</w:t>
            </w:r>
          </w:p>
        </w:tc>
        <w:tc>
          <w:tcPr>
            <w:tcW w:w="1083" w:type="pct"/>
            <w:tcBorders>
              <w:tl2br w:val="nil"/>
              <w:tr2bl w:val="nil"/>
            </w:tcBorders>
            <w:shd w:val="clear" w:color="auto" w:fill="auto"/>
            <w:noWrap/>
            <w:vAlign w:val="center"/>
          </w:tcPr>
          <w:p w14:paraId="3D29283E">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132.68kg/a</w:t>
            </w:r>
          </w:p>
        </w:tc>
        <w:tc>
          <w:tcPr>
            <w:tcW w:w="740" w:type="pct"/>
            <w:tcBorders>
              <w:tl2br w:val="nil"/>
              <w:tr2bl w:val="nil"/>
            </w:tcBorders>
            <w:shd w:val="clear" w:color="auto" w:fill="auto"/>
            <w:noWrap/>
            <w:vAlign w:val="center"/>
          </w:tcPr>
          <w:p w14:paraId="33C51BD0">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default"/>
                <w:color w:val="auto"/>
                <w:highlight w:val="none"/>
                <w:lang w:val="en-US" w:eastAsia="zh-CN"/>
              </w:rPr>
            </w:pPr>
            <w:r>
              <w:rPr>
                <w:rFonts w:hint="eastAsia"/>
                <w:color w:val="auto"/>
                <w:highlight w:val="none"/>
                <w:lang w:val="en-US" w:eastAsia="zh-CN"/>
              </w:rPr>
              <w:t>179.68kg/a</w:t>
            </w:r>
          </w:p>
        </w:tc>
        <w:tc>
          <w:tcPr>
            <w:tcW w:w="652" w:type="pct"/>
            <w:tcBorders>
              <w:tl2br w:val="nil"/>
              <w:tr2bl w:val="nil"/>
            </w:tcBorders>
            <w:shd w:val="clear" w:color="auto" w:fill="auto"/>
            <w:noWrap/>
            <w:vAlign w:val="center"/>
          </w:tcPr>
          <w:p w14:paraId="2C713A51">
            <w:pPr>
              <w:pStyle w:val="26"/>
              <w:keepNext w:val="0"/>
              <w:keepLines w:val="0"/>
              <w:widowControl/>
              <w:suppressLineNumbers w:val="0"/>
              <w:bidi w:val="0"/>
              <w:spacing w:before="0" w:beforeAutospacing="0" w:after="0" w:afterAutospacing="0" w:line="240" w:lineRule="auto"/>
              <w:ind w:left="0" w:leftChars="0" w:right="0" w:rightChars="0"/>
              <w:jc w:val="center"/>
              <w:textAlignment w:val="auto"/>
              <w:outlineLvl w:val="9"/>
              <w:rPr>
                <w:rFonts w:hint="eastAsia"/>
                <w:color w:val="auto"/>
                <w:highlight w:val="none"/>
                <w:lang w:val="en-US" w:eastAsia="zh-CN"/>
              </w:rPr>
            </w:pPr>
            <w:r>
              <w:rPr>
                <w:rFonts w:hint="eastAsia"/>
                <w:color w:val="auto"/>
                <w:highlight w:val="none"/>
                <w:lang w:val="en-US" w:eastAsia="zh-CN"/>
              </w:rPr>
              <w:t>47kg/a</w:t>
            </w:r>
          </w:p>
        </w:tc>
        <w:tc>
          <w:tcPr>
            <w:tcW w:w="1363" w:type="pct"/>
            <w:gridSpan w:val="2"/>
            <w:tcBorders>
              <w:tl2br w:val="nil"/>
              <w:tr2bl w:val="nil"/>
            </w:tcBorders>
            <w:shd w:val="clear" w:color="auto" w:fill="auto"/>
            <w:noWrap/>
            <w:vAlign w:val="center"/>
          </w:tcPr>
          <w:p w14:paraId="7108813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822" w:type="pct"/>
            <w:tcBorders>
              <w:tl2br w:val="nil"/>
              <w:tr2bl w:val="nil"/>
            </w:tcBorders>
            <w:shd w:val="clear" w:color="auto" w:fill="auto"/>
            <w:noWrap/>
            <w:vAlign w:val="center"/>
          </w:tcPr>
          <w:p w14:paraId="63D943E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s="Times New Roman"/>
                <w:color w:val="auto"/>
                <w:kern w:val="2"/>
                <w:sz w:val="22"/>
                <w:szCs w:val="22"/>
                <w:highlight w:val="none"/>
                <w:lang w:val="en-US" w:eastAsia="zh-CN" w:bidi="ar-SA"/>
              </w:rPr>
            </w:pPr>
            <w:r>
              <w:rPr>
                <w:rFonts w:hint="eastAsia" w:cs="Times New Roman"/>
                <w:color w:val="auto"/>
                <w:kern w:val="2"/>
                <w:sz w:val="22"/>
                <w:szCs w:val="22"/>
                <w:highlight w:val="none"/>
                <w:lang w:val="en-US" w:eastAsia="zh-CN" w:bidi="ar-SA"/>
              </w:rPr>
              <w:t>/</w:t>
            </w:r>
          </w:p>
        </w:tc>
      </w:tr>
      <w:tr w14:paraId="05A37F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3A3B6BBD">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COD</w:t>
            </w:r>
          </w:p>
        </w:tc>
        <w:tc>
          <w:tcPr>
            <w:tcW w:w="1083" w:type="pct"/>
            <w:tcBorders>
              <w:tl2br w:val="nil"/>
              <w:tr2bl w:val="nil"/>
            </w:tcBorders>
            <w:shd w:val="clear" w:color="auto" w:fill="auto"/>
            <w:noWrap/>
            <w:vAlign w:val="center"/>
          </w:tcPr>
          <w:p w14:paraId="51A6082C">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5.088</w:t>
            </w:r>
            <w:r>
              <w:rPr>
                <w:rFonts w:hint="eastAsia" w:ascii="Times New Roman" w:hAnsi="Times New Roman" w:eastAsia="宋体" w:cs="Times New Roman"/>
                <w:color w:val="auto"/>
                <w:kern w:val="2"/>
                <w:sz w:val="22"/>
                <w:szCs w:val="22"/>
                <w:highlight w:val="none"/>
                <w:lang w:val="en-US" w:eastAsia="zh-CN" w:bidi="ar-SA"/>
              </w:rPr>
              <w:t>t/a</w:t>
            </w:r>
          </w:p>
        </w:tc>
        <w:tc>
          <w:tcPr>
            <w:tcW w:w="740" w:type="pct"/>
            <w:tcBorders>
              <w:tl2br w:val="nil"/>
              <w:tr2bl w:val="nil"/>
            </w:tcBorders>
            <w:shd w:val="clear" w:color="auto" w:fill="auto"/>
            <w:noWrap/>
            <w:vAlign w:val="center"/>
          </w:tcPr>
          <w:p w14:paraId="4CC57D00">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5.320</w:t>
            </w:r>
            <w:r>
              <w:rPr>
                <w:rFonts w:hint="eastAsia" w:ascii="Times New Roman" w:hAnsi="Times New Roman" w:eastAsia="宋体" w:cs="Times New Roman"/>
                <w:color w:val="auto"/>
                <w:kern w:val="2"/>
                <w:sz w:val="22"/>
                <w:szCs w:val="22"/>
                <w:highlight w:val="none"/>
                <w:lang w:val="en-US" w:eastAsia="zh-CN" w:bidi="ar-SA"/>
              </w:rPr>
              <w:t>t/a</w:t>
            </w:r>
          </w:p>
        </w:tc>
        <w:tc>
          <w:tcPr>
            <w:tcW w:w="652" w:type="pct"/>
            <w:tcBorders>
              <w:tl2br w:val="nil"/>
              <w:tr2bl w:val="nil"/>
            </w:tcBorders>
            <w:shd w:val="clear" w:color="auto" w:fill="auto"/>
            <w:noWrap/>
            <w:vAlign w:val="center"/>
          </w:tcPr>
          <w:p w14:paraId="745F6547">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0.232</w:t>
            </w:r>
            <w:r>
              <w:rPr>
                <w:rFonts w:hint="eastAsia" w:ascii="Times New Roman" w:hAnsi="Times New Roman" w:eastAsia="宋体" w:cs="Times New Roman"/>
                <w:color w:val="auto"/>
                <w:kern w:val="2"/>
                <w:sz w:val="22"/>
                <w:szCs w:val="22"/>
                <w:highlight w:val="none"/>
                <w:lang w:val="en-US" w:eastAsia="zh-CN" w:bidi="ar-SA"/>
              </w:rPr>
              <w:t>t/a</w:t>
            </w:r>
          </w:p>
        </w:tc>
        <w:tc>
          <w:tcPr>
            <w:tcW w:w="1363" w:type="pct"/>
            <w:gridSpan w:val="2"/>
            <w:tcBorders>
              <w:tl2br w:val="nil"/>
              <w:tr2bl w:val="nil"/>
            </w:tcBorders>
            <w:shd w:val="clear" w:color="auto" w:fill="auto"/>
            <w:noWrap/>
            <w:vAlign w:val="center"/>
          </w:tcPr>
          <w:p w14:paraId="5EF4CA83">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6.83t/a</w:t>
            </w:r>
          </w:p>
        </w:tc>
        <w:tc>
          <w:tcPr>
            <w:tcW w:w="1492" w:type="dxa"/>
            <w:tcBorders>
              <w:tl2br w:val="nil"/>
              <w:tr2bl w:val="nil"/>
            </w:tcBorders>
            <w:shd w:val="clear" w:color="auto" w:fill="auto"/>
            <w:noWrap/>
            <w:vAlign w:val="center"/>
          </w:tcPr>
          <w:p w14:paraId="089A59AD">
            <w:pPr>
              <w:pStyle w:val="26"/>
              <w:keepNext w:val="0"/>
              <w:keepLines w:val="0"/>
              <w:suppressLineNumbers w:val="0"/>
              <w:spacing w:before="0" w:beforeLines="0" w:beforeAutospacing="0" w:after="0" w:afterLines="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sz w:val="22"/>
                <w:szCs w:val="22"/>
                <w:highlight w:val="none"/>
              </w:rPr>
              <w:t>1.75</w:t>
            </w:r>
            <w:r>
              <w:rPr>
                <w:rFonts w:hint="eastAsia" w:ascii="Times New Roman" w:hAnsi="Times New Roman" w:eastAsia="宋体" w:cs="Times New Roman"/>
                <w:color w:val="auto"/>
                <w:kern w:val="2"/>
                <w:sz w:val="22"/>
                <w:szCs w:val="22"/>
                <w:highlight w:val="none"/>
                <w:lang w:val="en-US" w:eastAsia="zh-CN" w:bidi="ar-SA"/>
              </w:rPr>
              <w:t>t/a</w:t>
            </w:r>
          </w:p>
        </w:tc>
      </w:tr>
      <w:tr w14:paraId="7E8FC5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18FA2BF8">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氨氮</w:t>
            </w:r>
          </w:p>
        </w:tc>
        <w:tc>
          <w:tcPr>
            <w:tcW w:w="1083" w:type="pct"/>
            <w:tcBorders>
              <w:tl2br w:val="nil"/>
              <w:tr2bl w:val="nil"/>
            </w:tcBorders>
            <w:shd w:val="clear" w:color="auto" w:fill="auto"/>
            <w:noWrap/>
            <w:vAlign w:val="center"/>
          </w:tcPr>
          <w:p w14:paraId="5E226657">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0.264</w:t>
            </w:r>
            <w:r>
              <w:rPr>
                <w:rFonts w:hint="eastAsia" w:ascii="Times New Roman" w:hAnsi="Times New Roman" w:eastAsia="宋体" w:cs="Times New Roman"/>
                <w:color w:val="auto"/>
                <w:kern w:val="2"/>
                <w:sz w:val="22"/>
                <w:szCs w:val="22"/>
                <w:highlight w:val="none"/>
                <w:lang w:val="en-US" w:eastAsia="zh-CN" w:bidi="ar-SA"/>
              </w:rPr>
              <w:t>t/a</w:t>
            </w:r>
          </w:p>
        </w:tc>
        <w:tc>
          <w:tcPr>
            <w:tcW w:w="740" w:type="pct"/>
            <w:tcBorders>
              <w:tl2br w:val="nil"/>
              <w:tr2bl w:val="nil"/>
            </w:tcBorders>
            <w:shd w:val="clear" w:color="auto" w:fill="auto"/>
            <w:noWrap/>
            <w:vAlign w:val="center"/>
          </w:tcPr>
          <w:p w14:paraId="2784D265">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0.277</w:t>
            </w:r>
            <w:r>
              <w:rPr>
                <w:rFonts w:hint="eastAsia" w:ascii="Times New Roman" w:hAnsi="Times New Roman" w:eastAsia="宋体" w:cs="Times New Roman"/>
                <w:color w:val="auto"/>
                <w:kern w:val="2"/>
                <w:sz w:val="22"/>
                <w:szCs w:val="22"/>
                <w:highlight w:val="none"/>
                <w:lang w:val="en-US" w:eastAsia="zh-CN" w:bidi="ar-SA"/>
              </w:rPr>
              <w:t>t/a</w:t>
            </w:r>
          </w:p>
        </w:tc>
        <w:tc>
          <w:tcPr>
            <w:tcW w:w="652" w:type="pct"/>
            <w:tcBorders>
              <w:tl2br w:val="nil"/>
              <w:tr2bl w:val="nil"/>
            </w:tcBorders>
            <w:shd w:val="clear" w:color="auto" w:fill="auto"/>
            <w:noWrap/>
            <w:vAlign w:val="center"/>
          </w:tcPr>
          <w:p w14:paraId="3C48F611">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0.013</w:t>
            </w:r>
            <w:r>
              <w:rPr>
                <w:rFonts w:hint="eastAsia" w:ascii="Times New Roman" w:hAnsi="Times New Roman" w:eastAsia="宋体" w:cs="Times New Roman"/>
                <w:color w:val="auto"/>
                <w:kern w:val="2"/>
                <w:sz w:val="22"/>
                <w:szCs w:val="22"/>
                <w:highlight w:val="none"/>
                <w:lang w:val="en-US" w:eastAsia="zh-CN" w:bidi="ar-SA"/>
              </w:rPr>
              <w:t>t/a</w:t>
            </w:r>
          </w:p>
        </w:tc>
        <w:tc>
          <w:tcPr>
            <w:tcW w:w="1363" w:type="pct"/>
            <w:gridSpan w:val="2"/>
            <w:tcBorders>
              <w:tl2br w:val="nil"/>
              <w:tr2bl w:val="nil"/>
            </w:tcBorders>
            <w:shd w:val="clear" w:color="auto" w:fill="auto"/>
            <w:noWrap/>
            <w:vAlign w:val="center"/>
          </w:tcPr>
          <w:p w14:paraId="6F891526">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0.37t/a</w:t>
            </w:r>
          </w:p>
        </w:tc>
        <w:tc>
          <w:tcPr>
            <w:tcW w:w="1492" w:type="dxa"/>
            <w:tcBorders>
              <w:tl2br w:val="nil"/>
              <w:tr2bl w:val="nil"/>
            </w:tcBorders>
            <w:shd w:val="clear" w:color="auto" w:fill="auto"/>
            <w:noWrap/>
            <w:vAlign w:val="center"/>
          </w:tcPr>
          <w:p w14:paraId="36F41590">
            <w:pPr>
              <w:pStyle w:val="26"/>
              <w:keepNext w:val="0"/>
              <w:keepLines w:val="0"/>
              <w:suppressLineNumbers w:val="0"/>
              <w:spacing w:before="0" w:beforeLines="0" w:beforeAutospacing="0" w:after="0" w:afterLines="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sz w:val="22"/>
                <w:szCs w:val="22"/>
                <w:highlight w:val="none"/>
              </w:rPr>
              <w:t>0.11</w:t>
            </w:r>
            <w:r>
              <w:rPr>
                <w:rFonts w:hint="eastAsia" w:ascii="Times New Roman" w:hAnsi="Times New Roman" w:eastAsia="宋体" w:cs="Times New Roman"/>
                <w:color w:val="auto"/>
                <w:kern w:val="2"/>
                <w:sz w:val="22"/>
                <w:szCs w:val="22"/>
                <w:highlight w:val="none"/>
                <w:lang w:val="en-US" w:eastAsia="zh-CN" w:bidi="ar-SA"/>
              </w:rPr>
              <w:t>t/a</w:t>
            </w:r>
          </w:p>
        </w:tc>
      </w:tr>
      <w:tr w14:paraId="7D8CB5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0" w:hRule="atLeast"/>
        </w:trPr>
        <w:tc>
          <w:tcPr>
            <w:tcW w:w="338" w:type="pct"/>
            <w:tcBorders>
              <w:tl2br w:val="nil"/>
              <w:tr2bl w:val="nil"/>
            </w:tcBorders>
            <w:shd w:val="clear" w:color="auto" w:fill="auto"/>
            <w:noWrap/>
            <w:vAlign w:val="center"/>
          </w:tcPr>
          <w:p w14:paraId="13F84ADB">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总磷</w:t>
            </w:r>
          </w:p>
        </w:tc>
        <w:tc>
          <w:tcPr>
            <w:tcW w:w="1083" w:type="pct"/>
            <w:tcBorders>
              <w:tl2br w:val="nil"/>
              <w:tr2bl w:val="nil"/>
            </w:tcBorders>
            <w:shd w:val="clear" w:color="auto" w:fill="auto"/>
            <w:noWrap/>
            <w:vAlign w:val="center"/>
          </w:tcPr>
          <w:p w14:paraId="04398A6F">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0.033</w:t>
            </w:r>
            <w:r>
              <w:rPr>
                <w:rFonts w:hint="eastAsia" w:ascii="Times New Roman" w:hAnsi="Times New Roman" w:eastAsia="宋体" w:cs="Times New Roman"/>
                <w:color w:val="auto"/>
                <w:kern w:val="2"/>
                <w:sz w:val="22"/>
                <w:szCs w:val="22"/>
                <w:highlight w:val="none"/>
                <w:lang w:val="en-US" w:eastAsia="zh-CN" w:bidi="ar-SA"/>
              </w:rPr>
              <w:t>t/a</w:t>
            </w:r>
          </w:p>
        </w:tc>
        <w:tc>
          <w:tcPr>
            <w:tcW w:w="740" w:type="pct"/>
            <w:tcBorders>
              <w:tl2br w:val="nil"/>
              <w:tr2bl w:val="nil"/>
            </w:tcBorders>
            <w:shd w:val="clear" w:color="auto" w:fill="auto"/>
            <w:noWrap/>
            <w:vAlign w:val="center"/>
          </w:tcPr>
          <w:p w14:paraId="2636ACA9">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0.035</w:t>
            </w:r>
            <w:r>
              <w:rPr>
                <w:rFonts w:hint="eastAsia" w:ascii="Times New Roman" w:hAnsi="Times New Roman" w:eastAsia="宋体" w:cs="Times New Roman"/>
                <w:color w:val="auto"/>
                <w:kern w:val="2"/>
                <w:sz w:val="22"/>
                <w:szCs w:val="22"/>
                <w:highlight w:val="none"/>
                <w:lang w:val="en-US" w:eastAsia="zh-CN" w:bidi="ar-SA"/>
              </w:rPr>
              <w:t>t/a</w:t>
            </w:r>
          </w:p>
        </w:tc>
        <w:tc>
          <w:tcPr>
            <w:tcW w:w="652" w:type="pct"/>
            <w:tcBorders>
              <w:tl2br w:val="nil"/>
              <w:tr2bl w:val="nil"/>
            </w:tcBorders>
            <w:shd w:val="clear" w:color="auto" w:fill="auto"/>
            <w:noWrap/>
            <w:vAlign w:val="center"/>
          </w:tcPr>
          <w:p w14:paraId="672F0CE5">
            <w:pPr>
              <w:pStyle w:val="26"/>
              <w:keepNext w:val="0"/>
              <w:keepLines w:val="0"/>
              <w:suppressLineNumbers w:val="0"/>
              <w:spacing w:before="0" w:beforeAutospacing="0" w:after="0" w:afterAutospacing="0"/>
              <w:ind w:left="0" w:leftChars="0" w:right="0" w:rightChars="0"/>
              <w:rPr>
                <w:rFonts w:hint="eastAsia"/>
                <w:color w:val="auto"/>
                <w:highlight w:val="none"/>
                <w:lang w:val="en-US" w:eastAsia="zh-CN"/>
              </w:rPr>
            </w:pPr>
            <w:r>
              <w:rPr>
                <w:rFonts w:hint="eastAsia"/>
                <w:color w:val="auto"/>
                <w:highlight w:val="none"/>
                <w:lang w:val="en-US" w:eastAsia="zh-CN"/>
              </w:rPr>
              <w:t>0.002</w:t>
            </w:r>
            <w:r>
              <w:rPr>
                <w:rFonts w:hint="eastAsia" w:ascii="Times New Roman" w:hAnsi="Times New Roman" w:eastAsia="宋体" w:cs="Times New Roman"/>
                <w:color w:val="auto"/>
                <w:kern w:val="2"/>
                <w:sz w:val="22"/>
                <w:szCs w:val="22"/>
                <w:highlight w:val="none"/>
                <w:lang w:val="en-US" w:eastAsia="zh-CN" w:bidi="ar-SA"/>
              </w:rPr>
              <w:t>t/a</w:t>
            </w:r>
          </w:p>
        </w:tc>
        <w:tc>
          <w:tcPr>
            <w:tcW w:w="1363" w:type="pct"/>
            <w:gridSpan w:val="2"/>
            <w:tcBorders>
              <w:tl2br w:val="nil"/>
              <w:tr2bl w:val="nil"/>
            </w:tcBorders>
            <w:shd w:val="clear" w:color="auto" w:fill="auto"/>
            <w:noWrap/>
            <w:vAlign w:val="center"/>
          </w:tcPr>
          <w:p w14:paraId="17C1360F">
            <w:pPr>
              <w:keepNext w:val="0"/>
              <w:keepLines w:val="0"/>
              <w:widowControl w:val="0"/>
              <w:suppressLineNumbers w:val="0"/>
              <w:pBdr>
                <w:top w:val="none" w:color="auto" w:sz="0" w:space="1"/>
                <w:left w:val="none" w:color="auto" w:sz="0" w:space="4"/>
                <w:bottom w:val="none" w:color="auto" w:sz="0" w:space="1"/>
                <w:right w:val="none" w:color="auto" w:sz="0" w:space="4"/>
              </w:pBdr>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w:t>
            </w:r>
          </w:p>
        </w:tc>
        <w:tc>
          <w:tcPr>
            <w:tcW w:w="1492" w:type="dxa"/>
            <w:tcBorders>
              <w:tl2br w:val="nil"/>
              <w:tr2bl w:val="nil"/>
            </w:tcBorders>
            <w:shd w:val="clear" w:color="auto" w:fill="auto"/>
            <w:noWrap/>
            <w:vAlign w:val="center"/>
          </w:tcPr>
          <w:p w14:paraId="3B8E7D10">
            <w:pPr>
              <w:pStyle w:val="26"/>
              <w:keepNext w:val="0"/>
              <w:keepLines w:val="0"/>
              <w:suppressLineNumbers w:val="0"/>
              <w:spacing w:before="0" w:beforeLines="0" w:beforeAutospacing="0" w:after="0" w:afterLines="0" w:afterAutospacing="0"/>
              <w:ind w:left="0" w:leftChars="0" w:right="0" w:rightChars="0"/>
              <w:rPr>
                <w:rFonts w:hint="eastAsia" w:cs="Times New Roman"/>
                <w:color w:val="auto"/>
                <w:kern w:val="2"/>
                <w:sz w:val="22"/>
                <w:szCs w:val="22"/>
                <w:highlight w:val="none"/>
                <w:lang w:val="en-US" w:eastAsia="zh-CN" w:bidi="ar-SA"/>
              </w:rPr>
            </w:pPr>
            <w:r>
              <w:rPr>
                <w:rFonts w:hint="eastAsia"/>
                <w:color w:val="auto"/>
                <w:sz w:val="22"/>
                <w:szCs w:val="22"/>
                <w:highlight w:val="none"/>
              </w:rPr>
              <w:t>-0.03</w:t>
            </w:r>
            <w:r>
              <w:rPr>
                <w:rFonts w:hint="eastAsia" w:ascii="Times New Roman" w:hAnsi="Times New Roman" w:eastAsia="宋体" w:cs="Times New Roman"/>
                <w:color w:val="auto"/>
                <w:kern w:val="2"/>
                <w:sz w:val="22"/>
                <w:szCs w:val="22"/>
                <w:highlight w:val="none"/>
                <w:lang w:val="en-US" w:eastAsia="zh-CN" w:bidi="ar-SA"/>
              </w:rPr>
              <w:t>t/a</w:t>
            </w:r>
          </w:p>
        </w:tc>
      </w:tr>
    </w:tbl>
    <w:p w14:paraId="527BA65E">
      <w:pPr>
        <w:pStyle w:val="2"/>
        <w:rPr>
          <w:rFonts w:hint="default"/>
          <w:color w:val="auto"/>
          <w:highlight w:val="none"/>
          <w:lang w:val="en-US" w:eastAsia="zh-CN"/>
        </w:rPr>
      </w:pPr>
    </w:p>
    <w:p w14:paraId="00736C05">
      <w:pPr>
        <w:pStyle w:val="36"/>
        <w:bidi w:val="0"/>
        <w:rPr>
          <w:rFonts w:hint="eastAsia" w:ascii="Times New Roman" w:hAnsi="Times New Roman" w:cs="Times New Roman"/>
          <w:color w:val="auto"/>
          <w:highlight w:val="none"/>
          <w:lang w:val="en-US" w:eastAsia="zh-CN"/>
        </w:rPr>
      </w:pPr>
      <w:bookmarkStart w:id="67" w:name="_Toc2657"/>
      <w:r>
        <w:rPr>
          <w:rFonts w:hint="eastAsia" w:ascii="Times New Roman" w:hAnsi="Times New Roman" w:cs="Times New Roman"/>
          <w:color w:val="auto"/>
          <w:highlight w:val="none"/>
          <w:lang w:val="en-US" w:eastAsia="zh-CN"/>
        </w:rPr>
        <w:t>入河排污口设置对水质的影响</w:t>
      </w:r>
      <w:bookmarkEnd w:id="67"/>
    </w:p>
    <w:p w14:paraId="01B06EA4">
      <w:pPr>
        <w:pStyle w:val="2"/>
        <w:rPr>
          <w:rFonts w:hint="eastAsia"/>
          <w:color w:val="auto"/>
          <w:highlight w:val="none"/>
          <w:lang w:val="en-US" w:eastAsia="zh-CN"/>
        </w:rPr>
      </w:pPr>
      <w:r>
        <w:rPr>
          <w:rFonts w:hint="eastAsia"/>
          <w:color w:val="auto"/>
          <w:highlight w:val="none"/>
          <w:lang w:val="en-US" w:eastAsia="zh-CN"/>
        </w:rPr>
        <w:t>根据预测，各预测断面锑浓度均有所下降，虽仍处于超标状态，但区域地表水环境质量有所改善。</w:t>
      </w:r>
    </w:p>
    <w:p w14:paraId="442979CD">
      <w:pPr>
        <w:pStyle w:val="36"/>
        <w:bidi w:val="0"/>
        <w:rPr>
          <w:rFonts w:hint="eastAsia" w:ascii="Times New Roman" w:hAnsi="Times New Roman" w:cs="Times New Roman"/>
          <w:color w:val="auto"/>
          <w:highlight w:val="none"/>
          <w:lang w:val="en-US" w:eastAsia="zh-CN"/>
        </w:rPr>
      </w:pPr>
      <w:bookmarkStart w:id="68" w:name="_Toc26412"/>
      <w:r>
        <w:rPr>
          <w:rFonts w:hint="eastAsia" w:ascii="Times New Roman" w:hAnsi="Times New Roman" w:cs="Times New Roman"/>
          <w:color w:val="auto"/>
          <w:highlight w:val="none"/>
          <w:lang w:val="en-US" w:eastAsia="zh-CN"/>
        </w:rPr>
        <w:t>入河排污口设置对水生态的影响</w:t>
      </w:r>
      <w:bookmarkEnd w:id="68"/>
    </w:p>
    <w:p w14:paraId="2AFFADE9">
      <w:pPr>
        <w:pStyle w:val="2"/>
        <w:rPr>
          <w:rFonts w:hint="eastAsia"/>
          <w:color w:val="auto"/>
          <w:highlight w:val="none"/>
          <w:lang w:val="en-US" w:eastAsia="zh-CN"/>
        </w:rPr>
      </w:pPr>
      <w:r>
        <w:rPr>
          <w:rFonts w:hint="eastAsia"/>
          <w:color w:val="auto"/>
          <w:highlight w:val="none"/>
          <w:lang w:val="en-US" w:eastAsia="zh-CN"/>
        </w:rPr>
        <w:t>经调查，本项目排污口论证评价范围内无集中饮用水取水口，无其它生活和工业取水口，亦无现状养殖或规划养殖区。不涉及珍稀水生生物栖息地、鱼类产卵场、越冬场、洄游通道、索饵场等生态敏感点。上游0.5km至下游41.255km范围内无饮用水源取水口。生活饮用水源地、风景名胜区水体、重要渔业水体和其他有特殊经济文化价值的水体的保护区，渣滓溪、白茅溪、奎溪、洋溪流域常见的水生生物有小鱼小虾以及水藻等，无珍稀水生生物及鱼类。</w:t>
      </w:r>
    </w:p>
    <w:p w14:paraId="5560010A">
      <w:pPr>
        <w:pStyle w:val="2"/>
        <w:rPr>
          <w:rFonts w:hint="eastAsia"/>
          <w:color w:val="auto"/>
          <w:highlight w:val="none"/>
          <w:lang w:val="en-US" w:eastAsia="zh-CN"/>
        </w:rPr>
      </w:pPr>
      <w:r>
        <w:rPr>
          <w:rFonts w:hint="eastAsia"/>
          <w:color w:val="auto"/>
          <w:highlight w:val="none"/>
          <w:lang w:val="en-US" w:eastAsia="zh-CN"/>
        </w:rPr>
        <w:t>本项目废污水为经处理后汇入渣滓溪、进入白茅溪以及奎溪，汇入后经计算地表水水质均有所改善，水温不会出现明显变化，排入河流水体时，不会对珍稀水生动植物、鱼类生存发育影响，废污水排放不会对水生生物生产力、生物多样性产生影响。</w:t>
      </w:r>
    </w:p>
    <w:p w14:paraId="0B4E0DBA">
      <w:pPr>
        <w:pStyle w:val="36"/>
        <w:bidi w:val="0"/>
        <w:rPr>
          <w:rFonts w:hint="eastAsia" w:ascii="Times New Roman" w:hAnsi="Times New Roman" w:cs="Times New Roman"/>
          <w:color w:val="auto"/>
          <w:highlight w:val="none"/>
          <w:lang w:val="en-US" w:eastAsia="zh-CN"/>
        </w:rPr>
      </w:pPr>
      <w:bookmarkStart w:id="69" w:name="_Toc24403"/>
      <w:r>
        <w:rPr>
          <w:rFonts w:hint="eastAsia" w:ascii="Times New Roman" w:hAnsi="Times New Roman" w:cs="Times New Roman"/>
          <w:color w:val="auto"/>
          <w:highlight w:val="none"/>
          <w:lang w:val="en-US" w:eastAsia="zh-CN"/>
        </w:rPr>
        <w:t>入河排污口设置对地下水的影响</w:t>
      </w:r>
      <w:bookmarkEnd w:id="69"/>
    </w:p>
    <w:p w14:paraId="1AD2F93D">
      <w:pPr>
        <w:pStyle w:val="2"/>
        <w:bidi w:val="0"/>
        <w:rPr>
          <w:color w:val="auto"/>
          <w:highlight w:val="none"/>
          <w:lang w:eastAsia="en-US"/>
        </w:rPr>
      </w:pPr>
      <w:r>
        <w:rPr>
          <w:color w:val="auto"/>
          <w:highlight w:val="none"/>
          <w:lang w:eastAsia="en-US"/>
        </w:rPr>
        <w:t>本排污口河段不属于饮用水水源保护区及其他需要保护的地热水、矿泉等区域，排污口附近有没有地下水出露点，其对区域的地下水水位的影响较小，不会造成地面沉降、地裂缝、土地盐渍化、沼泽化等环境水文地质问题，地下水的污染主要体现在运行期间污水管网破裂或渗漏造成的地下水质污染。</w:t>
      </w:r>
    </w:p>
    <w:p w14:paraId="622E801C">
      <w:pPr>
        <w:pStyle w:val="2"/>
        <w:bidi w:val="0"/>
        <w:rPr>
          <w:color w:val="auto"/>
          <w:highlight w:val="none"/>
          <w:lang w:eastAsia="en-US"/>
        </w:rPr>
      </w:pPr>
      <w:r>
        <w:rPr>
          <w:color w:val="auto"/>
          <w:highlight w:val="none"/>
          <w:lang w:eastAsia="en-US"/>
        </w:rPr>
        <w:t>本项目不开采地下水，同时也无注入地下水，不会引起地下水流场或地下水水位变化，因此也不会导致因水位的变化而产生的环境水文地质问题。同时，本项目废水经管道输送，管道和处理设施均做好防渗防腐措施，因此本项目污染地下水的可能途径较少。</w:t>
      </w:r>
    </w:p>
    <w:p w14:paraId="0F1723AA">
      <w:pPr>
        <w:pStyle w:val="2"/>
        <w:bidi w:val="0"/>
        <w:rPr>
          <w:color w:val="auto"/>
          <w:highlight w:val="none"/>
          <w:lang w:eastAsia="en-US"/>
        </w:rPr>
      </w:pPr>
      <w:r>
        <w:rPr>
          <w:color w:val="auto"/>
          <w:highlight w:val="none"/>
          <w:lang w:eastAsia="en-US"/>
        </w:rPr>
        <w:t>根据建设地水文地质资料可知，贮存在渗滤液收集池及管网中污水发生渗漏时，大的单个污染物溶质质点通过孔隙在地下水中发生运移，上层滞水埋藏于粘性层中，粘性土层渗透性较差，因此流速较小，污染物以分子扩散的水动力弥散型式在地下水中缓慢行进。厂区孔隙承压水含水层为粉质粘土层，防渗性能较好，通过项目建设地场地地基采取防渗处理，厂区地面水泥硬化，污水管道按规范工防止渗漏，对地下水影响较小。</w:t>
      </w:r>
    </w:p>
    <w:p w14:paraId="30056023">
      <w:pPr>
        <w:pStyle w:val="2"/>
        <w:bidi w:val="0"/>
        <w:rPr>
          <w:color w:val="auto"/>
          <w:highlight w:val="none"/>
          <w:lang w:eastAsia="en-US"/>
        </w:rPr>
      </w:pPr>
      <w:r>
        <w:rPr>
          <w:color w:val="auto"/>
          <w:highlight w:val="none"/>
          <w:lang w:eastAsia="en-US"/>
        </w:rPr>
        <w:t>本项目纳污水体范围内，没有以取地下水作为集中生活、生产用水，亦不存在国家或地方政府设定的与地下水环境相关的其它保护区。零散分布的居民一般取用自来水作生活饮用水，项目排水对居民生活影响不大。项目总体上对对区域地下水资源的利用影响很小。</w:t>
      </w:r>
    </w:p>
    <w:p w14:paraId="701D19BA">
      <w:pPr>
        <w:pStyle w:val="36"/>
        <w:bidi w:val="0"/>
        <w:rPr>
          <w:rFonts w:hint="default"/>
          <w:u w:val="single"/>
          <w:lang w:val="en-US" w:eastAsia="zh-CN"/>
        </w:rPr>
      </w:pPr>
      <w:bookmarkStart w:id="70" w:name="_Toc4726"/>
      <w:r>
        <w:rPr>
          <w:rFonts w:hint="eastAsia"/>
          <w:u w:val="single"/>
          <w:lang w:val="en-US" w:eastAsia="zh-CN"/>
        </w:rPr>
        <w:t>入河排污口设置合理性和环境可行性</w:t>
      </w:r>
      <w:bookmarkEnd w:id="70"/>
    </w:p>
    <w:p w14:paraId="32C26E77">
      <w:pPr>
        <w:pStyle w:val="2"/>
        <w:bidi w:val="0"/>
        <w:rPr>
          <w:rFonts w:hint="eastAsia"/>
          <w:color w:val="auto"/>
          <w:highlight w:val="none"/>
          <w:u w:val="single"/>
          <w:lang w:val="en-US" w:eastAsia="zh-CN"/>
        </w:rPr>
      </w:pPr>
      <w:r>
        <w:rPr>
          <w:rFonts w:hint="eastAsia"/>
          <w:color w:val="auto"/>
          <w:highlight w:val="none"/>
          <w:u w:val="single"/>
          <w:lang w:val="en-US" w:eastAsia="zh-CN"/>
        </w:rPr>
        <w:t>本项目排污口论证评价范围内无集中饮用水取水口，无其它生活和工业取水口，亦无现状养殖或规划养殖区。不涉及珍稀水生生物栖息地、鱼类产卵场、越冬场、洄游通道、索饵场等生态敏感点。</w:t>
      </w:r>
    </w:p>
    <w:p w14:paraId="617CA0D9">
      <w:pPr>
        <w:pStyle w:val="2"/>
        <w:bidi w:val="0"/>
        <w:rPr>
          <w:rFonts w:hint="default"/>
          <w:color w:val="auto"/>
          <w:highlight w:val="none"/>
          <w:u w:val="single"/>
          <w:lang w:val="en-US" w:eastAsia="zh-CN"/>
        </w:rPr>
      </w:pPr>
      <w:r>
        <w:rPr>
          <w:rFonts w:hint="eastAsia"/>
          <w:color w:val="auto"/>
          <w:highlight w:val="none"/>
          <w:u w:val="single"/>
          <w:lang w:val="en-US" w:eastAsia="zh-CN"/>
        </w:rPr>
        <w:t>根据预测，各预测断面锑浓度均有所下降，虽仍处于超标状态，但区域地表水环境质量有所改善。对水生生态、地下水的影响较小。</w:t>
      </w:r>
    </w:p>
    <w:p w14:paraId="47AC90F3">
      <w:pPr>
        <w:pStyle w:val="2"/>
        <w:bidi w:val="0"/>
        <w:rPr>
          <w:rFonts w:hint="default"/>
          <w:color w:val="auto"/>
          <w:highlight w:val="none"/>
          <w:u w:val="single"/>
          <w:lang w:val="en-US" w:eastAsia="zh-CN"/>
        </w:rPr>
      </w:pPr>
      <w:r>
        <w:rPr>
          <w:rFonts w:hint="eastAsia"/>
          <w:color w:val="auto"/>
          <w:highlight w:val="none"/>
          <w:u w:val="single"/>
          <w:lang w:val="en-US" w:eastAsia="zh-CN"/>
        </w:rPr>
        <w:t>因此，本项目河排污口设置合理、具有环境可行性。</w:t>
      </w:r>
    </w:p>
    <w:p w14:paraId="4569C830">
      <w:pPr>
        <w:pStyle w:val="35"/>
        <w:bidi w:val="0"/>
        <w:rPr>
          <w:rFonts w:hint="eastAsia" w:ascii="Times New Roman" w:hAnsi="Times New Roman" w:cs="Times New Roman"/>
          <w:color w:val="auto"/>
          <w:highlight w:val="none"/>
          <w:lang w:val="en-US" w:eastAsia="zh-CN"/>
        </w:rPr>
      </w:pPr>
      <w:bookmarkStart w:id="71" w:name="_Toc4277"/>
      <w:r>
        <w:rPr>
          <w:rFonts w:hint="eastAsia" w:ascii="Times New Roman" w:hAnsi="Times New Roman" w:cs="Times New Roman"/>
          <w:color w:val="auto"/>
          <w:highlight w:val="none"/>
          <w:lang w:val="en-US" w:eastAsia="zh-CN"/>
        </w:rPr>
        <w:t>入河排污口设置对有利害关系的第三者权益的影响分析</w:t>
      </w:r>
      <w:bookmarkEnd w:id="71"/>
    </w:p>
    <w:p w14:paraId="03B96CF1">
      <w:pPr>
        <w:pStyle w:val="2"/>
        <w:bidi w:val="0"/>
        <w:rPr>
          <w:color w:val="auto"/>
          <w:highlight w:val="none"/>
          <w:lang w:eastAsia="en-US"/>
        </w:rPr>
      </w:pPr>
      <w:r>
        <w:rPr>
          <w:color w:val="auto"/>
          <w:highlight w:val="none"/>
          <w:lang w:eastAsia="en-US"/>
        </w:rPr>
        <w:t>论证区域水体的主要用途为农业灌溉用水，</w:t>
      </w:r>
      <w:r>
        <w:rPr>
          <w:rFonts w:hint="eastAsia"/>
          <w:color w:val="auto"/>
          <w:highlight w:val="none"/>
          <w:lang w:val="en-US" w:eastAsia="zh-CN"/>
        </w:rPr>
        <w:t>渣滓溪、白茅溪、奎溪</w:t>
      </w:r>
      <w:r>
        <w:rPr>
          <w:color w:val="auto"/>
          <w:highlight w:val="none"/>
          <w:lang w:eastAsia="en-US"/>
        </w:rPr>
        <w:t>未划分水功能，</w:t>
      </w:r>
      <w:r>
        <w:rPr>
          <w:rFonts w:hint="eastAsia"/>
          <w:color w:val="auto"/>
          <w:highlight w:val="none"/>
          <w:lang w:val="en-US" w:eastAsia="zh-CN"/>
        </w:rPr>
        <w:t>洋溪、资江执行</w:t>
      </w:r>
      <w:r>
        <w:rPr>
          <w:color w:val="auto"/>
          <w:highlight w:val="none"/>
          <w:lang w:eastAsia="en-US"/>
        </w:rPr>
        <w:t>地表水III</w:t>
      </w:r>
      <w:r>
        <w:rPr>
          <w:rFonts w:hint="eastAsia"/>
          <w:color w:val="auto"/>
          <w:highlight w:val="none"/>
          <w:lang w:val="en-US" w:eastAsia="zh-CN"/>
        </w:rPr>
        <w:t>类</w:t>
      </w:r>
      <w:r>
        <w:rPr>
          <w:color w:val="auto"/>
          <w:highlight w:val="none"/>
          <w:lang w:eastAsia="en-US"/>
        </w:rPr>
        <w:t>标准</w:t>
      </w:r>
      <w:r>
        <w:rPr>
          <w:rFonts w:hint="eastAsia"/>
          <w:color w:val="auto"/>
          <w:highlight w:val="none"/>
          <w:lang w:eastAsia="zh-CN"/>
        </w:rPr>
        <w:t>。</w:t>
      </w:r>
      <w:r>
        <w:rPr>
          <w:color w:val="auto"/>
          <w:highlight w:val="none"/>
          <w:lang w:eastAsia="en-US"/>
        </w:rPr>
        <w:t>根据地表水现状监测，</w:t>
      </w:r>
      <w:r>
        <w:rPr>
          <w:rFonts w:hint="eastAsia"/>
          <w:color w:val="auto"/>
          <w:highlight w:val="none"/>
          <w:lang w:val="en-US" w:eastAsia="zh-CN"/>
        </w:rPr>
        <w:t>下游水体</w:t>
      </w:r>
      <w:r>
        <w:rPr>
          <w:color w:val="auto"/>
          <w:highlight w:val="none"/>
          <w:lang w:eastAsia="en-US"/>
        </w:rPr>
        <w:t>目前水质除锑超标外，其余因子均能达到地表水III</w:t>
      </w:r>
      <w:r>
        <w:rPr>
          <w:rFonts w:hint="eastAsia"/>
          <w:color w:val="auto"/>
          <w:highlight w:val="none"/>
          <w:lang w:val="en-US" w:eastAsia="zh-CN"/>
        </w:rPr>
        <w:t>类</w:t>
      </w:r>
      <w:r>
        <w:rPr>
          <w:color w:val="auto"/>
          <w:highlight w:val="none"/>
          <w:lang w:eastAsia="en-US"/>
        </w:rPr>
        <w:t>标准，因此，</w:t>
      </w:r>
      <w:r>
        <w:rPr>
          <w:rFonts w:hint="eastAsia"/>
          <w:color w:val="auto"/>
          <w:highlight w:val="none"/>
          <w:lang w:val="en-US" w:eastAsia="en-US"/>
        </w:rPr>
        <w:t>渣滓溪、白茅溪、奎溪</w:t>
      </w:r>
      <w:r>
        <w:rPr>
          <w:rFonts w:hint="eastAsia"/>
          <w:color w:val="auto"/>
          <w:highlight w:val="none"/>
          <w:lang w:val="en-US" w:eastAsia="zh-CN"/>
        </w:rPr>
        <w:t>、洋溪、资江</w:t>
      </w:r>
      <w:r>
        <w:rPr>
          <w:color w:val="auto"/>
          <w:highlight w:val="none"/>
          <w:lang w:eastAsia="en-US"/>
        </w:rPr>
        <w:t>现状水质目标为III类标准。</w:t>
      </w:r>
      <w:r>
        <w:rPr>
          <w:rFonts w:hint="eastAsia"/>
          <w:color w:val="auto"/>
          <w:highlight w:val="none"/>
          <w:lang w:val="en-US" w:eastAsia="zh-CN"/>
        </w:rPr>
        <w:t>项目区域及矿区</w:t>
      </w:r>
      <w:r>
        <w:rPr>
          <w:color w:val="auto"/>
          <w:highlight w:val="none"/>
          <w:lang w:eastAsia="en-US"/>
        </w:rPr>
        <w:t>范围内没有基本农田、没有铁路通过；与生态保护红线关系信息无重叠；与自然保护地关系信息无重叠；与自然保护地-风景名胜区关系信息无重叠。经调查，</w:t>
      </w:r>
      <w:r>
        <w:rPr>
          <w:rFonts w:hint="eastAsia"/>
          <w:color w:val="auto"/>
          <w:highlight w:val="none"/>
          <w:lang w:val="en-US" w:eastAsia="zh-CN"/>
        </w:rPr>
        <w:t>论证</w:t>
      </w:r>
      <w:r>
        <w:rPr>
          <w:color w:val="auto"/>
          <w:highlight w:val="none"/>
          <w:lang w:eastAsia="en-US"/>
        </w:rPr>
        <w:t>范围内无集中饮用水取水口，无其它集中生活取水口和工业取水口，亦无现状养殖或规划养殖区。本项目排污口上游0.5km至下游</w:t>
      </w:r>
      <w:r>
        <w:rPr>
          <w:rFonts w:hint="eastAsia"/>
          <w:color w:val="auto"/>
          <w:highlight w:val="none"/>
          <w:lang w:val="en-US" w:eastAsia="zh-CN"/>
        </w:rPr>
        <w:t>41</w:t>
      </w:r>
      <w:r>
        <w:rPr>
          <w:color w:val="auto"/>
          <w:highlight w:val="none"/>
          <w:lang w:eastAsia="en-US"/>
        </w:rPr>
        <w:t>.</w:t>
      </w:r>
      <w:r>
        <w:rPr>
          <w:rFonts w:hint="eastAsia"/>
          <w:color w:val="auto"/>
          <w:highlight w:val="none"/>
          <w:lang w:val="en-US" w:eastAsia="zh-CN"/>
        </w:rPr>
        <w:t>25</w:t>
      </w:r>
      <w:r>
        <w:rPr>
          <w:color w:val="auto"/>
          <w:highlight w:val="none"/>
          <w:lang w:eastAsia="en-US"/>
        </w:rPr>
        <w:t>5km范围内无饮用水源取水口。因此，本项目废水经排污口后正常排放情况下，区域水质能满足用水要求，对水功能区水质、生态以及第三者权益三方面产生的影响极小。建设单位需要对入河污水进行妥善处理与监控，严格控制污水水质达标排放，将基本不会对江河水功能区水质、生态产生不良影响。</w:t>
      </w:r>
    </w:p>
    <w:p w14:paraId="7DC8B1C2">
      <w:pPr>
        <w:pStyle w:val="2"/>
        <w:bidi w:val="0"/>
        <w:rPr>
          <w:color w:val="auto"/>
          <w:highlight w:val="none"/>
          <w:lang w:eastAsia="en-US"/>
        </w:rPr>
      </w:pPr>
      <w:r>
        <w:rPr>
          <w:color w:val="auto"/>
          <w:highlight w:val="none"/>
          <w:lang w:eastAsia="en-US"/>
        </w:rPr>
        <w:t>本项目区域内居民较少，分散居住，目前矿业采选活动未影响到矿区及周边的生产生活用水，居民一般取用自来水作生活饮用水，本项目排水不会对居民饮用水造成影响。</w:t>
      </w:r>
    </w:p>
    <w:p w14:paraId="0E952AB9">
      <w:pPr>
        <w:pStyle w:val="2"/>
        <w:bidi w:val="0"/>
        <w:rPr>
          <w:rFonts w:hint="default" w:eastAsia="宋体"/>
          <w:color w:val="auto"/>
          <w:highlight w:val="none"/>
          <w:lang w:val="en-US" w:eastAsia="zh-CN"/>
        </w:rPr>
      </w:pPr>
      <w:r>
        <w:rPr>
          <w:rFonts w:hint="eastAsia"/>
          <w:color w:val="auto"/>
          <w:highlight w:val="none"/>
          <w:lang w:val="en-US" w:eastAsia="zh-CN"/>
        </w:rPr>
        <w:t>项目附近的奎溪镇，其饮水水源与渣滓溪无水力联系，本项目排放废水，不会对其饮水造成影响。</w:t>
      </w:r>
    </w:p>
    <w:p w14:paraId="16EE2EE4">
      <w:pPr>
        <w:pStyle w:val="2"/>
        <w:bidi w:val="0"/>
        <w:rPr>
          <w:color w:val="auto"/>
          <w:highlight w:val="none"/>
          <w:lang w:eastAsia="en-US"/>
        </w:rPr>
      </w:pPr>
      <w:r>
        <w:rPr>
          <w:color w:val="auto"/>
          <w:highlight w:val="none"/>
          <w:lang w:eastAsia="en-US"/>
        </w:rPr>
        <w:t>本项目建设会在一定的程度上提高人民生活水平、促进当地的经济发展，增加就业机会。项目落实防治措施，保证污染防治装置稳定运行，污染物都能达标排放，项目的建设是可行的。</w:t>
      </w:r>
    </w:p>
    <w:p w14:paraId="5BA57EC2">
      <w:pPr>
        <w:pStyle w:val="2"/>
        <w:bidi w:val="0"/>
        <w:rPr>
          <w:color w:val="auto"/>
          <w:highlight w:val="none"/>
          <w:lang w:eastAsia="en-US"/>
        </w:rPr>
      </w:pPr>
      <w:r>
        <w:rPr>
          <w:color w:val="auto"/>
          <w:highlight w:val="none"/>
          <w:lang w:eastAsia="en-US"/>
        </w:rPr>
        <w:t>综上分析，本项目入河排污口的设置对第三者影响较小，但是要采取适当措施，避免水环境污染物浓度超标；加强管理，避免发生非正常排放事故。</w:t>
      </w:r>
    </w:p>
    <w:p w14:paraId="4DE4F84B">
      <w:pPr>
        <w:pStyle w:val="2"/>
        <w:rPr>
          <w:rFonts w:hint="eastAsia"/>
          <w:color w:val="auto"/>
          <w:highlight w:val="none"/>
          <w:lang w:val="en-US" w:eastAsia="zh-CN"/>
        </w:rPr>
      </w:pPr>
    </w:p>
    <w:p w14:paraId="06A41450">
      <w:pPr>
        <w:pStyle w:val="36"/>
        <w:bidi w:val="0"/>
        <w:rPr>
          <w:rFonts w:hint="eastAsia" w:ascii="Times New Roman" w:hAnsi="Times New Roman" w:cs="Times New Roman"/>
          <w:color w:val="auto"/>
          <w:highlight w:val="none"/>
          <w:lang w:val="en-US" w:eastAsia="zh-CN"/>
        </w:rPr>
      </w:pPr>
      <w:bookmarkStart w:id="72" w:name="_Toc20399"/>
      <w:r>
        <w:rPr>
          <w:rFonts w:hint="eastAsia" w:ascii="Times New Roman" w:hAnsi="Times New Roman" w:cs="Times New Roman"/>
          <w:color w:val="auto"/>
          <w:highlight w:val="none"/>
          <w:lang w:val="en-US" w:eastAsia="zh-CN"/>
        </w:rPr>
        <w:t>主要集中城市生活饮用水水源以及第三方取用水对入河排污口设置的制约</w:t>
      </w:r>
      <w:bookmarkEnd w:id="72"/>
    </w:p>
    <w:p w14:paraId="7118C4CD">
      <w:pPr>
        <w:pStyle w:val="2"/>
        <w:rPr>
          <w:rFonts w:hint="eastAsia"/>
          <w:color w:val="auto"/>
          <w:highlight w:val="none"/>
          <w:lang w:val="en-US" w:eastAsia="zh-CN"/>
        </w:rPr>
      </w:pPr>
      <w:r>
        <w:rPr>
          <w:rFonts w:hint="eastAsia"/>
          <w:color w:val="auto"/>
          <w:highlight w:val="none"/>
          <w:lang w:val="en-US" w:eastAsia="zh-CN"/>
        </w:rPr>
        <w:t>本次排污口论证范围主要地表水体为渣滓溪、白茅溪、奎溪、洋溪、资江，根据现场调查，论证水域内本项目排污口下游内无集中式饮用水源取水口、饮用水水源保护区，无其它集中生活用水和工业用水取水口，亦无现状养殖或规划养殖区，论证范围河段对取水水质无特殊要求。本项目排污口上游0.5km至排污口下游41.255km范围内无饮用水源取水口。</w:t>
      </w:r>
    </w:p>
    <w:p w14:paraId="438B2270">
      <w:pPr>
        <w:pStyle w:val="2"/>
        <w:rPr>
          <w:rFonts w:hint="eastAsia"/>
          <w:color w:val="auto"/>
          <w:highlight w:val="none"/>
          <w:lang w:val="en-US" w:eastAsia="zh-CN"/>
        </w:rPr>
      </w:pPr>
      <w:r>
        <w:rPr>
          <w:rFonts w:hint="eastAsia"/>
          <w:color w:val="auto"/>
          <w:highlight w:val="none"/>
          <w:lang w:val="en-US" w:eastAsia="zh-CN"/>
        </w:rPr>
        <w:t>奎溪镇区居民生活用水通过奎溪镇水厂供给，取水口取自白茅溪，位于渣滓溪汇入白茅溪上游约1.3km。其他居民均取用自来水作为生活饮用水。本项目入河排污口不会对居民饮用水造成影响。</w:t>
      </w:r>
    </w:p>
    <w:p w14:paraId="24A9D077">
      <w:pPr>
        <w:pStyle w:val="2"/>
        <w:rPr>
          <w:rFonts w:hint="default"/>
          <w:color w:val="auto"/>
          <w:highlight w:val="none"/>
          <w:lang w:val="en-US" w:eastAsia="zh-CN"/>
        </w:rPr>
      </w:pPr>
      <w:r>
        <w:rPr>
          <w:rFonts w:hint="eastAsia"/>
          <w:color w:val="auto"/>
          <w:highlight w:val="none"/>
          <w:lang w:val="en-US" w:eastAsia="zh-CN"/>
        </w:rPr>
        <w:t>本次排污口论证范围所在地表水水域不涉及集中式饮用水源取水口、饮用水水源保护区、第三方取水口。因此，本项目无主要集中城市生活饮用水水源以及第三方取用水对入河排污口设置的制约因素。</w:t>
      </w:r>
    </w:p>
    <w:p w14:paraId="7FE3BC05">
      <w:pPr>
        <w:pStyle w:val="36"/>
        <w:bidi w:val="0"/>
        <w:rPr>
          <w:rFonts w:hint="eastAsia" w:ascii="Times New Roman" w:hAnsi="Times New Roman" w:cs="Times New Roman"/>
          <w:color w:val="auto"/>
          <w:highlight w:val="none"/>
          <w:lang w:val="en-US" w:eastAsia="zh-CN"/>
        </w:rPr>
      </w:pPr>
      <w:bookmarkStart w:id="73" w:name="_Toc9103"/>
      <w:r>
        <w:rPr>
          <w:rFonts w:hint="eastAsia" w:ascii="Times New Roman" w:hAnsi="Times New Roman" w:cs="Times New Roman"/>
          <w:color w:val="auto"/>
          <w:highlight w:val="none"/>
          <w:lang w:val="en-US" w:eastAsia="zh-CN"/>
        </w:rPr>
        <w:t>持久性有机污染物、重金属或有毒有害水污染物对水源地的污染风险</w:t>
      </w:r>
      <w:bookmarkEnd w:id="73"/>
    </w:p>
    <w:p w14:paraId="0C3FDD0B">
      <w:pPr>
        <w:pStyle w:val="2"/>
        <w:rPr>
          <w:rFonts w:hint="default"/>
          <w:color w:val="auto"/>
          <w:highlight w:val="none"/>
          <w:lang w:val="en-US" w:eastAsia="zh-CN"/>
        </w:rPr>
      </w:pPr>
      <w:r>
        <w:rPr>
          <w:rFonts w:hint="eastAsia"/>
          <w:color w:val="auto"/>
          <w:highlight w:val="none"/>
          <w:lang w:val="en-US" w:eastAsia="zh-CN"/>
        </w:rPr>
        <w:t>根据前文可知，本项目涉及重金属污染物因子锑。根据现场调查，论证水域内本项目排污口下游内无集中式饮用水源取水口、饮用水水源保护区。因此，本项目无持久性有机染物、重金属或有毒有害水污染物对水源地的污染风险。</w:t>
      </w:r>
    </w:p>
    <w:p w14:paraId="242BD350">
      <w:pPr>
        <w:pStyle w:val="36"/>
        <w:bidi w:val="0"/>
        <w:rPr>
          <w:rFonts w:hint="eastAsia" w:ascii="Times New Roman" w:hAnsi="Times New Roman" w:cs="Times New Roman"/>
          <w:color w:val="auto"/>
          <w:highlight w:val="none"/>
          <w:u w:val="single"/>
          <w:lang w:val="en-US" w:eastAsia="zh-CN"/>
        </w:rPr>
      </w:pPr>
      <w:bookmarkStart w:id="74" w:name="_Toc31675"/>
      <w:r>
        <w:rPr>
          <w:rFonts w:hint="eastAsia" w:ascii="Times New Roman" w:hAnsi="Times New Roman" w:cs="Times New Roman"/>
          <w:color w:val="auto"/>
          <w:highlight w:val="none"/>
          <w:u w:val="single"/>
          <w:lang w:val="en-US" w:eastAsia="zh-CN"/>
        </w:rPr>
        <w:t>非正常工况排污对水功能区的影响及处置措施和对策</w:t>
      </w:r>
      <w:bookmarkEnd w:id="74"/>
    </w:p>
    <w:p w14:paraId="113BD813">
      <w:pPr>
        <w:pStyle w:val="2"/>
        <w:rPr>
          <w:rFonts w:hint="default"/>
          <w:color w:val="auto"/>
          <w:highlight w:val="none"/>
          <w:u w:val="single"/>
          <w:lang w:val="en-US" w:eastAsia="zh-CN"/>
        </w:rPr>
      </w:pPr>
      <w:r>
        <w:rPr>
          <w:rFonts w:hint="eastAsia"/>
          <w:color w:val="auto"/>
          <w:highlight w:val="none"/>
          <w:u w:val="single"/>
          <w:lang w:val="en-US" w:eastAsia="zh-CN"/>
        </w:rPr>
        <w:t>本项目非正常工况如下：</w:t>
      </w:r>
    </w:p>
    <w:p w14:paraId="31705129">
      <w:pPr>
        <w:pStyle w:val="2"/>
        <w:numPr>
          <w:ilvl w:val="0"/>
          <w:numId w:val="10"/>
        </w:numPr>
        <w:tabs>
          <w:tab w:val="clear" w:pos="0"/>
        </w:tabs>
        <w:ind w:firstLine="480"/>
        <w:rPr>
          <w:rFonts w:hint="default"/>
          <w:color w:val="auto"/>
          <w:highlight w:val="none"/>
          <w:u w:val="single"/>
          <w:lang w:val="en-US" w:eastAsia="zh-CN"/>
        </w:rPr>
      </w:pPr>
      <w:r>
        <w:rPr>
          <w:rFonts w:hint="eastAsia"/>
          <w:color w:val="auto"/>
          <w:highlight w:val="none"/>
          <w:u w:val="single"/>
          <w:lang w:val="en-US" w:eastAsia="zh-CN"/>
        </w:rPr>
        <w:t>污水处理系统失效</w:t>
      </w:r>
    </w:p>
    <w:p w14:paraId="7B030695">
      <w:pPr>
        <w:pStyle w:val="2"/>
        <w:numPr>
          <w:ilvl w:val="0"/>
          <w:numId w:val="10"/>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突发性外部事故</w:t>
      </w:r>
    </w:p>
    <w:p w14:paraId="2FE4E154">
      <w:pPr>
        <w:pStyle w:val="2"/>
        <w:numPr>
          <w:ilvl w:val="0"/>
          <w:numId w:val="10"/>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由于操作不当，出现事故性排放。</w:t>
      </w:r>
    </w:p>
    <w:p w14:paraId="14A9A7D3">
      <w:pPr>
        <w:pStyle w:val="2"/>
        <w:numPr>
          <w:ilvl w:val="0"/>
          <w:numId w:val="10"/>
        </w:numPr>
        <w:tabs>
          <w:tab w:val="clear" w:pos="0"/>
        </w:tabs>
        <w:ind w:firstLine="480"/>
        <w:rPr>
          <w:rFonts w:hint="default"/>
          <w:color w:val="auto"/>
          <w:highlight w:val="none"/>
          <w:u w:val="single"/>
          <w:lang w:val="en-US" w:eastAsia="zh-CN"/>
        </w:rPr>
      </w:pPr>
      <w:r>
        <w:rPr>
          <w:rFonts w:hint="eastAsia"/>
          <w:color w:val="auto"/>
          <w:highlight w:val="none"/>
          <w:u w:val="single"/>
          <w:lang w:val="en-US" w:eastAsia="zh-CN"/>
        </w:rPr>
        <w:t>管网破损、泄漏事故等。</w:t>
      </w:r>
    </w:p>
    <w:p w14:paraId="3D51C8FD">
      <w:pPr>
        <w:pStyle w:val="2"/>
        <w:rPr>
          <w:rFonts w:hint="default"/>
          <w:color w:val="auto"/>
          <w:highlight w:val="none"/>
          <w:u w:val="single"/>
          <w:lang w:val="en-US" w:eastAsia="zh-CN"/>
        </w:rPr>
      </w:pPr>
      <w:r>
        <w:rPr>
          <w:rFonts w:hint="eastAsia"/>
          <w:color w:val="auto"/>
          <w:highlight w:val="none"/>
          <w:u w:val="single"/>
          <w:lang w:val="en-US" w:eastAsia="zh-CN"/>
        </w:rPr>
        <w:t>为预防废水事故排放，建设单位应采取以下措施：</w:t>
      </w:r>
    </w:p>
    <w:p w14:paraId="64D3AA91">
      <w:pPr>
        <w:pStyle w:val="2"/>
        <w:numPr>
          <w:ilvl w:val="0"/>
          <w:numId w:val="11"/>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加强设备管理，严格操作规程，尽可能把事故消除在萌芽状态。</w:t>
      </w:r>
    </w:p>
    <w:p w14:paraId="1ADA9AB7">
      <w:pPr>
        <w:pStyle w:val="2"/>
        <w:numPr>
          <w:ilvl w:val="0"/>
          <w:numId w:val="11"/>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提高废水处理站运行管理水平，确保污水处理设施正常、稳定、安全运行。</w:t>
      </w:r>
    </w:p>
    <w:p w14:paraId="3482EBE6">
      <w:pPr>
        <w:pStyle w:val="2"/>
        <w:numPr>
          <w:ilvl w:val="0"/>
          <w:numId w:val="11"/>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污水处理设施发生故障时，必须即时停止生产，故障排除后才能恢复生产。</w:t>
      </w:r>
    </w:p>
    <w:p w14:paraId="5C2DCD06">
      <w:pPr>
        <w:pStyle w:val="2"/>
        <w:numPr>
          <w:ilvl w:val="0"/>
          <w:numId w:val="11"/>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选矿车间事故应急池平时保持空池状态。当废水处理站出现非正常工况时，选矿车间废水应排入事故应急池，不再排入废水处理站。</w:t>
      </w:r>
    </w:p>
    <w:p w14:paraId="2D7329C3">
      <w:pPr>
        <w:pStyle w:val="2"/>
        <w:numPr>
          <w:ilvl w:val="0"/>
          <w:numId w:val="11"/>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定期对水泵、管道等设备进行检查，保证设备正常运行。</w:t>
      </w:r>
    </w:p>
    <w:p w14:paraId="5282FE48">
      <w:pPr>
        <w:pStyle w:val="2"/>
        <w:numPr>
          <w:ilvl w:val="0"/>
          <w:numId w:val="11"/>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专人负责废水处理站的监控管理</w:t>
      </w:r>
      <w:r>
        <w:rPr>
          <w:rFonts w:hint="eastAsia" w:cs="Times New Roman"/>
          <w:color w:val="auto"/>
          <w:highlight w:val="none"/>
          <w:u w:val="single"/>
          <w:lang w:val="en-US" w:eastAsia="zh-CN"/>
        </w:rPr>
        <w:t>，定期巡检，一旦发生污水跑、冒、渗、漏，应及时采取措施，避免事故废水外排。</w:t>
      </w:r>
    </w:p>
    <w:p w14:paraId="44221F68">
      <w:pPr>
        <w:pStyle w:val="2"/>
        <w:numPr>
          <w:ilvl w:val="0"/>
          <w:numId w:val="11"/>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当废水处理站相关负责人发现出水水质异常超标时，应立即上报。生产班长在接到汇报时应立刻赶到现场检查、核实，确定水质异常后即刻向应急领导小组汇报，同时安排人员取样、拍照。工艺工程师对工艺处理环节仔细观察，分析原由，并向应急领导小组汇报。若确定因工艺设备故障或处理效率不理想对出水水质产生影响，工艺工程师应根据现有工艺设备，组织各工段对工艺设备进行修复或参数优化，化验人员根据水质污染程度每0.5~2小时取进出水水样化验。化验结果和在线监测数据应及时向益阳市生态环境局和益阳市生态环境局安化分局汇报。</w:t>
      </w:r>
    </w:p>
    <w:p w14:paraId="4694882C">
      <w:pPr>
        <w:pStyle w:val="2"/>
        <w:rPr>
          <w:rFonts w:hint="default" w:ascii="宋体" w:hAnsi="宋体" w:cs="宋体"/>
          <w:color w:val="auto"/>
          <w:highlight w:val="none"/>
          <w:lang w:val="en-US" w:eastAsia="zh-CN"/>
        </w:rPr>
      </w:pPr>
    </w:p>
    <w:p w14:paraId="18CE7938">
      <w:pPr>
        <w:pStyle w:val="36"/>
        <w:bidi w:val="0"/>
        <w:rPr>
          <w:rFonts w:hint="eastAsia" w:ascii="Times New Roman" w:hAnsi="Times New Roman" w:cs="Times New Roman"/>
          <w:color w:val="auto"/>
          <w:highlight w:val="none"/>
          <w:lang w:val="en-US" w:eastAsia="zh-CN"/>
        </w:rPr>
      </w:pPr>
      <w:bookmarkStart w:id="75" w:name="_Toc9535"/>
      <w:r>
        <w:rPr>
          <w:rFonts w:hint="eastAsia" w:ascii="Times New Roman" w:hAnsi="Times New Roman" w:cs="Times New Roman"/>
          <w:color w:val="auto"/>
          <w:highlight w:val="none"/>
          <w:lang w:val="en-US" w:eastAsia="zh-CN"/>
        </w:rPr>
        <w:t>对防洪、供水、堤防安全、河势稳定的影响</w:t>
      </w:r>
      <w:bookmarkEnd w:id="75"/>
    </w:p>
    <w:p w14:paraId="2D72A786">
      <w:pPr>
        <w:pStyle w:val="2"/>
        <w:rPr>
          <w:rFonts w:hint="eastAsia"/>
          <w:color w:val="auto"/>
          <w:highlight w:val="none"/>
          <w:lang w:val="en-US" w:eastAsia="zh-CN"/>
        </w:rPr>
      </w:pPr>
      <w:r>
        <w:rPr>
          <w:rFonts w:hint="eastAsia"/>
          <w:color w:val="auto"/>
          <w:highlight w:val="none"/>
          <w:lang w:val="en-US" w:eastAsia="zh-CN"/>
        </w:rPr>
        <w:t>本项目不涉及防洪大堤，排放水量较小，基本不会对河道防洪、堤防安全、河势稳定产生影响。</w:t>
      </w:r>
    </w:p>
    <w:p w14:paraId="7D42C93B">
      <w:pPr>
        <w:pStyle w:val="2"/>
        <w:rPr>
          <w:rFonts w:hint="eastAsia"/>
          <w:color w:val="auto"/>
          <w:highlight w:val="none"/>
          <w:lang w:val="en-US" w:eastAsia="zh-CN"/>
        </w:rPr>
      </w:pPr>
      <w:r>
        <w:rPr>
          <w:rFonts w:hint="eastAsia"/>
          <w:color w:val="auto"/>
          <w:highlight w:val="none"/>
          <w:lang w:val="en-US" w:eastAsia="zh-CN"/>
        </w:rPr>
        <w:t>根据现场调查，论证水域内本项目排污口下游内无集中式饮用水源取水口、饮用水水源保护区，因此本项目不会对供水安全造成影响。</w:t>
      </w:r>
    </w:p>
    <w:p w14:paraId="70E610CE">
      <w:pPr>
        <w:pStyle w:val="35"/>
        <w:bidi w:val="0"/>
        <w:rPr>
          <w:rFonts w:hint="eastAsia" w:ascii="Times New Roman" w:hAnsi="Times New Roman" w:cs="Times New Roman"/>
          <w:color w:val="auto"/>
          <w:highlight w:val="none"/>
          <w:lang w:val="en-US" w:eastAsia="zh-CN"/>
        </w:rPr>
      </w:pPr>
      <w:bookmarkStart w:id="76" w:name="_Toc19013"/>
      <w:r>
        <w:rPr>
          <w:rFonts w:hint="eastAsia" w:ascii="Times New Roman" w:hAnsi="Times New Roman" w:cs="Times New Roman"/>
          <w:color w:val="auto"/>
          <w:highlight w:val="none"/>
          <w:lang w:val="en-US" w:eastAsia="zh-CN"/>
        </w:rPr>
        <w:t>水质保护措施及效果分析</w:t>
      </w:r>
      <w:bookmarkEnd w:id="76"/>
    </w:p>
    <w:p w14:paraId="1E9257D6">
      <w:pPr>
        <w:pStyle w:val="36"/>
        <w:bidi w:val="0"/>
        <w:rPr>
          <w:rFonts w:hint="eastAsia" w:ascii="Times New Roman" w:hAnsi="Times New Roman" w:cs="Times New Roman"/>
          <w:color w:val="auto"/>
          <w:highlight w:val="none"/>
          <w:lang w:val="en-US" w:eastAsia="zh-CN"/>
        </w:rPr>
      </w:pPr>
      <w:bookmarkStart w:id="77" w:name="_Toc3951"/>
      <w:r>
        <w:rPr>
          <w:rFonts w:hint="eastAsia" w:ascii="Times New Roman" w:hAnsi="Times New Roman" w:cs="Times New Roman"/>
          <w:color w:val="auto"/>
          <w:highlight w:val="none"/>
          <w:lang w:val="en-US" w:eastAsia="zh-CN"/>
        </w:rPr>
        <w:t>水质保护措施</w:t>
      </w:r>
      <w:bookmarkEnd w:id="77"/>
    </w:p>
    <w:p w14:paraId="5D41A7C5">
      <w:pPr>
        <w:pStyle w:val="2"/>
        <w:rPr>
          <w:rFonts w:hint="eastAsia"/>
          <w:color w:val="auto"/>
          <w:highlight w:val="none"/>
          <w:lang w:val="en-US" w:eastAsia="zh-CN"/>
        </w:rPr>
      </w:pPr>
      <w:r>
        <w:rPr>
          <w:rFonts w:hint="eastAsia"/>
          <w:color w:val="auto"/>
          <w:highlight w:val="none"/>
          <w:lang w:val="en-US" w:eastAsia="zh-CN"/>
        </w:rPr>
        <w:t>由于下游白茅溪、奎溪、洋溪背景值已超标，预测断面现状监测值均超标，区域地表水已无环境容量。从环境管理角度，需对现状污染源进行削减。</w:t>
      </w:r>
    </w:p>
    <w:p w14:paraId="6F35F594">
      <w:pPr>
        <w:pStyle w:val="2"/>
        <w:rPr>
          <w:rFonts w:hint="eastAsia"/>
          <w:color w:val="auto"/>
          <w:highlight w:val="none"/>
          <w:lang w:val="en-US" w:eastAsia="zh-CN"/>
        </w:rPr>
      </w:pPr>
      <w:r>
        <w:rPr>
          <w:rFonts w:hint="eastAsia"/>
          <w:color w:val="auto"/>
          <w:highlight w:val="none"/>
          <w:lang w:val="en-US" w:eastAsia="zh-CN"/>
        </w:rPr>
        <w:t>根据分析，调整前，通过矿山废水处理站排放的锑为0.083t/a，通过隧洞直接排放的锑为1.454t/a，两种渠道向下游排放的锑为1.537t/a；调整后，通过矿山废水处理站排放的锑为0.130t/a，通过隧洞直接排放的锑（含未引流的渣滓溪溪水）为0.769t/a，两种渠道向下游排放的锑为0.899t/a。相较于调整前，调整后区域向下游总计减排锑为0.638t/a。</w:t>
      </w:r>
    </w:p>
    <w:p w14:paraId="0F3DFB4F">
      <w:pPr>
        <w:pStyle w:val="2"/>
        <w:rPr>
          <w:rFonts w:hint="default"/>
          <w:color w:val="auto"/>
          <w:highlight w:val="none"/>
          <w:lang w:val="en-US" w:eastAsia="zh-CN"/>
        </w:rPr>
      </w:pPr>
      <w:r>
        <w:rPr>
          <w:rFonts w:hint="eastAsia"/>
          <w:color w:val="auto"/>
          <w:highlight w:val="none"/>
          <w:lang w:val="en-US" w:eastAsia="zh-CN"/>
        </w:rPr>
        <w:t>根据预测，各预测断面锑浓度均有所下降，但仍处于超标状态。区域地表水环境质量有所改善。</w:t>
      </w:r>
    </w:p>
    <w:p w14:paraId="763A0F66">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废水处理站</w:t>
      </w:r>
      <w:r>
        <w:rPr>
          <w:rFonts w:hint="eastAsia" w:ascii="Times New Roman" w:hAnsi="Times New Roman" w:eastAsia="宋体" w:cs="Times New Roman"/>
          <w:color w:val="auto"/>
          <w:kern w:val="2"/>
          <w:sz w:val="24"/>
          <w:szCs w:val="20"/>
          <w:highlight w:val="none"/>
          <w:lang w:val="en-US" w:eastAsia="zh-CN" w:bidi="ar-SA"/>
        </w:rPr>
        <w:t>主要接纳冶炼厂区初期雨水及不能回用下的采选冶废水，设计处理能力140</w:t>
      </w:r>
      <w:r>
        <w:rPr>
          <w:rFonts w:hint="eastAsia" w:cs="Times New Roman"/>
          <w:color w:val="auto"/>
          <w:kern w:val="2"/>
          <w:sz w:val="24"/>
          <w:szCs w:val="20"/>
          <w:highlight w:val="none"/>
          <w:lang w:val="en-US" w:eastAsia="zh-CN" w:bidi="ar-SA"/>
        </w:rPr>
        <w:t>m</w:t>
      </w:r>
      <w:r>
        <w:rPr>
          <w:rFonts w:hint="eastAsia" w:cs="Times New Roman"/>
          <w:color w:val="auto"/>
          <w:kern w:val="2"/>
          <w:sz w:val="24"/>
          <w:szCs w:val="20"/>
          <w:highlight w:val="none"/>
          <w:vertAlign w:val="superscript"/>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/h，采用混凝沉淀、多种重金属共沉的集成水处理技术路线，其具体处理工艺路线见下图。</w:t>
      </w:r>
    </w:p>
    <w:p w14:paraId="6A75F128">
      <w:pPr>
        <w:widowControl w:val="0"/>
        <w:tabs>
          <w:tab w:val="left" w:pos="1021"/>
        </w:tabs>
        <w:bidi w:val="0"/>
        <w:spacing w:line="360" w:lineRule="auto"/>
        <w:ind w:firstLine="480" w:firstLineChars="200"/>
        <w:jc w:val="both"/>
        <w:outlineLvl w:val="9"/>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object>
          <v:shape id="_x0000_i1039" o:spt="75" type="#_x0000_t75" style="height:213.8pt;width:403.65pt;" o:ole="t" filled="f" o:preferrelative="t" stroked="f" coordsize="21600,21600">
            <v:path/>
            <v:fill on="f" focussize="0,0"/>
            <v:stroke on="f"/>
            <v:imagedata r:id="rId58" o:title=""/>
            <o:lock v:ext="edit" aspectratio="t"/>
            <w10:wrap type="none"/>
            <w10:anchorlock/>
          </v:shape>
          <o:OLEObject Type="Embed" ProgID="Visio.Drawing.11" ShapeID="_x0000_i1039" DrawAspect="Content" ObjectID="_1468075739" r:id="rId62">
            <o:LockedField>false</o:LockedField>
          </o:OLEObject>
        </w:object>
      </w:r>
    </w:p>
    <w:p w14:paraId="49B2BA8E">
      <w:pPr>
        <w:pStyle w:val="2"/>
        <w:rPr>
          <w:rFonts w:hint="eastAsia"/>
          <w:color w:val="auto"/>
          <w:highlight w:val="none"/>
          <w:lang w:val="en-US" w:eastAsia="zh-CN"/>
        </w:rPr>
      </w:pPr>
    </w:p>
    <w:p w14:paraId="0905C108">
      <w:pPr>
        <w:pStyle w:val="36"/>
        <w:bidi w:val="0"/>
        <w:rPr>
          <w:rFonts w:hint="eastAsia" w:ascii="Times New Roman" w:hAnsi="Times New Roman" w:cs="Times New Roman"/>
          <w:color w:val="auto"/>
          <w:highlight w:val="none"/>
          <w:lang w:val="en-US" w:eastAsia="zh-CN"/>
        </w:rPr>
      </w:pPr>
      <w:bookmarkStart w:id="78" w:name="_Toc6255"/>
      <w:r>
        <w:rPr>
          <w:rFonts w:hint="eastAsia" w:ascii="Times New Roman" w:hAnsi="Times New Roman" w:cs="Times New Roman"/>
          <w:color w:val="auto"/>
          <w:highlight w:val="none"/>
          <w:lang w:val="en-US" w:eastAsia="zh-CN"/>
        </w:rPr>
        <w:t>水质保护措施实施效果分析</w:t>
      </w:r>
      <w:bookmarkEnd w:id="78"/>
    </w:p>
    <w:p w14:paraId="62683CEC">
      <w:pPr>
        <w:pStyle w:val="2"/>
        <w:rPr>
          <w:rFonts w:hint="default"/>
          <w:color w:val="auto"/>
          <w:highlight w:val="none"/>
          <w:u w:val="single"/>
          <w:lang w:val="en-US" w:eastAsia="zh-CN"/>
        </w:rPr>
      </w:pPr>
      <w:r>
        <w:rPr>
          <w:rFonts w:hint="eastAsia"/>
          <w:color w:val="auto"/>
          <w:highlight w:val="none"/>
          <w:u w:val="single"/>
          <w:lang w:val="en-US" w:eastAsia="zh-CN"/>
        </w:rPr>
        <w:t>本项目废水处理站已建成投用，根据引用的锑矿升级改造环评的废水处理站出水浓度监测数据可知，废水处理站出水水质可满足本项目排放标准（在特别排放限值0.3mg/L的基础上，再严格50%执行，即0.15mg/L）。</w:t>
      </w:r>
    </w:p>
    <w:p w14:paraId="0AC40BEF">
      <w:pPr>
        <w:pStyle w:val="2"/>
        <w:rPr>
          <w:rFonts w:hint="eastAsia"/>
          <w:color w:val="auto"/>
          <w:highlight w:val="none"/>
          <w:u w:val="single"/>
          <w:lang w:val="en-US" w:eastAsia="zh-CN"/>
        </w:rPr>
      </w:pPr>
      <w:r>
        <w:rPr>
          <w:rFonts w:hint="eastAsia"/>
          <w:color w:val="auto"/>
          <w:highlight w:val="none"/>
          <w:u w:val="single"/>
          <w:lang w:val="en-US" w:eastAsia="zh-CN"/>
        </w:rPr>
        <w:t>由渣滓溪锑矿2023年全年月度监测报告监测结果可知，渣滓溪锑矿全年锑排放平均浓度低于本次评价执行的排放标准0.15mg/L，有3个月度监测指标超标，但均低于企业目前排污许可执行标准0.3mg/L。本次论证建议提高渣滓溪锑矿废水排放浓度要求，在特别排放限值0.3mg/L的基础上，再严格50%执行，即0.15mg/L。</w:t>
      </w:r>
    </w:p>
    <w:p w14:paraId="5C935491">
      <w:pPr>
        <w:pStyle w:val="36"/>
        <w:bidi w:val="0"/>
        <w:ind w:left="0" w:firstLine="0"/>
        <w:rPr>
          <w:rFonts w:hint="eastAsia" w:ascii="Times New Roman" w:hAnsi="Times New Roman" w:cs="Times New Roman"/>
          <w:color w:val="auto"/>
          <w:highlight w:val="none"/>
          <w:u w:val="single"/>
          <w:lang w:val="en-US" w:eastAsia="zh-CN"/>
        </w:rPr>
      </w:pPr>
      <w:bookmarkStart w:id="79" w:name="_Toc21608"/>
      <w:r>
        <w:rPr>
          <w:rFonts w:hint="eastAsia" w:ascii="Times New Roman" w:hAnsi="Times New Roman" w:cs="Times New Roman"/>
          <w:color w:val="auto"/>
          <w:highlight w:val="none"/>
          <w:u w:val="single"/>
          <w:lang w:val="en-US" w:eastAsia="zh-CN"/>
        </w:rPr>
        <w:t>水质达标保障措施</w:t>
      </w:r>
      <w:bookmarkEnd w:id="79"/>
    </w:p>
    <w:p w14:paraId="2612B199">
      <w:pPr>
        <w:pStyle w:val="2"/>
        <w:bidi w:val="0"/>
        <w:rPr>
          <w:rFonts w:hint="default"/>
          <w:u w:val="single"/>
          <w:lang w:val="en-US" w:eastAsia="zh-CN"/>
        </w:rPr>
      </w:pPr>
      <w:r>
        <w:rPr>
          <w:rFonts w:hint="default"/>
          <w:u w:val="single"/>
          <w:lang w:val="en-US" w:eastAsia="zh-CN"/>
        </w:rPr>
        <w:t>根据2023年例行监测结果，废水处理站排放废水中，除部分月度锑超标外，其他监测因子均满足《</w:t>
      </w:r>
      <w:r>
        <w:rPr>
          <w:rFonts w:hint="default"/>
          <w:u w:val="single"/>
          <w:lang w:val="en-US" w:eastAsia="zh-CN"/>
        </w:rPr>
        <w:fldChar w:fldCharType="begin"/>
      </w:r>
      <w:r>
        <w:rPr>
          <w:rFonts w:hint="default"/>
          <w:u w:val="single"/>
          <w:lang w:val="en-US" w:eastAsia="zh-CN"/>
        </w:rPr>
        <w:instrText xml:space="preserve"> HYPERLINK "http://kjs.mep.gov.cn/hjbhbz/bzwb/dqhjbh/dqgdwrywrwpfbz/201405/W020140530533213253195.pdf" </w:instrText>
      </w:r>
      <w:r>
        <w:rPr>
          <w:rFonts w:hint="default"/>
          <w:u w:val="single"/>
          <w:lang w:val="en-US" w:eastAsia="zh-CN"/>
        </w:rPr>
        <w:fldChar w:fldCharType="separate"/>
      </w:r>
      <w:r>
        <w:rPr>
          <w:rFonts w:hint="default"/>
          <w:u w:val="single"/>
          <w:lang w:val="en-US" w:eastAsia="zh-CN"/>
        </w:rPr>
        <w:t>锡、锑、汞工业污染物排放标准</w:t>
      </w:r>
      <w:r>
        <w:rPr>
          <w:rFonts w:hint="default"/>
          <w:u w:val="single"/>
          <w:lang w:val="en-US" w:eastAsia="zh-CN"/>
        </w:rPr>
        <w:fldChar w:fldCharType="end"/>
      </w:r>
      <w:r>
        <w:rPr>
          <w:rFonts w:hint="default"/>
          <w:u w:val="single"/>
          <w:lang w:val="en-US" w:eastAsia="zh-CN"/>
        </w:rPr>
        <w:t>》（GB 30770-2014）表2限值。对于锑，仅5月、11月、12月3个月度超标，超标倍数分别为0.453倍、0.013倍、0.66倍。全年锑排放浓度均值为0.10mg/L。</w:t>
      </w:r>
    </w:p>
    <w:p w14:paraId="02C833BE">
      <w:pPr>
        <w:pStyle w:val="2"/>
        <w:bidi w:val="0"/>
        <w:rPr>
          <w:rFonts w:hint="eastAsia"/>
          <w:u w:val="single"/>
          <w:lang w:val="en-US" w:eastAsia="zh-CN"/>
        </w:rPr>
      </w:pPr>
      <w:r>
        <w:rPr>
          <w:rFonts w:hint="eastAsia"/>
          <w:u w:val="single"/>
          <w:lang w:val="en-US" w:eastAsia="zh-CN"/>
        </w:rPr>
        <w:t>根据2023年总排口在线监测数据，渣滓溪锑矿外排废水中pH、氨氮、总磷、化学需氧量、总砷满足《</w:t>
      </w:r>
      <w:r>
        <w:rPr>
          <w:rFonts w:hint="eastAsia"/>
          <w:u w:val="single"/>
          <w:lang w:val="en-US" w:eastAsia="zh-CN"/>
        </w:rPr>
        <w:fldChar w:fldCharType="begin"/>
      </w:r>
      <w:r>
        <w:rPr>
          <w:rFonts w:hint="eastAsia"/>
          <w:u w:val="single"/>
          <w:lang w:val="en-US" w:eastAsia="zh-CN"/>
        </w:rPr>
        <w:instrText xml:space="preserve"> HYPERLINK "http://kjs.mep.gov.cn/hjbhbz/bzwb/dqhjbh/dqgdwrywrwpfbz/201405/W020140530533213253195.pdf" </w:instrText>
      </w:r>
      <w:r>
        <w:rPr>
          <w:rFonts w:hint="eastAsia"/>
          <w:u w:val="single"/>
          <w:lang w:val="en-US" w:eastAsia="zh-CN"/>
        </w:rPr>
        <w:fldChar w:fldCharType="separate"/>
      </w:r>
      <w:r>
        <w:rPr>
          <w:rFonts w:hint="eastAsia"/>
          <w:u w:val="single"/>
          <w:lang w:val="en-US" w:eastAsia="zh-CN"/>
        </w:rPr>
        <w:t>锡、锑、汞工业污染物排放标准</w:t>
      </w:r>
      <w:r>
        <w:rPr>
          <w:rFonts w:hint="eastAsia"/>
          <w:u w:val="single"/>
          <w:lang w:val="en-US" w:eastAsia="zh-CN"/>
        </w:rPr>
        <w:fldChar w:fldCharType="end"/>
      </w:r>
      <w:r>
        <w:rPr>
          <w:rFonts w:hint="eastAsia"/>
          <w:u w:val="single"/>
          <w:lang w:val="en-US" w:eastAsia="zh-CN"/>
        </w:rPr>
        <w:t>》（GB 30770-2014）表2限值。对于锑，仅1月、8月2个月超过了0.15mg/L，超标倍数分别为0.033倍、0.14倍。全年锑排放浓度均值为0.10mg/L。</w:t>
      </w:r>
    </w:p>
    <w:p w14:paraId="6020751E">
      <w:pPr>
        <w:pStyle w:val="2"/>
        <w:bidi w:val="0"/>
        <w:rPr>
          <w:rFonts w:hint="default"/>
          <w:u w:val="single"/>
          <w:lang w:val="en-US" w:eastAsia="zh-CN"/>
        </w:rPr>
      </w:pPr>
      <w:r>
        <w:rPr>
          <w:rFonts w:hint="default"/>
          <w:u w:val="single"/>
          <w:lang w:val="en-US" w:eastAsia="zh-CN"/>
        </w:rPr>
        <w:t>根据2024年5月补充监测，废水处理站出水水质可满足本项目排放标准。</w:t>
      </w:r>
    </w:p>
    <w:p w14:paraId="7AC2A88F">
      <w:pPr>
        <w:pStyle w:val="2"/>
        <w:rPr>
          <w:rFonts w:hint="default"/>
          <w:color w:val="auto"/>
          <w:highlight w:val="none"/>
          <w:u w:val="single"/>
          <w:lang w:val="en-US" w:eastAsia="zh-CN"/>
        </w:rPr>
      </w:pPr>
      <w:r>
        <w:rPr>
          <w:rFonts w:hint="default"/>
          <w:color w:val="auto"/>
          <w:highlight w:val="none"/>
          <w:u w:val="single"/>
          <w:lang w:val="en-US" w:eastAsia="zh-CN"/>
        </w:rPr>
        <w:t>鉴于目前废水处理站出水水质情况，本次调整工程，不对废水处理站工艺进行调整，仅要求企业严格控制废水处理站加药量，并尽可能实现自动加药，确保废水中锑排放浓度低于0.15mg/L。</w:t>
      </w:r>
    </w:p>
    <w:p w14:paraId="6C156AE1">
      <w:pPr>
        <w:pStyle w:val="36"/>
        <w:bidi w:val="0"/>
        <w:ind w:left="0" w:firstLine="0"/>
        <w:rPr>
          <w:rFonts w:hint="eastAsia" w:ascii="Times New Roman" w:hAnsi="Times New Roman" w:cs="Times New Roman"/>
          <w:color w:val="auto"/>
          <w:highlight w:val="none"/>
          <w:u w:val="single"/>
          <w:lang w:val="en-US" w:eastAsia="zh-CN"/>
        </w:rPr>
      </w:pPr>
      <w:bookmarkStart w:id="80" w:name="_Toc14917"/>
      <w:r>
        <w:rPr>
          <w:rFonts w:hint="eastAsia" w:ascii="Times New Roman" w:hAnsi="Times New Roman" w:cs="Times New Roman"/>
          <w:color w:val="auto"/>
          <w:highlight w:val="none"/>
          <w:u w:val="single"/>
          <w:lang w:val="en-US" w:eastAsia="zh-CN"/>
        </w:rPr>
        <w:t>风险分析及事故排污应急措施</w:t>
      </w:r>
      <w:bookmarkEnd w:id="80"/>
    </w:p>
    <w:p w14:paraId="1628774D">
      <w:pPr>
        <w:pStyle w:val="37"/>
        <w:bidi w:val="0"/>
        <w:rPr>
          <w:rFonts w:hint="default"/>
          <w:u w:val="single"/>
          <w:lang w:val="en-US" w:eastAsia="zh-CN"/>
        </w:rPr>
      </w:pPr>
      <w:r>
        <w:rPr>
          <w:rFonts w:hint="eastAsia"/>
          <w:u w:val="single"/>
          <w:lang w:val="en-US" w:eastAsia="zh-CN"/>
        </w:rPr>
        <w:t>风险分析</w:t>
      </w:r>
    </w:p>
    <w:p w14:paraId="3A0B126C">
      <w:pPr>
        <w:pStyle w:val="2"/>
        <w:bidi w:val="0"/>
        <w:rPr>
          <w:rFonts w:hint="default"/>
          <w:u w:val="single"/>
          <w:lang w:val="en-US" w:eastAsia="zh-CN"/>
        </w:rPr>
      </w:pPr>
      <w:r>
        <w:rPr>
          <w:rFonts w:hint="default"/>
          <w:u w:val="single"/>
          <w:lang w:val="en-US" w:eastAsia="zh-CN"/>
        </w:rPr>
        <w:t>结合本项目突发环境事件应急预案，本项目发生水环境风险事故的可能环节及由此产生的影响方式如下：</w:t>
      </w:r>
    </w:p>
    <w:p w14:paraId="473C88EA">
      <w:pPr>
        <w:pStyle w:val="2"/>
        <w:bidi w:val="0"/>
        <w:rPr>
          <w:rFonts w:hint="default"/>
          <w:u w:val="single"/>
          <w:lang w:val="en-US" w:eastAsia="zh-CN"/>
        </w:rPr>
      </w:pPr>
      <w:r>
        <w:rPr>
          <w:rFonts w:hint="default"/>
          <w:u w:val="single"/>
          <w:lang w:val="en-US" w:eastAsia="zh-CN"/>
        </w:rPr>
        <w:t>1、污水处理系统失效。</w:t>
      </w:r>
    </w:p>
    <w:p w14:paraId="4AC48A2A">
      <w:pPr>
        <w:pStyle w:val="2"/>
        <w:bidi w:val="0"/>
        <w:rPr>
          <w:rFonts w:hint="default"/>
          <w:u w:val="single"/>
          <w:lang w:val="en-US" w:eastAsia="zh-CN"/>
        </w:rPr>
      </w:pPr>
      <w:r>
        <w:rPr>
          <w:rFonts w:hint="default"/>
          <w:u w:val="single"/>
          <w:lang w:val="en-US" w:eastAsia="zh-CN"/>
        </w:rPr>
        <w:t>2、突发性外部事故。</w:t>
      </w:r>
    </w:p>
    <w:p w14:paraId="16BC987E">
      <w:pPr>
        <w:pStyle w:val="2"/>
        <w:bidi w:val="0"/>
        <w:rPr>
          <w:rFonts w:hint="default"/>
          <w:u w:val="single"/>
          <w:lang w:val="en-US" w:eastAsia="zh-CN"/>
        </w:rPr>
      </w:pPr>
      <w:r>
        <w:rPr>
          <w:rFonts w:hint="default"/>
          <w:u w:val="single"/>
          <w:lang w:val="en-US" w:eastAsia="zh-CN"/>
        </w:rPr>
        <w:t>3、由于操作不当，出现事故性排放。</w:t>
      </w:r>
    </w:p>
    <w:p w14:paraId="2C9A09DD">
      <w:pPr>
        <w:pStyle w:val="2"/>
        <w:bidi w:val="0"/>
        <w:rPr>
          <w:rFonts w:hint="default"/>
          <w:u w:val="single"/>
          <w:lang w:val="en-US" w:eastAsia="zh-CN"/>
        </w:rPr>
      </w:pPr>
      <w:r>
        <w:rPr>
          <w:rFonts w:hint="default"/>
          <w:u w:val="single"/>
          <w:lang w:val="en-US" w:eastAsia="zh-CN"/>
        </w:rPr>
        <w:t>4、管网破损、泄漏事故等。</w:t>
      </w:r>
    </w:p>
    <w:p w14:paraId="143BB779">
      <w:pPr>
        <w:pStyle w:val="37"/>
        <w:bidi w:val="0"/>
        <w:rPr>
          <w:rFonts w:hint="default"/>
          <w:u w:val="single"/>
          <w:lang w:val="en-US" w:eastAsia="zh-CN"/>
        </w:rPr>
      </w:pPr>
      <w:r>
        <w:rPr>
          <w:rFonts w:hint="eastAsia"/>
          <w:u w:val="single"/>
          <w:lang w:val="en-US" w:eastAsia="zh-CN"/>
        </w:rPr>
        <w:t>工程与管理措施</w:t>
      </w:r>
    </w:p>
    <w:p w14:paraId="47B12DF3">
      <w:pPr>
        <w:pStyle w:val="2"/>
        <w:bidi w:val="0"/>
        <w:rPr>
          <w:rFonts w:hint="default"/>
          <w:u w:val="single"/>
          <w:lang w:val="en-US" w:eastAsia="zh-CN"/>
        </w:rPr>
      </w:pPr>
      <w:r>
        <w:rPr>
          <w:rFonts w:hint="eastAsia"/>
          <w:u w:val="single"/>
          <w:lang w:val="en-US" w:eastAsia="zh-CN"/>
        </w:rPr>
        <w:t>（1）工程设施</w:t>
      </w:r>
    </w:p>
    <w:p w14:paraId="4838BD97">
      <w:pPr>
        <w:pStyle w:val="2"/>
        <w:bidi w:val="0"/>
        <w:rPr>
          <w:rFonts w:hint="default"/>
          <w:u w:val="single"/>
          <w:lang w:val="en-US" w:eastAsia="zh-CN"/>
        </w:rPr>
      </w:pPr>
      <w:r>
        <w:rPr>
          <w:rFonts w:hint="default"/>
          <w:u w:val="single"/>
          <w:lang w:val="en-US" w:eastAsia="zh-CN"/>
        </w:rPr>
        <w:t>本项目已有废水处理站1座，处理规模</w:t>
      </w:r>
      <w:r>
        <w:rPr>
          <w:rFonts w:hint="eastAsia"/>
          <w:u w:val="single"/>
          <w:lang w:val="en-US" w:eastAsia="zh-CN"/>
        </w:rPr>
        <w:t>336</w:t>
      </w:r>
      <w:r>
        <w:rPr>
          <w:rFonts w:hint="default"/>
          <w:u w:val="single"/>
          <w:lang w:val="en-US" w:eastAsia="zh-CN"/>
        </w:rPr>
        <w:t>0</w:t>
      </w:r>
      <w:r>
        <w:rPr>
          <w:rFonts w:hint="eastAsia"/>
          <w:u w:val="single"/>
          <w:lang w:val="en-US" w:eastAsia="zh-CN"/>
        </w:rPr>
        <w:t>m3</w:t>
      </w:r>
      <w:r>
        <w:rPr>
          <w:rFonts w:hint="default"/>
          <w:u w:val="single"/>
          <w:lang w:val="en-US" w:eastAsia="zh-CN"/>
        </w:rPr>
        <w:t>/d，位于</w:t>
      </w:r>
      <w:r>
        <w:rPr>
          <w:rFonts w:hint="eastAsia"/>
          <w:u w:val="single"/>
          <w:lang w:val="en-US" w:eastAsia="zh-CN"/>
        </w:rPr>
        <w:t>老</w:t>
      </w:r>
      <w:r>
        <w:rPr>
          <w:rFonts w:hint="default"/>
          <w:u w:val="single"/>
          <w:lang w:val="en-US" w:eastAsia="zh-CN"/>
        </w:rPr>
        <w:t>尾矿库</w:t>
      </w:r>
      <w:r>
        <w:rPr>
          <w:rFonts w:hint="eastAsia"/>
          <w:u w:val="single"/>
          <w:lang w:val="en-US" w:eastAsia="zh-CN"/>
        </w:rPr>
        <w:t>下游</w:t>
      </w:r>
      <w:r>
        <w:rPr>
          <w:rFonts w:hint="default"/>
          <w:u w:val="single"/>
          <w:lang w:val="en-US" w:eastAsia="zh-CN"/>
        </w:rPr>
        <w:t>，采用混凝沉淀、多种重金属共沉的集成水处理技术路线。现</w:t>
      </w:r>
      <w:r>
        <w:rPr>
          <w:rFonts w:hint="eastAsia"/>
          <w:u w:val="single"/>
          <w:lang w:val="en-US" w:eastAsia="zh-CN"/>
        </w:rPr>
        <w:t>有</w:t>
      </w:r>
      <w:r>
        <w:rPr>
          <w:rFonts w:hint="default"/>
          <w:u w:val="single"/>
          <w:lang w:val="en-US" w:eastAsia="zh-CN"/>
        </w:rPr>
        <w:t>废水经污水处理系统处理后能够达《锡、锑、汞工业污染物排放标准》（GB30770-2014）中直接排放限值。</w:t>
      </w:r>
    </w:p>
    <w:p w14:paraId="5C050A01">
      <w:pPr>
        <w:pStyle w:val="2"/>
        <w:bidi w:val="0"/>
        <w:rPr>
          <w:rFonts w:hint="default"/>
          <w:u w:val="single"/>
          <w:lang w:val="en-US" w:eastAsia="zh-CN"/>
        </w:rPr>
      </w:pPr>
      <w:r>
        <w:rPr>
          <w:rFonts w:hint="default"/>
          <w:u w:val="single"/>
          <w:lang w:val="en-US" w:eastAsia="zh-CN"/>
        </w:rPr>
        <w:t>（2）排污门口工程</w:t>
      </w:r>
    </w:p>
    <w:p w14:paraId="5D56A084">
      <w:pPr>
        <w:pStyle w:val="2"/>
        <w:bidi w:val="0"/>
        <w:rPr>
          <w:rFonts w:hint="default"/>
          <w:u w:val="single"/>
          <w:lang w:val="en-US" w:eastAsia="zh-CN"/>
        </w:rPr>
      </w:pPr>
      <w:r>
        <w:rPr>
          <w:rFonts w:hint="default"/>
          <w:u w:val="single"/>
          <w:lang w:val="en-US" w:eastAsia="zh-CN"/>
        </w:rPr>
        <w:t>入河排污口应设置在洪水淹没线之上；入河排污口应便于采集样品、便于计量监测、便于日常现场监督检查；入河排污口口门不得设暗管通入河道或湖库底部，如特殊情况需要设置管道的，必须留出观测窗口，以便于采样和监督。入河排污口口门处应有明显的标志牌。</w:t>
      </w:r>
    </w:p>
    <w:p w14:paraId="2577B94D">
      <w:pPr>
        <w:pStyle w:val="2"/>
        <w:bidi w:val="0"/>
        <w:rPr>
          <w:rFonts w:hint="default"/>
          <w:u w:val="single"/>
          <w:lang w:val="en-US" w:eastAsia="zh-CN"/>
        </w:rPr>
      </w:pPr>
      <w:r>
        <w:rPr>
          <w:rFonts w:hint="default"/>
          <w:u w:val="single"/>
          <w:lang w:val="en-US" w:eastAsia="zh-CN"/>
        </w:rPr>
        <w:t>（3）加强水功能区监督管理</w:t>
      </w:r>
    </w:p>
    <w:p w14:paraId="2F078CF1">
      <w:pPr>
        <w:pStyle w:val="2"/>
        <w:bidi w:val="0"/>
        <w:rPr>
          <w:rFonts w:hint="default"/>
          <w:u w:val="single"/>
          <w:lang w:val="en-US" w:eastAsia="zh-CN"/>
        </w:rPr>
      </w:pPr>
      <w:r>
        <w:rPr>
          <w:rFonts w:hint="default"/>
          <w:u w:val="single"/>
          <w:lang w:val="en-US" w:eastAsia="zh-CN"/>
        </w:rPr>
        <w:t>加强水功能区水质监测工作，及时了解水功能区内的水环境状况，对于排放的污染物超出水域纳污能力的情况，依照相关法律由地方水行政主管部门或者流域机构管理部门提出整改意见并监督执行，确保达到水功能区管理目标。</w:t>
      </w:r>
    </w:p>
    <w:p w14:paraId="7FF834EC">
      <w:pPr>
        <w:pStyle w:val="2"/>
        <w:bidi w:val="0"/>
        <w:rPr>
          <w:rFonts w:hint="default"/>
          <w:u w:val="single"/>
          <w:lang w:val="en-US" w:eastAsia="zh-CN"/>
        </w:rPr>
      </w:pPr>
      <w:r>
        <w:rPr>
          <w:rFonts w:hint="default"/>
          <w:u w:val="single"/>
          <w:lang w:val="en-US" w:eastAsia="zh-CN"/>
        </w:rPr>
        <w:t>（4）加强工程运行监管</w:t>
      </w:r>
    </w:p>
    <w:p w14:paraId="41FD73ED">
      <w:pPr>
        <w:pStyle w:val="2"/>
        <w:bidi w:val="0"/>
        <w:rPr>
          <w:rFonts w:hint="default"/>
          <w:u w:val="single"/>
          <w:lang w:val="en-US" w:eastAsia="zh-CN"/>
        </w:rPr>
      </w:pPr>
      <w:r>
        <w:rPr>
          <w:rFonts w:hint="default"/>
          <w:u w:val="single"/>
          <w:lang w:val="en-US" w:eastAsia="zh-CN"/>
        </w:rPr>
        <w:t>保证工程污水处理工程运行率达到100%，避免发生非正常排放，加强生产管理，防止跑、冒、滴、漏，确保污水处理系统正常运行。建立完善的运行管理档案。工程应在排污口处安装监测仪器设备、环保图形标志牌等环境保护措施，安装在线水质监测仪器，为统一规范管理，对各种设备仪器要制定相应的管理办法和维护保养制度。</w:t>
      </w:r>
    </w:p>
    <w:p w14:paraId="24471594">
      <w:pPr>
        <w:pStyle w:val="2"/>
        <w:bidi w:val="0"/>
        <w:rPr>
          <w:rFonts w:hint="default"/>
          <w:u w:val="single"/>
          <w:lang w:val="en-US" w:eastAsia="zh-CN"/>
        </w:rPr>
      </w:pPr>
      <w:r>
        <w:rPr>
          <w:rFonts w:hint="default"/>
          <w:u w:val="single"/>
          <w:lang w:val="en-US" w:eastAsia="zh-CN"/>
        </w:rPr>
        <w:t>（5）建立信息报送制度。</w:t>
      </w:r>
    </w:p>
    <w:p w14:paraId="29353175">
      <w:pPr>
        <w:pStyle w:val="2"/>
        <w:bidi w:val="0"/>
        <w:rPr>
          <w:rFonts w:hint="default"/>
          <w:u w:val="single"/>
          <w:lang w:val="en-US" w:eastAsia="zh-CN"/>
        </w:rPr>
      </w:pPr>
      <w:r>
        <w:rPr>
          <w:rFonts w:hint="default"/>
          <w:u w:val="single"/>
          <w:lang w:val="en-US" w:eastAsia="zh-CN"/>
        </w:rPr>
        <w:t>工程管理单位必须按季、按年度向水行政主管部门报送排污口统计表，必须按规定项目如实填报报表，不得弄虚作假。水行政主管部门每年按照规定的审批权限，对排污口组织年审。</w:t>
      </w:r>
    </w:p>
    <w:p w14:paraId="022F7016">
      <w:pPr>
        <w:pStyle w:val="37"/>
        <w:bidi w:val="0"/>
        <w:rPr>
          <w:rFonts w:hint="default"/>
          <w:u w:val="single"/>
          <w:lang w:val="en-US" w:eastAsia="zh-CN"/>
        </w:rPr>
      </w:pPr>
      <w:r>
        <w:rPr>
          <w:rFonts w:hint="eastAsia"/>
          <w:u w:val="single"/>
          <w:lang w:val="en-US" w:eastAsia="zh-CN"/>
        </w:rPr>
        <w:t>突发事件应急预案</w:t>
      </w:r>
    </w:p>
    <w:p w14:paraId="419475EE">
      <w:pPr>
        <w:pStyle w:val="2"/>
        <w:bidi w:val="0"/>
        <w:rPr>
          <w:rFonts w:hint="default"/>
          <w:u w:val="single"/>
          <w:lang w:val="en-US" w:eastAsia="zh-CN"/>
        </w:rPr>
      </w:pPr>
      <w:r>
        <w:rPr>
          <w:rFonts w:hint="default"/>
          <w:u w:val="single"/>
          <w:lang w:val="en-US" w:eastAsia="zh-CN"/>
        </w:rPr>
        <w:t>建设单位按要求编制了突发环境事件应急预案，最近一次修编为2021年。在发生突发环境事件时，应根据“202</w:t>
      </w:r>
      <w:r>
        <w:rPr>
          <w:rFonts w:hint="eastAsia"/>
          <w:u w:val="single"/>
          <w:lang w:val="en-US" w:eastAsia="zh-CN"/>
        </w:rPr>
        <w:t>1</w:t>
      </w:r>
      <w:r>
        <w:rPr>
          <w:rFonts w:hint="default"/>
          <w:u w:val="single"/>
          <w:lang w:val="en-US" w:eastAsia="zh-CN"/>
        </w:rPr>
        <w:t>年修订稿”规定的各项应急措施进行紧急处理。各类突发环境事件应急处置措施请参照上述应急预案或突发环境风险事故防治措施。</w:t>
      </w:r>
    </w:p>
    <w:p w14:paraId="7E59093E">
      <w:pPr>
        <w:pStyle w:val="35"/>
        <w:bidi w:val="0"/>
        <w:rPr>
          <w:rFonts w:hint="eastAsia" w:ascii="Times New Roman" w:hAnsi="Times New Roman" w:cs="Times New Roman"/>
          <w:color w:val="auto"/>
          <w:highlight w:val="none"/>
          <w:lang w:val="en-US" w:eastAsia="zh-CN"/>
        </w:rPr>
      </w:pPr>
      <w:bookmarkStart w:id="81" w:name="_Toc8004"/>
      <w:r>
        <w:rPr>
          <w:rFonts w:hint="eastAsia" w:ascii="Times New Roman" w:hAnsi="Times New Roman" w:cs="Times New Roman"/>
          <w:color w:val="auto"/>
          <w:highlight w:val="none"/>
          <w:lang w:val="en-US" w:eastAsia="zh-CN"/>
        </w:rPr>
        <w:t>结论与建议</w:t>
      </w:r>
      <w:bookmarkEnd w:id="81"/>
    </w:p>
    <w:p w14:paraId="192392B2">
      <w:pPr>
        <w:pStyle w:val="36"/>
        <w:rPr>
          <w:rFonts w:hint="default" w:cs="Times New Roman"/>
          <w:color w:val="auto"/>
          <w:highlight w:val="none"/>
          <w:lang w:val="en-US" w:eastAsia="zh-CN"/>
        </w:rPr>
      </w:pPr>
      <w:bookmarkStart w:id="82" w:name="_Toc16560"/>
      <w:r>
        <w:rPr>
          <w:rFonts w:hint="eastAsia" w:cs="Times New Roman"/>
          <w:color w:val="auto"/>
          <w:highlight w:val="none"/>
          <w:lang w:val="en-US" w:eastAsia="zh-CN"/>
        </w:rPr>
        <w:t>论证结论</w:t>
      </w:r>
      <w:bookmarkEnd w:id="82"/>
    </w:p>
    <w:p w14:paraId="58CEFD8C">
      <w:pPr>
        <w:pStyle w:val="37"/>
        <w:rPr>
          <w:rFonts w:hint="default" w:cs="Times New Roman"/>
          <w:color w:val="auto"/>
          <w:highlight w:val="none"/>
          <w:lang w:val="en-US" w:eastAsia="zh-CN"/>
        </w:rPr>
      </w:pPr>
      <w:r>
        <w:rPr>
          <w:rFonts w:hint="eastAsia" w:cs="Times New Roman"/>
          <w:color w:val="auto"/>
          <w:highlight w:val="none"/>
          <w:lang w:val="en-US" w:eastAsia="zh-CN"/>
        </w:rPr>
        <w:t>入河排污口基本情况</w:t>
      </w:r>
    </w:p>
    <w:p w14:paraId="0ABBCB03">
      <w:pPr>
        <w:pStyle w:val="2"/>
        <w:rPr>
          <w:rFonts w:hint="default" w:cs="Times New Roman"/>
          <w:color w:val="auto"/>
          <w:highlight w:val="none"/>
          <w:u w:val="single"/>
          <w:lang w:val="en-US" w:eastAsia="zh-CN"/>
        </w:rPr>
      </w:pPr>
      <w:r>
        <w:rPr>
          <w:rFonts w:hint="eastAsia" w:cs="Times New Roman"/>
          <w:color w:val="auto"/>
          <w:highlight w:val="none"/>
          <w:u w:val="single"/>
          <w:lang w:val="en-US" w:eastAsia="zh-CN"/>
        </w:rPr>
        <w:t>排污口设置地点：奎溪镇白羊社区渣滓溪右岸</w:t>
      </w:r>
    </w:p>
    <w:p w14:paraId="1D9E6A50">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排污口位置：E110°49′56.90791″，N28°15′15.91420″，排污口底高程：2</w:t>
      </w:r>
      <w:r>
        <w:rPr>
          <w:rFonts w:hint="eastAsia" w:ascii="Times New Roman" w:hAnsi="Times New Roman" w:cs="Times New Roman"/>
          <w:lang w:val="en-US" w:eastAsia="zh-CN"/>
        </w:rPr>
        <w:t>87</w:t>
      </w:r>
      <w:r>
        <w:rPr>
          <w:rFonts w:hint="default" w:ascii="Times New Roman" w:hAnsi="Times New Roman" w:cs="Times New Roman"/>
          <w:lang w:val="en-US" w:eastAsia="zh-CN"/>
        </w:rPr>
        <w:t>m</w:t>
      </w:r>
    </w:p>
    <w:p w14:paraId="4BE611F5">
      <w:pPr>
        <w:pStyle w:val="2"/>
        <w:rPr>
          <w:rFonts w:hint="default" w:cs="Times New Roman"/>
          <w:color w:val="auto"/>
          <w:highlight w:val="none"/>
          <w:lang w:val="en-US" w:eastAsia="zh-CN"/>
        </w:rPr>
      </w:pPr>
      <w:r>
        <w:rPr>
          <w:rFonts w:hint="eastAsia" w:cs="Times New Roman"/>
          <w:color w:val="auto"/>
          <w:highlight w:val="none"/>
          <w:lang w:val="en-US" w:eastAsia="zh-CN"/>
        </w:rPr>
        <w:t>排污口设置类型：工业排污口</w:t>
      </w:r>
    </w:p>
    <w:p w14:paraId="4C20E13A">
      <w:pPr>
        <w:pStyle w:val="2"/>
        <w:rPr>
          <w:rFonts w:hint="default" w:cs="Times New Roman"/>
          <w:color w:val="auto"/>
          <w:highlight w:val="none"/>
          <w:lang w:val="en-US" w:eastAsia="zh-CN"/>
        </w:rPr>
      </w:pPr>
      <w:r>
        <w:rPr>
          <w:rFonts w:hint="eastAsia" w:cs="Times New Roman"/>
          <w:color w:val="auto"/>
          <w:highlight w:val="none"/>
          <w:lang w:val="en-US" w:eastAsia="zh-CN"/>
        </w:rPr>
        <w:t>排放方式：连续排放</w:t>
      </w:r>
    </w:p>
    <w:p w14:paraId="2628D992">
      <w:pPr>
        <w:pStyle w:val="2"/>
        <w:rPr>
          <w:rFonts w:hint="default" w:cs="Times New Roman"/>
          <w:color w:val="auto"/>
          <w:highlight w:val="none"/>
          <w:lang w:val="en-US" w:eastAsia="zh-CN"/>
        </w:rPr>
      </w:pPr>
      <w:r>
        <w:rPr>
          <w:rFonts w:hint="eastAsia" w:cs="Times New Roman"/>
          <w:color w:val="auto"/>
          <w:highlight w:val="none"/>
          <w:lang w:val="en-US" w:eastAsia="zh-CN"/>
        </w:rPr>
        <w:t>入河方式：直接排入渣滓溪</w:t>
      </w:r>
    </w:p>
    <w:p w14:paraId="13BD7050">
      <w:pPr>
        <w:pStyle w:val="2"/>
        <w:rPr>
          <w:rFonts w:hint="default" w:cs="Times New Roman"/>
          <w:color w:val="auto"/>
          <w:highlight w:val="none"/>
          <w:lang w:val="en-US" w:eastAsia="zh-CN"/>
        </w:rPr>
      </w:pPr>
      <w:r>
        <w:rPr>
          <w:rFonts w:hint="eastAsia" w:cs="Times New Roman"/>
          <w:color w:val="auto"/>
          <w:highlight w:val="none"/>
          <w:lang w:val="en-US" w:eastAsia="zh-CN"/>
        </w:rPr>
        <w:t>排放量：</w:t>
      </w:r>
      <w:r>
        <w:rPr>
          <w:rFonts w:hint="eastAsia"/>
          <w:color w:val="auto"/>
          <w:highlight w:val="none"/>
          <w:lang w:val="en-US" w:eastAsia="zh-CN"/>
        </w:rPr>
        <w:t>3360m³/d</w:t>
      </w:r>
    </w:p>
    <w:p w14:paraId="6E8140DD">
      <w:pPr>
        <w:pStyle w:val="2"/>
        <w:rPr>
          <w:rFonts w:hint="default" w:cs="Times New Roman"/>
          <w:color w:val="auto"/>
          <w:highlight w:val="none"/>
          <w:lang w:val="en-US" w:eastAsia="zh-CN"/>
        </w:rPr>
      </w:pPr>
      <w:r>
        <w:rPr>
          <w:rFonts w:hint="eastAsia" w:cs="Times New Roman"/>
          <w:color w:val="auto"/>
          <w:highlight w:val="none"/>
          <w:lang w:val="en-US" w:eastAsia="zh-CN"/>
        </w:rPr>
        <w:t>受纳水体及论证范围：本项目直接受纳水体为渣滓溪，依次汇入白茅溪、奎溪、洋溪、资江。本次论证范围为排污口上游0.5km至排污口下游41.255km洋溪汇入资江口处，总长41.755km</w:t>
      </w:r>
    </w:p>
    <w:p w14:paraId="2C2323E2">
      <w:pPr>
        <w:pStyle w:val="2"/>
        <w:rPr>
          <w:rFonts w:hint="default" w:cs="Times New Roman"/>
          <w:color w:val="auto"/>
          <w:highlight w:val="none"/>
          <w:lang w:val="en-US" w:eastAsia="zh-CN"/>
        </w:rPr>
      </w:pPr>
      <w:r>
        <w:rPr>
          <w:rFonts w:hint="eastAsia"/>
          <w:color w:val="auto"/>
          <w:highlight w:val="none"/>
          <w:lang w:val="en-US" w:eastAsia="zh-CN"/>
        </w:rPr>
        <w:t>入河废水执行标准：铊因子执行</w:t>
      </w:r>
      <w:r>
        <w:rPr>
          <w:rFonts w:hint="eastAsia"/>
          <w:lang w:val="en-US" w:eastAsia="zh-CN"/>
        </w:rPr>
        <w:t>《工业废水铊污染物排放标准》（DB43/968-2021）；</w:t>
      </w:r>
      <w:r>
        <w:rPr>
          <w:rFonts w:hint="eastAsia"/>
          <w:color w:val="auto"/>
          <w:highlight w:val="none"/>
          <w:lang w:val="en-US" w:eastAsia="zh-CN"/>
        </w:rPr>
        <w:t>其他因子执行《锡、锑、汞工业污染物排放标准》（GB30770-2014）中表2新建企业水污染物排放限值，其中锑排放浓度较表2水污染物排放限值0.3mg/L严格50%执行，即0.15mg/L</w:t>
      </w:r>
    </w:p>
    <w:p w14:paraId="42949CE7">
      <w:pPr>
        <w:pStyle w:val="37"/>
        <w:tabs>
          <w:tab w:val="clear" w:pos="0"/>
          <w:tab w:val="clear" w:pos="862"/>
        </w:tabs>
        <w:rPr>
          <w:rFonts w:hint="default" w:cs="Times New Roman"/>
          <w:color w:val="auto"/>
          <w:highlight w:val="none"/>
          <w:u w:val="single"/>
          <w:lang w:val="en-US" w:eastAsia="zh-CN"/>
        </w:rPr>
      </w:pPr>
      <w:r>
        <w:rPr>
          <w:rFonts w:hint="eastAsia" w:cs="Times New Roman"/>
          <w:color w:val="auto"/>
          <w:highlight w:val="none"/>
          <w:u w:val="single"/>
          <w:lang w:val="en-US" w:eastAsia="zh-CN"/>
        </w:rPr>
        <w:t>入河排污口口门工程建设要求</w:t>
      </w:r>
    </w:p>
    <w:p w14:paraId="0935A113">
      <w:pPr>
        <w:pStyle w:val="34"/>
        <w:rPr>
          <w:rFonts w:hint="default"/>
          <w:color w:val="auto"/>
          <w:highlight w:val="none"/>
          <w:u w:val="single"/>
          <w:lang w:val="en-US" w:eastAsia="zh-CN"/>
        </w:rPr>
      </w:pPr>
      <w:r>
        <w:rPr>
          <w:rFonts w:hint="eastAsia"/>
          <w:color w:val="auto"/>
          <w:highlight w:val="none"/>
          <w:u w:val="single"/>
          <w:lang w:val="en-US" w:eastAsia="zh-CN"/>
        </w:rPr>
        <w:t>监测采样点设置</w:t>
      </w:r>
    </w:p>
    <w:p w14:paraId="0E80CF4F">
      <w:pPr>
        <w:pStyle w:val="2"/>
        <w:numPr>
          <w:ilvl w:val="0"/>
          <w:numId w:val="12"/>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监测点采样点位置设置在厂区外，污水入河前。</w:t>
      </w:r>
    </w:p>
    <w:p w14:paraId="0024458C">
      <w:pPr>
        <w:pStyle w:val="2"/>
        <w:numPr>
          <w:ilvl w:val="0"/>
          <w:numId w:val="12"/>
        </w:numPr>
        <w:tabs>
          <w:tab w:val="clear" w:pos="0"/>
        </w:tabs>
        <w:ind w:firstLine="480"/>
        <w:rPr>
          <w:rFonts w:hint="default"/>
          <w:color w:val="auto"/>
          <w:highlight w:val="none"/>
          <w:u w:val="single"/>
          <w:lang w:val="en-US" w:eastAsia="zh-CN"/>
        </w:rPr>
      </w:pPr>
      <w:r>
        <w:rPr>
          <w:rFonts w:hint="eastAsia"/>
          <w:color w:val="auto"/>
          <w:highlight w:val="none"/>
          <w:u w:val="single"/>
          <w:lang w:val="en-US" w:eastAsia="zh-CN"/>
        </w:rPr>
        <w:t>根据排污口入河方式和排放量，选择适宜的监测采样点设置样式。测流段水流应平直、稳定、有一定水位高度。</w:t>
      </w:r>
    </w:p>
    <w:p w14:paraId="6BB7ED0D">
      <w:pPr>
        <w:pStyle w:val="34"/>
        <w:tabs>
          <w:tab w:val="left" w:pos="1021"/>
          <w:tab w:val="clear" w:pos="0"/>
          <w:tab w:val="clear" w:pos="568"/>
          <w:tab w:val="clear" w:pos="4692"/>
        </w:tabs>
        <w:rPr>
          <w:rFonts w:hint="default"/>
          <w:color w:val="auto"/>
          <w:highlight w:val="none"/>
          <w:u w:val="single"/>
          <w:lang w:val="en-US" w:eastAsia="zh-CN"/>
        </w:rPr>
      </w:pPr>
      <w:r>
        <w:rPr>
          <w:rFonts w:hint="eastAsia"/>
          <w:color w:val="auto"/>
          <w:highlight w:val="none"/>
          <w:u w:val="single"/>
          <w:lang w:val="en-US" w:eastAsia="zh-CN"/>
        </w:rPr>
        <w:t>标识牌设置</w:t>
      </w:r>
    </w:p>
    <w:p w14:paraId="7DEAE70D">
      <w:pPr>
        <w:pStyle w:val="2"/>
        <w:rPr>
          <w:rFonts w:hint="eastAsia"/>
          <w:color w:val="auto"/>
          <w:highlight w:val="none"/>
          <w:u w:val="single"/>
          <w:lang w:val="en-US" w:eastAsia="zh-CN"/>
        </w:rPr>
      </w:pPr>
      <w:r>
        <w:rPr>
          <w:rFonts w:hint="eastAsia"/>
          <w:color w:val="auto"/>
          <w:highlight w:val="none"/>
          <w:u w:val="single"/>
          <w:lang w:val="en-US" w:eastAsia="zh-CN"/>
        </w:rPr>
        <w:t>在排污口入河道应设置醒目标识牌，标识牌应包括以下信息：</w:t>
      </w:r>
    </w:p>
    <w:p w14:paraId="32365DF8">
      <w:pPr>
        <w:pStyle w:val="2"/>
        <w:numPr>
          <w:ilvl w:val="0"/>
          <w:numId w:val="13"/>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入河排污口编号；</w:t>
      </w:r>
    </w:p>
    <w:p w14:paraId="181AE15A">
      <w:pPr>
        <w:pStyle w:val="2"/>
        <w:numPr>
          <w:ilvl w:val="0"/>
          <w:numId w:val="13"/>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入河排污口名称；</w:t>
      </w:r>
    </w:p>
    <w:p w14:paraId="2A8E804D">
      <w:pPr>
        <w:pStyle w:val="2"/>
        <w:numPr>
          <w:ilvl w:val="0"/>
          <w:numId w:val="13"/>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入河排污口地理位置及经纬度坐标；</w:t>
      </w:r>
    </w:p>
    <w:p w14:paraId="38EFBDED">
      <w:pPr>
        <w:pStyle w:val="2"/>
        <w:numPr>
          <w:ilvl w:val="0"/>
          <w:numId w:val="13"/>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排入的水功能区名称及水质保护目标；</w:t>
      </w:r>
    </w:p>
    <w:p w14:paraId="073B8B89">
      <w:pPr>
        <w:pStyle w:val="2"/>
        <w:numPr>
          <w:ilvl w:val="0"/>
          <w:numId w:val="13"/>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入河排污口设置单位；</w:t>
      </w:r>
    </w:p>
    <w:p w14:paraId="1E8C39B5">
      <w:pPr>
        <w:pStyle w:val="2"/>
        <w:numPr>
          <w:ilvl w:val="0"/>
          <w:numId w:val="13"/>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入河排污口设置审批单位及监督电话；</w:t>
      </w:r>
    </w:p>
    <w:p w14:paraId="5B75537F">
      <w:pPr>
        <w:pStyle w:val="2"/>
        <w:numPr>
          <w:ilvl w:val="0"/>
          <w:numId w:val="13"/>
        </w:numPr>
        <w:tabs>
          <w:tab w:val="clear" w:pos="0"/>
        </w:tabs>
        <w:ind w:firstLine="480" w:firstLineChars="200"/>
        <w:rPr>
          <w:rFonts w:hint="default"/>
          <w:color w:val="auto"/>
          <w:highlight w:val="none"/>
          <w:u w:val="single"/>
          <w:lang w:val="en-US" w:eastAsia="zh-CN"/>
        </w:rPr>
      </w:pPr>
      <w:r>
        <w:rPr>
          <w:rFonts w:hint="eastAsia"/>
          <w:color w:val="auto"/>
          <w:highlight w:val="none"/>
          <w:u w:val="single"/>
          <w:lang w:val="en-US" w:eastAsia="zh-CN"/>
        </w:rPr>
        <w:t>入河排污口污染物排放标准。</w:t>
      </w:r>
    </w:p>
    <w:p w14:paraId="78F602F1">
      <w:pPr>
        <w:pStyle w:val="2"/>
        <w:rPr>
          <w:rFonts w:hint="default"/>
          <w:color w:val="auto"/>
          <w:highlight w:val="none"/>
          <w:u w:val="single"/>
          <w:lang w:val="en-US" w:eastAsia="zh-CN"/>
        </w:rPr>
      </w:pPr>
      <w:r>
        <w:rPr>
          <w:rFonts w:hint="eastAsia"/>
          <w:color w:val="auto"/>
          <w:highlight w:val="none"/>
          <w:u w:val="single"/>
          <w:lang w:val="en-US" w:eastAsia="zh-CN"/>
        </w:rPr>
        <w:t>标识牌设置在污水入河处或监测采样点等位置，便于公众监督。</w:t>
      </w:r>
    </w:p>
    <w:p w14:paraId="771827C8">
      <w:pPr>
        <w:pStyle w:val="2"/>
        <w:rPr>
          <w:rFonts w:hint="default"/>
          <w:color w:val="auto"/>
          <w:highlight w:val="none"/>
          <w:u w:val="single"/>
          <w:lang w:val="en-US" w:eastAsia="zh-CN"/>
        </w:rPr>
      </w:pPr>
      <w:r>
        <w:rPr>
          <w:rFonts w:hint="eastAsia"/>
          <w:color w:val="auto"/>
          <w:highlight w:val="none"/>
          <w:u w:val="single"/>
          <w:lang w:val="en-US" w:eastAsia="zh-CN"/>
        </w:rPr>
        <w:t>标识牌应具有耐候、耐腐蚀等理化性能，保证一定的使用寿命。</w:t>
      </w:r>
    </w:p>
    <w:p w14:paraId="05D7BF34">
      <w:pPr>
        <w:pStyle w:val="2"/>
        <w:rPr>
          <w:rFonts w:hint="default"/>
          <w:color w:val="auto"/>
          <w:highlight w:val="none"/>
          <w:u w:val="single"/>
          <w:lang w:val="en-US" w:eastAsia="zh-CN"/>
        </w:rPr>
      </w:pPr>
      <w:r>
        <w:rPr>
          <w:rFonts w:hint="eastAsia"/>
          <w:color w:val="auto"/>
          <w:highlight w:val="none"/>
          <w:u w:val="single"/>
          <w:lang w:val="en-US" w:eastAsia="zh-CN"/>
        </w:rPr>
        <w:t>标识牌公示信息发生变化的，责任主体应及时更新或更换标识牌。</w:t>
      </w:r>
    </w:p>
    <w:p w14:paraId="08381991">
      <w:pPr>
        <w:pStyle w:val="34"/>
        <w:tabs>
          <w:tab w:val="left" w:pos="1021"/>
          <w:tab w:val="clear" w:pos="0"/>
          <w:tab w:val="clear" w:pos="568"/>
          <w:tab w:val="clear" w:pos="4692"/>
        </w:tabs>
        <w:rPr>
          <w:rFonts w:hint="default"/>
          <w:color w:val="auto"/>
          <w:highlight w:val="none"/>
          <w:u w:val="single"/>
          <w:lang w:val="en-US" w:eastAsia="zh-CN"/>
        </w:rPr>
      </w:pPr>
      <w:r>
        <w:rPr>
          <w:rFonts w:hint="eastAsia"/>
          <w:color w:val="auto"/>
          <w:highlight w:val="none"/>
          <w:u w:val="single"/>
          <w:lang w:val="en-US" w:eastAsia="zh-CN"/>
        </w:rPr>
        <w:t>水质流量在线监测系统设置</w:t>
      </w:r>
    </w:p>
    <w:p w14:paraId="6B583D7A">
      <w:pPr>
        <w:pStyle w:val="2"/>
        <w:rPr>
          <w:rFonts w:hint="default"/>
          <w:color w:val="auto"/>
          <w:highlight w:val="none"/>
          <w:u w:val="single"/>
          <w:lang w:val="en-US" w:eastAsia="zh-CN"/>
        </w:rPr>
      </w:pPr>
      <w:r>
        <w:rPr>
          <w:rFonts w:hint="eastAsia"/>
          <w:color w:val="auto"/>
          <w:highlight w:val="none"/>
          <w:u w:val="single"/>
          <w:lang w:val="en-US" w:eastAsia="zh-CN"/>
        </w:rPr>
        <w:t>为加强对建设项目排放的污水进行长期监测，动态掌握排放污水水质，以便对污水中的污染物及时采取措施。建立排污口出水水质、水量在线监测系统，对主要污染物浓度及污水量进行在线监测，保证其正常使用，并与生态环境主管部门联网。若发现自动监控仪器运行不正常的应立即向当地生态环境主管部门报告，并及时修复。自动监控仪器应定期校准。取样频率为至少每两小时一次，取24小时混合样，以日均值计。</w:t>
      </w:r>
    </w:p>
    <w:p w14:paraId="4FB6BB18">
      <w:pPr>
        <w:pStyle w:val="37"/>
        <w:tabs>
          <w:tab w:val="clear" w:pos="0"/>
          <w:tab w:val="clear" w:pos="862"/>
        </w:tabs>
        <w:rPr>
          <w:rFonts w:hint="default" w:cs="Times New Roman"/>
          <w:color w:val="auto"/>
          <w:highlight w:val="none"/>
          <w:lang w:val="en-US" w:eastAsia="zh-CN"/>
        </w:rPr>
      </w:pPr>
      <w:r>
        <w:rPr>
          <w:rFonts w:hint="default" w:cs="Times New Roman"/>
          <w:color w:val="auto"/>
          <w:highlight w:val="none"/>
          <w:lang w:val="en-US" w:eastAsia="zh-CN"/>
        </w:rPr>
        <w:t>对</w:t>
      </w:r>
      <w:r>
        <w:rPr>
          <w:rFonts w:hint="eastAsia" w:cs="Times New Roman"/>
          <w:color w:val="auto"/>
          <w:highlight w:val="none"/>
          <w:lang w:val="en-US" w:eastAsia="zh-CN"/>
        </w:rPr>
        <w:t>水域</w:t>
      </w:r>
      <w:r>
        <w:rPr>
          <w:rFonts w:hint="default" w:cs="Times New Roman"/>
          <w:color w:val="auto"/>
          <w:highlight w:val="none"/>
          <w:lang w:val="en-US" w:eastAsia="zh-CN"/>
        </w:rPr>
        <w:t>水质和生态的影响</w:t>
      </w:r>
    </w:p>
    <w:p w14:paraId="0FABBE6E">
      <w:pPr>
        <w:pStyle w:val="2"/>
        <w:rPr>
          <w:rFonts w:hint="default"/>
          <w:color w:val="auto"/>
          <w:highlight w:val="none"/>
          <w:lang w:val="en-US" w:eastAsia="zh-CN"/>
        </w:rPr>
      </w:pPr>
      <w:r>
        <w:rPr>
          <w:rFonts w:hint="default"/>
          <w:color w:val="auto"/>
          <w:highlight w:val="none"/>
          <w:lang w:val="en-US" w:eastAsia="zh-CN"/>
        </w:rPr>
        <w:t>由于下游白茅溪、奎溪</w:t>
      </w:r>
      <w:r>
        <w:rPr>
          <w:rFonts w:hint="eastAsia"/>
          <w:color w:val="auto"/>
          <w:highlight w:val="none"/>
          <w:lang w:val="en-US" w:eastAsia="zh-CN"/>
        </w:rPr>
        <w:t>、洋溪</w:t>
      </w:r>
      <w:r>
        <w:rPr>
          <w:rFonts w:hint="default"/>
          <w:color w:val="auto"/>
          <w:highlight w:val="none"/>
          <w:lang w:val="en-US" w:eastAsia="zh-CN"/>
        </w:rPr>
        <w:t>背景值已超标，预测断面现状监测值均超标，区域地表水已无环境容量。</w:t>
      </w:r>
      <w:r>
        <w:rPr>
          <w:rFonts w:hint="eastAsia"/>
          <w:color w:val="auto"/>
          <w:highlight w:val="none"/>
          <w:lang w:val="en-US" w:eastAsia="zh-CN"/>
        </w:rPr>
        <w:t>根据预测，各预测断面锑浓度均有所下降，但仍处于超标状态。区域地表水环境质量有所改善。</w:t>
      </w:r>
    </w:p>
    <w:p w14:paraId="1E13CFC2">
      <w:pPr>
        <w:pStyle w:val="37"/>
        <w:tabs>
          <w:tab w:val="clear" w:pos="0"/>
          <w:tab w:val="clear" w:pos="862"/>
        </w:tabs>
        <w:rPr>
          <w:rFonts w:hint="default" w:cs="Times New Roman"/>
          <w:color w:val="auto"/>
          <w:highlight w:val="none"/>
          <w:lang w:val="en-US" w:eastAsia="zh-CN"/>
        </w:rPr>
      </w:pPr>
      <w:r>
        <w:rPr>
          <w:rFonts w:hint="eastAsia" w:cs="Times New Roman"/>
          <w:color w:val="auto"/>
          <w:highlight w:val="none"/>
          <w:lang w:val="en-US" w:eastAsia="zh-CN"/>
        </w:rPr>
        <w:t>对第三者权益的影响</w:t>
      </w:r>
    </w:p>
    <w:p w14:paraId="3AA1E29E">
      <w:pPr>
        <w:pStyle w:val="2"/>
        <w:rPr>
          <w:rFonts w:hint="default"/>
          <w:color w:val="auto"/>
          <w:highlight w:val="none"/>
          <w:lang w:val="en-US" w:eastAsia="zh-CN"/>
        </w:rPr>
      </w:pPr>
      <w:r>
        <w:rPr>
          <w:rFonts w:hint="eastAsia"/>
          <w:color w:val="auto"/>
          <w:highlight w:val="none"/>
          <w:lang w:val="en-US" w:eastAsia="zh-CN"/>
        </w:rPr>
        <w:t>根据现场调查，本次排污口论证范围所在地表水水域不涉及集中式饮用水源取水口、饮用水水源保护区、第三方取水口。因此</w:t>
      </w:r>
      <w:r>
        <w:rPr>
          <w:color w:val="auto"/>
          <w:highlight w:val="none"/>
          <w:lang w:eastAsia="en-US"/>
        </w:rPr>
        <w:t>本项目入河排污口的设置对第三者影响较小，但是要采取适当措施，避免水环境污染物浓度超标；加强管理，避免发生非正常排放事故。</w:t>
      </w:r>
    </w:p>
    <w:p w14:paraId="7DC6A0C8">
      <w:pPr>
        <w:pStyle w:val="37"/>
        <w:tabs>
          <w:tab w:val="clear" w:pos="0"/>
          <w:tab w:val="clear" w:pos="862"/>
        </w:tabs>
        <w:rPr>
          <w:rFonts w:hint="default" w:cs="Times New Roman"/>
          <w:color w:val="auto"/>
          <w:highlight w:val="none"/>
          <w:lang w:val="en-US" w:eastAsia="zh-CN"/>
        </w:rPr>
      </w:pPr>
      <w:r>
        <w:rPr>
          <w:rFonts w:hint="default" w:cs="Times New Roman"/>
          <w:color w:val="auto"/>
          <w:highlight w:val="none"/>
          <w:lang w:val="en-US" w:eastAsia="zh-CN"/>
        </w:rPr>
        <w:t>排放位置、排放方式的建议及其合理性</w:t>
      </w:r>
    </w:p>
    <w:p w14:paraId="084892F8">
      <w:pPr>
        <w:pStyle w:val="2"/>
        <w:rPr>
          <w:rFonts w:hint="default"/>
          <w:color w:val="auto"/>
          <w:highlight w:val="none"/>
          <w:lang w:val="en-US" w:eastAsia="zh-CN"/>
        </w:rPr>
      </w:pPr>
      <w:r>
        <w:rPr>
          <w:rFonts w:hint="eastAsia"/>
          <w:color w:val="auto"/>
          <w:highlight w:val="none"/>
          <w:lang w:val="en-US" w:eastAsia="zh-CN"/>
        </w:rPr>
        <w:t>根据分析，本项目入河排污口设置符合《入河排污口监督管理办法》（2015年修正本）、《湖南省入河排污口监督管理办法》（湘政办发〔2018〕44号）、《国务院办公厅关于加强入河入海排污口监督管理工作的实施意见》（国办函〔2022〕17号）、《湖南省水功能区监督管理办法》（湘政办发〔2016〕14号）、《益阳市最严格水资源管理制度实施方案》（益政发〔2013〕23号）、湖南省政府《关于加强资江流域涉锑企业环境整治的通知》、《益阳市“十四五”生态环境保护规划》益政办发〔2021〕19号的要求。</w:t>
      </w:r>
    </w:p>
    <w:p w14:paraId="6A125441">
      <w:pPr>
        <w:pStyle w:val="37"/>
        <w:tabs>
          <w:tab w:val="clear" w:pos="0"/>
          <w:tab w:val="clear" w:pos="862"/>
        </w:tabs>
        <w:rPr>
          <w:rFonts w:hint="default" w:cs="Times New Roman"/>
          <w:color w:val="auto"/>
          <w:highlight w:val="none"/>
          <w:lang w:val="en-US" w:eastAsia="zh-CN"/>
        </w:rPr>
      </w:pPr>
      <w:r>
        <w:rPr>
          <w:rFonts w:hint="default" w:cs="Times New Roman"/>
          <w:color w:val="auto"/>
          <w:highlight w:val="none"/>
          <w:lang w:val="en-US" w:eastAsia="zh-CN"/>
        </w:rPr>
        <w:t>入河排污口排污前污水处理措施及其效果</w:t>
      </w:r>
    </w:p>
    <w:p w14:paraId="3B185819">
      <w:pPr>
        <w:pStyle w:val="2"/>
        <w:rPr>
          <w:rFonts w:hint="default"/>
          <w:color w:val="auto"/>
          <w:highlight w:val="none"/>
          <w:lang w:val="en-US" w:eastAsia="zh-CN"/>
        </w:rPr>
      </w:pPr>
      <w:r>
        <w:rPr>
          <w:rFonts w:hint="eastAsia"/>
          <w:color w:val="auto"/>
          <w:highlight w:val="none"/>
          <w:lang w:val="en-US" w:eastAsia="zh-CN"/>
        </w:rPr>
        <w:t>本项目废水处理站已建成投用，根据引用的锑矿升级改造环评的废水处理站出水浓度监测数据可知，废水处理站出水水质可满足本项目排放标准（在特别排放限值0.3mg/L的基础上，再严格50%执行，即0.15mg/L）。</w:t>
      </w:r>
    </w:p>
    <w:p w14:paraId="05335B65">
      <w:pPr>
        <w:pStyle w:val="2"/>
        <w:rPr>
          <w:rFonts w:hint="default"/>
          <w:color w:val="auto"/>
          <w:highlight w:val="none"/>
          <w:lang w:val="en-US" w:eastAsia="zh-CN"/>
        </w:rPr>
      </w:pPr>
      <w:r>
        <w:rPr>
          <w:rFonts w:hint="eastAsia"/>
          <w:color w:val="auto"/>
          <w:highlight w:val="none"/>
          <w:lang w:val="en-US" w:eastAsia="zh-CN"/>
        </w:rPr>
        <w:t>由渣滓溪锑矿2023年全年月度监测报告监测结果可知，渣滓溪锑矿全年锑排放平均浓度低于本次评价执行的排放标准0.15mg/L，有3个月度监测指标超标，但均低于企业目前排污许可执行标准0.3mg/L。本次论证建议提高渣滓溪锑矿废水排放浓度要求，在特别排放限值0.3mg/L的基础上，再严格50%执行，即0.15mg/L。</w:t>
      </w:r>
    </w:p>
    <w:p w14:paraId="67A46E25">
      <w:pPr>
        <w:pStyle w:val="37"/>
        <w:tabs>
          <w:tab w:val="clear" w:pos="0"/>
          <w:tab w:val="clear" w:pos="862"/>
        </w:tabs>
        <w:rPr>
          <w:rFonts w:hint="default" w:cs="Times New Roman"/>
          <w:color w:val="auto"/>
          <w:highlight w:val="none"/>
          <w:lang w:val="en-US" w:eastAsia="zh-CN"/>
        </w:rPr>
      </w:pPr>
      <w:r>
        <w:rPr>
          <w:rFonts w:hint="eastAsia" w:cs="Times New Roman"/>
          <w:color w:val="auto"/>
          <w:highlight w:val="none"/>
          <w:lang w:val="en-US" w:eastAsia="zh-CN"/>
        </w:rPr>
        <w:t>入河排污口设置结论</w:t>
      </w:r>
    </w:p>
    <w:p w14:paraId="37173391">
      <w:pPr>
        <w:pStyle w:val="2"/>
        <w:rPr>
          <w:rFonts w:hint="default"/>
          <w:color w:val="auto"/>
          <w:highlight w:val="none"/>
          <w:lang w:val="en-US" w:eastAsia="zh-CN"/>
        </w:rPr>
      </w:pPr>
      <w:r>
        <w:rPr>
          <w:rFonts w:hint="eastAsia"/>
          <w:color w:val="auto"/>
          <w:highlight w:val="none"/>
          <w:lang w:val="en-US" w:eastAsia="zh-CN"/>
        </w:rPr>
        <w:t>本项目入河排污口设置</w:t>
      </w:r>
      <w:r>
        <w:rPr>
          <w:rFonts w:hint="eastAsia" w:cs="Times New Roman"/>
          <w:color w:val="auto"/>
          <w:highlight w:val="none"/>
          <w:lang w:val="en-US" w:eastAsia="zh-CN"/>
        </w:rPr>
        <w:t>论证范围为排污口上游0.5km至排污口下游41.255km洋溪汇入资江口处，总长41.755km。</w:t>
      </w:r>
    </w:p>
    <w:p w14:paraId="112D86D7">
      <w:pPr>
        <w:pStyle w:val="2"/>
        <w:rPr>
          <w:rFonts w:hint="default"/>
          <w:color w:val="auto"/>
          <w:highlight w:val="none"/>
          <w:lang w:val="en-US" w:eastAsia="zh-CN"/>
        </w:rPr>
      </w:pPr>
      <w:r>
        <w:rPr>
          <w:rFonts w:hint="default"/>
          <w:color w:val="auto"/>
          <w:highlight w:val="none"/>
          <w:lang w:val="en-US" w:eastAsia="zh-CN"/>
        </w:rPr>
        <w:t>由于下游白茅溪、奎溪</w:t>
      </w:r>
      <w:r>
        <w:rPr>
          <w:rFonts w:hint="eastAsia"/>
          <w:color w:val="auto"/>
          <w:highlight w:val="none"/>
          <w:lang w:val="en-US" w:eastAsia="zh-CN"/>
        </w:rPr>
        <w:t>.、洋溪</w:t>
      </w:r>
      <w:r>
        <w:rPr>
          <w:rFonts w:hint="default"/>
          <w:color w:val="auto"/>
          <w:highlight w:val="none"/>
          <w:lang w:val="en-US" w:eastAsia="zh-CN"/>
        </w:rPr>
        <w:t>背景值已超标，预测断面现状监测值均超标，区域地表水已无环境容量。</w:t>
      </w:r>
      <w:r>
        <w:rPr>
          <w:rFonts w:hint="eastAsia"/>
          <w:color w:val="auto"/>
          <w:highlight w:val="none"/>
          <w:lang w:val="en-US" w:eastAsia="zh-CN"/>
        </w:rPr>
        <w:t>根据预测，各预测断面锑浓度均有所下降，但仍处于超标状态。区域地表水环境质量有所改善。</w:t>
      </w:r>
    </w:p>
    <w:p w14:paraId="647CEFB6">
      <w:pPr>
        <w:pStyle w:val="2"/>
        <w:rPr>
          <w:rFonts w:hint="default"/>
          <w:color w:val="auto"/>
          <w:highlight w:val="none"/>
          <w:lang w:val="en-US" w:eastAsia="zh-CN"/>
        </w:rPr>
      </w:pPr>
      <w:r>
        <w:rPr>
          <w:rFonts w:hint="eastAsia"/>
          <w:color w:val="auto"/>
          <w:highlight w:val="none"/>
          <w:lang w:val="en-US" w:eastAsia="zh-CN"/>
        </w:rPr>
        <w:t>根据现场调查，本次排污口论证范围所在地表水水域不涉及集中式饮用水源取水口、饮用水水源保护区、第三方取水口。因此</w:t>
      </w:r>
      <w:r>
        <w:rPr>
          <w:color w:val="auto"/>
          <w:highlight w:val="none"/>
          <w:lang w:eastAsia="en-US"/>
        </w:rPr>
        <w:t>本项目入河排污口的设置对第三者影响较小。</w:t>
      </w:r>
    </w:p>
    <w:p w14:paraId="7DEF6188">
      <w:pPr>
        <w:pStyle w:val="2"/>
        <w:rPr>
          <w:rFonts w:hint="default"/>
          <w:color w:val="auto"/>
          <w:highlight w:val="none"/>
          <w:lang w:val="en-US" w:eastAsia="zh-CN"/>
        </w:rPr>
      </w:pPr>
      <w:r>
        <w:rPr>
          <w:rFonts w:hint="eastAsia"/>
          <w:color w:val="auto"/>
          <w:highlight w:val="none"/>
          <w:lang w:val="en-US" w:eastAsia="zh-CN"/>
        </w:rPr>
        <w:t>综上所述，本项目入河排污口设置合理。</w:t>
      </w:r>
    </w:p>
    <w:p w14:paraId="7071B6FB">
      <w:pPr>
        <w:pStyle w:val="36"/>
        <w:tabs>
          <w:tab w:val="left" w:pos="1021"/>
          <w:tab w:val="clear" w:pos="0"/>
          <w:tab w:val="clear" w:pos="578"/>
        </w:tabs>
        <w:rPr>
          <w:rFonts w:hint="default" w:cs="Times New Roman"/>
          <w:color w:val="auto"/>
          <w:highlight w:val="none"/>
          <w:lang w:val="en-US" w:eastAsia="zh-CN"/>
        </w:rPr>
      </w:pPr>
      <w:bookmarkStart w:id="83" w:name="_Toc28319"/>
      <w:r>
        <w:rPr>
          <w:rFonts w:hint="eastAsia" w:cs="Times New Roman"/>
          <w:color w:val="auto"/>
          <w:highlight w:val="none"/>
          <w:lang w:val="en-US" w:eastAsia="zh-CN"/>
        </w:rPr>
        <w:t>建议</w:t>
      </w:r>
      <w:bookmarkEnd w:id="83"/>
    </w:p>
    <w:p w14:paraId="7ED5C0D7">
      <w:pPr>
        <w:pStyle w:val="37"/>
        <w:rPr>
          <w:rFonts w:hint="default"/>
          <w:color w:val="auto"/>
          <w:highlight w:val="none"/>
          <w:lang w:val="en-US" w:eastAsia="zh-CN"/>
        </w:rPr>
      </w:pPr>
      <w:r>
        <w:rPr>
          <w:rFonts w:hint="eastAsia"/>
          <w:color w:val="auto"/>
          <w:highlight w:val="none"/>
          <w:lang w:val="en-US" w:eastAsia="zh-CN"/>
        </w:rPr>
        <w:t>加强水功能区监督管理</w:t>
      </w:r>
    </w:p>
    <w:p w14:paraId="09B8A5E0">
      <w:pPr>
        <w:pStyle w:val="2"/>
        <w:rPr>
          <w:rFonts w:hint="default"/>
          <w:color w:val="auto"/>
          <w:highlight w:val="none"/>
          <w:lang w:val="en-US" w:eastAsia="zh-CN"/>
        </w:rPr>
      </w:pPr>
      <w:r>
        <w:rPr>
          <w:rFonts w:hint="eastAsia"/>
          <w:color w:val="auto"/>
          <w:highlight w:val="none"/>
          <w:lang w:val="en-US" w:eastAsia="zh-CN"/>
        </w:rPr>
        <w:t>加强对水功能区的保护，本项目执行《锡、锑、汞工业污染物排放标准》（GB30770-2014）中表2新建企业水污染物排放限值，其中锑排放浓度较表2水污染物特别排放限值0.3mg/L严格50%执行，即0.15mg/L。</w:t>
      </w:r>
    </w:p>
    <w:p w14:paraId="16681595">
      <w:pPr>
        <w:pStyle w:val="2"/>
        <w:rPr>
          <w:rFonts w:hint="default"/>
          <w:color w:val="auto"/>
          <w:highlight w:val="none"/>
          <w:lang w:val="en-US" w:eastAsia="zh-CN"/>
        </w:rPr>
      </w:pPr>
      <w:r>
        <w:rPr>
          <w:rFonts w:hint="eastAsia"/>
          <w:color w:val="auto"/>
          <w:highlight w:val="none"/>
          <w:lang w:val="en-US" w:eastAsia="zh-CN"/>
        </w:rPr>
        <w:t>加强水功能区水质监测工作，及时了解水功能区内的水环境状况，对于排放的污染物超出水域纳污能力的情况，依照相关法律由地方水行政主管部门或流域机构管理部门提出整改意见并监督执行，确保达到水功能区管理目标。</w:t>
      </w:r>
    </w:p>
    <w:p w14:paraId="5FA942ED">
      <w:pPr>
        <w:pStyle w:val="37"/>
        <w:tabs>
          <w:tab w:val="clear" w:pos="0"/>
          <w:tab w:val="clear" w:pos="862"/>
        </w:tabs>
        <w:rPr>
          <w:rFonts w:hint="default"/>
          <w:color w:val="auto"/>
          <w:highlight w:val="none"/>
          <w:lang w:val="en-US" w:eastAsia="zh-CN"/>
        </w:rPr>
      </w:pPr>
      <w:r>
        <w:rPr>
          <w:rFonts w:hint="eastAsia"/>
          <w:color w:val="auto"/>
          <w:highlight w:val="none"/>
          <w:lang w:val="en-US" w:eastAsia="zh-CN"/>
        </w:rPr>
        <w:t>加强工程运行管理，建立应急预案</w:t>
      </w:r>
    </w:p>
    <w:p w14:paraId="7D554F9C">
      <w:pPr>
        <w:pStyle w:val="2"/>
        <w:rPr>
          <w:rFonts w:hint="default"/>
          <w:color w:val="auto"/>
          <w:highlight w:val="none"/>
          <w:lang w:val="en-US" w:eastAsia="zh-CN"/>
        </w:rPr>
      </w:pPr>
      <w:r>
        <w:rPr>
          <w:rFonts w:hint="eastAsia"/>
          <w:color w:val="auto"/>
          <w:highlight w:val="none"/>
          <w:lang w:val="en-US" w:eastAsia="zh-CN"/>
        </w:rPr>
        <w:t>为保证污水处理设施正常的运行，应加强防范措施预防污水处理设施的事故发生。发生非正常排放情况时，高浓度的污水有可能排入水体，对水环境产生严重影响。为此应建立水质安全保障应急预案，以保障污水在进入渣滓溪之前得到有效控制，一旦事故发生，必须按事先制定的应急预案，进行紧急处理，及时关闭排污口，采取污水应急处理措施等，并及时将事故信息报告给生态环境主管部门，减少污染影响范围，避免水体水质不受污染。</w:t>
      </w:r>
    </w:p>
    <w:p w14:paraId="4727F231">
      <w:pPr>
        <w:pStyle w:val="37"/>
        <w:tabs>
          <w:tab w:val="clear" w:pos="0"/>
          <w:tab w:val="clear" w:pos="862"/>
        </w:tabs>
        <w:rPr>
          <w:rFonts w:hint="default"/>
          <w:color w:val="auto"/>
          <w:highlight w:val="none"/>
          <w:lang w:val="en-US" w:eastAsia="zh-CN"/>
        </w:rPr>
      </w:pPr>
      <w:r>
        <w:rPr>
          <w:rFonts w:hint="eastAsia"/>
          <w:color w:val="auto"/>
          <w:highlight w:val="none"/>
          <w:lang w:val="en-US" w:eastAsia="zh-CN"/>
        </w:rPr>
        <w:t>信息报送制度</w:t>
      </w:r>
    </w:p>
    <w:p w14:paraId="04EB444B">
      <w:pPr>
        <w:pStyle w:val="2"/>
        <w:rPr>
          <w:rFonts w:hint="default"/>
          <w:color w:val="auto"/>
          <w:highlight w:val="none"/>
          <w:lang w:val="en-US" w:eastAsia="zh-CN"/>
        </w:rPr>
      </w:pPr>
      <w:r>
        <w:rPr>
          <w:rFonts w:hint="eastAsia"/>
          <w:color w:val="auto"/>
          <w:highlight w:val="none"/>
          <w:lang w:val="en-US" w:eastAsia="zh-CN"/>
        </w:rPr>
        <w:t>入河排污口设置单位必须按季度、年度向生态环境主管部门报送排污口统计表，必须按规定项目如实填报报表，不得弄虚作假。生态环境主管部门每年按照规定的审批权限，对排污口组织年审。一旦出现非正常排放，入河排污口设置单位应及时向当地政府、生态环境主管部门报告。</w:t>
      </w:r>
    </w:p>
    <w:p w14:paraId="763ADD59">
      <w:pPr>
        <w:pStyle w:val="37"/>
        <w:tabs>
          <w:tab w:val="clear" w:pos="0"/>
          <w:tab w:val="clear" w:pos="862"/>
        </w:tabs>
        <w:rPr>
          <w:rFonts w:hint="default"/>
          <w:color w:val="auto"/>
          <w:highlight w:val="none"/>
          <w:lang w:val="en-US" w:eastAsia="zh-CN"/>
        </w:rPr>
      </w:pPr>
      <w:r>
        <w:rPr>
          <w:rFonts w:hint="eastAsia"/>
          <w:color w:val="auto"/>
          <w:highlight w:val="none"/>
          <w:lang w:val="en-US" w:eastAsia="zh-CN"/>
        </w:rPr>
        <w:t>协调合作，共同保护水资源</w:t>
      </w:r>
    </w:p>
    <w:p w14:paraId="10E4CC26">
      <w:pPr>
        <w:pStyle w:val="2"/>
        <w:rPr>
          <w:rFonts w:hint="default"/>
          <w:color w:val="auto"/>
          <w:highlight w:val="none"/>
          <w:lang w:val="en-US" w:eastAsia="zh-CN"/>
        </w:rPr>
      </w:pPr>
      <w:r>
        <w:rPr>
          <w:rFonts w:hint="eastAsia"/>
          <w:color w:val="auto"/>
          <w:highlight w:val="none"/>
          <w:lang w:val="en-US" w:eastAsia="zh-CN"/>
        </w:rPr>
        <w:t>入河排污口设置单位应与地方政府及相关职能部门加强协调，密切协作，保证水功能区水质不被破坏。</w:t>
      </w:r>
    </w:p>
    <w:p w14:paraId="425EF505">
      <w:pPr>
        <w:pStyle w:val="2"/>
        <w:rPr>
          <w:rFonts w:hint="default"/>
          <w:color w:val="auto"/>
          <w:highlight w:val="none"/>
          <w:lang w:val="en-US" w:eastAsia="zh-CN"/>
        </w:rPr>
      </w:pPr>
    </w:p>
    <w:p w14:paraId="4A325AB6">
      <w:pPr>
        <w:rPr>
          <w:color w:val="auto"/>
          <w:highlight w:val="none"/>
        </w:rPr>
      </w:pPr>
    </w:p>
    <w:p w14:paraId="19BA3421">
      <w:pPr>
        <w:rPr>
          <w:color w:val="auto"/>
          <w:highlight w:val="none"/>
        </w:rPr>
      </w:pPr>
    </w:p>
    <w:sectPr>
      <w:pgSz w:w="11906" w:h="16838"/>
      <w:pgMar w:top="1440" w:right="1440" w:bottom="1236"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MingLiU_HKSCS">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0D087">
    <w:pPr>
      <w:tabs>
        <w:tab w:val="center" w:pos="4153"/>
        <w:tab w:val="right" w:pos="8306"/>
      </w:tabs>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96A07">
    <w:pPr>
      <w:tabs>
        <w:tab w:val="center" w:pos="4153"/>
        <w:tab w:val="right" w:pos="8306"/>
      </w:tabs>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4D3C4">
    <w:pPr>
      <w:tabs>
        <w:tab w:val="center" w:pos="4153"/>
        <w:tab w:val="right" w:pos="8306"/>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E0920">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F2664">
    <w:pPr>
      <w:ind w:left="53" w:firstLine="480"/>
      <w:rPr>
        <w:rFonts w:ascii="Times New Roman" w:hAnsi="Times New Roman" w:eastAsia="宋体"/>
      </w:rPr>
    </w:pPr>
    <w:r>
      <w:rPr>
        <w:rFonts w:ascii="Times New Roman" w:hAnsi="Times New Roman" w:eastAsia="宋体"/>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0865" cy="27813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7086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3B07E">
                          <w:pPr>
                            <w:tabs>
                              <w:tab w:val="center" w:pos="4153"/>
                              <w:tab w:val="right" w:pos="8306"/>
                            </w:tabs>
                            <w:jc w:val="center"/>
                            <w:rPr>
                              <w:rFonts w:ascii="Times New Roman" w:hAnsi="Times New Roman" w:eastAsia="宋体"/>
                              <w:sz w:val="21"/>
                              <w:szCs w:val="22"/>
                            </w:rPr>
                          </w:pPr>
                          <w:r>
                            <w:rPr>
                              <w:rFonts w:ascii="Times New Roman" w:hAnsi="Times New Roman" w:eastAsia="宋体"/>
                              <w:sz w:val="21"/>
                              <w:szCs w:val="22"/>
                            </w:rPr>
                            <w:fldChar w:fldCharType="begin"/>
                          </w:r>
                          <w:r>
                            <w:rPr>
                              <w:rFonts w:ascii="Times New Roman" w:hAnsi="Times New Roman" w:eastAsia="宋体"/>
                              <w:sz w:val="21"/>
                              <w:szCs w:val="22"/>
                            </w:rPr>
                            <w:instrText xml:space="preserve"> PAGE  \* MERGEFORMAT </w:instrText>
                          </w:r>
                          <w:r>
                            <w:rPr>
                              <w:rFonts w:ascii="Times New Roman" w:hAnsi="Times New Roman" w:eastAsia="宋体"/>
                              <w:sz w:val="21"/>
                              <w:szCs w:val="22"/>
                            </w:rPr>
                            <w:fldChar w:fldCharType="separate"/>
                          </w:r>
                          <w:r>
                            <w:rPr>
                              <w:rFonts w:ascii="Times New Roman" w:hAnsi="Times New Roman" w:eastAsia="宋体"/>
                              <w:sz w:val="21"/>
                              <w:szCs w:val="22"/>
                            </w:rPr>
                            <w:t>17</w:t>
                          </w:r>
                          <w:r>
                            <w:rPr>
                              <w:rFonts w:ascii="Times New Roman" w:hAnsi="Times New Roman" w:eastAsia="宋体"/>
                              <w:sz w:val="21"/>
                              <w:szCs w:val="22"/>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1.9pt;width:44.95pt;mso-position-horizontal:center;mso-position-horizontal-relative:margin;z-index:251662336;mso-width-relative:page;mso-height-relative:page;" filled="f" stroked="f" coordsize="21600,21600" o:gfxdata="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HG+uPUAAAAAwEAAA8AAAAAAAAAAQAgAAAAIgAAAGRycy9kb3ducmV2&#10;LnhtbFBLAQIUABQAAAAIAIdO4kBVPU1ZOQIAAGMEAAAOAAAAAAAAAAEAIAAAACMBAABkcnMvZTJv&#10;RG9jLnhtbFBLBQYAAAAABgAGAFkBAADOBQAAAAA=&#10;">
              <v:fill on="f" focussize="0,0"/>
              <v:stroke on="f" weight="0.5pt"/>
              <v:imagedata o:title=""/>
              <o:lock v:ext="edit" aspectratio="f"/>
              <v:textbox inset="0mm,0mm,0mm,0mm">
                <w:txbxContent>
                  <w:p w14:paraId="0853B07E">
                    <w:pPr>
                      <w:tabs>
                        <w:tab w:val="center" w:pos="4153"/>
                        <w:tab w:val="right" w:pos="8306"/>
                      </w:tabs>
                      <w:jc w:val="center"/>
                      <w:rPr>
                        <w:rFonts w:ascii="Times New Roman" w:hAnsi="Times New Roman" w:eastAsia="宋体"/>
                        <w:sz w:val="21"/>
                        <w:szCs w:val="22"/>
                      </w:rPr>
                    </w:pPr>
                    <w:r>
                      <w:rPr>
                        <w:rFonts w:ascii="Times New Roman" w:hAnsi="Times New Roman" w:eastAsia="宋体"/>
                        <w:sz w:val="21"/>
                        <w:szCs w:val="22"/>
                      </w:rPr>
                      <w:fldChar w:fldCharType="begin"/>
                    </w:r>
                    <w:r>
                      <w:rPr>
                        <w:rFonts w:ascii="Times New Roman" w:hAnsi="Times New Roman" w:eastAsia="宋体"/>
                        <w:sz w:val="21"/>
                        <w:szCs w:val="22"/>
                      </w:rPr>
                      <w:instrText xml:space="preserve"> PAGE  \* MERGEFORMAT </w:instrText>
                    </w:r>
                    <w:r>
                      <w:rPr>
                        <w:rFonts w:ascii="Times New Roman" w:hAnsi="Times New Roman" w:eastAsia="宋体"/>
                        <w:sz w:val="21"/>
                        <w:szCs w:val="22"/>
                      </w:rPr>
                      <w:fldChar w:fldCharType="separate"/>
                    </w:r>
                    <w:r>
                      <w:rPr>
                        <w:rFonts w:ascii="Times New Roman" w:hAnsi="Times New Roman" w:eastAsia="宋体"/>
                        <w:sz w:val="21"/>
                        <w:szCs w:val="22"/>
                      </w:rPr>
                      <w:t>17</w:t>
                    </w:r>
                    <w:r>
                      <w:rPr>
                        <w:rFonts w:ascii="Times New Roman" w:hAnsi="Times New Roman" w:eastAsia="宋体"/>
                        <w:sz w:val="21"/>
                        <w:szCs w:val="2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28851">
    <w:pPr>
      <w:ind w:left="53"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0865" cy="27813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70865"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CB5F9">
                          <w:pPr>
                            <w:tabs>
                              <w:tab w:val="center" w:pos="4153"/>
                              <w:tab w:val="right" w:pos="8306"/>
                            </w:tabs>
                            <w:jc w:val="center"/>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17</w:t>
                          </w:r>
                          <w:r>
                            <w:rPr>
                              <w:sz w:val="21"/>
                              <w:szCs w:val="22"/>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1.9pt;width:44.95pt;mso-position-horizontal:center;mso-position-horizontal-relative:margin;z-index:251659264;mso-width-relative:page;mso-height-relative:page;" filled="f" stroked="f" coordsize="21600,21600" o:gfxdata="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cb649QAAAADAQAADwAAAAAAAAABACAAAAAiAAAAZHJzL2Rvd25yZXYueG1sUEsB&#10;AhQAFAAAAAgAh07iQP6al60yAgAAVwQAAA4AAAAAAAAAAQAgAAAAIwEAAGRycy9lMm9Eb2MueG1s&#10;UEsFBgAAAAAGAAYAWQEAAMcFAAAAAA==&#10;">
              <v:fill on="f" focussize="0,0"/>
              <v:stroke on="f" weight="0.5pt"/>
              <v:imagedata o:title=""/>
              <o:lock v:ext="edit" aspectratio="f"/>
              <v:textbox inset="0mm,0mm,0mm,0mm">
                <w:txbxContent>
                  <w:p w14:paraId="590CB5F9">
                    <w:pPr>
                      <w:tabs>
                        <w:tab w:val="center" w:pos="4153"/>
                        <w:tab w:val="right" w:pos="8306"/>
                      </w:tabs>
                      <w:jc w:val="center"/>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17</w:t>
                    </w:r>
                    <w:r>
                      <w:rPr>
                        <w:sz w:val="21"/>
                        <w:szCs w:val="22"/>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E943A">
    <w:pPr>
      <w:ind w:left="53" w:firstLine="48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0865" cy="27813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70865"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663AA">
                          <w:pPr>
                            <w:tabs>
                              <w:tab w:val="center" w:pos="4153"/>
                              <w:tab w:val="right" w:pos="8306"/>
                            </w:tabs>
                            <w:jc w:val="center"/>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17</w:t>
                          </w:r>
                          <w:r>
                            <w:rPr>
                              <w:sz w:val="21"/>
                              <w:szCs w:val="22"/>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1.9pt;width:44.95pt;mso-position-horizontal:center;mso-position-horizontal-relative:margin;z-index:251661312;mso-width-relative:page;mso-height-relative:page;" filled="f" stroked="f" coordsize="21600,21600" o:gfxdata="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cb649QAAAADAQAADwAAAAAAAAABACAAAAAiAAAAZHJzL2Rvd25yZXYueG1sUEsB&#10;AhQAFAAAAAgAh07iQOrcgGkyAgAAVwQAAA4AAAAAAAAAAQAgAAAAIwEAAGRycy9lMm9Eb2MueG1s&#10;UEsFBgAAAAAGAAYAWQEAAMcFAAAAAA==&#10;">
              <v:fill on="f" focussize="0,0"/>
              <v:stroke on="f" weight="0.5pt"/>
              <v:imagedata o:title=""/>
              <o:lock v:ext="edit" aspectratio="f"/>
              <v:textbox inset="0mm,0mm,0mm,0mm">
                <w:txbxContent>
                  <w:p w14:paraId="306663AA">
                    <w:pPr>
                      <w:tabs>
                        <w:tab w:val="center" w:pos="4153"/>
                        <w:tab w:val="right" w:pos="8306"/>
                      </w:tabs>
                      <w:jc w:val="center"/>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17</w:t>
                    </w:r>
                    <w:r>
                      <w:rPr>
                        <w:sz w:val="21"/>
                        <w:szCs w:val="22"/>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3C7D8">
    <w:pPr>
      <w:ind w:firstLine="480"/>
      <w:rPr>
        <w:rFonts w:ascii="宋体" w:hAnsi="宋体"/>
      </w:rPr>
    </w:pP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0B3F4">
                          <w:pPr>
                            <w:tabs>
                              <w:tab w:val="center" w:pos="4153"/>
                              <w:tab w:val="right" w:pos="8306"/>
                            </w:tabs>
                            <w:ind w:firstLine="360"/>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175</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pjkoz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QpjkozAgAAZQQAAA4AAAAAAAAAAQAgAAAAHwEAAGRycy9lMm9Eb2MueG1sUEsF&#10;BgAAAAAGAAYAWQEAAMQFAAAAAA==&#10;">
              <v:fill on="f" focussize="0,0"/>
              <v:stroke on="f" weight="0.5pt"/>
              <v:imagedata o:title=""/>
              <o:lock v:ext="edit" aspectratio="f"/>
              <v:textbox inset="0mm,0mm,0mm,0mm" style="mso-fit-shape-to-text:t;">
                <w:txbxContent>
                  <w:p w14:paraId="4840B3F4">
                    <w:pPr>
                      <w:tabs>
                        <w:tab w:val="center" w:pos="4153"/>
                        <w:tab w:val="right" w:pos="8306"/>
                      </w:tabs>
                      <w:ind w:firstLine="360"/>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175</w:t>
                    </w:r>
                    <w:r>
                      <w:rPr>
                        <w:rFonts w:ascii="Times New Roman" w:hAnsi="Times New Roma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AE50E">
    <w:pPr>
      <w:rPr>
        <w:rFonts w:ascii="宋体" w:hAnsi="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8D408">
                          <w:pPr>
                            <w:tabs>
                              <w:tab w:val="center" w:pos="4153"/>
                              <w:tab w:val="right" w:pos="8306"/>
                            </w:tabs>
                            <w:ind w:firstLine="360"/>
                          </w:pPr>
                          <w:r>
                            <w:fldChar w:fldCharType="begin"/>
                          </w:r>
                          <w:r>
                            <w:instrText xml:space="preserve"> PAGE  \* MERGEFORMAT </w:instrText>
                          </w:r>
                          <w:r>
                            <w:fldChar w:fldCharType="separate"/>
                          </w:r>
                          <w:r>
                            <w:t>388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1D8D408">
                    <w:pPr>
                      <w:tabs>
                        <w:tab w:val="center" w:pos="4153"/>
                        <w:tab w:val="right" w:pos="8306"/>
                      </w:tabs>
                      <w:ind w:firstLine="360"/>
                    </w:pPr>
                    <w:r>
                      <w:fldChar w:fldCharType="begin"/>
                    </w:r>
                    <w:r>
                      <w:instrText xml:space="preserve"> PAGE  \* MERGEFORMAT </w:instrText>
                    </w:r>
                    <w:r>
                      <w:fldChar w:fldCharType="separate"/>
                    </w:r>
                    <w:r>
                      <w:t>388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7D5C2">
    <w:pPr>
      <w:tabs>
        <w:tab w:val="center" w:pos="4153"/>
        <w:tab w:val="right" w:pos="8306"/>
      </w:tabs>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BFBB9">
    <w:pPr>
      <w:tabs>
        <w:tab w:val="center" w:pos="4153"/>
        <w:tab w:val="right" w:pos="8306"/>
      </w:tabs>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1C127"/>
    <w:multiLevelType w:val="singleLevel"/>
    <w:tmpl w:val="9001C127"/>
    <w:lvl w:ilvl="0" w:tentative="0">
      <w:start w:val="1"/>
      <w:numFmt w:val="decimal"/>
      <w:suff w:val="nothing"/>
      <w:lvlText w:val="%1、"/>
      <w:lvlJc w:val="left"/>
      <w:pPr>
        <w:tabs>
          <w:tab w:val="left" w:pos="0"/>
        </w:tabs>
        <w:ind w:firstLine="40"/>
      </w:pPr>
      <w:rPr>
        <w:rFonts w:hint="default"/>
      </w:rPr>
    </w:lvl>
  </w:abstractNum>
  <w:abstractNum w:abstractNumId="1">
    <w:nsid w:val="B8DC28F6"/>
    <w:multiLevelType w:val="singleLevel"/>
    <w:tmpl w:val="B8DC28F6"/>
    <w:lvl w:ilvl="0" w:tentative="0">
      <w:start w:val="1"/>
      <w:numFmt w:val="decimal"/>
      <w:lvlText w:val="(%1)"/>
      <w:lvlJc w:val="left"/>
      <w:pPr>
        <w:tabs>
          <w:tab w:val="left" w:pos="113"/>
        </w:tabs>
        <w:ind w:left="113" w:hanging="73"/>
      </w:pPr>
      <w:rPr>
        <w:rFonts w:hint="default"/>
      </w:rPr>
    </w:lvl>
  </w:abstractNum>
  <w:abstractNum w:abstractNumId="2">
    <w:nsid w:val="C4B867B6"/>
    <w:multiLevelType w:val="singleLevel"/>
    <w:tmpl w:val="C4B867B6"/>
    <w:lvl w:ilvl="0" w:tentative="0">
      <w:start w:val="1"/>
      <w:numFmt w:val="decimal"/>
      <w:suff w:val="nothing"/>
      <w:lvlText w:val="%1、"/>
      <w:lvlJc w:val="left"/>
      <w:pPr>
        <w:tabs>
          <w:tab w:val="left" w:pos="0"/>
        </w:tabs>
        <w:ind w:firstLine="40"/>
      </w:pPr>
      <w:rPr>
        <w:rFonts w:hint="default"/>
        <w:sz w:val="24"/>
        <w:szCs w:val="24"/>
      </w:rPr>
    </w:lvl>
  </w:abstractNum>
  <w:abstractNum w:abstractNumId="3">
    <w:nsid w:val="D060D1D4"/>
    <w:multiLevelType w:val="singleLevel"/>
    <w:tmpl w:val="D060D1D4"/>
    <w:lvl w:ilvl="0" w:tentative="0">
      <w:start w:val="1"/>
      <w:numFmt w:val="decimal"/>
      <w:lvlText w:val="(%1)"/>
      <w:lvlJc w:val="left"/>
      <w:pPr>
        <w:tabs>
          <w:tab w:val="left" w:pos="113"/>
        </w:tabs>
        <w:ind w:left="113" w:hanging="73"/>
      </w:pPr>
      <w:rPr>
        <w:rFonts w:hint="default"/>
      </w:rPr>
    </w:lvl>
  </w:abstractNum>
  <w:abstractNum w:abstractNumId="4">
    <w:nsid w:val="E8BA7B81"/>
    <w:multiLevelType w:val="singleLevel"/>
    <w:tmpl w:val="E8BA7B81"/>
    <w:lvl w:ilvl="0" w:tentative="0">
      <w:start w:val="1"/>
      <w:numFmt w:val="decimal"/>
      <w:lvlText w:val="(%1)"/>
      <w:lvlJc w:val="left"/>
      <w:pPr>
        <w:tabs>
          <w:tab w:val="left" w:pos="113"/>
        </w:tabs>
        <w:ind w:left="113" w:hanging="73"/>
      </w:pPr>
      <w:rPr>
        <w:rFonts w:hint="default"/>
      </w:rPr>
    </w:lvl>
  </w:abstractNum>
  <w:abstractNum w:abstractNumId="5">
    <w:nsid w:val="158D6D59"/>
    <w:multiLevelType w:val="singleLevel"/>
    <w:tmpl w:val="158D6D59"/>
    <w:lvl w:ilvl="0" w:tentative="0">
      <w:start w:val="1"/>
      <w:numFmt w:val="decimal"/>
      <w:lvlText w:val="(%1)"/>
      <w:lvlJc w:val="left"/>
      <w:pPr>
        <w:tabs>
          <w:tab w:val="left" w:pos="113"/>
        </w:tabs>
        <w:ind w:left="113" w:hanging="73"/>
      </w:pPr>
      <w:rPr>
        <w:rFonts w:hint="default"/>
      </w:rPr>
    </w:lvl>
  </w:abstractNum>
  <w:abstractNum w:abstractNumId="6">
    <w:nsid w:val="1DB6F3EA"/>
    <w:multiLevelType w:val="singleLevel"/>
    <w:tmpl w:val="1DB6F3EA"/>
    <w:lvl w:ilvl="0" w:tentative="0">
      <w:start w:val="1"/>
      <w:numFmt w:val="decimal"/>
      <w:suff w:val="nothing"/>
      <w:lvlText w:val="%1、"/>
      <w:lvlJc w:val="left"/>
    </w:lvl>
  </w:abstractNum>
  <w:abstractNum w:abstractNumId="7">
    <w:nsid w:val="24DB79F7"/>
    <w:multiLevelType w:val="singleLevel"/>
    <w:tmpl w:val="24DB79F7"/>
    <w:lvl w:ilvl="0" w:tentative="0">
      <w:start w:val="1"/>
      <w:numFmt w:val="decimal"/>
      <w:suff w:val="nothing"/>
      <w:lvlText w:val="%1、"/>
      <w:lvlJc w:val="left"/>
      <w:pPr>
        <w:tabs>
          <w:tab w:val="left" w:pos="0"/>
        </w:tabs>
        <w:ind w:firstLine="40"/>
      </w:pPr>
      <w:rPr>
        <w:rFonts w:hint="default"/>
      </w:rPr>
    </w:lvl>
  </w:abstractNum>
  <w:abstractNum w:abstractNumId="8">
    <w:nsid w:val="29CA57AE"/>
    <w:multiLevelType w:val="singleLevel"/>
    <w:tmpl w:val="29CA57AE"/>
    <w:lvl w:ilvl="0" w:tentative="0">
      <w:start w:val="1"/>
      <w:numFmt w:val="decimal"/>
      <w:suff w:val="nothing"/>
      <w:lvlText w:val="%1、"/>
      <w:lvlJc w:val="left"/>
    </w:lvl>
  </w:abstractNum>
  <w:abstractNum w:abstractNumId="9">
    <w:nsid w:val="326450B0"/>
    <w:multiLevelType w:val="multilevel"/>
    <w:tmpl w:val="326450B0"/>
    <w:lvl w:ilvl="0" w:tentative="0">
      <w:start w:val="1"/>
      <w:numFmt w:val="decimal"/>
      <w:pStyle w:val="4"/>
      <w:isLgl/>
      <w:suff w:val="space"/>
      <w:lvlText w:val="%1"/>
      <w:lvlJc w:val="left"/>
      <w:pPr>
        <w:ind w:left="0" w:firstLine="0"/>
      </w:pPr>
      <w:rPr>
        <w:rFonts w:hint="eastAsia"/>
      </w:rPr>
    </w:lvl>
    <w:lvl w:ilvl="1" w:tentative="0">
      <w:start w:val="1"/>
      <w:numFmt w:val="decimal"/>
      <w:pStyle w:val="5"/>
      <w:isLgl/>
      <w:suff w:val="space"/>
      <w:lvlText w:val="%1.%2"/>
      <w:lvlJc w:val="left"/>
      <w:pPr>
        <w:ind w:left="0" w:firstLine="0"/>
      </w:pPr>
      <w:rPr>
        <w:rFonts w:hint="eastAsia"/>
      </w:rPr>
    </w:lvl>
    <w:lvl w:ilvl="2" w:tentative="0">
      <w:start w:val="1"/>
      <w:numFmt w:val="decimal"/>
      <w:pStyle w:val="6"/>
      <w:isLgl/>
      <w:suff w:val="space"/>
      <w:lvlText w:val="%1.%2.%3"/>
      <w:lvlJc w:val="left"/>
      <w:pPr>
        <w:ind w:left="0" w:firstLine="0"/>
      </w:pPr>
      <w:rPr>
        <w:rFonts w:hint="eastAsia"/>
      </w:rPr>
    </w:lvl>
    <w:lvl w:ilvl="3" w:tentative="0">
      <w:start w:val="1"/>
      <w:numFmt w:val="decimal"/>
      <w:pStyle w:val="7"/>
      <w:isLgl/>
      <w:suff w:val="space"/>
      <w:lvlText w:val="%1.%2.%3.%4"/>
      <w:lvlJc w:val="left"/>
      <w:pPr>
        <w:ind w:left="0" w:firstLine="0"/>
      </w:pPr>
      <w:rPr>
        <w:rFonts w:hint="eastAsia"/>
      </w:rPr>
    </w:lvl>
    <w:lvl w:ilvl="4" w:tentative="0">
      <w:start w:val="1"/>
      <w:numFmt w:val="decimal"/>
      <w:pStyle w:val="8"/>
      <w:isLgl/>
      <w:suff w:val="space"/>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
    <w:nsid w:val="3C79C73F"/>
    <w:multiLevelType w:val="singleLevel"/>
    <w:tmpl w:val="3C79C73F"/>
    <w:lvl w:ilvl="0" w:tentative="0">
      <w:start w:val="1"/>
      <w:numFmt w:val="decimal"/>
      <w:suff w:val="nothing"/>
      <w:lvlText w:val="%1、"/>
      <w:lvlJc w:val="left"/>
      <w:pPr>
        <w:tabs>
          <w:tab w:val="left" w:pos="0"/>
        </w:tabs>
        <w:ind w:firstLine="40"/>
      </w:pPr>
      <w:rPr>
        <w:rFonts w:hint="default"/>
      </w:rPr>
    </w:lvl>
  </w:abstractNum>
  <w:abstractNum w:abstractNumId="11">
    <w:nsid w:val="568C22FB"/>
    <w:multiLevelType w:val="singleLevel"/>
    <w:tmpl w:val="568C22FB"/>
    <w:lvl w:ilvl="0" w:tentative="0">
      <w:start w:val="1"/>
      <w:numFmt w:val="decimal"/>
      <w:suff w:val="nothing"/>
      <w:lvlText w:val="%1、"/>
      <w:lvlJc w:val="left"/>
      <w:pPr>
        <w:tabs>
          <w:tab w:val="left" w:pos="0"/>
        </w:tabs>
        <w:ind w:firstLine="40"/>
      </w:pPr>
      <w:rPr>
        <w:rFonts w:hint="default"/>
      </w:rPr>
    </w:lvl>
  </w:abstractNum>
  <w:abstractNum w:abstractNumId="12">
    <w:nsid w:val="5D3D7D01"/>
    <w:multiLevelType w:val="multilevel"/>
    <w:tmpl w:val="5D3D7D01"/>
    <w:lvl w:ilvl="0" w:tentative="0">
      <w:start w:val="1"/>
      <w:numFmt w:val="decimal"/>
      <w:pStyle w:val="35"/>
      <w:suff w:val="nothing"/>
      <w:lvlText w:val="%1"/>
      <w:lvlJc w:val="left"/>
      <w:pPr>
        <w:tabs>
          <w:tab w:val="left" w:pos="0"/>
        </w:tabs>
        <w:ind w:left="0" w:firstLine="0"/>
      </w:pPr>
      <w:rPr>
        <w:rFonts w:hint="default" w:ascii="Times New Roman" w:hAnsi="Times New Roman" w:eastAsia="宋体" w:cs="Times New Roman"/>
      </w:rPr>
    </w:lvl>
    <w:lvl w:ilvl="1" w:tentative="0">
      <w:start w:val="1"/>
      <w:numFmt w:val="decimal"/>
      <w:pStyle w:val="36"/>
      <w:suff w:val="nothing"/>
      <w:lvlText w:val="%1.%2"/>
      <w:lvlJc w:val="left"/>
      <w:pPr>
        <w:tabs>
          <w:tab w:val="left" w:pos="0"/>
        </w:tabs>
        <w:ind w:left="0" w:firstLine="0"/>
      </w:pPr>
      <w:rPr>
        <w:rFonts w:hint="default" w:ascii="Times New Roman" w:hAnsi="Times New Roman" w:eastAsia="宋体" w:cs="Times New Roman"/>
      </w:rPr>
    </w:lvl>
    <w:lvl w:ilvl="2" w:tentative="0">
      <w:start w:val="1"/>
      <w:numFmt w:val="decimal"/>
      <w:pStyle w:val="37"/>
      <w:suff w:val="nothing"/>
      <w:lvlText w:val="%1.%2.%3"/>
      <w:lvlJc w:val="left"/>
      <w:pPr>
        <w:tabs>
          <w:tab w:val="left" w:pos="0"/>
        </w:tabs>
        <w:ind w:left="0" w:firstLine="0"/>
      </w:pPr>
      <w:rPr>
        <w:rFonts w:hint="default" w:ascii="Times New Roman" w:hAnsi="Times New Roman" w:eastAsia="宋体" w:cs="Times New Roman"/>
      </w:rPr>
    </w:lvl>
    <w:lvl w:ilvl="3" w:tentative="0">
      <w:start w:val="1"/>
      <w:numFmt w:val="decimal"/>
      <w:pStyle w:val="34"/>
      <w:suff w:val="nothing"/>
      <w:lvlText w:val="%1.%2.%3.%4"/>
      <w:lvlJc w:val="left"/>
      <w:pPr>
        <w:tabs>
          <w:tab w:val="left" w:pos="0"/>
        </w:tabs>
        <w:ind w:left="0" w:firstLine="0"/>
      </w:pPr>
      <w:rPr>
        <w:rFonts w:hint="default" w:ascii="Times New Roman" w:hAnsi="Times New Roman" w:eastAsia="宋体" w:cs="Times New Roman"/>
        <w:b w:val="0"/>
        <w:i w:val="0"/>
      </w:rPr>
    </w:lvl>
    <w:lvl w:ilvl="4" w:tentative="0">
      <w:start w:val="1"/>
      <w:numFmt w:val="decimal"/>
      <w:suff w:val="space"/>
      <w:lvlText w:val="%5表%1.%2-%4"/>
      <w:lvlJc w:val="center"/>
      <w:pPr>
        <w:ind w:left="0" w:firstLine="0"/>
      </w:pPr>
      <w:rPr>
        <w:rFonts w:hint="default" w:ascii="Times New Roman" w:hAnsi="Times New Roman" w:eastAsia="黑体"/>
        <w:sz w:val="24"/>
      </w:rPr>
    </w:lvl>
    <w:lvl w:ilvl="5" w:tentative="0">
      <w:start w:val="1"/>
      <w:numFmt w:val="decimal"/>
      <w:suff w:val="space"/>
      <w:lvlText w:val="图%1.%2-%6"/>
      <w:lvlJc w:val="center"/>
      <w:pPr>
        <w:ind w:left="0" w:firstLine="288"/>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9"/>
  </w:num>
  <w:num w:numId="2">
    <w:abstractNumId w:val="12"/>
  </w:num>
  <w:num w:numId="3">
    <w:abstractNumId w:val="6"/>
  </w:num>
  <w:num w:numId="4">
    <w:abstractNumId w:val="8"/>
  </w:num>
  <w:num w:numId="5">
    <w:abstractNumId w:val="5"/>
  </w:num>
  <w:num w:numId="6">
    <w:abstractNumId w:val="1"/>
  </w:num>
  <w:num w:numId="7">
    <w:abstractNumId w:val="3"/>
  </w:num>
  <w:num w:numId="8">
    <w:abstractNumId w:val="4"/>
  </w:num>
  <w:num w:numId="9">
    <w:abstractNumId w:val="2"/>
  </w:num>
  <w:num w:numId="10">
    <w:abstractNumId w:val="0"/>
  </w:num>
  <w:num w:numId="11">
    <w:abstractNumId w:val="7"/>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displayBackgroundShape w:val="1"/>
  <w:bordersDoNotSurroundHeader w:val="0"/>
  <w:bordersDoNotSurroundFooter w:val="0"/>
  <w:documentProtection w:formatting="1" w:enforcement="0"/>
  <w:defaultTabStop w:val="420"/>
  <w:drawingGridVerticalSpacing w:val="161"/>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FmNzhmZjEwYzI3MzhhMTQyYmFiZDJhZTExMjViYWUifQ=="/>
    <w:docVar w:name="KSO_WPS_MARK_KEY" w:val="55f8339c-5bc0-4965-912c-6f20718519b2"/>
  </w:docVars>
  <w:rsids>
    <w:rsidRoot w:val="00172A27"/>
    <w:rsid w:val="00004D77"/>
    <w:rsid w:val="0004325A"/>
    <w:rsid w:val="000F2CEC"/>
    <w:rsid w:val="001061CA"/>
    <w:rsid w:val="00145B70"/>
    <w:rsid w:val="00172A27"/>
    <w:rsid w:val="001849E4"/>
    <w:rsid w:val="00190B68"/>
    <w:rsid w:val="001B65F6"/>
    <w:rsid w:val="001C100A"/>
    <w:rsid w:val="001E7ADA"/>
    <w:rsid w:val="001F118D"/>
    <w:rsid w:val="001F4EE0"/>
    <w:rsid w:val="00236818"/>
    <w:rsid w:val="00237A6E"/>
    <w:rsid w:val="002466C2"/>
    <w:rsid w:val="00281004"/>
    <w:rsid w:val="00294959"/>
    <w:rsid w:val="002C5FF9"/>
    <w:rsid w:val="0033367B"/>
    <w:rsid w:val="00340576"/>
    <w:rsid w:val="00361651"/>
    <w:rsid w:val="00383BF6"/>
    <w:rsid w:val="00395931"/>
    <w:rsid w:val="00395E66"/>
    <w:rsid w:val="003D1754"/>
    <w:rsid w:val="003D7160"/>
    <w:rsid w:val="003F270C"/>
    <w:rsid w:val="00414B1E"/>
    <w:rsid w:val="00422B0A"/>
    <w:rsid w:val="00426A45"/>
    <w:rsid w:val="00430E5F"/>
    <w:rsid w:val="004463D0"/>
    <w:rsid w:val="00450A90"/>
    <w:rsid w:val="00483FD8"/>
    <w:rsid w:val="004C2AEA"/>
    <w:rsid w:val="004D21F2"/>
    <w:rsid w:val="004F11F7"/>
    <w:rsid w:val="004F7491"/>
    <w:rsid w:val="00510F06"/>
    <w:rsid w:val="00541C1A"/>
    <w:rsid w:val="005426E3"/>
    <w:rsid w:val="0054495E"/>
    <w:rsid w:val="005560DF"/>
    <w:rsid w:val="00563B3A"/>
    <w:rsid w:val="00576EE2"/>
    <w:rsid w:val="00583CCF"/>
    <w:rsid w:val="0061026C"/>
    <w:rsid w:val="00616D5F"/>
    <w:rsid w:val="006220C1"/>
    <w:rsid w:val="0064373C"/>
    <w:rsid w:val="006C40D9"/>
    <w:rsid w:val="006D6BD8"/>
    <w:rsid w:val="006E25F3"/>
    <w:rsid w:val="006F2DDB"/>
    <w:rsid w:val="006F6575"/>
    <w:rsid w:val="00705C94"/>
    <w:rsid w:val="00713914"/>
    <w:rsid w:val="00717536"/>
    <w:rsid w:val="00792A0F"/>
    <w:rsid w:val="007A639C"/>
    <w:rsid w:val="007A727D"/>
    <w:rsid w:val="007D7796"/>
    <w:rsid w:val="007E4256"/>
    <w:rsid w:val="008935D7"/>
    <w:rsid w:val="00895CED"/>
    <w:rsid w:val="008E2611"/>
    <w:rsid w:val="008E430D"/>
    <w:rsid w:val="008E51DA"/>
    <w:rsid w:val="008F27DB"/>
    <w:rsid w:val="008F5481"/>
    <w:rsid w:val="00911C48"/>
    <w:rsid w:val="00914463"/>
    <w:rsid w:val="00916575"/>
    <w:rsid w:val="00935D36"/>
    <w:rsid w:val="0095160D"/>
    <w:rsid w:val="0096014F"/>
    <w:rsid w:val="00961020"/>
    <w:rsid w:val="00966A3A"/>
    <w:rsid w:val="009725C6"/>
    <w:rsid w:val="009877F3"/>
    <w:rsid w:val="009A1740"/>
    <w:rsid w:val="009C47FF"/>
    <w:rsid w:val="009F3C26"/>
    <w:rsid w:val="00A173BF"/>
    <w:rsid w:val="00A22AEB"/>
    <w:rsid w:val="00A40C2A"/>
    <w:rsid w:val="00A43F55"/>
    <w:rsid w:val="00A51F16"/>
    <w:rsid w:val="00AB2C39"/>
    <w:rsid w:val="00AD59AF"/>
    <w:rsid w:val="00AE11CB"/>
    <w:rsid w:val="00AE6E5E"/>
    <w:rsid w:val="00B13EF3"/>
    <w:rsid w:val="00B24EAB"/>
    <w:rsid w:val="00B3325A"/>
    <w:rsid w:val="00B44696"/>
    <w:rsid w:val="00B46365"/>
    <w:rsid w:val="00B82196"/>
    <w:rsid w:val="00BA276A"/>
    <w:rsid w:val="00BB72FA"/>
    <w:rsid w:val="00BB778E"/>
    <w:rsid w:val="00BB7B7B"/>
    <w:rsid w:val="00BD08C3"/>
    <w:rsid w:val="00BF27DC"/>
    <w:rsid w:val="00BF3D4E"/>
    <w:rsid w:val="00C30909"/>
    <w:rsid w:val="00C726FE"/>
    <w:rsid w:val="00C75593"/>
    <w:rsid w:val="00C954CD"/>
    <w:rsid w:val="00CB2DCF"/>
    <w:rsid w:val="00CE23CB"/>
    <w:rsid w:val="00D0500E"/>
    <w:rsid w:val="00D26A31"/>
    <w:rsid w:val="00D30E2D"/>
    <w:rsid w:val="00D55CFD"/>
    <w:rsid w:val="00D737DD"/>
    <w:rsid w:val="00DA4842"/>
    <w:rsid w:val="00DE4F39"/>
    <w:rsid w:val="00E24333"/>
    <w:rsid w:val="00E65C9E"/>
    <w:rsid w:val="00E66B4B"/>
    <w:rsid w:val="00E8078E"/>
    <w:rsid w:val="00E85482"/>
    <w:rsid w:val="00EA686B"/>
    <w:rsid w:val="00EC3A8F"/>
    <w:rsid w:val="00F04D47"/>
    <w:rsid w:val="00F16570"/>
    <w:rsid w:val="00F23A49"/>
    <w:rsid w:val="00F5368E"/>
    <w:rsid w:val="00F74A57"/>
    <w:rsid w:val="00F7785B"/>
    <w:rsid w:val="00F8156A"/>
    <w:rsid w:val="00F81E02"/>
    <w:rsid w:val="00FD252D"/>
    <w:rsid w:val="00FF193D"/>
    <w:rsid w:val="011763BA"/>
    <w:rsid w:val="01746CEE"/>
    <w:rsid w:val="01753BC6"/>
    <w:rsid w:val="018228A3"/>
    <w:rsid w:val="01E25ABE"/>
    <w:rsid w:val="01F54A75"/>
    <w:rsid w:val="01FD7D30"/>
    <w:rsid w:val="025F4662"/>
    <w:rsid w:val="02657782"/>
    <w:rsid w:val="02714395"/>
    <w:rsid w:val="02A72ADC"/>
    <w:rsid w:val="02AD1871"/>
    <w:rsid w:val="02B248B1"/>
    <w:rsid w:val="030E0896"/>
    <w:rsid w:val="03166B78"/>
    <w:rsid w:val="0316724E"/>
    <w:rsid w:val="035E700F"/>
    <w:rsid w:val="03604B36"/>
    <w:rsid w:val="03F12C15"/>
    <w:rsid w:val="040A1839"/>
    <w:rsid w:val="04556340"/>
    <w:rsid w:val="04713C9B"/>
    <w:rsid w:val="047900E8"/>
    <w:rsid w:val="047A5783"/>
    <w:rsid w:val="04B76DB5"/>
    <w:rsid w:val="04DE224C"/>
    <w:rsid w:val="05087233"/>
    <w:rsid w:val="055426F5"/>
    <w:rsid w:val="05A90B51"/>
    <w:rsid w:val="05AF5900"/>
    <w:rsid w:val="05BD626F"/>
    <w:rsid w:val="05D1398F"/>
    <w:rsid w:val="05FB1C49"/>
    <w:rsid w:val="06240415"/>
    <w:rsid w:val="06712C89"/>
    <w:rsid w:val="06984A31"/>
    <w:rsid w:val="06B9487E"/>
    <w:rsid w:val="06BC454B"/>
    <w:rsid w:val="078D33C8"/>
    <w:rsid w:val="07D85CA7"/>
    <w:rsid w:val="08157B5F"/>
    <w:rsid w:val="0822685D"/>
    <w:rsid w:val="083B7352"/>
    <w:rsid w:val="0864791C"/>
    <w:rsid w:val="08804A2E"/>
    <w:rsid w:val="08D86F1C"/>
    <w:rsid w:val="08DA7138"/>
    <w:rsid w:val="08E04023"/>
    <w:rsid w:val="08EE5681"/>
    <w:rsid w:val="09063A6C"/>
    <w:rsid w:val="090E5BA6"/>
    <w:rsid w:val="09181A0E"/>
    <w:rsid w:val="091F0E97"/>
    <w:rsid w:val="09240DF1"/>
    <w:rsid w:val="09A3752A"/>
    <w:rsid w:val="09A77E76"/>
    <w:rsid w:val="09CD4268"/>
    <w:rsid w:val="0A177764"/>
    <w:rsid w:val="0A1F0894"/>
    <w:rsid w:val="0A2C1983"/>
    <w:rsid w:val="0A401C99"/>
    <w:rsid w:val="0A851CAE"/>
    <w:rsid w:val="0A932685"/>
    <w:rsid w:val="0AB93556"/>
    <w:rsid w:val="0AC10861"/>
    <w:rsid w:val="0AD92B98"/>
    <w:rsid w:val="0AD9736E"/>
    <w:rsid w:val="0AE147AE"/>
    <w:rsid w:val="0AE71698"/>
    <w:rsid w:val="0AF85326"/>
    <w:rsid w:val="0B492353"/>
    <w:rsid w:val="0BC21D13"/>
    <w:rsid w:val="0BCB4642"/>
    <w:rsid w:val="0BD76ACC"/>
    <w:rsid w:val="0BD7795F"/>
    <w:rsid w:val="0C03123A"/>
    <w:rsid w:val="0C085D6A"/>
    <w:rsid w:val="0C34382C"/>
    <w:rsid w:val="0C3B7C6A"/>
    <w:rsid w:val="0C607954"/>
    <w:rsid w:val="0D091D9A"/>
    <w:rsid w:val="0D1349C7"/>
    <w:rsid w:val="0D1E7195"/>
    <w:rsid w:val="0D2546FA"/>
    <w:rsid w:val="0D365481"/>
    <w:rsid w:val="0D4A7A9D"/>
    <w:rsid w:val="0D7954EB"/>
    <w:rsid w:val="0D8B6C53"/>
    <w:rsid w:val="0DAE314D"/>
    <w:rsid w:val="0E2A11AC"/>
    <w:rsid w:val="0E320693"/>
    <w:rsid w:val="0E4863BE"/>
    <w:rsid w:val="0E52151F"/>
    <w:rsid w:val="0E731C60"/>
    <w:rsid w:val="0E9E6402"/>
    <w:rsid w:val="0EA16002"/>
    <w:rsid w:val="0EB6385C"/>
    <w:rsid w:val="0EE34048"/>
    <w:rsid w:val="0EF7217D"/>
    <w:rsid w:val="0F9F19A5"/>
    <w:rsid w:val="0FB214A0"/>
    <w:rsid w:val="0FBE2B5A"/>
    <w:rsid w:val="0FDF0989"/>
    <w:rsid w:val="0FF7237E"/>
    <w:rsid w:val="10150A56"/>
    <w:rsid w:val="10315E18"/>
    <w:rsid w:val="104159D8"/>
    <w:rsid w:val="10455185"/>
    <w:rsid w:val="10695E53"/>
    <w:rsid w:val="109113A8"/>
    <w:rsid w:val="10C15EA5"/>
    <w:rsid w:val="110E3A9D"/>
    <w:rsid w:val="117F6ACF"/>
    <w:rsid w:val="11F8418B"/>
    <w:rsid w:val="12110232"/>
    <w:rsid w:val="12A14EE4"/>
    <w:rsid w:val="12C624DB"/>
    <w:rsid w:val="12C95DF9"/>
    <w:rsid w:val="12EE0F10"/>
    <w:rsid w:val="13004232"/>
    <w:rsid w:val="130A23C8"/>
    <w:rsid w:val="135A0A20"/>
    <w:rsid w:val="136B42BF"/>
    <w:rsid w:val="13B05FCF"/>
    <w:rsid w:val="13EA071A"/>
    <w:rsid w:val="14395D71"/>
    <w:rsid w:val="145955FF"/>
    <w:rsid w:val="145E31A6"/>
    <w:rsid w:val="148823C7"/>
    <w:rsid w:val="14A26CB5"/>
    <w:rsid w:val="14B713B5"/>
    <w:rsid w:val="14C90EE6"/>
    <w:rsid w:val="14CD18FF"/>
    <w:rsid w:val="151B62B4"/>
    <w:rsid w:val="154E5444"/>
    <w:rsid w:val="15787ABD"/>
    <w:rsid w:val="159346E3"/>
    <w:rsid w:val="15981F0D"/>
    <w:rsid w:val="15B64A89"/>
    <w:rsid w:val="15ED237A"/>
    <w:rsid w:val="16287735"/>
    <w:rsid w:val="16291065"/>
    <w:rsid w:val="162B04A4"/>
    <w:rsid w:val="16426F6F"/>
    <w:rsid w:val="16D927DD"/>
    <w:rsid w:val="17006A33"/>
    <w:rsid w:val="172B4D12"/>
    <w:rsid w:val="17312619"/>
    <w:rsid w:val="179802C4"/>
    <w:rsid w:val="17DB0A0D"/>
    <w:rsid w:val="17E53956"/>
    <w:rsid w:val="17F453F5"/>
    <w:rsid w:val="17FC5D8F"/>
    <w:rsid w:val="18267CA4"/>
    <w:rsid w:val="18616F2E"/>
    <w:rsid w:val="18D448DB"/>
    <w:rsid w:val="18E331C8"/>
    <w:rsid w:val="19185113"/>
    <w:rsid w:val="19336726"/>
    <w:rsid w:val="19593CAE"/>
    <w:rsid w:val="197071C9"/>
    <w:rsid w:val="19720CC7"/>
    <w:rsid w:val="197E766C"/>
    <w:rsid w:val="19967174"/>
    <w:rsid w:val="19CD084B"/>
    <w:rsid w:val="19F8138B"/>
    <w:rsid w:val="1A2C531B"/>
    <w:rsid w:val="1A307D17"/>
    <w:rsid w:val="1B46367F"/>
    <w:rsid w:val="1B4853C4"/>
    <w:rsid w:val="1B6F7AEB"/>
    <w:rsid w:val="1B931350"/>
    <w:rsid w:val="1BB27876"/>
    <w:rsid w:val="1BCF41AF"/>
    <w:rsid w:val="1BE35EAC"/>
    <w:rsid w:val="1BED6A7F"/>
    <w:rsid w:val="1BF4752D"/>
    <w:rsid w:val="1BFC0955"/>
    <w:rsid w:val="1BFD0D1C"/>
    <w:rsid w:val="1C02598E"/>
    <w:rsid w:val="1C215D0A"/>
    <w:rsid w:val="1C382E4C"/>
    <w:rsid w:val="1CA2751E"/>
    <w:rsid w:val="1CB25FAA"/>
    <w:rsid w:val="1CE3551D"/>
    <w:rsid w:val="1CEB5C33"/>
    <w:rsid w:val="1CF53A0D"/>
    <w:rsid w:val="1CF643E7"/>
    <w:rsid w:val="1D0F5BBD"/>
    <w:rsid w:val="1D752371"/>
    <w:rsid w:val="1D8D1596"/>
    <w:rsid w:val="1D8E31AA"/>
    <w:rsid w:val="1D9E02DC"/>
    <w:rsid w:val="1DE60D31"/>
    <w:rsid w:val="1DEF5EBB"/>
    <w:rsid w:val="1DF02ABF"/>
    <w:rsid w:val="1DF75C3F"/>
    <w:rsid w:val="1E384461"/>
    <w:rsid w:val="1E5E6B54"/>
    <w:rsid w:val="1E605EC4"/>
    <w:rsid w:val="1E6F4494"/>
    <w:rsid w:val="1EBA15A8"/>
    <w:rsid w:val="1EC15EE6"/>
    <w:rsid w:val="1ED90489"/>
    <w:rsid w:val="1F0C1276"/>
    <w:rsid w:val="1F2D5F28"/>
    <w:rsid w:val="1F2E7CAC"/>
    <w:rsid w:val="1F436361"/>
    <w:rsid w:val="1F4B6242"/>
    <w:rsid w:val="1F8C0ACF"/>
    <w:rsid w:val="1F8E7E20"/>
    <w:rsid w:val="200B710B"/>
    <w:rsid w:val="20142AD8"/>
    <w:rsid w:val="20152C0F"/>
    <w:rsid w:val="20197195"/>
    <w:rsid w:val="202A7787"/>
    <w:rsid w:val="20743577"/>
    <w:rsid w:val="207B0414"/>
    <w:rsid w:val="20847C5E"/>
    <w:rsid w:val="208848F5"/>
    <w:rsid w:val="2097158A"/>
    <w:rsid w:val="20AD2C7F"/>
    <w:rsid w:val="20E06E5E"/>
    <w:rsid w:val="20E94732"/>
    <w:rsid w:val="21563A12"/>
    <w:rsid w:val="216B4602"/>
    <w:rsid w:val="21787AB8"/>
    <w:rsid w:val="21DE0DD2"/>
    <w:rsid w:val="21FC7DAE"/>
    <w:rsid w:val="22237002"/>
    <w:rsid w:val="225E4836"/>
    <w:rsid w:val="22AC318E"/>
    <w:rsid w:val="22C37E22"/>
    <w:rsid w:val="22C641E0"/>
    <w:rsid w:val="22F83A55"/>
    <w:rsid w:val="23025197"/>
    <w:rsid w:val="23416452"/>
    <w:rsid w:val="2345702A"/>
    <w:rsid w:val="23696C97"/>
    <w:rsid w:val="23A4657E"/>
    <w:rsid w:val="23AE4433"/>
    <w:rsid w:val="23BC3C16"/>
    <w:rsid w:val="23C16EEB"/>
    <w:rsid w:val="23D22F5C"/>
    <w:rsid w:val="23DF70DF"/>
    <w:rsid w:val="23E600D7"/>
    <w:rsid w:val="24001989"/>
    <w:rsid w:val="240B2444"/>
    <w:rsid w:val="2435301D"/>
    <w:rsid w:val="24A156F4"/>
    <w:rsid w:val="24E862E1"/>
    <w:rsid w:val="24FA6674"/>
    <w:rsid w:val="255760A1"/>
    <w:rsid w:val="25740E92"/>
    <w:rsid w:val="25B4187A"/>
    <w:rsid w:val="25E0284C"/>
    <w:rsid w:val="2603379E"/>
    <w:rsid w:val="26090ECE"/>
    <w:rsid w:val="261B4A15"/>
    <w:rsid w:val="261F5A9D"/>
    <w:rsid w:val="2628316F"/>
    <w:rsid w:val="2634452C"/>
    <w:rsid w:val="266D08BA"/>
    <w:rsid w:val="26DB4809"/>
    <w:rsid w:val="26F36979"/>
    <w:rsid w:val="27382198"/>
    <w:rsid w:val="274C6803"/>
    <w:rsid w:val="27A415B2"/>
    <w:rsid w:val="27B83C6C"/>
    <w:rsid w:val="27BD3EC2"/>
    <w:rsid w:val="27E16761"/>
    <w:rsid w:val="28123143"/>
    <w:rsid w:val="28284DF2"/>
    <w:rsid w:val="2838132E"/>
    <w:rsid w:val="284020F7"/>
    <w:rsid w:val="28551EE0"/>
    <w:rsid w:val="287A0C78"/>
    <w:rsid w:val="2886146E"/>
    <w:rsid w:val="289672E0"/>
    <w:rsid w:val="28BC3E18"/>
    <w:rsid w:val="28D063A1"/>
    <w:rsid w:val="28DB0637"/>
    <w:rsid w:val="291B2371"/>
    <w:rsid w:val="29365D68"/>
    <w:rsid w:val="294E2E9F"/>
    <w:rsid w:val="295B3526"/>
    <w:rsid w:val="29915199"/>
    <w:rsid w:val="299516BF"/>
    <w:rsid w:val="29BA649E"/>
    <w:rsid w:val="29C35E1B"/>
    <w:rsid w:val="29E019FE"/>
    <w:rsid w:val="2A1033A9"/>
    <w:rsid w:val="2A1B45E1"/>
    <w:rsid w:val="2A5D684B"/>
    <w:rsid w:val="2A9A62D0"/>
    <w:rsid w:val="2A9E7B6E"/>
    <w:rsid w:val="2AFC093F"/>
    <w:rsid w:val="2B1700A6"/>
    <w:rsid w:val="2B303D8B"/>
    <w:rsid w:val="2B3047C5"/>
    <w:rsid w:val="2B463D03"/>
    <w:rsid w:val="2B4E452F"/>
    <w:rsid w:val="2B8A5C85"/>
    <w:rsid w:val="2BD15D21"/>
    <w:rsid w:val="2C084010"/>
    <w:rsid w:val="2C302A48"/>
    <w:rsid w:val="2C5E3FB3"/>
    <w:rsid w:val="2C8E463E"/>
    <w:rsid w:val="2CB536BC"/>
    <w:rsid w:val="2CE90E48"/>
    <w:rsid w:val="2D0068BE"/>
    <w:rsid w:val="2D5C161A"/>
    <w:rsid w:val="2D7305AA"/>
    <w:rsid w:val="2D9D1912"/>
    <w:rsid w:val="2DA92DED"/>
    <w:rsid w:val="2DB80606"/>
    <w:rsid w:val="2DB927AF"/>
    <w:rsid w:val="2DC154FE"/>
    <w:rsid w:val="2DD11AA5"/>
    <w:rsid w:val="2DE75388"/>
    <w:rsid w:val="2E045F3A"/>
    <w:rsid w:val="2E137642"/>
    <w:rsid w:val="2E183F8C"/>
    <w:rsid w:val="2E1D524D"/>
    <w:rsid w:val="2E261EEB"/>
    <w:rsid w:val="2E4207BF"/>
    <w:rsid w:val="2E5D1AEE"/>
    <w:rsid w:val="2EA811AC"/>
    <w:rsid w:val="2EE33303"/>
    <w:rsid w:val="2EEA64CC"/>
    <w:rsid w:val="2F0116FE"/>
    <w:rsid w:val="2F8A7EF2"/>
    <w:rsid w:val="2FB23E05"/>
    <w:rsid w:val="2FD42C69"/>
    <w:rsid w:val="2FF74E93"/>
    <w:rsid w:val="300F7DB5"/>
    <w:rsid w:val="301B1FE2"/>
    <w:rsid w:val="303D3D21"/>
    <w:rsid w:val="303F266D"/>
    <w:rsid w:val="30E929D0"/>
    <w:rsid w:val="30EC4FB2"/>
    <w:rsid w:val="31154466"/>
    <w:rsid w:val="317D25BD"/>
    <w:rsid w:val="319742B4"/>
    <w:rsid w:val="31AD68E8"/>
    <w:rsid w:val="31B350E4"/>
    <w:rsid w:val="31E63BA8"/>
    <w:rsid w:val="3231778A"/>
    <w:rsid w:val="324A65F0"/>
    <w:rsid w:val="32871A7B"/>
    <w:rsid w:val="3288617A"/>
    <w:rsid w:val="328B5D49"/>
    <w:rsid w:val="329D2148"/>
    <w:rsid w:val="32A45F3D"/>
    <w:rsid w:val="32DA1CE4"/>
    <w:rsid w:val="331D1885"/>
    <w:rsid w:val="3320245D"/>
    <w:rsid w:val="334B213E"/>
    <w:rsid w:val="336844FE"/>
    <w:rsid w:val="338208F9"/>
    <w:rsid w:val="33841FF1"/>
    <w:rsid w:val="33926429"/>
    <w:rsid w:val="33B87479"/>
    <w:rsid w:val="33BC2E13"/>
    <w:rsid w:val="33EE4A79"/>
    <w:rsid w:val="33F01B97"/>
    <w:rsid w:val="33FC674F"/>
    <w:rsid w:val="34390907"/>
    <w:rsid w:val="34C2217B"/>
    <w:rsid w:val="34C71A6F"/>
    <w:rsid w:val="34C96813"/>
    <w:rsid w:val="34E20283"/>
    <w:rsid w:val="3515082C"/>
    <w:rsid w:val="35195FF6"/>
    <w:rsid w:val="353F1F4D"/>
    <w:rsid w:val="355C762B"/>
    <w:rsid w:val="3569521C"/>
    <w:rsid w:val="358B0CEF"/>
    <w:rsid w:val="360F1920"/>
    <w:rsid w:val="36121410"/>
    <w:rsid w:val="3617774B"/>
    <w:rsid w:val="36266C69"/>
    <w:rsid w:val="363D1E25"/>
    <w:rsid w:val="364A6DFC"/>
    <w:rsid w:val="364B3685"/>
    <w:rsid w:val="365612FD"/>
    <w:rsid w:val="36712FC0"/>
    <w:rsid w:val="368A369C"/>
    <w:rsid w:val="36956AB8"/>
    <w:rsid w:val="36B727EC"/>
    <w:rsid w:val="36BE07A2"/>
    <w:rsid w:val="36F01431"/>
    <w:rsid w:val="370B658B"/>
    <w:rsid w:val="37231286"/>
    <w:rsid w:val="374675C3"/>
    <w:rsid w:val="374B4657"/>
    <w:rsid w:val="375D2B5F"/>
    <w:rsid w:val="375E0015"/>
    <w:rsid w:val="3793032E"/>
    <w:rsid w:val="37A23337"/>
    <w:rsid w:val="37CD3A22"/>
    <w:rsid w:val="37F4443E"/>
    <w:rsid w:val="37FB7665"/>
    <w:rsid w:val="383438BF"/>
    <w:rsid w:val="383E029A"/>
    <w:rsid w:val="384C2862"/>
    <w:rsid w:val="386653FE"/>
    <w:rsid w:val="38675A43"/>
    <w:rsid w:val="38B16CBE"/>
    <w:rsid w:val="38C05153"/>
    <w:rsid w:val="38D0649A"/>
    <w:rsid w:val="39073314"/>
    <w:rsid w:val="3929719C"/>
    <w:rsid w:val="3972193A"/>
    <w:rsid w:val="397C586A"/>
    <w:rsid w:val="397F4167"/>
    <w:rsid w:val="39886F19"/>
    <w:rsid w:val="39C71706"/>
    <w:rsid w:val="3A0177D1"/>
    <w:rsid w:val="3A114B08"/>
    <w:rsid w:val="3A560727"/>
    <w:rsid w:val="3A853F4A"/>
    <w:rsid w:val="3AE113B1"/>
    <w:rsid w:val="3AEA295B"/>
    <w:rsid w:val="3B251BE5"/>
    <w:rsid w:val="3B343BD6"/>
    <w:rsid w:val="3B550ABB"/>
    <w:rsid w:val="3B692B21"/>
    <w:rsid w:val="3B6D5CF8"/>
    <w:rsid w:val="3B8E3637"/>
    <w:rsid w:val="3BFD539C"/>
    <w:rsid w:val="3C2A54FB"/>
    <w:rsid w:val="3C432323"/>
    <w:rsid w:val="3C6A5B02"/>
    <w:rsid w:val="3C75058A"/>
    <w:rsid w:val="3C93240B"/>
    <w:rsid w:val="3C9E39FD"/>
    <w:rsid w:val="3CF17FD1"/>
    <w:rsid w:val="3D3F6605"/>
    <w:rsid w:val="3D676DB3"/>
    <w:rsid w:val="3D6C380E"/>
    <w:rsid w:val="3D912940"/>
    <w:rsid w:val="3DA57F71"/>
    <w:rsid w:val="3DEC055C"/>
    <w:rsid w:val="3DF633C5"/>
    <w:rsid w:val="3E1C7DF9"/>
    <w:rsid w:val="3E2C2310"/>
    <w:rsid w:val="3E4268C8"/>
    <w:rsid w:val="3E5522C8"/>
    <w:rsid w:val="3E984DFC"/>
    <w:rsid w:val="3EE22307"/>
    <w:rsid w:val="3EE9514F"/>
    <w:rsid w:val="3F5D5A05"/>
    <w:rsid w:val="3F7C2AA6"/>
    <w:rsid w:val="3F9228A1"/>
    <w:rsid w:val="3F9472FC"/>
    <w:rsid w:val="3FC74D01"/>
    <w:rsid w:val="3FC85885"/>
    <w:rsid w:val="3FDC4DF8"/>
    <w:rsid w:val="3FE931E1"/>
    <w:rsid w:val="4001677D"/>
    <w:rsid w:val="40033BA6"/>
    <w:rsid w:val="4012098A"/>
    <w:rsid w:val="40186DD6"/>
    <w:rsid w:val="4044666A"/>
    <w:rsid w:val="406933BA"/>
    <w:rsid w:val="40C559FD"/>
    <w:rsid w:val="40C950DE"/>
    <w:rsid w:val="40D55514"/>
    <w:rsid w:val="40D66E70"/>
    <w:rsid w:val="41097B09"/>
    <w:rsid w:val="412A1D04"/>
    <w:rsid w:val="412F731A"/>
    <w:rsid w:val="41466412"/>
    <w:rsid w:val="4188109B"/>
    <w:rsid w:val="41990C37"/>
    <w:rsid w:val="419B49AF"/>
    <w:rsid w:val="41C74C7D"/>
    <w:rsid w:val="41CD18E6"/>
    <w:rsid w:val="41F51760"/>
    <w:rsid w:val="42186000"/>
    <w:rsid w:val="425307C2"/>
    <w:rsid w:val="425D7A2D"/>
    <w:rsid w:val="428B67D2"/>
    <w:rsid w:val="42995231"/>
    <w:rsid w:val="42C02CF4"/>
    <w:rsid w:val="42F8373B"/>
    <w:rsid w:val="431A75E9"/>
    <w:rsid w:val="43521624"/>
    <w:rsid w:val="43B92780"/>
    <w:rsid w:val="43E50164"/>
    <w:rsid w:val="441521F5"/>
    <w:rsid w:val="444055FF"/>
    <w:rsid w:val="444255B6"/>
    <w:rsid w:val="44994355"/>
    <w:rsid w:val="449C790B"/>
    <w:rsid w:val="44BC5DF2"/>
    <w:rsid w:val="44C502AD"/>
    <w:rsid w:val="45034568"/>
    <w:rsid w:val="4517434D"/>
    <w:rsid w:val="451A6EB5"/>
    <w:rsid w:val="4527140C"/>
    <w:rsid w:val="45AB5A6A"/>
    <w:rsid w:val="45F33894"/>
    <w:rsid w:val="45FB77CB"/>
    <w:rsid w:val="462D2AFF"/>
    <w:rsid w:val="462D68B0"/>
    <w:rsid w:val="46416AD6"/>
    <w:rsid w:val="465A141A"/>
    <w:rsid w:val="4686172B"/>
    <w:rsid w:val="468C2E80"/>
    <w:rsid w:val="46A815D9"/>
    <w:rsid w:val="46AC4BA1"/>
    <w:rsid w:val="46E63166"/>
    <w:rsid w:val="47003FC3"/>
    <w:rsid w:val="472E0107"/>
    <w:rsid w:val="47357597"/>
    <w:rsid w:val="473F528B"/>
    <w:rsid w:val="474C6F53"/>
    <w:rsid w:val="474D4992"/>
    <w:rsid w:val="475E5EB4"/>
    <w:rsid w:val="47655843"/>
    <w:rsid w:val="4766336A"/>
    <w:rsid w:val="47890B7F"/>
    <w:rsid w:val="479E2B03"/>
    <w:rsid w:val="47AD05DA"/>
    <w:rsid w:val="47B47DA6"/>
    <w:rsid w:val="47F804C8"/>
    <w:rsid w:val="482B3ECE"/>
    <w:rsid w:val="4856518C"/>
    <w:rsid w:val="489E37A8"/>
    <w:rsid w:val="48BD3312"/>
    <w:rsid w:val="48DD53FB"/>
    <w:rsid w:val="48F64BB8"/>
    <w:rsid w:val="495B51C5"/>
    <w:rsid w:val="495F13C3"/>
    <w:rsid w:val="499244BF"/>
    <w:rsid w:val="49B91E77"/>
    <w:rsid w:val="49D56C33"/>
    <w:rsid w:val="49EB7B56"/>
    <w:rsid w:val="49FB4D55"/>
    <w:rsid w:val="49FC7FB5"/>
    <w:rsid w:val="4A1613C1"/>
    <w:rsid w:val="4A3239D7"/>
    <w:rsid w:val="4A396B13"/>
    <w:rsid w:val="4A431740"/>
    <w:rsid w:val="4A741320"/>
    <w:rsid w:val="4A995804"/>
    <w:rsid w:val="4B18377B"/>
    <w:rsid w:val="4B5B0C69"/>
    <w:rsid w:val="4BB964ED"/>
    <w:rsid w:val="4C2B5234"/>
    <w:rsid w:val="4C353443"/>
    <w:rsid w:val="4CB2296D"/>
    <w:rsid w:val="4CD64AED"/>
    <w:rsid w:val="4CE90A4B"/>
    <w:rsid w:val="4CED2983"/>
    <w:rsid w:val="4D153868"/>
    <w:rsid w:val="4D504023"/>
    <w:rsid w:val="4DB017E2"/>
    <w:rsid w:val="4DB7491F"/>
    <w:rsid w:val="4DC31516"/>
    <w:rsid w:val="4DFD1978"/>
    <w:rsid w:val="4E191D5D"/>
    <w:rsid w:val="4E576381"/>
    <w:rsid w:val="4E6A7BE3"/>
    <w:rsid w:val="4E824F2D"/>
    <w:rsid w:val="4EBA7714"/>
    <w:rsid w:val="4EBE13DB"/>
    <w:rsid w:val="4EFB6545"/>
    <w:rsid w:val="4F8C5937"/>
    <w:rsid w:val="4F921FF0"/>
    <w:rsid w:val="4FDA4E13"/>
    <w:rsid w:val="4FFA0AAD"/>
    <w:rsid w:val="4FFB6C00"/>
    <w:rsid w:val="500303DF"/>
    <w:rsid w:val="501E66F7"/>
    <w:rsid w:val="50273CDC"/>
    <w:rsid w:val="502B3BC2"/>
    <w:rsid w:val="50463D38"/>
    <w:rsid w:val="50A978C1"/>
    <w:rsid w:val="50AF7B2F"/>
    <w:rsid w:val="50B82E88"/>
    <w:rsid w:val="50DE34CD"/>
    <w:rsid w:val="50EA13B1"/>
    <w:rsid w:val="50EF39B8"/>
    <w:rsid w:val="510248AE"/>
    <w:rsid w:val="513B5867"/>
    <w:rsid w:val="51572579"/>
    <w:rsid w:val="519E7FF6"/>
    <w:rsid w:val="51A0391C"/>
    <w:rsid w:val="51DF4686"/>
    <w:rsid w:val="520A1A2F"/>
    <w:rsid w:val="521560B8"/>
    <w:rsid w:val="522641A6"/>
    <w:rsid w:val="523C344C"/>
    <w:rsid w:val="52454E89"/>
    <w:rsid w:val="529F66EB"/>
    <w:rsid w:val="52A06A3A"/>
    <w:rsid w:val="52AA2CA4"/>
    <w:rsid w:val="52D15C52"/>
    <w:rsid w:val="52EF0782"/>
    <w:rsid w:val="531719E3"/>
    <w:rsid w:val="53420CE5"/>
    <w:rsid w:val="535A2065"/>
    <w:rsid w:val="53A92F5C"/>
    <w:rsid w:val="53C37E9A"/>
    <w:rsid w:val="54370568"/>
    <w:rsid w:val="54806EF6"/>
    <w:rsid w:val="5488491F"/>
    <w:rsid w:val="549601D4"/>
    <w:rsid w:val="54B266D3"/>
    <w:rsid w:val="54BC6BF5"/>
    <w:rsid w:val="54CB5262"/>
    <w:rsid w:val="554455B0"/>
    <w:rsid w:val="55B267C5"/>
    <w:rsid w:val="55C408DC"/>
    <w:rsid w:val="55E16D8E"/>
    <w:rsid w:val="55EC6CE5"/>
    <w:rsid w:val="565A0286"/>
    <w:rsid w:val="56AA4EC1"/>
    <w:rsid w:val="56B7323C"/>
    <w:rsid w:val="56EB6025"/>
    <w:rsid w:val="56FC33A3"/>
    <w:rsid w:val="57372BE7"/>
    <w:rsid w:val="574D1E50"/>
    <w:rsid w:val="57600001"/>
    <w:rsid w:val="576F626A"/>
    <w:rsid w:val="577D0987"/>
    <w:rsid w:val="579C3C02"/>
    <w:rsid w:val="579E601C"/>
    <w:rsid w:val="57BD5228"/>
    <w:rsid w:val="57C808C5"/>
    <w:rsid w:val="57E56D5C"/>
    <w:rsid w:val="57F2715C"/>
    <w:rsid w:val="581B4B12"/>
    <w:rsid w:val="58225DBE"/>
    <w:rsid w:val="58555402"/>
    <w:rsid w:val="5862478D"/>
    <w:rsid w:val="5886386C"/>
    <w:rsid w:val="589917F1"/>
    <w:rsid w:val="58AB5080"/>
    <w:rsid w:val="58FA6008"/>
    <w:rsid w:val="59054EB0"/>
    <w:rsid w:val="596100A0"/>
    <w:rsid w:val="596941C6"/>
    <w:rsid w:val="59762F9F"/>
    <w:rsid w:val="599021CD"/>
    <w:rsid w:val="59C208D3"/>
    <w:rsid w:val="59D2668C"/>
    <w:rsid w:val="59E05F16"/>
    <w:rsid w:val="59F70283"/>
    <w:rsid w:val="5A1B2000"/>
    <w:rsid w:val="5A332F08"/>
    <w:rsid w:val="5A34060B"/>
    <w:rsid w:val="5A4253E1"/>
    <w:rsid w:val="5A5F25C6"/>
    <w:rsid w:val="5AC32CBB"/>
    <w:rsid w:val="5AE625DD"/>
    <w:rsid w:val="5B5C018E"/>
    <w:rsid w:val="5B5E38CB"/>
    <w:rsid w:val="5BE32EB0"/>
    <w:rsid w:val="5C01084E"/>
    <w:rsid w:val="5C3902D5"/>
    <w:rsid w:val="5C6A7000"/>
    <w:rsid w:val="5CAF645C"/>
    <w:rsid w:val="5D044471"/>
    <w:rsid w:val="5D221689"/>
    <w:rsid w:val="5D320DA7"/>
    <w:rsid w:val="5D415FB3"/>
    <w:rsid w:val="5D6F5595"/>
    <w:rsid w:val="5D7D0D83"/>
    <w:rsid w:val="5D812836"/>
    <w:rsid w:val="5DEB7F39"/>
    <w:rsid w:val="5E163F4B"/>
    <w:rsid w:val="5E1F0D0B"/>
    <w:rsid w:val="5E503681"/>
    <w:rsid w:val="5E5A7325"/>
    <w:rsid w:val="5E624DB0"/>
    <w:rsid w:val="5E63028E"/>
    <w:rsid w:val="5E6A32E8"/>
    <w:rsid w:val="5E904E50"/>
    <w:rsid w:val="5EB76E76"/>
    <w:rsid w:val="5ED60D3D"/>
    <w:rsid w:val="5F1D47FE"/>
    <w:rsid w:val="5F221E14"/>
    <w:rsid w:val="5F334021"/>
    <w:rsid w:val="5FBD6934"/>
    <w:rsid w:val="5FD41360"/>
    <w:rsid w:val="60055FBF"/>
    <w:rsid w:val="601854C5"/>
    <w:rsid w:val="601F1A93"/>
    <w:rsid w:val="604A6B44"/>
    <w:rsid w:val="605305D4"/>
    <w:rsid w:val="605602F3"/>
    <w:rsid w:val="60650EC6"/>
    <w:rsid w:val="607B0A6E"/>
    <w:rsid w:val="6080450B"/>
    <w:rsid w:val="60C222F7"/>
    <w:rsid w:val="610177BF"/>
    <w:rsid w:val="61446072"/>
    <w:rsid w:val="614A790C"/>
    <w:rsid w:val="614C34D0"/>
    <w:rsid w:val="614E5143"/>
    <w:rsid w:val="61767ABB"/>
    <w:rsid w:val="61905E6C"/>
    <w:rsid w:val="619E38DD"/>
    <w:rsid w:val="61B92902"/>
    <w:rsid w:val="61FF1E4A"/>
    <w:rsid w:val="621A6DD3"/>
    <w:rsid w:val="623A725A"/>
    <w:rsid w:val="62594B2B"/>
    <w:rsid w:val="626C1208"/>
    <w:rsid w:val="626D5A22"/>
    <w:rsid w:val="62D86810"/>
    <w:rsid w:val="62F1059C"/>
    <w:rsid w:val="63A80DB4"/>
    <w:rsid w:val="63CD3E8B"/>
    <w:rsid w:val="63EF66DF"/>
    <w:rsid w:val="640A1ECD"/>
    <w:rsid w:val="64106E3E"/>
    <w:rsid w:val="642301C1"/>
    <w:rsid w:val="64934ECA"/>
    <w:rsid w:val="649F53F4"/>
    <w:rsid w:val="64A23208"/>
    <w:rsid w:val="64AA2690"/>
    <w:rsid w:val="64CE0D28"/>
    <w:rsid w:val="64ED59D3"/>
    <w:rsid w:val="64EF4547"/>
    <w:rsid w:val="64FE7E74"/>
    <w:rsid w:val="6502367C"/>
    <w:rsid w:val="650B4813"/>
    <w:rsid w:val="65115DBF"/>
    <w:rsid w:val="653E3407"/>
    <w:rsid w:val="65B950F2"/>
    <w:rsid w:val="65D8147F"/>
    <w:rsid w:val="65F04A26"/>
    <w:rsid w:val="664B342D"/>
    <w:rsid w:val="6664586D"/>
    <w:rsid w:val="66741245"/>
    <w:rsid w:val="66781C65"/>
    <w:rsid w:val="66C52129"/>
    <w:rsid w:val="66DC0AFB"/>
    <w:rsid w:val="66EA1469"/>
    <w:rsid w:val="66F23F62"/>
    <w:rsid w:val="67106F11"/>
    <w:rsid w:val="67406157"/>
    <w:rsid w:val="674D6ECE"/>
    <w:rsid w:val="676905E0"/>
    <w:rsid w:val="67795A75"/>
    <w:rsid w:val="67884BBF"/>
    <w:rsid w:val="678B698A"/>
    <w:rsid w:val="67AF0E6E"/>
    <w:rsid w:val="67DF6A19"/>
    <w:rsid w:val="680C0C8A"/>
    <w:rsid w:val="680E7983"/>
    <w:rsid w:val="682F654D"/>
    <w:rsid w:val="685353F7"/>
    <w:rsid w:val="68705C11"/>
    <w:rsid w:val="688E4B45"/>
    <w:rsid w:val="68CD4B9F"/>
    <w:rsid w:val="69615CEF"/>
    <w:rsid w:val="696F20FA"/>
    <w:rsid w:val="69931944"/>
    <w:rsid w:val="6A04174A"/>
    <w:rsid w:val="6A187869"/>
    <w:rsid w:val="6A266C5C"/>
    <w:rsid w:val="6A5E7F2C"/>
    <w:rsid w:val="6A7412DB"/>
    <w:rsid w:val="6AAF7E07"/>
    <w:rsid w:val="6B172F05"/>
    <w:rsid w:val="6B38286C"/>
    <w:rsid w:val="6BEE2EB2"/>
    <w:rsid w:val="6BF96886"/>
    <w:rsid w:val="6BFF3F27"/>
    <w:rsid w:val="6C1D3406"/>
    <w:rsid w:val="6C3A1096"/>
    <w:rsid w:val="6C4153F5"/>
    <w:rsid w:val="6C4C54AA"/>
    <w:rsid w:val="6C835F4E"/>
    <w:rsid w:val="6C974E1B"/>
    <w:rsid w:val="6CC338CD"/>
    <w:rsid w:val="6CDA788A"/>
    <w:rsid w:val="6D3038D4"/>
    <w:rsid w:val="6DA22A9E"/>
    <w:rsid w:val="6DA85831"/>
    <w:rsid w:val="6DF93AB7"/>
    <w:rsid w:val="6E452194"/>
    <w:rsid w:val="6E4B5A92"/>
    <w:rsid w:val="6E557832"/>
    <w:rsid w:val="6E5B4291"/>
    <w:rsid w:val="6E6F7901"/>
    <w:rsid w:val="6E945F6C"/>
    <w:rsid w:val="6EB06C01"/>
    <w:rsid w:val="6EBD5B11"/>
    <w:rsid w:val="6EDC2339"/>
    <w:rsid w:val="6F63625D"/>
    <w:rsid w:val="6FCF744E"/>
    <w:rsid w:val="6FD2049C"/>
    <w:rsid w:val="7011663B"/>
    <w:rsid w:val="702A0B29"/>
    <w:rsid w:val="70381498"/>
    <w:rsid w:val="70B94693"/>
    <w:rsid w:val="70D82ED7"/>
    <w:rsid w:val="70E23AC4"/>
    <w:rsid w:val="70E61A3D"/>
    <w:rsid w:val="70FF23EA"/>
    <w:rsid w:val="714B51FB"/>
    <w:rsid w:val="71996F99"/>
    <w:rsid w:val="71A55F82"/>
    <w:rsid w:val="71A843FB"/>
    <w:rsid w:val="71CD20B4"/>
    <w:rsid w:val="721E46BD"/>
    <w:rsid w:val="722A5AE9"/>
    <w:rsid w:val="725B22AA"/>
    <w:rsid w:val="72A80595"/>
    <w:rsid w:val="72AF0807"/>
    <w:rsid w:val="72B05057"/>
    <w:rsid w:val="72B91ACC"/>
    <w:rsid w:val="72C04EDA"/>
    <w:rsid w:val="72C16728"/>
    <w:rsid w:val="72DC25AE"/>
    <w:rsid w:val="72E92A4A"/>
    <w:rsid w:val="730334B4"/>
    <w:rsid w:val="730B2E93"/>
    <w:rsid w:val="731438D9"/>
    <w:rsid w:val="73334198"/>
    <w:rsid w:val="733E031E"/>
    <w:rsid w:val="73883B5B"/>
    <w:rsid w:val="739015EB"/>
    <w:rsid w:val="73D94EF0"/>
    <w:rsid w:val="73E15950"/>
    <w:rsid w:val="73E6120B"/>
    <w:rsid w:val="7400051E"/>
    <w:rsid w:val="740825B6"/>
    <w:rsid w:val="740858DD"/>
    <w:rsid w:val="742920FC"/>
    <w:rsid w:val="742C30C1"/>
    <w:rsid w:val="746B78BE"/>
    <w:rsid w:val="74C24B9F"/>
    <w:rsid w:val="74C93AFB"/>
    <w:rsid w:val="74D238D4"/>
    <w:rsid w:val="74E27C24"/>
    <w:rsid w:val="74F75BB2"/>
    <w:rsid w:val="7507768A"/>
    <w:rsid w:val="75262C83"/>
    <w:rsid w:val="754D7793"/>
    <w:rsid w:val="759C12DB"/>
    <w:rsid w:val="75BA7C63"/>
    <w:rsid w:val="75DC0B17"/>
    <w:rsid w:val="75F54D61"/>
    <w:rsid w:val="760C3786"/>
    <w:rsid w:val="76596079"/>
    <w:rsid w:val="767549A9"/>
    <w:rsid w:val="767C6B5D"/>
    <w:rsid w:val="76883A7E"/>
    <w:rsid w:val="769D02A6"/>
    <w:rsid w:val="76BA1F01"/>
    <w:rsid w:val="76ED0BC0"/>
    <w:rsid w:val="76F75C22"/>
    <w:rsid w:val="77197ED4"/>
    <w:rsid w:val="77375D74"/>
    <w:rsid w:val="776C0D7B"/>
    <w:rsid w:val="77B40D31"/>
    <w:rsid w:val="783C589D"/>
    <w:rsid w:val="7840713B"/>
    <w:rsid w:val="78500265"/>
    <w:rsid w:val="78580F26"/>
    <w:rsid w:val="786B706F"/>
    <w:rsid w:val="788D72A3"/>
    <w:rsid w:val="788E42E1"/>
    <w:rsid w:val="78947487"/>
    <w:rsid w:val="78AF1728"/>
    <w:rsid w:val="78CA10FB"/>
    <w:rsid w:val="78D0776F"/>
    <w:rsid w:val="78EA5CC5"/>
    <w:rsid w:val="794964C4"/>
    <w:rsid w:val="798020FD"/>
    <w:rsid w:val="79B50E56"/>
    <w:rsid w:val="79C141C0"/>
    <w:rsid w:val="79E16E2A"/>
    <w:rsid w:val="79E91350"/>
    <w:rsid w:val="7A815CDD"/>
    <w:rsid w:val="7A8A5AF5"/>
    <w:rsid w:val="7B062BD5"/>
    <w:rsid w:val="7B116B6D"/>
    <w:rsid w:val="7B1173A4"/>
    <w:rsid w:val="7B1366A0"/>
    <w:rsid w:val="7B3A4316"/>
    <w:rsid w:val="7B4E7DC1"/>
    <w:rsid w:val="7B783090"/>
    <w:rsid w:val="7B81537B"/>
    <w:rsid w:val="7B8B01B3"/>
    <w:rsid w:val="7C097C82"/>
    <w:rsid w:val="7C3E1448"/>
    <w:rsid w:val="7C5F57B6"/>
    <w:rsid w:val="7C6D5631"/>
    <w:rsid w:val="7C93502D"/>
    <w:rsid w:val="7CC876FF"/>
    <w:rsid w:val="7CC946CF"/>
    <w:rsid w:val="7CEF1838"/>
    <w:rsid w:val="7CF22855"/>
    <w:rsid w:val="7CFB1883"/>
    <w:rsid w:val="7D1F2F41"/>
    <w:rsid w:val="7D2F2F98"/>
    <w:rsid w:val="7D36790A"/>
    <w:rsid w:val="7D3F200D"/>
    <w:rsid w:val="7D414724"/>
    <w:rsid w:val="7D4A0A5C"/>
    <w:rsid w:val="7DAF266D"/>
    <w:rsid w:val="7DEC1126"/>
    <w:rsid w:val="7E024E93"/>
    <w:rsid w:val="7E27067A"/>
    <w:rsid w:val="7E3A5EC9"/>
    <w:rsid w:val="7E7D49D0"/>
    <w:rsid w:val="7E921DB2"/>
    <w:rsid w:val="7EFB518E"/>
    <w:rsid w:val="7F0E64A3"/>
    <w:rsid w:val="7F44783C"/>
    <w:rsid w:val="7F465EB7"/>
    <w:rsid w:val="7F4D0BE6"/>
    <w:rsid w:val="7FAB16EC"/>
    <w:rsid w:val="7FB34697"/>
    <w:rsid w:val="7FC22DCD"/>
    <w:rsid w:val="7FD41EAE"/>
    <w:rsid w:val="7FFB41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nhideWhenUsed="0" w:uiPriority="0" w:semiHidden="0"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heme="minorBidi"/>
      <w:kern w:val="2"/>
      <w:sz w:val="21"/>
      <w:szCs w:val="22"/>
      <w:lang w:val="en-US" w:eastAsia="zh-CN" w:bidi="ar-SA"/>
    </w:rPr>
  </w:style>
  <w:style w:type="paragraph" w:styleId="4">
    <w:name w:val="heading 1"/>
    <w:basedOn w:val="1"/>
    <w:next w:val="1"/>
    <w:link w:val="32"/>
    <w:qFormat/>
    <w:uiPriority w:val="0"/>
    <w:pPr>
      <w:keepNext/>
      <w:keepLines/>
      <w:numPr>
        <w:ilvl w:val="0"/>
        <w:numId w:val="1"/>
      </w:numPr>
      <w:spacing w:before="31" w:line="336" w:lineRule="auto"/>
      <w:jc w:val="left"/>
      <w:outlineLvl w:val="0"/>
    </w:pPr>
    <w:rPr>
      <w:b/>
      <w:bCs/>
      <w:kern w:val="44"/>
      <w:sz w:val="36"/>
      <w:szCs w:val="44"/>
    </w:rPr>
  </w:style>
  <w:style w:type="paragraph" w:styleId="5">
    <w:name w:val="heading 2"/>
    <w:basedOn w:val="1"/>
    <w:next w:val="1"/>
    <w:link w:val="44"/>
    <w:unhideWhenUsed/>
    <w:qFormat/>
    <w:uiPriority w:val="0"/>
    <w:pPr>
      <w:keepNext/>
      <w:keepLines/>
      <w:numPr>
        <w:ilvl w:val="1"/>
        <w:numId w:val="1"/>
      </w:numPr>
      <w:spacing w:line="413" w:lineRule="auto"/>
      <w:jc w:val="left"/>
      <w:outlineLvl w:val="1"/>
    </w:pPr>
    <w:rPr>
      <w:rFonts w:cstheme="majorBidi"/>
      <w:b/>
      <w:bCs/>
      <w:sz w:val="32"/>
      <w:szCs w:val="32"/>
    </w:rPr>
  </w:style>
  <w:style w:type="paragraph" w:styleId="6">
    <w:name w:val="heading 3"/>
    <w:basedOn w:val="1"/>
    <w:next w:val="1"/>
    <w:link w:val="33"/>
    <w:unhideWhenUsed/>
    <w:qFormat/>
    <w:uiPriority w:val="0"/>
    <w:pPr>
      <w:keepNext/>
      <w:keepLines/>
      <w:numPr>
        <w:ilvl w:val="2"/>
        <w:numId w:val="1"/>
      </w:numPr>
      <w:spacing w:before="20" w:after="20" w:line="360" w:lineRule="auto"/>
      <w:jc w:val="left"/>
      <w:outlineLvl w:val="2"/>
    </w:pPr>
    <w:rPr>
      <w:b/>
      <w:bCs/>
      <w:sz w:val="28"/>
      <w:szCs w:val="32"/>
    </w:rPr>
  </w:style>
  <w:style w:type="paragraph" w:styleId="7">
    <w:name w:val="heading 4"/>
    <w:basedOn w:val="1"/>
    <w:next w:val="1"/>
    <w:link w:val="43"/>
    <w:unhideWhenUsed/>
    <w:qFormat/>
    <w:uiPriority w:val="0"/>
    <w:pPr>
      <w:keepNext/>
      <w:keepLines/>
      <w:numPr>
        <w:ilvl w:val="3"/>
        <w:numId w:val="1"/>
      </w:numPr>
      <w:spacing w:before="20" w:after="20" w:line="360" w:lineRule="auto"/>
      <w:ind w:firstLine="200" w:firstLineChars="200"/>
      <w:outlineLvl w:val="3"/>
    </w:pPr>
    <w:rPr>
      <w:rFonts w:cstheme="majorBidi"/>
      <w:b/>
      <w:bCs/>
      <w:sz w:val="24"/>
      <w:szCs w:val="28"/>
    </w:rPr>
  </w:style>
  <w:style w:type="paragraph" w:styleId="8">
    <w:name w:val="heading 5"/>
    <w:basedOn w:val="1"/>
    <w:next w:val="1"/>
    <w:link w:val="45"/>
    <w:unhideWhenUsed/>
    <w:qFormat/>
    <w:uiPriority w:val="0"/>
    <w:pPr>
      <w:keepNext/>
      <w:keepLines/>
      <w:numPr>
        <w:ilvl w:val="4"/>
        <w:numId w:val="1"/>
      </w:numPr>
      <w:spacing w:line="360" w:lineRule="auto"/>
      <w:ind w:firstLine="200" w:firstLineChars="200"/>
      <w:outlineLvl w:val="4"/>
    </w:pPr>
    <w:rPr>
      <w:b/>
      <w:bCs/>
      <w:sz w:val="24"/>
      <w:szCs w:val="28"/>
    </w:rPr>
  </w:style>
  <w:style w:type="paragraph" w:styleId="9">
    <w:name w:val="heading 6"/>
    <w:basedOn w:val="1"/>
    <w:next w:val="1"/>
    <w:link w:val="46"/>
    <w:semiHidden/>
    <w:unhideWhenUsed/>
    <w:qFormat/>
    <w:uiPriority w:val="0"/>
    <w:pPr>
      <w:keepNext/>
      <w:keepLines/>
      <w:tabs>
        <w:tab w:val="left" w:pos="1021"/>
      </w:tabs>
      <w:spacing w:before="240" w:after="64" w:line="317" w:lineRule="auto"/>
      <w:ind w:left="1151" w:hanging="1151" w:firstLineChars="200"/>
      <w:outlineLvl w:val="5"/>
    </w:pPr>
    <w:rPr>
      <w:rFonts w:ascii="Arial" w:hAnsi="Arial" w:eastAsia="黑体" w:cs="Courier New"/>
      <w:b/>
      <w:sz w:val="24"/>
      <w:szCs w:val="20"/>
    </w:rPr>
  </w:style>
  <w:style w:type="paragraph" w:styleId="10">
    <w:name w:val="heading 7"/>
    <w:basedOn w:val="1"/>
    <w:next w:val="1"/>
    <w:link w:val="47"/>
    <w:semiHidden/>
    <w:unhideWhenUsed/>
    <w:qFormat/>
    <w:uiPriority w:val="0"/>
    <w:pPr>
      <w:keepNext/>
      <w:keepLines/>
      <w:tabs>
        <w:tab w:val="left" w:pos="1021"/>
      </w:tabs>
      <w:spacing w:before="240" w:after="64" w:line="317" w:lineRule="auto"/>
      <w:ind w:left="1296" w:hanging="1296" w:firstLineChars="200"/>
      <w:outlineLvl w:val="6"/>
    </w:pPr>
    <w:rPr>
      <w:rFonts w:cs="Courier New"/>
      <w:b/>
      <w:sz w:val="24"/>
      <w:szCs w:val="20"/>
    </w:rPr>
  </w:style>
  <w:style w:type="paragraph" w:styleId="11">
    <w:name w:val="heading 8"/>
    <w:basedOn w:val="1"/>
    <w:next w:val="1"/>
    <w:link w:val="48"/>
    <w:semiHidden/>
    <w:unhideWhenUsed/>
    <w:qFormat/>
    <w:uiPriority w:val="0"/>
    <w:pPr>
      <w:keepNext/>
      <w:keepLines/>
      <w:tabs>
        <w:tab w:val="left" w:pos="1021"/>
      </w:tabs>
      <w:spacing w:before="240" w:after="64" w:line="317" w:lineRule="auto"/>
      <w:ind w:left="1440" w:hanging="1440" w:firstLineChars="200"/>
      <w:outlineLvl w:val="7"/>
    </w:pPr>
    <w:rPr>
      <w:rFonts w:ascii="Arial" w:hAnsi="Arial" w:eastAsia="黑体" w:cs="Courier New"/>
      <w:sz w:val="24"/>
      <w:szCs w:val="20"/>
    </w:rPr>
  </w:style>
  <w:style w:type="paragraph" w:styleId="12">
    <w:name w:val="heading 9"/>
    <w:basedOn w:val="1"/>
    <w:next w:val="1"/>
    <w:link w:val="49"/>
    <w:semiHidden/>
    <w:unhideWhenUsed/>
    <w:qFormat/>
    <w:uiPriority w:val="0"/>
    <w:pPr>
      <w:keepNext/>
      <w:keepLines/>
      <w:tabs>
        <w:tab w:val="left" w:pos="1021"/>
      </w:tabs>
      <w:spacing w:before="240" w:after="64" w:line="317" w:lineRule="auto"/>
      <w:ind w:left="1583" w:hanging="1583" w:firstLineChars="200"/>
      <w:outlineLvl w:val="8"/>
    </w:pPr>
    <w:rPr>
      <w:rFonts w:ascii="Arial" w:hAnsi="Arial" w:eastAsia="黑体" w:cs="Courier New"/>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guo-正文缩进2"/>
    <w:basedOn w:val="3"/>
    <w:link w:val="30"/>
    <w:qFormat/>
    <w:uiPriority w:val="0"/>
    <w:pPr>
      <w:tabs>
        <w:tab w:val="left" w:pos="1021"/>
      </w:tabs>
      <w:ind w:firstLine="562" w:firstLineChars="200"/>
    </w:pPr>
    <w:rPr>
      <w:rFonts w:ascii="Times New Roman" w:hAnsi="Times New Roman" w:eastAsia="宋体"/>
    </w:rPr>
  </w:style>
  <w:style w:type="paragraph" w:customStyle="1" w:styleId="3">
    <w:name w:val="guo-正文不缩进"/>
    <w:link w:val="31"/>
    <w:qFormat/>
    <w:uiPriority w:val="0"/>
    <w:pPr>
      <w:widowControl w:val="0"/>
      <w:spacing w:line="360" w:lineRule="auto"/>
      <w:jc w:val="both"/>
    </w:pPr>
    <w:rPr>
      <w:rFonts w:ascii="Times New Roman" w:hAnsi="Times New Roman" w:eastAsia="宋体" w:cs="Times New Roman"/>
      <w:kern w:val="2"/>
      <w:sz w:val="24"/>
      <w:lang w:val="en-US" w:eastAsia="zh-CN" w:bidi="ar-SA"/>
    </w:rPr>
  </w:style>
  <w:style w:type="paragraph" w:styleId="13">
    <w:name w:val="annotation text"/>
    <w:basedOn w:val="1"/>
    <w:qFormat/>
    <w:uiPriority w:val="0"/>
    <w:pPr>
      <w:jc w:val="left"/>
    </w:pPr>
  </w:style>
  <w:style w:type="paragraph" w:styleId="14">
    <w:name w:val="Body Text"/>
    <w:basedOn w:val="1"/>
    <w:unhideWhenUsed/>
    <w:qFormat/>
    <w:uiPriority w:val="99"/>
    <w:pPr>
      <w:spacing w:after="120" w:line="240" w:lineRule="auto"/>
      <w:ind w:firstLine="1044"/>
    </w:pPr>
    <w:rPr>
      <w:rFonts w:cs="宋体"/>
      <w:szCs w:val="21"/>
    </w:rPr>
  </w:style>
  <w:style w:type="paragraph" w:styleId="15">
    <w:name w:val="footer"/>
    <w:basedOn w:val="1"/>
    <w:unhideWhenUsed/>
    <w:qFormat/>
    <w:uiPriority w:val="0"/>
    <w:pPr>
      <w:tabs>
        <w:tab w:val="center" w:pos="4153"/>
        <w:tab w:val="right" w:pos="8306"/>
      </w:tabs>
      <w:snapToGrid w:val="0"/>
      <w:spacing w:beforeLines="0" w:afterLines="0"/>
      <w:jc w:val="left"/>
    </w:pPr>
    <w:rPr>
      <w:rFonts w:hint="default"/>
      <w:sz w:val="18"/>
      <w:szCs w:val="18"/>
    </w:rPr>
  </w:style>
  <w:style w:type="paragraph" w:styleId="16">
    <w:name w:val="header"/>
    <w:basedOn w:val="1"/>
    <w:unhideWhenUsed/>
    <w:qFormat/>
    <w:uiPriority w:val="0"/>
    <w:pPr>
      <w:pBdr>
        <w:bottom w:val="single" w:color="auto" w:sz="6" w:space="1"/>
      </w:pBdr>
      <w:tabs>
        <w:tab w:val="center" w:pos="4153"/>
        <w:tab w:val="right" w:pos="8306"/>
      </w:tabs>
      <w:snapToGrid w:val="0"/>
      <w:spacing w:beforeLines="0" w:afterLines="0" w:line="240" w:lineRule="auto"/>
      <w:jc w:val="center"/>
    </w:pPr>
    <w:rPr>
      <w:rFonts w:hint="default"/>
      <w:sz w:val="18"/>
      <w:szCs w:val="18"/>
    </w:rPr>
  </w:style>
  <w:style w:type="paragraph" w:styleId="17">
    <w:name w:val="toc 1"/>
    <w:basedOn w:val="1"/>
    <w:next w:val="1"/>
    <w:qFormat/>
    <w:uiPriority w:val="39"/>
    <w:pPr>
      <w:spacing w:line="360" w:lineRule="auto"/>
      <w:jc w:val="left"/>
    </w:pPr>
    <w:rPr>
      <w:rFonts w:ascii="Times New Roman" w:hAnsi="Times New Roman" w:eastAsia="宋体"/>
      <w:bCs/>
      <w:caps/>
      <w:sz w:val="24"/>
      <w:szCs w:val="20"/>
    </w:rPr>
  </w:style>
  <w:style w:type="paragraph" w:styleId="18">
    <w:name w:val="toc 2"/>
    <w:basedOn w:val="1"/>
    <w:next w:val="1"/>
    <w:qFormat/>
    <w:uiPriority w:val="39"/>
    <w:pPr>
      <w:spacing w:line="360" w:lineRule="auto"/>
      <w:ind w:left="200" w:leftChars="200"/>
      <w:jc w:val="left"/>
    </w:pPr>
    <w:rPr>
      <w:rFonts w:ascii="Times New Roman" w:hAnsi="Times New Roman" w:eastAsia="宋体"/>
      <w:smallCaps/>
      <w:sz w:val="24"/>
      <w:szCs w:val="20"/>
    </w:r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Title"/>
    <w:basedOn w:val="1"/>
    <w:next w:val="1"/>
    <w:link w:val="50"/>
    <w:qFormat/>
    <w:uiPriority w:val="0"/>
    <w:pPr>
      <w:tabs>
        <w:tab w:val="left" w:pos="1021"/>
      </w:tabs>
      <w:spacing w:before="240" w:after="60" w:line="360" w:lineRule="auto"/>
      <w:ind w:firstLine="964" w:firstLineChars="200"/>
      <w:jc w:val="center"/>
      <w:outlineLvl w:val="0"/>
    </w:pPr>
    <w:rPr>
      <w:rFonts w:ascii="Arial" w:hAnsi="Arial" w:cs="Courier New"/>
      <w:b/>
      <w:sz w:val="32"/>
      <w:szCs w:val="20"/>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qFormat/>
    <w:uiPriority w:val="0"/>
    <w:rPr>
      <w:color w:val="0000FF"/>
      <w:u w:val="single"/>
    </w:rPr>
  </w:style>
  <w:style w:type="paragraph" w:customStyle="1" w:styleId="26">
    <w:name w:val="guo-表格内容居中"/>
    <w:basedOn w:val="3"/>
    <w:link w:val="27"/>
    <w:qFormat/>
    <w:uiPriority w:val="0"/>
    <w:pPr>
      <w:widowControl w:val="0"/>
      <w:pBdr>
        <w:top w:val="none" w:color="auto" w:sz="0" w:space="1"/>
        <w:left w:val="none" w:color="auto" w:sz="0" w:space="4"/>
        <w:bottom w:val="none" w:color="auto" w:sz="0" w:space="1"/>
        <w:right w:val="none" w:color="auto" w:sz="0" w:space="4"/>
      </w:pBdr>
      <w:tabs>
        <w:tab w:val="left" w:pos="1021"/>
      </w:tabs>
      <w:spacing w:line="240" w:lineRule="auto"/>
      <w:jc w:val="center"/>
    </w:pPr>
    <w:rPr>
      <w:rFonts w:ascii="Times New Roman" w:hAnsi="Times New Roman" w:eastAsia="宋体"/>
      <w:sz w:val="22"/>
      <w:szCs w:val="22"/>
    </w:rPr>
  </w:style>
  <w:style w:type="character" w:customStyle="1" w:styleId="27">
    <w:name w:val="guo-表格内容居中 Char"/>
    <w:link w:val="26"/>
    <w:qFormat/>
    <w:uiPriority w:val="0"/>
    <w:rPr>
      <w:rFonts w:ascii="Times New Roman" w:hAnsi="Times New Roman" w:eastAsia="宋体" w:cs="Times New Roman"/>
      <w:kern w:val="2"/>
      <w:sz w:val="22"/>
      <w:szCs w:val="22"/>
      <w:lang w:val="en-US" w:eastAsia="zh-CN" w:bidi="ar-SA"/>
    </w:rPr>
  </w:style>
  <w:style w:type="paragraph" w:customStyle="1" w:styleId="28">
    <w:name w:val="guo-表头"/>
    <w:basedOn w:val="3"/>
    <w:next w:val="2"/>
    <w:link w:val="29"/>
    <w:qFormat/>
    <w:uiPriority w:val="0"/>
    <w:pPr>
      <w:tabs>
        <w:tab w:val="left" w:pos="1021"/>
      </w:tabs>
      <w:spacing w:line="300" w:lineRule="auto"/>
      <w:jc w:val="center"/>
      <w:outlineLvl w:val="4"/>
    </w:pPr>
    <w:rPr>
      <w:rFonts w:ascii="Times New Roman" w:hAnsi="Times New Roman" w:eastAsia="黑体"/>
    </w:rPr>
  </w:style>
  <w:style w:type="character" w:customStyle="1" w:styleId="29">
    <w:name w:val="guo-表头 Char"/>
    <w:link w:val="28"/>
    <w:qFormat/>
    <w:uiPriority w:val="0"/>
    <w:rPr>
      <w:rFonts w:ascii="Times New Roman" w:hAnsi="Times New Roman" w:eastAsia="黑体"/>
    </w:rPr>
  </w:style>
  <w:style w:type="character" w:customStyle="1" w:styleId="30">
    <w:name w:val="guo-正文缩进2 Char"/>
    <w:link w:val="2"/>
    <w:qFormat/>
    <w:uiPriority w:val="0"/>
    <w:rPr>
      <w:rFonts w:ascii="Times New Roman" w:hAnsi="Times New Roman" w:eastAsia="宋体" w:cs="Times New Roman"/>
      <w:sz w:val="24"/>
      <w:szCs w:val="20"/>
    </w:rPr>
  </w:style>
  <w:style w:type="character" w:customStyle="1" w:styleId="31">
    <w:name w:val="guo-正文不缩进 Char"/>
    <w:link w:val="3"/>
    <w:qFormat/>
    <w:uiPriority w:val="0"/>
    <w:rPr>
      <w:rFonts w:ascii="Times New Roman" w:hAnsi="Times New Roman" w:eastAsia="宋体" w:cs="Times New Roman"/>
      <w:sz w:val="24"/>
      <w:szCs w:val="20"/>
    </w:rPr>
  </w:style>
  <w:style w:type="character" w:customStyle="1" w:styleId="32">
    <w:name w:val="标题 1 字符"/>
    <w:basedOn w:val="23"/>
    <w:link w:val="4"/>
    <w:qFormat/>
    <w:uiPriority w:val="0"/>
    <w:rPr>
      <w:b/>
      <w:bCs/>
      <w:kern w:val="44"/>
      <w:sz w:val="36"/>
      <w:szCs w:val="44"/>
    </w:rPr>
  </w:style>
  <w:style w:type="character" w:customStyle="1" w:styleId="33">
    <w:name w:val="标题 3 字符"/>
    <w:basedOn w:val="23"/>
    <w:link w:val="6"/>
    <w:qFormat/>
    <w:uiPriority w:val="0"/>
    <w:rPr>
      <w:b/>
      <w:bCs/>
      <w:kern w:val="2"/>
      <w:sz w:val="28"/>
      <w:szCs w:val="32"/>
    </w:rPr>
  </w:style>
  <w:style w:type="paragraph" w:customStyle="1" w:styleId="34">
    <w:name w:val="guo-四级标题"/>
    <w:basedOn w:val="7"/>
    <w:next w:val="2"/>
    <w:link w:val="38"/>
    <w:qFormat/>
    <w:uiPriority w:val="0"/>
    <w:pPr>
      <w:numPr>
        <w:numId w:val="2"/>
      </w:numPr>
      <w:tabs>
        <w:tab w:val="left" w:pos="0"/>
        <w:tab w:val="left" w:pos="568"/>
        <w:tab w:val="left" w:pos="4692"/>
      </w:tabs>
      <w:ind w:firstLineChars="0"/>
    </w:pPr>
    <w:rPr>
      <w:rFonts w:ascii="Times New Roman" w:hAnsi="Times New Roman" w:eastAsia="宋体" w:cs="Times New Roman"/>
      <w:szCs w:val="24"/>
    </w:rPr>
  </w:style>
  <w:style w:type="paragraph" w:customStyle="1" w:styleId="35">
    <w:name w:val="guo-一级标题"/>
    <w:basedOn w:val="4"/>
    <w:next w:val="2"/>
    <w:qFormat/>
    <w:uiPriority w:val="0"/>
    <w:pPr>
      <w:pageBreakBefore/>
      <w:numPr>
        <w:numId w:val="2"/>
      </w:numPr>
      <w:tabs>
        <w:tab w:val="left" w:pos="0"/>
        <w:tab w:val="left" w:pos="1021"/>
      </w:tabs>
      <w:jc w:val="both"/>
    </w:pPr>
    <w:rPr>
      <w:rFonts w:ascii="Times New Roman" w:hAnsi="Times New Roman" w:eastAsia="黑体" w:cs="Times New Roman"/>
      <w:b w:val="0"/>
      <w:bCs w:val="0"/>
      <w:kern w:val="2"/>
      <w:szCs w:val="36"/>
    </w:rPr>
  </w:style>
  <w:style w:type="paragraph" w:customStyle="1" w:styleId="36">
    <w:name w:val="guo-二级标题"/>
    <w:basedOn w:val="5"/>
    <w:next w:val="2"/>
    <w:qFormat/>
    <w:uiPriority w:val="0"/>
    <w:pPr>
      <w:numPr>
        <w:numId w:val="2"/>
      </w:numPr>
      <w:tabs>
        <w:tab w:val="left" w:pos="0"/>
        <w:tab w:val="left" w:pos="578"/>
      </w:tabs>
      <w:spacing w:line="360" w:lineRule="auto"/>
      <w:jc w:val="both"/>
    </w:pPr>
    <w:rPr>
      <w:rFonts w:ascii="Times New Roman" w:hAnsi="Times New Roman" w:eastAsia="黑体" w:cs="Times New Roman"/>
      <w:b w:val="0"/>
      <w:bCs w:val="0"/>
      <w:szCs w:val="20"/>
    </w:rPr>
  </w:style>
  <w:style w:type="paragraph" w:customStyle="1" w:styleId="37">
    <w:name w:val="guo-三级标题"/>
    <w:basedOn w:val="6"/>
    <w:next w:val="2"/>
    <w:qFormat/>
    <w:uiPriority w:val="0"/>
    <w:pPr>
      <w:numPr>
        <w:numId w:val="2"/>
      </w:numPr>
      <w:tabs>
        <w:tab w:val="left" w:pos="0"/>
        <w:tab w:val="left" w:pos="862"/>
        <w:tab w:val="left" w:pos="1021"/>
      </w:tabs>
    </w:pPr>
    <w:rPr>
      <w:rFonts w:ascii="Times New Roman" w:hAnsi="Times New Roman" w:eastAsia="黑体" w:cs="Times New Roman"/>
      <w:b w:val="0"/>
      <w:bCs w:val="0"/>
      <w:szCs w:val="20"/>
    </w:rPr>
  </w:style>
  <w:style w:type="character" w:customStyle="1" w:styleId="38">
    <w:name w:val="guo-四级标题 Char"/>
    <w:link w:val="34"/>
    <w:qFormat/>
    <w:uiPriority w:val="0"/>
    <w:rPr>
      <w:rFonts w:ascii="Times New Roman" w:hAnsi="Times New Roman" w:eastAsia="宋体" w:cs="Times New Roman"/>
      <w:b/>
      <w:bCs/>
      <w:sz w:val="24"/>
      <w:szCs w:val="24"/>
    </w:rPr>
  </w:style>
  <w:style w:type="paragraph" w:customStyle="1" w:styleId="39">
    <w:name w:val="guo-表格左对齐"/>
    <w:basedOn w:val="26"/>
    <w:qFormat/>
    <w:uiPriority w:val="0"/>
    <w:pPr>
      <w:jc w:val="left"/>
    </w:pPr>
  </w:style>
  <w:style w:type="paragraph" w:customStyle="1" w:styleId="40">
    <w:name w:val="guo-图头"/>
    <w:basedOn w:val="3"/>
    <w:link w:val="41"/>
    <w:qFormat/>
    <w:uiPriority w:val="0"/>
    <w:pPr>
      <w:tabs>
        <w:tab w:val="left" w:pos="1021"/>
      </w:tabs>
      <w:spacing w:after="50" w:afterLines="50" w:line="300" w:lineRule="auto"/>
      <w:jc w:val="center"/>
      <w:outlineLvl w:val="4"/>
    </w:pPr>
    <w:rPr>
      <w:rFonts w:eastAsia="黑体"/>
    </w:rPr>
  </w:style>
  <w:style w:type="character" w:customStyle="1" w:styleId="41">
    <w:name w:val="guo-图头 Char"/>
    <w:link w:val="40"/>
    <w:qFormat/>
    <w:uiPriority w:val="0"/>
    <w:rPr>
      <w:rFonts w:eastAsia="黑体" w:cs="Times New Roman"/>
      <w:sz w:val="24"/>
      <w:szCs w:val="20"/>
    </w:rPr>
  </w:style>
  <w:style w:type="paragraph" w:customStyle="1" w:styleId="42">
    <w:name w:val="风评表头"/>
    <w:basedOn w:val="1"/>
    <w:next w:val="1"/>
    <w:qFormat/>
    <w:uiPriority w:val="0"/>
    <w:pPr>
      <w:snapToGrid w:val="0"/>
      <w:spacing w:beforeLines="100" w:line="480" w:lineRule="exact"/>
      <w:ind w:firstLine="880" w:firstLineChars="200"/>
      <w:jc w:val="center"/>
    </w:pPr>
    <w:rPr>
      <w:rFonts w:eastAsia="黑体"/>
      <w:b/>
      <w:sz w:val="24"/>
      <w:szCs w:val="22"/>
    </w:rPr>
  </w:style>
  <w:style w:type="character" w:customStyle="1" w:styleId="43">
    <w:name w:val="标题 4 字符"/>
    <w:basedOn w:val="23"/>
    <w:link w:val="7"/>
    <w:qFormat/>
    <w:uiPriority w:val="0"/>
    <w:rPr>
      <w:rFonts w:cstheme="majorBidi"/>
      <w:b/>
      <w:bCs/>
      <w:kern w:val="2"/>
      <w:sz w:val="24"/>
      <w:szCs w:val="28"/>
    </w:rPr>
  </w:style>
  <w:style w:type="character" w:customStyle="1" w:styleId="44">
    <w:name w:val="标题 2 字符"/>
    <w:basedOn w:val="23"/>
    <w:link w:val="5"/>
    <w:qFormat/>
    <w:uiPriority w:val="0"/>
    <w:rPr>
      <w:rFonts w:cstheme="majorBidi"/>
      <w:b/>
      <w:bCs/>
      <w:kern w:val="2"/>
      <w:sz w:val="32"/>
      <w:szCs w:val="32"/>
    </w:rPr>
  </w:style>
  <w:style w:type="character" w:customStyle="1" w:styleId="45">
    <w:name w:val="标题 5 字符"/>
    <w:basedOn w:val="23"/>
    <w:link w:val="8"/>
    <w:qFormat/>
    <w:uiPriority w:val="9"/>
    <w:rPr>
      <w:b/>
      <w:bCs/>
      <w:sz w:val="24"/>
      <w:szCs w:val="28"/>
    </w:rPr>
  </w:style>
  <w:style w:type="character" w:customStyle="1" w:styleId="46">
    <w:name w:val="标题 6 字符"/>
    <w:basedOn w:val="23"/>
    <w:link w:val="9"/>
    <w:semiHidden/>
    <w:qFormat/>
    <w:uiPriority w:val="0"/>
    <w:rPr>
      <w:rFonts w:ascii="Arial" w:hAnsi="Arial" w:eastAsia="黑体" w:cs="Courier New"/>
      <w:b/>
      <w:sz w:val="24"/>
      <w:szCs w:val="20"/>
    </w:rPr>
  </w:style>
  <w:style w:type="character" w:customStyle="1" w:styleId="47">
    <w:name w:val="标题 7 字符"/>
    <w:basedOn w:val="23"/>
    <w:link w:val="10"/>
    <w:semiHidden/>
    <w:qFormat/>
    <w:uiPriority w:val="0"/>
    <w:rPr>
      <w:rFonts w:cs="Courier New"/>
      <w:b/>
      <w:sz w:val="24"/>
      <w:szCs w:val="20"/>
    </w:rPr>
  </w:style>
  <w:style w:type="character" w:customStyle="1" w:styleId="48">
    <w:name w:val="标题 8 字符"/>
    <w:basedOn w:val="23"/>
    <w:link w:val="11"/>
    <w:semiHidden/>
    <w:qFormat/>
    <w:uiPriority w:val="0"/>
    <w:rPr>
      <w:rFonts w:ascii="Arial" w:hAnsi="Arial" w:eastAsia="黑体" w:cs="Courier New"/>
      <w:sz w:val="24"/>
      <w:szCs w:val="20"/>
    </w:rPr>
  </w:style>
  <w:style w:type="character" w:customStyle="1" w:styleId="49">
    <w:name w:val="标题 9 字符"/>
    <w:basedOn w:val="23"/>
    <w:link w:val="12"/>
    <w:semiHidden/>
    <w:qFormat/>
    <w:uiPriority w:val="0"/>
    <w:rPr>
      <w:rFonts w:ascii="Arial" w:hAnsi="Arial" w:eastAsia="黑体" w:cs="Courier New"/>
      <w:szCs w:val="20"/>
    </w:rPr>
  </w:style>
  <w:style w:type="character" w:customStyle="1" w:styleId="50">
    <w:name w:val="标题 字符"/>
    <w:basedOn w:val="23"/>
    <w:link w:val="20"/>
    <w:qFormat/>
    <w:uiPriority w:val="0"/>
    <w:rPr>
      <w:rFonts w:ascii="Arial" w:hAnsi="Arial" w:cs="Courier New"/>
      <w:b/>
      <w:sz w:val="32"/>
      <w:szCs w:val="20"/>
    </w:rPr>
  </w:style>
  <w:style w:type="table" w:customStyle="1" w:styleId="51">
    <w:name w:val="Table Normal1"/>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52">
    <w:name w:val="Revision1"/>
    <w:hidden/>
    <w:unhideWhenUsed/>
    <w:qFormat/>
    <w:uiPriority w:val="99"/>
    <w:rPr>
      <w:rFonts w:ascii="Times New Roman" w:hAnsi="Times New Roman" w:eastAsia="宋体" w:cs="Courier New"/>
      <w:kern w:val="2"/>
      <w:sz w:val="24"/>
      <w:lang w:val="en-US" w:eastAsia="zh-CN" w:bidi="ar-SA"/>
    </w:rPr>
  </w:style>
  <w:style w:type="table" w:customStyle="1" w:styleId="53">
    <w:name w:val="cmr"/>
    <w:basedOn w:val="21"/>
    <w:qFormat/>
    <w:uiPriority w:val="0"/>
    <w:pPr>
      <w:snapToGrid w:val="0"/>
      <w:jc w:val="center"/>
    </w:p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54">
    <w:name w:val="表格样式 1刘文"/>
    <w:basedOn w:val="21"/>
    <w:qFormat/>
    <w:uiPriority w:val="0"/>
    <w:pPr>
      <w:jc w:val="center"/>
    </w:pPr>
    <w:tblPr>
      <w:jc w:val="center"/>
      <w:tblBorders>
        <w:top w:val="single" w:color="auto" w:sz="12" w:space="0"/>
        <w:bottom w:val="single" w:color="auto" w:sz="12"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55">
    <w:name w:val="灰度表格15"/>
    <w:basedOn w:val="21"/>
    <w:qFormat/>
    <w:uiPriority w:val="59"/>
    <w:pPr>
      <w:adjustRightInd w:val="0"/>
      <w:snapToGrid w:val="0"/>
      <w:jc w:val="center"/>
    </w:pPr>
    <w:rPr>
      <w:snapToGrid w:val="0"/>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56">
    <w:name w:val="Table Normal"/>
    <w:semiHidden/>
    <w:unhideWhenUsed/>
    <w:qFormat/>
    <w:uiPriority w:val="0"/>
    <w:tblPr>
      <w:tblCellMar>
        <w:top w:w="0" w:type="dxa"/>
        <w:left w:w="0" w:type="dxa"/>
        <w:bottom w:w="0" w:type="dxa"/>
        <w:right w:w="0" w:type="dxa"/>
      </w:tblCellMar>
    </w:tblPr>
  </w:style>
  <w:style w:type="table" w:customStyle="1" w:styleId="57">
    <w:name w:val="文字表格"/>
    <w:qFormat/>
    <w:uiPriority w:val="99"/>
    <w:pPr>
      <w:widowControl w:val="0"/>
      <w:overflowPunct w:val="0"/>
      <w:autoSpaceDE w:val="0"/>
      <w:autoSpaceDN w:val="0"/>
      <w:adjustRightInd w:val="0"/>
      <w:snapToGrid w:val="0"/>
      <w:jc w:val="center"/>
    </w:pPr>
    <w:rPr>
      <w:snapToGrid w:val="0"/>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rPr>
      <w:jc w:val="center"/>
    </w:trPr>
    <w:tcPr>
      <w:vAlign w:val="center"/>
    </w:tcPr>
  </w:style>
  <w:style w:type="table" w:customStyle="1" w:styleId="58">
    <w:name w:val="Grid Table Light"/>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oleObject" Target="embeddings/oleObject15.bin"/><Relationship Id="rId61" Type="http://schemas.openxmlformats.org/officeDocument/2006/relationships/oleObject" Target="embeddings/oleObject14.bin"/><Relationship Id="rId60" Type="http://schemas.openxmlformats.org/officeDocument/2006/relationships/oleObject" Target="embeddings/oleObject13.bin"/><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emf"/><Relationship Id="rId57" Type="http://schemas.openxmlformats.org/officeDocument/2006/relationships/oleObject" Target="embeddings/oleObject12.bin"/><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wmf"/><Relationship Id="rId53" Type="http://schemas.openxmlformats.org/officeDocument/2006/relationships/oleObject" Target="embeddings/oleObject11.bin"/><Relationship Id="rId52" Type="http://schemas.openxmlformats.org/officeDocument/2006/relationships/image" Target="media/image28.jpeg"/><Relationship Id="rId51" Type="http://schemas.openxmlformats.org/officeDocument/2006/relationships/image" Target="media/image27.png"/><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0.bin"/><Relationship Id="rId48" Type="http://schemas.openxmlformats.org/officeDocument/2006/relationships/image" Target="media/image25.wmf"/><Relationship Id="rId47" Type="http://schemas.openxmlformats.org/officeDocument/2006/relationships/oleObject" Target="embeddings/oleObject9.bin"/><Relationship Id="rId46" Type="http://schemas.openxmlformats.org/officeDocument/2006/relationships/image" Target="media/image24.wmf"/><Relationship Id="rId45" Type="http://schemas.openxmlformats.org/officeDocument/2006/relationships/oleObject" Target="embeddings/oleObject8.bin"/><Relationship Id="rId44" Type="http://schemas.openxmlformats.org/officeDocument/2006/relationships/image" Target="media/image23.wmf"/><Relationship Id="rId43" Type="http://schemas.openxmlformats.org/officeDocument/2006/relationships/oleObject" Target="embeddings/oleObject7.bin"/><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6.bin"/><Relationship Id="rId38" Type="http://schemas.openxmlformats.org/officeDocument/2006/relationships/image" Target="media/image19.wmf"/><Relationship Id="rId37" Type="http://schemas.openxmlformats.org/officeDocument/2006/relationships/oleObject" Target="embeddings/oleObject5.bin"/><Relationship Id="rId36" Type="http://schemas.openxmlformats.org/officeDocument/2006/relationships/image" Target="media/image18.wmf"/><Relationship Id="rId35" Type="http://schemas.openxmlformats.org/officeDocument/2006/relationships/oleObject" Target="embeddings/oleObject4.bin"/><Relationship Id="rId34" Type="http://schemas.openxmlformats.org/officeDocument/2006/relationships/image" Target="media/image17.wmf"/><Relationship Id="rId33" Type="http://schemas.openxmlformats.org/officeDocument/2006/relationships/oleObject" Target="embeddings/oleObject3.bin"/><Relationship Id="rId32" Type="http://schemas.openxmlformats.org/officeDocument/2006/relationships/image" Target="media/image16.wmf"/><Relationship Id="rId31" Type="http://schemas.openxmlformats.org/officeDocument/2006/relationships/oleObject" Target="embeddings/oleObject2.bin"/><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A4MzM3OTcyNTAwIiwKCSJHcm91cElkIiA6ICI4NzU3MjI1ODkiLAoJIkltYWdlIiA6ICJpVkJPUncwS0dnb0FBQUFOU1VoRVVnQUFDM2tBQUFid0NBWUFBQUJrdEhrbkFBQUFBWE5TUjBJQXJzNGM2UUFBSUFCSlJFRlVlSnpzM1h1WW5mTzVQK0RuWGJNeW1aekpTUkFNaVp4UEpFRVF4MUtFb2xwMm5YYWRXb2NxaWppbWlrMnEyQ2diVFducDFnVFZhTkZvVlVNVGRVcERaRVFpUVE1T0lRa1JJNWxNWnRiNi9mSGJUVTNXbW1SbUpGbVR5WDFmVjY0cjYvbSs3L04rMXZTL3pLZXZD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MDdQOEhBU25VMWlETFZWc0FBQUFBU1VWT1JLNUNZSUk9IiwKCSJUaGVtZSIgOiAiIiwKCSJUeXBlIiA6ICJmbG93IiwKCSJWZXJzaW9uIiA6ICIiCn0K"/>
    </extobj>
    <extobj name="ECB019B1-382A-4266-B25C-5B523AA43C14-2">
      <extobjdata type="ECB019B1-382A-4266-B25C-5B523AA43C14" data="ewoJIkZpbGVJZCIgOiAiMzMxMzM0NzY3MDI5IiwKCSJHcm91cElkIiA6ICI4NzU3MjI1ODkiLAoJIkltYWdlIiA6ICJpVkJPUncwS0dnb0FBQUFOU1VoRVVnQUFBeU1BQUFObENBWUFBQUJ2MGlhMEFBQUFBWE5TUjBJQXJzNGM2UUFBSUFCSlJFRlVlSnpzM1hsNFUxWDZCL0R2dWRsYWFFc0xiWUZTc1VobEtiUk5VdGxVVkVRWmY2QzRJQ0E2NG9hS3FPTTRPS0RPakxnTENqUHE2Q0E2STRvTHNpOGltNHFEaUFqWXBBdTBZTUVpbExLVlVxQjBTKzQ5dno5b01rbVRsQmJhaHRMdjUzbDR6RDMzM0hQZmhCYnZtN01C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3FnTGVBQUFBQ0VsRVFWVDJlLzhmd2hrL2ZZYU85c3NBQUFBQVNVVk9SSzVDWUlJPSIsCgkiVGhlbWUiIDogIiIsCgkiVHlwZSIgOiAiZmxvdyIsCgkiVmVyc2lvbiIgOiAiNTEiCn0K"/>
    </extobj>
    <extobj name="ECB019B1-382A-4266-B25C-5B523AA43C14-3">
      <extobjdata type="ECB019B1-382A-4266-B25C-5B523AA43C14" data="ewoJIkZpbGVJZCIgOiAiMzMxODYwODgzODc1IiwKCSJHcm91cElkIiA6ICIyMDc3OTUxMTQ5IiwKCSJJbWFnZSIgOiAiaVZCT1J3MEtHZ29BQUFBTlNVaEVVZ0FBQnNFQUFBVTBDQVlBQUFDSmtMblNBQUFBQVhOU1IwSUFyczRjNlFBQUlBQkpSRUZVZUp6czNYZWNISGQ5Ly9IM1ozYXZTWmJra3kzWmxnVWM1bkE1NmZibU84dlBwZ1pJSVBUUXdUR2hPTUVHRXdpRUdEQ0VYazNIa0FRTWhCb01EaVdtR0F3SlBYUjJabTVQUGl3aWJHR0VNWkl0RjhuUzZiUTduOThmMmhXcjgwazZuU1NmeXV2NWVPamhtMitiejZ4VmR2ZnpMUk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IQ2svbjhIRXZqbldXUmdoQUFBQUFCSlJVNUVya0pnZ2c9PSIsCgkiVGhlbWUiIDogIiIsCgkiVHlwZSIgOiAiZmxvdyIsCgkiVmVyc2lvbiIgOiAiIgp9Cg=="/>
    </extobj>
    <extobj name="ECB019B1-382A-4266-B25C-5B523AA43C14-4">
      <extobjdata type="ECB019B1-382A-4266-B25C-5B523AA43C14" data="ewoJIkZpbGVJZCIgOiAiMzMxODc4NzQ1NTMxIiwKCSJHcm91cElkIiA6ICIyMDc3OTUxMTQ5IiwKCSJJbWFnZSIgOiAiaVZCT1J3MEtHZ29BQUFBTlNVaEVVZ0FBQnNFQUFBVTBDQVlBQUFDSmtMblNBQUFBQVhOU1IwSUFyczRjNlFBQUlBQkpSRUZVZUp6czNYbWNYWFY5Ly9IMzU5eDdaMGxJd2dRU0pFUWQ2Y2d5eWR3NTMzUDVnWUpXYmQyWENxNklkY0VxTHRXS0ZoV3QrNHJpdmxSUjY5YUtwVlZMWGVyU3FxaDFkODQ1Y3llTXhFYU1HQkVUQ0VoQ01wbmNlejYvUHpJM1hpWXp5V1F5WWJLOG5vOEhEK2Q4dC9NNXh4RHVuYzkza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NEdqOWI2cnIvUjRJdVNKY0FBQUFBRWxGVGtTdVFtQ0MiLAoJIlRoZW1lIiA6ICIiLAoJIlR5cGUiIDogImZsb3ciLAoJIlZlcnNpb24iIDogIiIKfQo="/>
    </extobj>
    <extobj name="ECB019B1-382A-4266-B25C-5B523AA43C14-5">
      <extobjdata type="ECB019B1-382A-4266-B25C-5B523AA43C14" data="ewoJIkZpbGVJZCIgOiAiMzMxOTEyMjI2MzA3IiwKCSJHcm91cElkIiA6ICIyMDc3OTUxMTQ5IiwKCSJJbWFnZSIgOiAiaVZCT1J3MEtHZ29BQUFBTlNVaEVVZ0FBQnNFQUFBVTBDQVlBQUFDSmtMblNBQUFBQVhOU1IwSUFyczRjNlFBQUlBQkpSRUZVZUp6czNYdWNYSFY5Ly9IMzU1elpXMElDRzBpUUVIV2xLNWROZHZaOHovQURGYTFhdFZYVWluZUVlcUVWUkt2VldsUzhYMUc4UzYwWDFHclZpcVZlcWxXOHRGVlI2OTA1WjNZMldZbU5FREVpSmhDUWhHU3pPM00rdnoreUU0ZGxrK3h1RWphWDEvUHg0UEhZODcyZHp4bVM3TXg4dmhjS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nY1AzL1MvTjhCK25pMUFrQUFBQUFTVVZPUks1Q1lJST0iLAoJIlRoZW1lIiA6ICIiLAoJIlR5cGUiIDogImZsb3ciLAoJIlZlcnNpb24iIDogIiIKfQo="/>
    </extobj>
    <extobj name="ECB019B1-382A-4266-B25C-5B523AA43C14-6">
      <extobjdata type="ECB019B1-382A-4266-B25C-5B523AA43C14" data="ewoJIkZpbGVJZCIgOiAiMzI3NjkwNDE1Mjk2IiwKCSJHcm91cElkIiA6ICIyMDc3OTUxMTQ5IiwKCSJJbWFnZSIgOiAiaVZCT1J3MEtHZ29BQUFBTlNVaEVVZ0FBQjRVQUFBVTBDQVlBQUFEZlQ4SElBQUFBQVhOU1IwSUFyczRjNlFBQUlBQkpSRUZVZUp6czNYdDRYRmQ5Ny8vUGQ4MVlzcHhZaVUxc2doUEFCd1FPc2pYYWEwOGdnVUtBUWlGQVNrTnBnQVFLS2RjY0NvV1VwQTNsUUVocGdSOG5MWlJiZ0pRU0tKY1V5Z0ZLdWJVY29FQzV6OTViNDBTeFFVQUlKbmVDOFYzMnpQNysvckNVTTFFazMyUjVaT3Y5ZWg0LzBheTE5bHFmbVNlMk5Qck9XbHND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kxmOE5WczR4NEJIbHE2UUFBQUFBU1VWT1JLNUNZSUk9IiwKCSJUaGVtZSIgOiAiIiwKCSJUeXBlIiA6ICJmbG93IiwKCSJWZXJzaW9uIiA6ICIiCn0K"/>
    </extobj>
    <extobj name="ECB019B1-382A-4266-B25C-5B523AA43C14-7">
      <extobjdata type="ECB019B1-382A-4266-B25C-5B523AA43C14" data="ewoJIkZpbGVJZCIgOiAiMzMxNTQ4Njc0NjUzIiwKCSJHcm91cElkIiA6ICIyMDc3OTUxMTQ5IiwKCSJJbWFnZSIgOiAiaVZCT1J3MEtHZ29BQUFBTlNVaEVVZ0FBQjRrQUFBVTBDQVlBQUFERmN5RkdBQUFBQVhOU1IwSUFyczRjNlFBQUlBQkpSRUZVZUp6czNYdVlYVlY5Ly9IUGQrOHpNNWxnQW9ra1FCZzFZaVE0eWN6c3ZROEZSZXV0MWRwcVcvR0dsNkpndmJaZW9GV0x0aXBxVmF4WUw2MFZxeGFyUmFxMjlWS3N0NkpZOWFkU3p0NTd6b1NSdENOR0hDQWtYQ0lKdWN5Y3M3Ky9QNWhERDVPWlpPNW5obm0vbmljUDU2eTE5bHFmTXcrQm1mbnV0Yll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EE0ZVAvQVZvM1pldDBlVGFJQUFBQUFFbEZUa1N1UW1DQyIsCgkiVGhlbWUiIDogIiIsCgkiVHlwZSIgOiAiZmxvdyIsCgkiVmVyc2lvbiIgOiAiIgp9Cg=="/>
    </extobj>
    <extobj name="ECB019B1-382A-4266-B25C-5B523AA43C14-8">
      <extobjdata type="ECB019B1-382A-4266-B25C-5B523AA43C14" data="ewoJIkZpbGVJZCIgOiAiMzMxOTEyMjI2MzA3IiwKCSJHcm91cElkIiA6ICIyMDc3OTUxMTQ5IiwKCSJJbWFnZSIgOiAiaVZCT1J3MEtHZ29BQUFBTlNVaEVVZ0FBQnNFQUFBVTBDQVlBQUFDSmtMblNBQUFBQVhOU1IwSUFyczRjNlFBQUlBQkpSRUZVZUp6czNYdWNYSFY5Ly9IMzU1elpXMElDRzBpUUVIV2xLNWROZHZaOHovQURGYTFhdFZYVWluZUVlcUVWUkt2VldsUzhYMUc4UzYwWDFHclZpcVZlcWxXOHRGVlI2OTA1WjNZMldZbU5FREVpSmhDUWhHU3pPM00rdnoreUU0ZGxrK3h1RWphWDEvUHg0UEhZODcyZHp4bVM3TXg4dmhjS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nY1AzL1MvTjhCK25pMUFrQUFBQUFTVVZPUks1Q1lJS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152</Pages>
  <Words>8949</Words>
  <Characters>10220</Characters>
  <Lines>2598</Lines>
  <Paragraphs>731</Paragraphs>
  <TotalTime>1</TotalTime>
  <ScaleCrop>false</ScaleCrop>
  <LinksUpToDate>false</LinksUpToDate>
  <CharactersWithSpaces>10445</CharactersWithSpaces>
  <Application>WPS Office_12.1.0.19298_F1E327BC-269C-435d-A152-05C5408002CA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2023-09-27T22:46:00Z</dcterms:created>
  <dc:creator>777</dc:creator>
  <cp:lastModifiedBy>张益彰</cp:lastModifiedBy>
  <cp:lastPrinted>2024-10-15T06:09:00Z</cp:lastPrinted>
  <dcterms:modified xsi:type="dcterms:W3CDTF">2024-12-25T02:14:19Z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2052-12.1.0.19298</vt:lpwstr>
  </property>
  <property fmtid="{D5CDD505-2E9C-101B-9397-08002B2CF9AE}" pid="3" name="ICV">
    <vt:lpwstr>B719CA5669044B799C3AD6C458C49232_13</vt:lpwstr>
  </property>
</Properties>
</file>