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622E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3984FC1">
      <w:pPr>
        <w:pStyle w:val="2"/>
        <w:spacing w:before="0" w:after="0" w:line="240" w:lineRule="auto"/>
        <w:ind w:left="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B04C69D">
      <w:pPr>
        <w:jc w:val="both"/>
        <w:rPr>
          <w:rFonts w:hint="eastAsia" w:ascii="方正小标宋简体"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D6A2BE5">
      <w:pPr>
        <w:widowControl/>
        <w:adjustRightInd w:val="0"/>
        <w:snapToGrid w:val="0"/>
        <w:spacing w:after="200"/>
        <w:ind w:firstLine="629"/>
        <w:jc w:val="righ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益高环评表〔2025〕</w:t>
      </w:r>
      <w:r>
        <w:rPr>
          <w:rFonts w:hint="eastAsia" w:ascii="仿宋_GB2312" w:hAnsi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31D8784">
      <w:pPr>
        <w:pStyle w:val="2"/>
        <w:ind w:left="0" w:firstLine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98481BC">
      <w:pPr>
        <w:tabs>
          <w:tab w:val="left" w:pos="6240"/>
        </w:tabs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益阳市生态环境局</w:t>
      </w:r>
    </w:p>
    <w:p w14:paraId="4A6E635E">
      <w:pPr>
        <w:tabs>
          <w:tab w:val="left" w:pos="6240"/>
        </w:tabs>
        <w:spacing w:line="560" w:lineRule="exact"/>
        <w:jc w:val="center"/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湖南旭光检测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检测实验室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建设项目环境影响报告</w:t>
      </w:r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表</w:t>
      </w:r>
      <w:r>
        <w:rPr>
          <w:rFonts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的批复</w:t>
      </w:r>
    </w:p>
    <w:p w14:paraId="65686C06">
      <w:pPr>
        <w:jc w:val="center"/>
        <w:rPr>
          <w:rFonts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A24C592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湖南旭光检测有限公司：</w:t>
      </w:r>
    </w:p>
    <w:p w14:paraId="4047A4F4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你公司关于《湖南旭光检测有限公司检测实验室建设项目环境影响报告表》申请批复的报告及相关材料已收悉。经审查、研究，批复如下：</w:t>
      </w:r>
    </w:p>
    <w:p w14:paraId="6CE11874"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湖南旭光检测有限公司拟投资200万元，在益阳高新区中南电子商务产业园2号楼第三层318-322室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设检测实验室项目，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建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设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面积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720.68㎡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主要建设小型仪器分析及理化实验区、大型仪器分析及臭气浓度检测实验区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生物实验区、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其他配套公辅设施及环保工程。主要用于职业卫生检测和环境质量检测</w:t>
      </w:r>
      <w:r>
        <w:rPr>
          <w:rFonts w:hint="eastAsia" w:ascii="仿宋_GB2312" w:hAnsi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实验室最终检测项目以实验室实际获得的资质认定或许可范围为准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1B5A7D1">
      <w:pPr>
        <w:widowControl/>
        <w:adjustRightInd w:val="0"/>
        <w:snapToGrid w:val="0"/>
        <w:spacing w:line="560" w:lineRule="exact"/>
        <w:ind w:firstLine="640"/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sectPr>
          <w:pgSz w:w="11906" w:h="16838"/>
          <w:pgMar w:top="1701" w:right="1701" w:bottom="1701" w:left="1701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项目符合国家产业政策，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《湖南省“三线一单”生态环境总体管控要求暨省级以上产业园区生态环境准入清</w:t>
      </w:r>
    </w:p>
    <w:p w14:paraId="5AE75BC0">
      <w:pPr>
        <w:widowControl/>
        <w:adjustRightInd w:val="0"/>
        <w:snapToGrid w:val="0"/>
        <w:spacing w:line="560" w:lineRule="exact"/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  <w:lang w:val="en-US" w:eastAsia="zh-CN"/>
        </w:rPr>
        <w:t>单》中益阳高新技术产业开发区生态环境准入清单要求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</w:t>
      </w: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据湖南中鉴生态环境科技有限公司编制的报告</w:t>
      </w:r>
      <w:r>
        <w:rPr>
          <w:rFonts w:hint="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的分析结论，在建设单位认真落实报告</w:t>
      </w:r>
      <w:r>
        <w:rPr>
          <w:rFonts w:hint="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和本批复提出的</w:t>
      </w:r>
      <w:r>
        <w:rPr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各项生态环境保护措施，确保各类污染物稳定达标排放的前提下，</w:t>
      </w: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我局原则同意</w:t>
      </w:r>
      <w:r>
        <w:rPr>
          <w:rFonts w:hint="eastAsia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湖南旭光检测有限公司检测实验室</w:t>
      </w:r>
      <w:r>
        <w:rPr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建设项目的选址及建设。</w:t>
      </w:r>
    </w:p>
    <w:p w14:paraId="4E61A375">
      <w:pPr>
        <w:widowControl/>
        <w:adjustRightInd w:val="0"/>
        <w:snapToGrid w:val="0"/>
        <w:spacing w:line="560" w:lineRule="exact"/>
        <w:ind w:firstLine="640"/>
        <w:rPr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二、你公司在工程设计、建设和运营管理中，必须落实环评提出的各项污染防治和风险防范措施要求，着重做好以下工作：</w:t>
      </w:r>
    </w:p>
    <w:p w14:paraId="6301AE74">
      <w:pPr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（一）严格履行建设单位的环保主体责任</w:t>
      </w:r>
      <w:r>
        <w:rPr>
          <w:rFonts w:hint="default" w:ascii="Times New Roman" w:hAnsi="Times New Roman" w:eastAsia="楷体" w:cs="Times New Roman"/>
          <w:color w:val="000000"/>
          <w:spacing w:val="4"/>
          <w:szCs w:val="32"/>
        </w:rPr>
        <w:t>，加强环境管理</w:t>
      </w:r>
      <w:r>
        <w:rPr>
          <w:rFonts w:eastAsia="楷体_GB2312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建立健全环保规章制度和岗位责任制，配备专职或兼职环保管理人员；加强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检测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台账和环保台账的登记管理，做到有据可查；定期对污染防治设施进行检查和维修，确保环保设施稳定正常运行和污染物稳定达标排放；制定环境风险事故应急预案，落实事故风险防范措施，切实防范各类环境风险事故。</w:t>
      </w:r>
    </w:p>
    <w:p w14:paraId="2673494A">
      <w:pPr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eastAsia="楷体_GB2312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）落实大气污染防治措施。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项目实验过程产生的有机废气、酸性废气、氨气、二氧化硫、实验异味、粉尘等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:lang w:eastAsia="zh-CN"/>
          <w14:textFill>
            <w14:solidFill>
              <w14:schemeClr w14:val="tx1"/>
            </w14:solidFill>
          </w14:textFill>
        </w:rPr>
        <w:t>通过集气罩有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Cs w:val="32"/>
          <w14:textFill>
            <w14:solidFill>
              <w14:schemeClr w14:val="tx1"/>
            </w14:solidFill>
          </w14:textFill>
        </w:rPr>
        <w:t>效收集后经碱液喷淋塔+除雾装置+活性炭吸附装置处理后通过15米高的排气筒（DA001）排放，氨气满足《恶臭污染物排放标准》（GB14554-93）表1、表2中的排放标准值要求；其他污染物满足《大气污染物综合排放标准》（GB16297-1996）表2中二级标准及无组织监控浓度限值要求，其中排放速率按标准值严格50%执行；厂区内VOCs应符合《挥发性有机物无组织排放控制标准》（GB37822-2019）表A.1无组织排放限值要求。</w:t>
      </w:r>
    </w:p>
    <w:p w14:paraId="23F18C20">
      <w:pPr>
        <w:widowControl/>
        <w:adjustRightInd w:val="0"/>
        <w:snapToGrid w:val="0"/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eastAsia="楷体_GB2312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）落实水污染防治措施。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按照“清污分流、污污分流”的方式建设实验室排水系统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。实验器具后两遍清洗废水、灭菌锅废水、浓水、喷淋塔废水经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一体化污水处理站（酸碱中和+絮凝沉淀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）处理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生活污水和实验室清洁废水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经2号楼化粪池处理达《污水综合排放标准》（GB8978-1996）表4中的三级标准后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进入园区污水管网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排入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益阳市城东污水处理厂进行深度处理。</w:t>
      </w:r>
    </w:p>
    <w:p w14:paraId="195B148D">
      <w:pPr>
        <w:widowControl/>
        <w:numPr>
          <w:ilvl w:val="0"/>
          <w:numId w:val="0"/>
        </w:numPr>
        <w:adjustRightInd w:val="0"/>
        <w:snapToGrid w:val="0"/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color w:val="000000" w:themeColor="text1"/>
          <w:spacing w:val="4"/>
          <w:szCs w:val="32"/>
          <w:lang w:val="en-US" w:eastAsia="zh-CN"/>
          <w14:textFill>
            <w14:solidFill>
              <w14:schemeClr w14:val="tx1"/>
            </w14:solidFill>
          </w14:textFill>
        </w:rPr>
        <w:t>(四）</w:t>
      </w:r>
      <w:r>
        <w:rPr>
          <w:rFonts w:hint="eastAsia" w:eastAsia="楷体_GB2312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落实固体废物处置措施。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按照“减量化、资源化、无害化”的原则，做好固废的分类收集、暂存、安全处置工作。按规范要求设置危废暂存间和一般固废暂存间，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其建设、运行和管理应分别满足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《危险废物贮存污染控制标准》（GB18597-2023）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《湖南省实验室危险废物环境管理指南》（湘环发〔2021〕12 号）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《一般工业固体废物贮存和填埋污染控制标准》（GB18599-2020）要求。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实验废液、废内包装材料、前两遍清洗废水、废弃样品、废活性炭、废紫外线灯管、一次性实验用品、生物安全柜废滤膜、污水处理设施污泥等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危险废物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分类暂存于危废暂存间，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定期交有资质的单位安全处置；废实验器材、废外包装材料、废滤膜等一般固废分类收集后外售综合利用；废培养基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经高温灭菌锅灭菌处理后与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生活垃圾分类收集后交当地环卫部门定期清运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B265C83">
      <w:pPr>
        <w:widowControl/>
        <w:numPr>
          <w:ilvl w:val="0"/>
          <w:numId w:val="0"/>
        </w:numPr>
        <w:adjustRightInd w:val="0"/>
        <w:snapToGrid w:val="0"/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楷体_GB2312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/>
          <w:color w:val="000000" w:themeColor="text1"/>
          <w:spacing w:val="4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eastAsia="楷体_GB2312"/>
          <w:color w:val="000000" w:themeColor="text1"/>
          <w:spacing w:val="4"/>
          <w:szCs w:val="32"/>
          <w14:textFill>
            <w14:solidFill>
              <w14:schemeClr w14:val="tx1"/>
            </w14:solidFill>
          </w14:textFill>
        </w:rPr>
        <w:t>）落实噪声污染防治措施。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优化总平面布置和设备的选型，对高噪声设备采取减震、消声、隔声等措施，确保厂界噪声符合《工业企业厂界环境噪声排放标准》（GB12348-2008）中3类区标准要求。</w:t>
      </w:r>
    </w:p>
    <w:p w14:paraId="398757CE">
      <w:pPr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（</w:t>
      </w:r>
      <w:r>
        <w:rPr>
          <w:rFonts w:hint="eastAsia" w:ascii="Times New Roman" w:hAnsi="Times New Roman" w:eastAsia="楷体_GB2312" w:cs="Times New Roman"/>
          <w:color w:val="000000"/>
          <w:spacing w:val="4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color w:val="000000"/>
          <w:spacing w:val="4"/>
          <w:szCs w:val="32"/>
        </w:rPr>
        <w:t>）本项目污染物总量控制指标为：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化学需氧量（COD）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0.028t/a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氨氮（NH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-N）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0.002t/a，氮氧化物（NO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0.022t/a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挥发性有机物（VOCs）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0.002t/a，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挥发性有机物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从</w:t>
      </w:r>
      <w:r>
        <w:rPr>
          <w:rFonts w:hint="eastAsia" w:ascii="仿宋_GB2312" w:hAnsi="仿宋_GB2312" w:eastAsia="仿宋_GB2312" w:cs="仿宋_GB2312"/>
          <w:snapToGrid/>
          <w:color w:val="auto"/>
          <w:spacing w:val="4"/>
          <w:kern w:val="2"/>
          <w:sz w:val="32"/>
          <w:szCs w:val="32"/>
          <w:lang w:val="en-US" w:eastAsia="zh-CN" w:bidi="ar-SA"/>
        </w:rPr>
        <w:t>湖南丰捷定制家居有限公司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削减倍量替代，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总量指标纳入高新区总量控制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3772E5E">
      <w:pPr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三、本项目经审批后，建设的性质、规模、地点、采用的生产工艺或者防治污染、防止生态破坏的措施发生重大变动的，你公司应重新报批建设项目的环评文件。项目建成投产前，须按照《排污许可管理条例》（国务院令第736条）和《固定污染源排污许可分类管理名录》的要求办理排污许可相关手续。项目建设投运后，须按《建设项目环境保护管理条例》的有关规定，及时进行项目竣工环保自主验收。益阳市生态环境保护综合行政执法支队高新区大队负责本项目“三同时”监督检查和管理工作。</w:t>
      </w:r>
    </w:p>
    <w:p w14:paraId="3BE10ECC">
      <w:pPr>
        <w:spacing w:line="560" w:lineRule="exact"/>
        <w:ind w:firstLine="656" w:firstLineChars="200"/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四、你公司在收到本批复后15个工作日内，将本批复及项目环评报告表送至益阳市生态环境局高新区分局。</w:t>
      </w:r>
    </w:p>
    <w:p w14:paraId="6C4952E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1423B2A7"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益阳市生态环境局</w:t>
      </w:r>
    </w:p>
    <w:p w14:paraId="4D1DEC24">
      <w:pP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cs="仿宋_GB2312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3C58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7D857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7D857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3501B7"/>
    <w:multiLevelType w:val="singleLevel"/>
    <w:tmpl w:val="9D3501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MTk3NTc1NzI3NTBmNjE3NTg5YTVhYmVmNzdhOWQifQ=="/>
  </w:docVars>
  <w:rsids>
    <w:rsidRoot w:val="7DB33405"/>
    <w:rsid w:val="000419C7"/>
    <w:rsid w:val="00096DF0"/>
    <w:rsid w:val="00144DF9"/>
    <w:rsid w:val="00382DEE"/>
    <w:rsid w:val="004A6ADE"/>
    <w:rsid w:val="005C121D"/>
    <w:rsid w:val="006B4636"/>
    <w:rsid w:val="006C077D"/>
    <w:rsid w:val="009C4AF7"/>
    <w:rsid w:val="00A267C3"/>
    <w:rsid w:val="00D002A3"/>
    <w:rsid w:val="00D055D9"/>
    <w:rsid w:val="00DD3758"/>
    <w:rsid w:val="00EA169A"/>
    <w:rsid w:val="00EA40A9"/>
    <w:rsid w:val="00F02637"/>
    <w:rsid w:val="01D86637"/>
    <w:rsid w:val="03B83B4E"/>
    <w:rsid w:val="09FE0C04"/>
    <w:rsid w:val="0C8F3D96"/>
    <w:rsid w:val="0E667697"/>
    <w:rsid w:val="102660B1"/>
    <w:rsid w:val="1068327B"/>
    <w:rsid w:val="1206262D"/>
    <w:rsid w:val="12C14EC5"/>
    <w:rsid w:val="15495B9A"/>
    <w:rsid w:val="162400BB"/>
    <w:rsid w:val="16747E6A"/>
    <w:rsid w:val="171F098A"/>
    <w:rsid w:val="18A961DF"/>
    <w:rsid w:val="193F08F1"/>
    <w:rsid w:val="1B182296"/>
    <w:rsid w:val="1DA358F3"/>
    <w:rsid w:val="1E4F7095"/>
    <w:rsid w:val="1ECE4BF1"/>
    <w:rsid w:val="1FDC1300"/>
    <w:rsid w:val="20EB18B3"/>
    <w:rsid w:val="22806203"/>
    <w:rsid w:val="235558E1"/>
    <w:rsid w:val="23E32F6D"/>
    <w:rsid w:val="24145AAB"/>
    <w:rsid w:val="257A3206"/>
    <w:rsid w:val="25FE652C"/>
    <w:rsid w:val="26CB1A16"/>
    <w:rsid w:val="27AE7C72"/>
    <w:rsid w:val="27FA0128"/>
    <w:rsid w:val="285048C9"/>
    <w:rsid w:val="29B93B49"/>
    <w:rsid w:val="29E0546B"/>
    <w:rsid w:val="29E259F5"/>
    <w:rsid w:val="2B595843"/>
    <w:rsid w:val="2D614E83"/>
    <w:rsid w:val="2E304F81"/>
    <w:rsid w:val="2E3C4096"/>
    <w:rsid w:val="2EDE1BFA"/>
    <w:rsid w:val="2F4F27ED"/>
    <w:rsid w:val="2FD111ED"/>
    <w:rsid w:val="2FE75B13"/>
    <w:rsid w:val="3082583C"/>
    <w:rsid w:val="30B67293"/>
    <w:rsid w:val="30CD1457"/>
    <w:rsid w:val="32B24CA3"/>
    <w:rsid w:val="32D970F4"/>
    <w:rsid w:val="33FD5BB8"/>
    <w:rsid w:val="341B5A61"/>
    <w:rsid w:val="34E00D83"/>
    <w:rsid w:val="35230ABC"/>
    <w:rsid w:val="36C46BAE"/>
    <w:rsid w:val="3DF52EB3"/>
    <w:rsid w:val="3EE80688"/>
    <w:rsid w:val="40544927"/>
    <w:rsid w:val="41B31CD5"/>
    <w:rsid w:val="424470DF"/>
    <w:rsid w:val="42BD2703"/>
    <w:rsid w:val="436311E1"/>
    <w:rsid w:val="44E16B7D"/>
    <w:rsid w:val="45294080"/>
    <w:rsid w:val="46154B59"/>
    <w:rsid w:val="46B56B5F"/>
    <w:rsid w:val="476A2E5A"/>
    <w:rsid w:val="47C307BC"/>
    <w:rsid w:val="48846505"/>
    <w:rsid w:val="4AA93C99"/>
    <w:rsid w:val="4F4E3061"/>
    <w:rsid w:val="526861E8"/>
    <w:rsid w:val="53317391"/>
    <w:rsid w:val="53D1600F"/>
    <w:rsid w:val="53DA4EC3"/>
    <w:rsid w:val="54794C90"/>
    <w:rsid w:val="54813591"/>
    <w:rsid w:val="554611D2"/>
    <w:rsid w:val="55FC0C50"/>
    <w:rsid w:val="56FC7846"/>
    <w:rsid w:val="59B07562"/>
    <w:rsid w:val="5CAE513F"/>
    <w:rsid w:val="5D804D2D"/>
    <w:rsid w:val="5EEC1B4A"/>
    <w:rsid w:val="5FAC4437"/>
    <w:rsid w:val="5FE41D14"/>
    <w:rsid w:val="60216AC4"/>
    <w:rsid w:val="604407C3"/>
    <w:rsid w:val="613A550F"/>
    <w:rsid w:val="62EF64DC"/>
    <w:rsid w:val="64156940"/>
    <w:rsid w:val="6469740C"/>
    <w:rsid w:val="659E0BB7"/>
    <w:rsid w:val="668F7D8F"/>
    <w:rsid w:val="66FC5B95"/>
    <w:rsid w:val="6735607D"/>
    <w:rsid w:val="67A1673C"/>
    <w:rsid w:val="69394E7E"/>
    <w:rsid w:val="6A040A94"/>
    <w:rsid w:val="6A8219B9"/>
    <w:rsid w:val="6BCE3061"/>
    <w:rsid w:val="6CB3291C"/>
    <w:rsid w:val="6CF03552"/>
    <w:rsid w:val="70480FAF"/>
    <w:rsid w:val="70D016D0"/>
    <w:rsid w:val="71E76CD1"/>
    <w:rsid w:val="721E46BD"/>
    <w:rsid w:val="72516841"/>
    <w:rsid w:val="729257A8"/>
    <w:rsid w:val="738E13CF"/>
    <w:rsid w:val="73BC418E"/>
    <w:rsid w:val="73DC213A"/>
    <w:rsid w:val="758A6A62"/>
    <w:rsid w:val="764346F2"/>
    <w:rsid w:val="790973F0"/>
    <w:rsid w:val="7B9D7CA1"/>
    <w:rsid w:val="7D0E5A5A"/>
    <w:rsid w:val="7D2F67E0"/>
    <w:rsid w:val="7DB33405"/>
    <w:rsid w:val="7E775881"/>
    <w:rsid w:val="7F6C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tabs>
        <w:tab w:val="left" w:pos="5985"/>
      </w:tabs>
      <w:ind w:firstLine="560" w:firstLineChars="200"/>
    </w:pPr>
    <w:rPr>
      <w:rFonts w:eastAsia="宋体"/>
      <w:sz w:val="28"/>
    </w:rPr>
  </w:style>
  <w:style w:type="paragraph" w:styleId="4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next w:val="1"/>
    <w:autoRedefine/>
    <w:qFormat/>
    <w:uiPriority w:val="0"/>
    <w:pPr>
      <w:ind w:firstLine="420"/>
    </w:p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basedOn w:val="13"/>
    <w:next w:val="1"/>
    <w:autoRedefine/>
    <w:qFormat/>
    <w:uiPriority w:val="99"/>
    <w:pPr>
      <w:adjustRightInd w:val="0"/>
    </w:pPr>
    <w:rPr>
      <w:rFonts w:ascii="仿宋" w:eastAsia="仿宋" w:cs="仿宋"/>
      <w:color w:val="000000"/>
      <w:sz w:val="24"/>
      <w:lang w:val="en-US"/>
    </w:rPr>
  </w:style>
  <w:style w:type="paragraph" w:customStyle="1" w:styleId="13">
    <w:name w:val="文本"/>
    <w:basedOn w:val="1"/>
    <w:next w:val="1"/>
    <w:autoRedefine/>
    <w:qFormat/>
    <w:uiPriority w:val="0"/>
    <w:pPr>
      <w:autoSpaceDE w:val="0"/>
      <w:autoSpaceDN w:val="0"/>
      <w:ind w:firstLine="480"/>
    </w:pPr>
    <w:rPr>
      <w:lang w:val="zh-CN"/>
    </w:rPr>
  </w:style>
  <w:style w:type="character" w:customStyle="1" w:styleId="14">
    <w:name w:val="页眉 字符"/>
    <w:basedOn w:val="10"/>
    <w:link w:val="7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6">
    <w:name w:val="批注框文本 字符"/>
    <w:basedOn w:val="10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1851</Words>
  <Characters>2003</Characters>
  <Lines>15</Lines>
  <Paragraphs>4</Paragraphs>
  <TotalTime>12</TotalTime>
  <ScaleCrop>false</ScaleCrop>
  <LinksUpToDate>false</LinksUpToDate>
  <CharactersWithSpaces>2125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2023-02-24T03:37:00Z</dcterms:created>
  <dc:creator>福</dc:creator>
  <cp:lastModifiedBy>郭静</cp:lastModifiedBy>
  <cp:lastPrinted>2023-02-24T03:47:00Z</cp:lastPrinted>
  <dcterms:modified xsi:type="dcterms:W3CDTF">2025-07-29T03:21:20Z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D1669A10BB0948F0889F2583CAB38A53_13</vt:lpwstr>
  </property>
  <property fmtid="{D5CDD505-2E9C-101B-9397-08002B2CF9AE}" pid="4" name="KSOTemplateDocerSaveRecord">
    <vt:lpwstr>eyJoZGlkIjoiNDkxN2M1MmY1NDU2YzE2OWEwNjZkM2VhNWM2YTJjYTEiLCJ1c2VySWQiOiI0MzA0MDYyMTAifQ==</vt:lpwstr>
  </property>
</Properties>
</file>