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2A942">
      <w:pPr>
        <w:pStyle w:val="12"/>
        <w:keepNext w:val="0"/>
        <w:keepLines w:val="0"/>
        <w:pageBreakBefore w:val="0"/>
        <w:widowControl w:val="0"/>
        <w:tabs>
          <w:tab w:val="left" w:pos="5985"/>
        </w:tabs>
        <w:kinsoku/>
        <w:wordWrap/>
        <w:overflowPunct/>
        <w:topLinePunct w:val="0"/>
        <w:autoSpaceDE/>
        <w:autoSpaceDN/>
        <w:bidi w:val="0"/>
        <w:adjustRightInd/>
        <w:snapToGrid/>
        <w:spacing w:line="500" w:lineRule="exact"/>
        <w:ind w:left="0" w:leftChars="0" w:firstLine="0" w:firstLineChars="0"/>
        <w:textAlignment w:val="auto"/>
        <w:rPr>
          <w:rFonts w:hint="eastAsia"/>
        </w:rPr>
      </w:pPr>
    </w:p>
    <w:p w14:paraId="199C5DAE">
      <w:pPr>
        <w:pStyle w:val="12"/>
        <w:keepNext w:val="0"/>
        <w:keepLines w:val="0"/>
        <w:pageBreakBefore w:val="0"/>
        <w:widowControl w:val="0"/>
        <w:tabs>
          <w:tab w:val="left" w:pos="5985"/>
        </w:tabs>
        <w:kinsoku/>
        <w:wordWrap/>
        <w:overflowPunct/>
        <w:topLinePunct w:val="0"/>
        <w:autoSpaceDE/>
        <w:autoSpaceDN/>
        <w:bidi w:val="0"/>
        <w:adjustRightInd/>
        <w:snapToGrid/>
        <w:spacing w:line="500" w:lineRule="exact"/>
        <w:ind w:left="0" w:leftChars="0" w:firstLine="0" w:firstLineChars="0"/>
        <w:textAlignment w:val="auto"/>
        <w:rPr>
          <w:rFonts w:hint="eastAsia"/>
        </w:rPr>
      </w:pPr>
    </w:p>
    <w:p w14:paraId="12C66EC4">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eastAsia="方正小标宋简体"/>
          <w:sz w:val="24"/>
          <w:szCs w:val="24"/>
        </w:rPr>
      </w:pPr>
    </w:p>
    <w:p w14:paraId="1312BD8A">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napToGrid/>
          <w:color w:val="000000"/>
          <w:spacing w:val="0"/>
          <w:w w:val="100"/>
          <w:kern w:val="2"/>
          <w:position w:val="0"/>
          <w:sz w:val="28"/>
          <w:szCs w:val="28"/>
          <w:highlight w:val="red"/>
          <w:shd w:val="clear" w:color="auto" w:fill="auto"/>
          <w:lang w:val="en-US" w:eastAsia="zh-CN" w:bidi="ar-SA"/>
        </w:rPr>
      </w:pPr>
      <w:r>
        <w:rPr>
          <w:rFonts w:hint="eastAsia" w:ascii="宋体" w:hAnsi="宋体" w:eastAsia="宋体"/>
          <w:color w:val="auto"/>
          <w:sz w:val="28"/>
          <w:szCs w:val="28"/>
        </w:rPr>
        <w:t>益资环评表〔20</w:t>
      </w:r>
      <w:r>
        <w:rPr>
          <w:rFonts w:ascii="宋体" w:hAnsi="宋体" w:eastAsia="宋体"/>
          <w:color w:val="auto"/>
          <w:sz w:val="28"/>
          <w:szCs w:val="28"/>
        </w:rPr>
        <w:t>2</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号</w:t>
      </w:r>
    </w:p>
    <w:p w14:paraId="2CC5EE6E">
      <w:pPr>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right="0"/>
        <w:jc w:val="center"/>
        <w:textAlignment w:val="auto"/>
        <w:rPr>
          <w:rFonts w:hint="default" w:ascii="黑体" w:hAnsi="黑体" w:eastAsia="黑体" w:cs="黑体"/>
          <w:b w:val="0"/>
          <w:bCs w:val="0"/>
          <w:color w:val="000000"/>
          <w:spacing w:val="4"/>
          <w:sz w:val="44"/>
          <w:szCs w:val="44"/>
          <w:lang w:val="en-US" w:eastAsia="zh-CN"/>
        </w:rPr>
      </w:pPr>
      <w:r>
        <w:rPr>
          <w:rFonts w:hint="eastAsia" w:ascii="黑体" w:hAnsi="黑体" w:eastAsia="黑体" w:cs="黑体"/>
          <w:b w:val="0"/>
          <w:bCs w:val="0"/>
          <w:color w:val="000000"/>
          <w:spacing w:val="0"/>
          <w:w w:val="100"/>
          <w:kern w:val="0"/>
          <w:position w:val="0"/>
          <w:sz w:val="44"/>
          <w:szCs w:val="44"/>
          <w:shd w:val="clear" w:color="auto" w:fill="auto"/>
          <w:lang w:val="en-US" w:eastAsia="zh-CN" w:bidi="en-US"/>
        </w:rPr>
        <w:t>关于</w:t>
      </w:r>
      <w:r>
        <w:rPr>
          <w:rFonts w:hint="eastAsia" w:ascii="黑体" w:hAnsi="黑体" w:eastAsia="黑体" w:cs="黑体"/>
          <w:b w:val="0"/>
          <w:bCs w:val="0"/>
          <w:color w:val="000000"/>
          <w:spacing w:val="4"/>
          <w:sz w:val="44"/>
          <w:szCs w:val="44"/>
          <w:lang w:val="en-US" w:eastAsia="zh-CN"/>
        </w:rPr>
        <w:t>湖南益传食食品科技有限公司</w:t>
      </w:r>
    </w:p>
    <w:p w14:paraId="4DA51ABE">
      <w:pPr>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right="0"/>
        <w:jc w:val="center"/>
        <w:textAlignment w:val="auto"/>
        <w:rPr>
          <w:rFonts w:hint="eastAsia" w:ascii="黑体" w:hAnsi="黑体" w:eastAsia="黑体" w:cs="黑体"/>
          <w:b w:val="0"/>
          <w:bCs w:val="0"/>
          <w:color w:val="000000"/>
          <w:spacing w:val="0"/>
          <w:w w:val="100"/>
          <w:kern w:val="0"/>
          <w:position w:val="0"/>
          <w:sz w:val="44"/>
          <w:szCs w:val="44"/>
          <w:shd w:val="clear" w:color="auto" w:fill="auto"/>
          <w:lang w:val="en-US" w:eastAsia="zh-CN" w:bidi="en-US"/>
        </w:rPr>
      </w:pPr>
      <w:r>
        <w:rPr>
          <w:rFonts w:hint="eastAsia" w:ascii="黑体" w:hAnsi="黑体" w:eastAsia="黑体" w:cs="黑体"/>
          <w:b w:val="0"/>
          <w:bCs w:val="0"/>
          <w:color w:val="000000"/>
          <w:spacing w:val="0"/>
          <w:w w:val="100"/>
          <w:kern w:val="0"/>
          <w:position w:val="0"/>
          <w:sz w:val="44"/>
          <w:szCs w:val="44"/>
          <w:shd w:val="clear" w:color="auto" w:fill="auto"/>
          <w:lang w:val="en-US" w:eastAsia="zh-CN" w:bidi="en-US"/>
        </w:rPr>
        <w:t>葛根、槟榔预加工生产线建设项目</w:t>
      </w:r>
    </w:p>
    <w:p w14:paraId="62D2C4A2">
      <w:pPr>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right="0"/>
        <w:jc w:val="center"/>
        <w:textAlignment w:val="auto"/>
        <w:rPr>
          <w:rFonts w:hint="eastAsia" w:ascii="方正小标宋简体" w:hAnsi="方正小标宋简体" w:eastAsia="方正小标宋简体" w:cs="方正小标宋简体"/>
          <w:b/>
          <w:bCs/>
          <w:color w:val="000000"/>
          <w:spacing w:val="0"/>
          <w:w w:val="100"/>
          <w:kern w:val="0"/>
          <w:position w:val="0"/>
          <w:sz w:val="44"/>
          <w:szCs w:val="44"/>
          <w:shd w:val="clear" w:color="auto" w:fill="auto"/>
          <w:lang w:val="en-US" w:eastAsia="zh-CN" w:bidi="en-US"/>
        </w:rPr>
      </w:pPr>
      <w:r>
        <w:rPr>
          <w:rFonts w:hint="eastAsia" w:ascii="黑体" w:hAnsi="黑体" w:eastAsia="黑体" w:cs="黑体"/>
          <w:b w:val="0"/>
          <w:bCs w:val="0"/>
          <w:color w:val="000000"/>
          <w:spacing w:val="0"/>
          <w:w w:val="100"/>
          <w:kern w:val="0"/>
          <w:position w:val="0"/>
          <w:sz w:val="44"/>
          <w:szCs w:val="44"/>
          <w:shd w:val="clear" w:color="auto" w:fill="auto"/>
          <w:lang w:val="en-US" w:eastAsia="zh-CN" w:bidi="en-US"/>
        </w:rPr>
        <w:t>环境影响报告表的批复</w:t>
      </w:r>
    </w:p>
    <w:p w14:paraId="41FC635C">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黑体" w:eastAsia="仿宋_GB2312"/>
          <w:color w:val="000000"/>
          <w:sz w:val="44"/>
          <w:szCs w:val="44"/>
        </w:rPr>
      </w:pPr>
    </w:p>
    <w:p w14:paraId="12AFCDBD">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pacing w:val="4"/>
          <w:sz w:val="32"/>
          <w:szCs w:val="32"/>
          <w:lang w:eastAsia="zh-CN"/>
        </w:rPr>
      </w:pPr>
      <w:r>
        <w:rPr>
          <w:rFonts w:hint="eastAsia" w:ascii="仿宋" w:hAnsi="仿宋" w:eastAsia="仿宋" w:cs="仿宋"/>
          <w:color w:val="000000"/>
          <w:spacing w:val="4"/>
          <w:sz w:val="32"/>
          <w:szCs w:val="32"/>
          <w:lang w:val="en-US" w:eastAsia="zh-CN"/>
        </w:rPr>
        <w:t xml:space="preserve">湖南益传食食品科技有限公司 </w:t>
      </w:r>
      <w:r>
        <w:rPr>
          <w:rFonts w:hint="eastAsia" w:ascii="仿宋" w:hAnsi="仿宋" w:eastAsia="仿宋" w:cs="仿宋"/>
          <w:color w:val="000000"/>
          <w:spacing w:val="4"/>
          <w:sz w:val="32"/>
          <w:szCs w:val="32"/>
          <w:lang w:eastAsia="zh-CN"/>
        </w:rPr>
        <w:t>：</w:t>
      </w:r>
    </w:p>
    <w:p w14:paraId="2B25A156">
      <w:pPr>
        <w:keepNext w:val="0"/>
        <w:keepLines w:val="0"/>
        <w:pageBreakBefore w:val="0"/>
        <w:widowControl w:val="0"/>
        <w:kinsoku/>
        <w:wordWrap/>
        <w:overflowPunct/>
        <w:topLinePunct w:val="0"/>
        <w:autoSpaceDE/>
        <w:autoSpaceDN/>
        <w:bidi w:val="0"/>
        <w:adjustRightInd/>
        <w:snapToGrid/>
        <w:spacing w:line="500" w:lineRule="exact"/>
        <w:ind w:firstLine="656" w:firstLineChars="200"/>
        <w:textAlignment w:val="auto"/>
        <w:rPr>
          <w:rFonts w:hint="eastAsia"/>
        </w:rPr>
      </w:pPr>
      <w:r>
        <w:rPr>
          <w:rFonts w:hint="eastAsia" w:ascii="仿宋" w:hAnsi="仿宋" w:eastAsia="仿宋" w:cs="仿宋"/>
          <w:color w:val="000000"/>
          <w:spacing w:val="4"/>
          <w:sz w:val="32"/>
          <w:szCs w:val="32"/>
          <w:lang w:eastAsia="zh-CN"/>
        </w:rPr>
        <w:t>你公司</w:t>
      </w:r>
      <w:r>
        <w:rPr>
          <w:rFonts w:hint="eastAsia"/>
        </w:rPr>
        <w:t>呈报的</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lang w:val="en-US" w:eastAsia="zh-CN"/>
        </w:rPr>
        <w:t>湖南益传食食品科技有限公司葛根、槟榔预加工生产线建设项目</w:t>
      </w:r>
      <w:r>
        <w:rPr>
          <w:rFonts w:hint="eastAsia" w:ascii="仿宋" w:hAnsi="仿宋" w:eastAsia="仿宋" w:cs="仿宋"/>
          <w:color w:val="000000"/>
          <w:spacing w:val="4"/>
          <w:sz w:val="32"/>
          <w:szCs w:val="32"/>
          <w:lang w:eastAsia="zh-CN"/>
        </w:rPr>
        <w:t>环境影响报告</w:t>
      </w:r>
      <w:r>
        <w:rPr>
          <w:rFonts w:hint="eastAsia" w:ascii="仿宋" w:hAnsi="仿宋" w:eastAsia="仿宋" w:cs="仿宋"/>
          <w:color w:val="000000"/>
          <w:spacing w:val="4"/>
          <w:sz w:val="32"/>
          <w:szCs w:val="32"/>
          <w:lang w:val="en-US" w:eastAsia="zh-CN"/>
        </w:rPr>
        <w:t>表</w:t>
      </w:r>
      <w:r>
        <w:rPr>
          <w:rFonts w:hint="eastAsia" w:ascii="仿宋" w:hAnsi="仿宋" w:eastAsia="仿宋" w:cs="仿宋"/>
          <w:color w:val="000000"/>
          <w:spacing w:val="4"/>
          <w:sz w:val="32"/>
          <w:szCs w:val="32"/>
          <w:lang w:eastAsia="zh-CN"/>
        </w:rPr>
        <w:t>》</w:t>
      </w:r>
      <w:r>
        <w:rPr>
          <w:rFonts w:hint="eastAsia"/>
        </w:rPr>
        <w:t>（以下简称《报告表》）及相关资料收悉</w:t>
      </w:r>
      <w:r>
        <w:rPr>
          <w:rFonts w:hint="eastAsia"/>
          <w:lang w:eastAsia="zh-CN"/>
        </w:rPr>
        <w:t>，</w:t>
      </w:r>
      <w:r>
        <w:rPr>
          <w:rFonts w:hint="eastAsia"/>
        </w:rPr>
        <w:t>经研究，批复如下：</w:t>
      </w:r>
    </w:p>
    <w:p w14:paraId="2395F8A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820" w:firstLineChars="250"/>
        <w:textAlignment w:val="auto"/>
        <w:rPr>
          <w:rFonts w:hint="eastAsia" w:ascii="仿宋" w:hAnsi="仿宋" w:eastAsia="仿宋" w:cs="仿宋"/>
          <w:color w:val="000000"/>
          <w:spacing w:val="4"/>
          <w:sz w:val="32"/>
          <w:szCs w:val="32"/>
          <w:lang w:val="en-US" w:eastAsia="zh-CN"/>
        </w:rPr>
      </w:pPr>
      <w:r>
        <w:rPr>
          <w:rFonts w:hint="eastAsia" w:ascii="仿宋" w:hAnsi="仿宋" w:eastAsia="仿宋" w:cs="仿宋"/>
          <w:color w:val="000000"/>
          <w:spacing w:val="4"/>
          <w:sz w:val="32"/>
          <w:szCs w:val="32"/>
          <w:lang w:val="en-US" w:eastAsia="zh-CN"/>
        </w:rPr>
        <w:t>湖南益传食食品科技有限公司位于湖南省益阳市资阳区长春工业园贺家桥北路以东、关濑路以南，租赁益阳市传实智能科技有限责任公司的已建闲置建筑物和土地进行项目建设。项目占地面积约1513.69平方米，总投资500万元，其中环保投资38万元。项目主要建设内容包括1栋生产车间、污水处理设施、锅炉房等。项目建成后，年预加工槟榔干果270吨、年预加工葛根15吨。</w:t>
      </w:r>
    </w:p>
    <w:p w14:paraId="3CB3C5EA">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 w:hAnsi="仿宋" w:eastAsia="仿宋" w:cs="仿宋"/>
          <w:color w:val="000000"/>
          <w:spacing w:val="4"/>
          <w:sz w:val="32"/>
          <w:szCs w:val="32"/>
          <w:lang w:val="en-US" w:eastAsia="zh-CN"/>
        </w:rPr>
      </w:pPr>
      <w:r>
        <w:rPr>
          <w:rFonts w:hint="eastAsia" w:ascii="仿宋" w:hAnsi="仿宋" w:eastAsia="仿宋" w:cs="仿宋"/>
          <w:color w:val="000000"/>
          <w:spacing w:val="4"/>
          <w:sz w:val="32"/>
          <w:szCs w:val="32"/>
          <w:lang w:val="en-US" w:eastAsia="zh-CN"/>
        </w:rPr>
        <w:t>二、项目符合国家产业政策，符合湖南省“三线一单”生态环境总体管控要求和益阳长春经济开发区生态环境准入清单要求。根据湖南润美环保科技有限公司编制的报告表的分析结论</w:t>
      </w:r>
      <w:r>
        <w:rPr>
          <w:rFonts w:hint="eastAsia"/>
        </w:rPr>
        <w:t>以及专家组评审意见，在建设单位切实落实《报告表》提出的各项污染防治和风险防范措施，确保污染物达标排放的前提下</w:t>
      </w:r>
      <w:r>
        <w:rPr>
          <w:rFonts w:hint="eastAsia" w:ascii="仿宋" w:hAnsi="仿宋" w:eastAsia="仿宋" w:cs="仿宋"/>
          <w:color w:val="000000"/>
          <w:spacing w:val="4"/>
          <w:sz w:val="32"/>
          <w:szCs w:val="32"/>
          <w:lang w:val="en-US" w:eastAsia="zh-CN"/>
        </w:rPr>
        <w:t>，我局原则同意葛根、槟榔预加工生产线建设项目</w:t>
      </w:r>
      <w:r>
        <w:rPr>
          <w:rFonts w:hint="eastAsia" w:ascii="仿宋" w:hAnsi="仿宋" w:eastAsia="仿宋" w:cs="仿宋"/>
          <w:sz w:val="32"/>
          <w:szCs w:val="32"/>
          <w:lang w:eastAsia="zh-CN"/>
        </w:rPr>
        <w:t>的选址及建设。</w:t>
      </w:r>
    </w:p>
    <w:p w14:paraId="00AA6AD9">
      <w:pPr>
        <w:keepNext w:val="0"/>
        <w:keepLines w:val="0"/>
        <w:pageBreakBefore w:val="0"/>
        <w:widowControl w:val="0"/>
        <w:kinsoku/>
        <w:wordWrap/>
        <w:overflowPunct/>
        <w:topLinePunct w:val="0"/>
        <w:autoSpaceDE/>
        <w:autoSpaceDN/>
        <w:bidi w:val="0"/>
        <w:adjustRightInd/>
        <w:snapToGrid/>
        <w:spacing w:line="500" w:lineRule="exact"/>
        <w:ind w:firstLine="656" w:firstLineChars="200"/>
        <w:textAlignment w:val="auto"/>
        <w:rPr>
          <w:rFonts w:hint="eastAsia"/>
        </w:rPr>
      </w:pPr>
      <w:r>
        <w:rPr>
          <w:rFonts w:hint="eastAsia" w:ascii="仿宋" w:hAnsi="仿宋" w:eastAsia="仿宋" w:cs="仿宋"/>
          <w:color w:val="000000"/>
          <w:spacing w:val="4"/>
          <w:sz w:val="32"/>
          <w:szCs w:val="32"/>
          <w:lang w:val="en-US" w:eastAsia="zh-CN"/>
        </w:rPr>
        <w:t>二、</w:t>
      </w:r>
      <w:r>
        <w:rPr>
          <w:rFonts w:hint="eastAsia"/>
        </w:rPr>
        <w:t>设单位在工程设计、建设和运营管理中，必须严格执行环保“三同时”制度，逐条落实《报告表》提出的各项污染防治和风险防范措施</w:t>
      </w:r>
      <w:r>
        <w:rPr>
          <w:rFonts w:hint="eastAsia"/>
          <w:lang w:eastAsia="zh-CN"/>
        </w:rPr>
        <w:t>，</w:t>
      </w:r>
      <w:r>
        <w:rPr>
          <w:rFonts w:hint="eastAsia"/>
        </w:rPr>
        <w:t>确保各污染物达标排放，并着重做好以下工作：</w:t>
      </w:r>
    </w:p>
    <w:p w14:paraId="024066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4"/>
          <w:sz w:val="32"/>
          <w:szCs w:val="32"/>
          <w:lang w:val="en-US" w:eastAsia="zh-CN"/>
        </w:rPr>
      </w:pPr>
      <w:r>
        <w:rPr>
          <w:rFonts w:hint="eastAsia"/>
        </w:rPr>
        <w:t>（一）完善环境管理制度，配备专职或兼职环保人员，建立健全污染防治设施运行管理台帐，确保各项污染防治设施的正常运行，各类污染物稳定达标排放。</w:t>
      </w:r>
    </w:p>
    <w:p w14:paraId="38A756F6">
      <w:pPr>
        <w:keepNext w:val="0"/>
        <w:keepLines w:val="0"/>
        <w:pageBreakBefore w:val="0"/>
        <w:widowControl w:val="0"/>
        <w:kinsoku/>
        <w:wordWrap/>
        <w:overflowPunct/>
        <w:topLinePunct w:val="0"/>
        <w:autoSpaceDE/>
        <w:autoSpaceDN/>
        <w:bidi w:val="0"/>
        <w:adjustRightInd/>
        <w:snapToGrid/>
        <w:spacing w:after="0" w:line="560" w:lineRule="exact"/>
        <w:ind w:firstLine="656" w:firstLineChars="200"/>
        <w:jc w:val="both"/>
        <w:textAlignment w:val="auto"/>
        <w:rPr>
          <w:rFonts w:hint="eastAsia" w:ascii="仿宋" w:hAnsi="仿宋" w:eastAsia="仿宋" w:cs="仿宋"/>
          <w:color w:val="000000"/>
          <w:spacing w:val="4"/>
          <w:sz w:val="32"/>
          <w:szCs w:val="32"/>
          <w:lang w:val="en-US" w:eastAsia="zh-CN"/>
        </w:rPr>
      </w:pPr>
      <w:r>
        <w:rPr>
          <w:rFonts w:hint="eastAsia" w:ascii="仿宋" w:hAnsi="仿宋" w:eastAsia="仿宋" w:cs="仿宋"/>
          <w:color w:val="000000"/>
          <w:spacing w:val="4"/>
          <w:sz w:val="32"/>
          <w:szCs w:val="32"/>
          <w:lang w:val="en-US" w:eastAsia="zh-CN"/>
        </w:rPr>
        <w:t>（二）落实大气污染防治措施。项目天然气锅炉采用全预混冷凝低氮燃烧技术，天然气燃烧废气经15m高排气筒（DA001）排放，确保烟尘、二氧化硫排放浓度满足《锅炉大气污染物排放标准》（GB13271-2014）表3中燃气锅炉标准特别排放限值要求；氮氧化物排放浓度满足《益阳市中心城区生物质锅炉整治工作方案》（益环发〔2024〕5号）中氮氧化物浓度限值要求；车间异味通过采取源头控制措施即密闭状态下生产并加强车间通风等方式、废水处理产生的恶臭采取加盖封闭等措施减少影响，确保外排污染物浓度满足《恶臭污染物排放标准》（GB14554-93）表1中二级新扩改建标准的要求。</w:t>
      </w:r>
    </w:p>
    <w:p w14:paraId="7D634871">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 w:hAnsi="仿宋" w:eastAsia="仿宋" w:cs="仿宋"/>
          <w:color w:val="000000"/>
          <w:spacing w:val="4"/>
          <w:sz w:val="32"/>
          <w:szCs w:val="32"/>
          <w:lang w:eastAsia="zh-CN"/>
        </w:rPr>
      </w:pPr>
      <w:r>
        <w:rPr>
          <w:rFonts w:hint="eastAsia" w:ascii="仿宋" w:hAnsi="仿宋" w:eastAsia="仿宋" w:cs="仿宋"/>
          <w:color w:val="000000"/>
          <w:spacing w:val="4"/>
          <w:sz w:val="32"/>
          <w:szCs w:val="32"/>
        </w:rPr>
        <w:t>（</w:t>
      </w:r>
      <w:r>
        <w:rPr>
          <w:rFonts w:hint="eastAsia" w:ascii="仿宋" w:hAnsi="仿宋" w:eastAsia="仿宋" w:cs="仿宋"/>
          <w:color w:val="000000"/>
          <w:spacing w:val="4"/>
          <w:sz w:val="32"/>
          <w:szCs w:val="32"/>
          <w:lang w:eastAsia="zh-CN"/>
        </w:rPr>
        <w:t>三</w:t>
      </w:r>
      <w:r>
        <w:rPr>
          <w:rFonts w:hint="eastAsia" w:ascii="仿宋" w:hAnsi="仿宋" w:eastAsia="仿宋" w:cs="仿宋"/>
          <w:color w:val="000000"/>
          <w:spacing w:val="4"/>
          <w:sz w:val="32"/>
          <w:szCs w:val="32"/>
        </w:rPr>
        <w:t>）落实水污染防治措施</w:t>
      </w:r>
      <w:r>
        <w:rPr>
          <w:rFonts w:hint="eastAsia" w:ascii="仿宋" w:hAnsi="仿宋" w:eastAsia="仿宋" w:cs="仿宋"/>
          <w:color w:val="000000"/>
          <w:spacing w:val="4"/>
          <w:sz w:val="32"/>
          <w:szCs w:val="32"/>
          <w:lang w:eastAsia="zh-CN"/>
        </w:rPr>
        <w:t>。项目</w:t>
      </w:r>
      <w:r>
        <w:rPr>
          <w:rFonts w:hint="eastAsia" w:ascii="仿宋" w:hAnsi="仿宋" w:eastAsia="仿宋" w:cs="仿宋"/>
          <w:color w:val="000000"/>
          <w:spacing w:val="4"/>
          <w:sz w:val="32"/>
          <w:szCs w:val="32"/>
          <w:lang w:val="en-US" w:eastAsia="zh-CN"/>
        </w:rPr>
        <w:t>生活污水经化粪池处理、生产废水（包括槟榔及葛根发制罐清洗废水、葛根蒸煮废水）经厂内新建一体化污水处理设施处理达到《污水综合排放标准》（GB8978-1996）表4中三级标准后排入益阳市城北污水厂进行深度处理。软水制备浓排水、锅炉定排水为清净下水，经生产废水排放口排入园区市污水管网进入城北污水处理厂处理。</w:t>
      </w:r>
    </w:p>
    <w:p w14:paraId="088DE617">
      <w:pPr>
        <w:keepNext w:val="0"/>
        <w:keepLines w:val="0"/>
        <w:pageBreakBefore w:val="0"/>
        <w:widowControl w:val="0"/>
        <w:kinsoku/>
        <w:wordWrap/>
        <w:overflowPunct/>
        <w:topLinePunct w:val="0"/>
        <w:autoSpaceDE/>
        <w:autoSpaceDN/>
        <w:bidi w:val="0"/>
        <w:adjustRightInd/>
        <w:snapToGrid/>
        <w:spacing w:line="560" w:lineRule="exact"/>
        <w:ind w:leftChars="0" w:firstLine="656" w:firstLineChars="200"/>
        <w:textAlignment w:val="auto"/>
        <w:rPr>
          <w:rFonts w:hint="eastAsia" w:ascii="仿宋" w:hAnsi="仿宋" w:eastAsia="仿宋" w:cs="仿宋"/>
          <w:color w:val="000000"/>
          <w:spacing w:val="4"/>
          <w:sz w:val="32"/>
          <w:szCs w:val="32"/>
          <w:lang w:val="en-US" w:eastAsia="zh-CN"/>
        </w:rPr>
      </w:pPr>
      <w:r>
        <w:rPr>
          <w:rFonts w:hint="eastAsia" w:ascii="仿宋" w:hAnsi="仿宋" w:eastAsia="仿宋" w:cs="仿宋"/>
          <w:color w:val="000000"/>
          <w:spacing w:val="4"/>
          <w:sz w:val="32"/>
          <w:szCs w:val="32"/>
        </w:rPr>
        <w:t>（</w:t>
      </w:r>
      <w:r>
        <w:rPr>
          <w:rFonts w:hint="eastAsia" w:ascii="仿宋" w:hAnsi="仿宋" w:eastAsia="仿宋" w:cs="仿宋"/>
          <w:color w:val="000000"/>
          <w:spacing w:val="4"/>
          <w:sz w:val="32"/>
          <w:szCs w:val="32"/>
          <w:lang w:eastAsia="zh-CN"/>
        </w:rPr>
        <w:t>四</w:t>
      </w:r>
      <w:r>
        <w:rPr>
          <w:rFonts w:hint="eastAsia" w:ascii="仿宋" w:hAnsi="仿宋" w:eastAsia="仿宋" w:cs="仿宋"/>
          <w:color w:val="000000"/>
          <w:spacing w:val="4"/>
          <w:sz w:val="32"/>
          <w:szCs w:val="32"/>
        </w:rPr>
        <w:t>）落实噪声污染防治措施</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lang w:val="en-US" w:eastAsia="zh-CN"/>
        </w:rPr>
        <w:t>优化平面布置和设备的选型，对高噪声设备采取减震、隔声等有效降噪措施，确保厂界四周噪声符合《工业企业厂界环境噪声排放标准》（GB12348-2008）中3类区标准要求。</w:t>
      </w:r>
    </w:p>
    <w:p w14:paraId="1E19271C">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 w:hAnsi="仿宋" w:eastAsia="仿宋" w:cs="仿宋"/>
          <w:color w:val="000000"/>
          <w:spacing w:val="4"/>
          <w:sz w:val="32"/>
          <w:szCs w:val="32"/>
          <w:lang w:val="en-US" w:eastAsia="zh-CN"/>
        </w:rPr>
      </w:pPr>
      <w:r>
        <w:rPr>
          <w:rFonts w:hint="eastAsia" w:ascii="仿宋" w:hAnsi="仿宋" w:eastAsia="仿宋" w:cs="仿宋"/>
          <w:color w:val="000000"/>
          <w:spacing w:val="4"/>
          <w:kern w:val="2"/>
          <w:sz w:val="32"/>
          <w:szCs w:val="32"/>
          <w:lang w:val="en-US" w:eastAsia="zh-CN" w:bidi="ar-SA"/>
        </w:rPr>
        <w:t>（五）落实固体废物处置措施。</w:t>
      </w:r>
      <w:r>
        <w:rPr>
          <w:rFonts w:ascii="仿宋" w:hAnsi="仿宋" w:eastAsia="仿宋" w:cs="仿宋"/>
          <w:szCs w:val="32"/>
        </w:rPr>
        <w:t>严格按照</w:t>
      </w:r>
      <w:r>
        <w:rPr>
          <w:rFonts w:hint="eastAsia" w:ascii="仿宋" w:hAnsi="仿宋" w:eastAsia="仿宋" w:cs="仿宋"/>
          <w:szCs w:val="32"/>
        </w:rPr>
        <w:t>“</w:t>
      </w:r>
      <w:r>
        <w:rPr>
          <w:rFonts w:ascii="仿宋" w:hAnsi="仿宋" w:eastAsia="仿宋" w:cs="仿宋"/>
          <w:szCs w:val="32"/>
        </w:rPr>
        <w:t>无害化、减量化、资源化</w:t>
      </w:r>
      <w:r>
        <w:rPr>
          <w:rFonts w:hint="eastAsia" w:ascii="仿宋" w:hAnsi="仿宋" w:eastAsia="仿宋" w:cs="仿宋"/>
          <w:szCs w:val="32"/>
        </w:rPr>
        <w:t>”</w:t>
      </w:r>
      <w:r>
        <w:rPr>
          <w:rFonts w:ascii="仿宋" w:hAnsi="仿宋" w:eastAsia="仿宋" w:cs="仿宋"/>
          <w:szCs w:val="32"/>
        </w:rPr>
        <w:t>的原则做好固体废物的综合利用和安全处置工作</w:t>
      </w:r>
      <w:r>
        <w:rPr>
          <w:rFonts w:hint="eastAsia" w:ascii="仿宋" w:hAnsi="仿宋" w:eastAsia="仿宋" w:cs="仿宋"/>
          <w:szCs w:val="32"/>
        </w:rPr>
        <w:t>，</w:t>
      </w:r>
      <w:r>
        <w:rPr>
          <w:rFonts w:ascii="仿宋" w:hAnsi="仿宋" w:eastAsia="仿宋" w:cs="仿宋"/>
          <w:szCs w:val="32"/>
        </w:rPr>
        <w:t>按规范要求设置一般固废暂存间，其建设、运行和管理</w:t>
      </w:r>
      <w:r>
        <w:rPr>
          <w:rFonts w:hint="eastAsia" w:ascii="仿宋" w:hAnsi="仿宋" w:eastAsia="仿宋" w:cs="仿宋"/>
          <w:szCs w:val="32"/>
        </w:rPr>
        <w:t>须</w:t>
      </w:r>
      <w:r>
        <w:rPr>
          <w:rFonts w:ascii="仿宋" w:hAnsi="仿宋" w:eastAsia="仿宋" w:cs="仿宋"/>
          <w:szCs w:val="32"/>
        </w:rPr>
        <w:t>满足《一般工业固体废物贮存和填埋污染控制标准》（GB18599-2020）要求，</w:t>
      </w:r>
      <w:r>
        <w:rPr>
          <w:rFonts w:hint="eastAsia" w:ascii="仿宋" w:hAnsi="仿宋" w:eastAsia="仿宋" w:cs="仿宋"/>
          <w:szCs w:val="32"/>
          <w:lang w:eastAsia="zh-CN"/>
        </w:rPr>
        <w:t>防止二次污染。</w:t>
      </w:r>
      <w:r>
        <w:rPr>
          <w:rFonts w:hint="eastAsia" w:ascii="仿宋" w:hAnsi="仿宋" w:eastAsia="仿宋" w:cs="仿宋"/>
          <w:color w:val="000000"/>
          <w:spacing w:val="4"/>
          <w:sz w:val="32"/>
          <w:szCs w:val="32"/>
          <w:lang w:val="en-US" w:eastAsia="zh-CN"/>
        </w:rPr>
        <w:t>项目产生的分拣废物、废包装、压滤污泥于一般固废暂存间暂存后交环卫部门定期清运；废离子交换树脂每两年更换一次，由厂家更换回收；生活垃圾由当地环卫部门定期清运。</w:t>
      </w:r>
    </w:p>
    <w:p w14:paraId="0CB9A6E7">
      <w:pPr>
        <w:adjustRightInd w:val="0"/>
        <w:snapToGrid w:val="0"/>
        <w:spacing w:line="600" w:lineRule="exact"/>
        <w:ind w:firstLine="640" w:firstLineChars="200"/>
        <w:rPr>
          <w:rFonts w:hint="eastAsia" w:ascii="仿宋_GB2312" w:hAnsi="仿宋_GB2312" w:cs="仿宋_GB2312"/>
          <w:color w:val="000000"/>
          <w:szCs w:val="32"/>
        </w:rPr>
      </w:pPr>
      <w:r>
        <w:rPr>
          <w:rFonts w:hint="eastAsia" w:ascii="仿宋" w:hAnsi="仿宋" w:eastAsia="仿宋" w:cs="仿宋"/>
          <w:color w:val="000000"/>
          <w:kern w:val="0"/>
          <w:sz w:val="32"/>
          <w:szCs w:val="32"/>
          <w:lang w:eastAsia="zh-CN"/>
        </w:rPr>
        <w:t>（</w:t>
      </w:r>
      <w:r>
        <w:rPr>
          <w:rFonts w:hint="eastAsia" w:ascii="仿宋_GB2312" w:hAnsi="仿宋_GB2312" w:cs="仿宋_GB2312"/>
          <w:color w:val="000000"/>
          <w:szCs w:val="32"/>
        </w:rPr>
        <w:t>六</w:t>
      </w:r>
      <w:r>
        <w:rPr>
          <w:rFonts w:hint="eastAsia" w:ascii="仿宋" w:hAnsi="仿宋" w:eastAsia="仿宋" w:cs="仿宋"/>
          <w:color w:val="000000"/>
          <w:kern w:val="0"/>
          <w:sz w:val="32"/>
          <w:szCs w:val="32"/>
          <w:lang w:eastAsia="zh-CN"/>
        </w:rPr>
        <w:t>）</w:t>
      </w:r>
      <w:r>
        <w:rPr>
          <w:rFonts w:hint="eastAsia" w:ascii="仿宋_GB2312" w:hAnsi="仿宋_GB2312" w:cs="仿宋_GB2312"/>
          <w:color w:val="000000"/>
          <w:szCs w:val="32"/>
        </w:rPr>
        <w:t>本项目投入运营后存在环境风险隐患，必须制定行之有效的环境风险事故应急预案和切实可行的应急措施，确保环境安全。</w:t>
      </w:r>
    </w:p>
    <w:p w14:paraId="5E7F120C">
      <w:pPr>
        <w:pStyle w:val="2"/>
        <w:keepNext w:val="0"/>
        <w:keepLines w:val="0"/>
        <w:pageBreakBefore w:val="0"/>
        <w:widowControl w:val="0"/>
        <w:numPr>
          <w:ilvl w:val="0"/>
          <w:numId w:val="0"/>
        </w:numPr>
        <w:kinsoku/>
        <w:wordWrap/>
        <w:topLinePunct w:val="0"/>
        <w:bidi w:val="0"/>
        <w:snapToGrid/>
        <w:spacing w:line="560" w:lineRule="exact"/>
        <w:ind w:firstLine="656" w:firstLineChars="200"/>
        <w:rPr>
          <w:rFonts w:hint="eastAsia" w:ascii="仿宋" w:hAnsi="仿宋" w:eastAsia="仿宋" w:cs="仿宋"/>
          <w:sz w:val="32"/>
          <w:szCs w:val="32"/>
          <w:lang w:val="en-US" w:eastAsia="zh-CN"/>
        </w:rPr>
      </w:pPr>
      <w:r>
        <w:rPr>
          <w:rFonts w:hint="eastAsia" w:ascii="仿宋" w:hAnsi="仿宋" w:eastAsia="仿宋" w:cs="仿宋"/>
          <w:color w:val="000000"/>
          <w:spacing w:val="4"/>
          <w:kern w:val="2"/>
          <w:sz w:val="32"/>
          <w:szCs w:val="32"/>
          <w:lang w:val="en-US" w:eastAsia="zh-CN" w:bidi="ar-SA"/>
        </w:rPr>
        <w:t>（七）本项目污染物总量控制指标为：SO</w:t>
      </w:r>
      <w:r>
        <w:rPr>
          <w:rFonts w:hint="eastAsia" w:ascii="仿宋" w:hAnsi="仿宋" w:eastAsia="仿宋" w:cs="仿宋"/>
          <w:color w:val="000000"/>
          <w:spacing w:val="4"/>
          <w:kern w:val="2"/>
          <w:sz w:val="32"/>
          <w:szCs w:val="32"/>
          <w:vertAlign w:val="subscript"/>
          <w:lang w:val="en-US" w:eastAsia="zh-CN" w:bidi="ar-SA"/>
        </w:rPr>
        <w:t>2</w:t>
      </w:r>
      <w:r>
        <w:rPr>
          <w:rFonts w:hint="eastAsia" w:ascii="仿宋" w:hAnsi="仿宋" w:eastAsia="仿宋" w:cs="仿宋"/>
          <w:color w:val="000000"/>
          <w:spacing w:val="4"/>
          <w:kern w:val="2"/>
          <w:sz w:val="32"/>
          <w:szCs w:val="32"/>
          <w:lang w:val="en-US" w:eastAsia="zh-CN" w:bidi="ar-SA"/>
        </w:rPr>
        <w:t>≤0.10t/a、NOx≤0.15t/a</w:t>
      </w:r>
      <w:r>
        <w:rPr>
          <w:rFonts w:hint="eastAsia" w:ascii="仿宋" w:hAnsi="仿宋" w:eastAsia="仿宋" w:cs="仿宋"/>
          <w:sz w:val="32"/>
          <w:szCs w:val="32"/>
          <w:lang w:val="en-US" w:eastAsia="zh-CN"/>
        </w:rPr>
        <w:t>。</w:t>
      </w:r>
    </w:p>
    <w:p w14:paraId="469A463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rPr>
      </w:pPr>
      <w:r>
        <w:rPr>
          <w:rFonts w:hint="eastAsia"/>
        </w:rPr>
        <w:t>四、本项目经批准同意建设后，建设的性质、规模、地点或者防治污染、防止生态破坏的措施发生重大变动的，你单位应当重新报批建设项目的环境影响评价文件。</w:t>
      </w:r>
    </w:p>
    <w:p w14:paraId="4C7E9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pacing w:val="4"/>
          <w:kern w:val="2"/>
          <w:sz w:val="32"/>
          <w:szCs w:val="32"/>
          <w:lang w:val="en-US" w:eastAsia="zh-CN" w:bidi="ar-SA"/>
        </w:rPr>
      </w:pPr>
      <w:r>
        <w:rPr>
          <w:rFonts w:hint="eastAsia"/>
        </w:rPr>
        <w:t>五、益阳市生态环境保护综合行政执法支队资阳大队具体负责本工程“三同时”监督检查和管理工作，项目建成后，应按规定向我局办理排污许可相关手续和自行组织项目竣工环境保护验收。你公司在收到批复后15个工作日内，将批复及项目环评文件送至益阳市生态环境局资阳分局，并按规定接受各级生态环境管理部门的日常监督检查。</w:t>
      </w:r>
    </w:p>
    <w:p w14:paraId="77960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 xml:space="preserve">                         </w:t>
      </w:r>
    </w:p>
    <w:p w14:paraId="474629FD">
      <w:pPr>
        <w:keepNext w:val="0"/>
        <w:keepLines w:val="0"/>
        <w:pageBreakBefore w:val="0"/>
        <w:widowControl w:val="0"/>
        <w:kinsoku/>
        <w:wordWrap/>
        <w:overflowPunct/>
        <w:topLinePunct w:val="0"/>
        <w:autoSpaceDE/>
        <w:autoSpaceDN/>
        <w:bidi w:val="0"/>
        <w:adjustRightInd/>
        <w:snapToGrid/>
        <w:spacing w:line="560" w:lineRule="exact"/>
        <w:ind w:leftChars="0" w:firstLine="5576" w:firstLineChars="1700"/>
        <w:textAlignment w:val="auto"/>
        <w:rPr>
          <w:rFonts w:hint="eastAsia" w:ascii="仿宋" w:hAnsi="仿宋" w:eastAsia="仿宋" w:cs="仿宋"/>
          <w:color w:val="000000"/>
          <w:spacing w:val="4"/>
          <w:kern w:val="2"/>
          <w:sz w:val="32"/>
          <w:szCs w:val="32"/>
          <w:lang w:val="en-US" w:eastAsia="zh-CN" w:bidi="ar-SA"/>
        </w:rPr>
      </w:pPr>
      <w:r>
        <w:rPr>
          <w:rFonts w:hint="eastAsia" w:ascii="仿宋" w:hAnsi="仿宋" w:eastAsia="仿宋" w:cs="仿宋"/>
          <w:color w:val="000000"/>
          <w:spacing w:val="4"/>
          <w:kern w:val="2"/>
          <w:sz w:val="32"/>
          <w:szCs w:val="32"/>
          <w:lang w:val="en-US" w:eastAsia="zh-CN" w:bidi="ar-SA"/>
        </w:rPr>
        <w:t>益阳市生态环境局</w:t>
      </w:r>
    </w:p>
    <w:p w14:paraId="5F19214C">
      <w:pPr>
        <w:keepNext w:val="0"/>
        <w:keepLines w:val="0"/>
        <w:pageBreakBefore w:val="0"/>
        <w:widowControl w:val="0"/>
        <w:kinsoku/>
        <w:wordWrap/>
        <w:overflowPunct/>
        <w:topLinePunct w:val="0"/>
        <w:autoSpaceDE/>
        <w:autoSpaceDN/>
        <w:bidi w:val="0"/>
        <w:adjustRightInd/>
        <w:snapToGrid/>
        <w:spacing w:line="560" w:lineRule="exact"/>
        <w:ind w:leftChars="0" w:firstLine="656" w:firstLineChars="200"/>
        <w:textAlignment w:val="auto"/>
        <w:rPr>
          <w:rFonts w:hint="eastAsia" w:ascii="仿宋" w:hAnsi="仿宋" w:eastAsia="仿宋" w:cs="仿宋"/>
          <w:color w:val="000000"/>
          <w:spacing w:val="4"/>
          <w:kern w:val="2"/>
          <w:sz w:val="32"/>
          <w:szCs w:val="32"/>
          <w:lang w:val="en-US" w:eastAsia="zh-CN" w:bidi="ar-SA"/>
        </w:rPr>
      </w:pPr>
      <w:r>
        <w:rPr>
          <w:rFonts w:hint="eastAsia" w:ascii="仿宋" w:hAnsi="仿宋" w:eastAsia="仿宋" w:cs="仿宋"/>
          <w:color w:val="000000"/>
          <w:spacing w:val="4"/>
          <w:kern w:val="2"/>
          <w:sz w:val="32"/>
          <w:szCs w:val="32"/>
          <w:lang w:val="en-US" w:eastAsia="zh-CN" w:bidi="ar-SA"/>
        </w:rPr>
        <w:t xml:space="preserve">                              </w:t>
      </w:r>
      <w:r>
        <w:rPr>
          <w:rFonts w:hint="eastAsia" w:ascii="仿宋" w:hAnsi="仿宋" w:eastAsia="仿宋" w:cs="仿宋"/>
          <w:color w:val="000000"/>
          <w:spacing w:val="4"/>
          <w:kern w:val="2"/>
          <w:sz w:val="32"/>
          <w:szCs w:val="32"/>
          <w:highlight w:val="none"/>
          <w:lang w:val="en-US" w:eastAsia="zh-CN" w:bidi="ar-SA"/>
        </w:rPr>
        <w:t>2024</w:t>
      </w:r>
      <w:bookmarkStart w:id="0" w:name="_GoBack"/>
      <w:bookmarkEnd w:id="0"/>
      <w:r>
        <w:rPr>
          <w:rFonts w:hint="eastAsia" w:ascii="仿宋" w:hAnsi="仿宋" w:eastAsia="仿宋" w:cs="仿宋"/>
          <w:color w:val="000000"/>
          <w:spacing w:val="4"/>
          <w:kern w:val="2"/>
          <w:sz w:val="32"/>
          <w:szCs w:val="32"/>
          <w:highlight w:val="none"/>
          <w:lang w:val="en-US" w:eastAsia="zh-CN" w:bidi="ar-SA"/>
        </w:rPr>
        <w:t>年8月20日</w:t>
      </w:r>
    </w:p>
    <w:sectPr>
      <w:headerReference r:id="rId5" w:type="default"/>
      <w:footerReference r:id="rId6" w:type="default"/>
      <w:pgSz w:w="11906" w:h="16838"/>
      <w:pgMar w:top="2098" w:right="1276" w:bottom="1984" w:left="1587"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CB1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6C4DD">
                          <w:pPr>
                            <w:pStyle w:val="9"/>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14:paraId="5D86C4DD">
                    <w:pPr>
                      <w:pStyle w:val="9"/>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6C24">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2"/>
      <w:lvlText w:val="%1"/>
      <w:lvlJc w:val="left"/>
      <w:pPr>
        <w:tabs>
          <w:tab w:val="left" w:pos="792"/>
        </w:tabs>
        <w:ind w:left="792" w:hanging="432"/>
      </w:pPr>
      <w:rPr>
        <w:rFonts w:hint="eastAsia" w:ascii="黑体" w:hAnsi="Times New Roman" w:eastAsia="黑体" w:cs="Times New Roman"/>
        <w:b/>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567"/>
        </w:tabs>
        <w:ind w:left="567" w:hanging="567"/>
      </w:pPr>
      <w:rPr>
        <w:rFonts w:hint="default" w:ascii="Times New Roman" w:hAnsi="Times New Roman" w:eastAsia="宋体" w:cs="Times New Roman"/>
        <w:b/>
        <w:i w:val="0"/>
        <w:color w:val="auto"/>
        <w:sz w:val="24"/>
        <w:szCs w:val="24"/>
      </w:rPr>
    </w:lvl>
    <w:lvl w:ilvl="3" w:tentative="0">
      <w:start w:val="1"/>
      <w:numFmt w:val="decimal"/>
      <w:lvlText w:val="%1.%2.%3.%4"/>
      <w:lvlJc w:val="left"/>
      <w:pPr>
        <w:tabs>
          <w:tab w:val="left" w:pos="284"/>
        </w:tabs>
        <w:ind w:left="255" w:hanging="198"/>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49BA7A4"/>
    <w:multiLevelType w:val="singleLevel"/>
    <w:tmpl w:val="749BA7A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MzA5NDcwYWJhYWVmZTY4ZTk1ZDdiZjQ3ZTA2YWYifQ=="/>
  </w:docVars>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3309"/>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066BA"/>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0333FC"/>
    <w:rsid w:val="012D5C29"/>
    <w:rsid w:val="01543ECE"/>
    <w:rsid w:val="01AE3AE6"/>
    <w:rsid w:val="01AE7488"/>
    <w:rsid w:val="01BF31D1"/>
    <w:rsid w:val="01D03FEC"/>
    <w:rsid w:val="01D159D9"/>
    <w:rsid w:val="01ED243B"/>
    <w:rsid w:val="01ED35F8"/>
    <w:rsid w:val="02224966"/>
    <w:rsid w:val="029E3B84"/>
    <w:rsid w:val="033476DA"/>
    <w:rsid w:val="03A60F18"/>
    <w:rsid w:val="03D345CC"/>
    <w:rsid w:val="03DA560A"/>
    <w:rsid w:val="042C501E"/>
    <w:rsid w:val="04571AFC"/>
    <w:rsid w:val="045D12EC"/>
    <w:rsid w:val="04E92909"/>
    <w:rsid w:val="04EA6DAD"/>
    <w:rsid w:val="04FF037E"/>
    <w:rsid w:val="053B6EE6"/>
    <w:rsid w:val="054144F3"/>
    <w:rsid w:val="05956313"/>
    <w:rsid w:val="05990BE6"/>
    <w:rsid w:val="05C814D1"/>
    <w:rsid w:val="05D8789C"/>
    <w:rsid w:val="06093262"/>
    <w:rsid w:val="0638548F"/>
    <w:rsid w:val="065879BD"/>
    <w:rsid w:val="067D29C7"/>
    <w:rsid w:val="06C74ECC"/>
    <w:rsid w:val="06E42BFA"/>
    <w:rsid w:val="06E85C93"/>
    <w:rsid w:val="070865B3"/>
    <w:rsid w:val="072C6D6B"/>
    <w:rsid w:val="07354ECC"/>
    <w:rsid w:val="07511000"/>
    <w:rsid w:val="07702649"/>
    <w:rsid w:val="07DA01BE"/>
    <w:rsid w:val="080709A5"/>
    <w:rsid w:val="08114650"/>
    <w:rsid w:val="08260CF9"/>
    <w:rsid w:val="085F7936"/>
    <w:rsid w:val="086B7063"/>
    <w:rsid w:val="088A61B1"/>
    <w:rsid w:val="088B2B53"/>
    <w:rsid w:val="089413C5"/>
    <w:rsid w:val="091D1DA1"/>
    <w:rsid w:val="09415B9F"/>
    <w:rsid w:val="0952317A"/>
    <w:rsid w:val="095C419A"/>
    <w:rsid w:val="097C2114"/>
    <w:rsid w:val="09837298"/>
    <w:rsid w:val="0998469B"/>
    <w:rsid w:val="09BE25B6"/>
    <w:rsid w:val="09BE6112"/>
    <w:rsid w:val="09FA59E7"/>
    <w:rsid w:val="0A851326"/>
    <w:rsid w:val="0A876F19"/>
    <w:rsid w:val="0A9F631F"/>
    <w:rsid w:val="0ADB0443"/>
    <w:rsid w:val="0BDF6813"/>
    <w:rsid w:val="0BF719CD"/>
    <w:rsid w:val="0BFD72E7"/>
    <w:rsid w:val="0C1122F2"/>
    <w:rsid w:val="0C3B064F"/>
    <w:rsid w:val="0C562ECC"/>
    <w:rsid w:val="0C9940FF"/>
    <w:rsid w:val="0C995126"/>
    <w:rsid w:val="0CAD246E"/>
    <w:rsid w:val="0CFE2CC9"/>
    <w:rsid w:val="0D021275"/>
    <w:rsid w:val="0D3358B6"/>
    <w:rsid w:val="0D4B23B2"/>
    <w:rsid w:val="0D8E35FC"/>
    <w:rsid w:val="0D9A7649"/>
    <w:rsid w:val="0E150251"/>
    <w:rsid w:val="0E2E1E19"/>
    <w:rsid w:val="0E75128A"/>
    <w:rsid w:val="0E8C312C"/>
    <w:rsid w:val="0EB464CA"/>
    <w:rsid w:val="0EBF5211"/>
    <w:rsid w:val="0F29268F"/>
    <w:rsid w:val="0F4815CC"/>
    <w:rsid w:val="0F4E340A"/>
    <w:rsid w:val="0F512394"/>
    <w:rsid w:val="0F7F00F1"/>
    <w:rsid w:val="0FA90105"/>
    <w:rsid w:val="101616EC"/>
    <w:rsid w:val="10461AD6"/>
    <w:rsid w:val="108968AB"/>
    <w:rsid w:val="10E943BC"/>
    <w:rsid w:val="110C5B62"/>
    <w:rsid w:val="11324747"/>
    <w:rsid w:val="11423004"/>
    <w:rsid w:val="11BB73DB"/>
    <w:rsid w:val="11C96983"/>
    <w:rsid w:val="12284E79"/>
    <w:rsid w:val="12941229"/>
    <w:rsid w:val="129F6024"/>
    <w:rsid w:val="12C1072B"/>
    <w:rsid w:val="12D0209F"/>
    <w:rsid w:val="12D81B8D"/>
    <w:rsid w:val="13092833"/>
    <w:rsid w:val="13680488"/>
    <w:rsid w:val="13B70FE9"/>
    <w:rsid w:val="140D6837"/>
    <w:rsid w:val="14360E9D"/>
    <w:rsid w:val="14541564"/>
    <w:rsid w:val="148C4635"/>
    <w:rsid w:val="15612611"/>
    <w:rsid w:val="15653932"/>
    <w:rsid w:val="156A02A5"/>
    <w:rsid w:val="158942BB"/>
    <w:rsid w:val="16105693"/>
    <w:rsid w:val="16123C8E"/>
    <w:rsid w:val="162714E3"/>
    <w:rsid w:val="163C269B"/>
    <w:rsid w:val="16414F1E"/>
    <w:rsid w:val="166B778F"/>
    <w:rsid w:val="167429F4"/>
    <w:rsid w:val="16CC5B36"/>
    <w:rsid w:val="16DF07A0"/>
    <w:rsid w:val="16E4540B"/>
    <w:rsid w:val="16E81710"/>
    <w:rsid w:val="176A2F62"/>
    <w:rsid w:val="18486CB8"/>
    <w:rsid w:val="18757D21"/>
    <w:rsid w:val="188744BB"/>
    <w:rsid w:val="188E4B07"/>
    <w:rsid w:val="18A10DE5"/>
    <w:rsid w:val="18A36E79"/>
    <w:rsid w:val="18BD66CD"/>
    <w:rsid w:val="1A10338C"/>
    <w:rsid w:val="1A17490B"/>
    <w:rsid w:val="1A1F4F6D"/>
    <w:rsid w:val="1A44428C"/>
    <w:rsid w:val="1A466652"/>
    <w:rsid w:val="1A5058B6"/>
    <w:rsid w:val="1A5F6D6C"/>
    <w:rsid w:val="1AA17DB9"/>
    <w:rsid w:val="1AE96D60"/>
    <w:rsid w:val="1AF910A0"/>
    <w:rsid w:val="1B0F4CFD"/>
    <w:rsid w:val="1B3E5305"/>
    <w:rsid w:val="1B5F06EB"/>
    <w:rsid w:val="1B6E71DD"/>
    <w:rsid w:val="1B7532B5"/>
    <w:rsid w:val="1B9E6554"/>
    <w:rsid w:val="1BCA4F59"/>
    <w:rsid w:val="1BDF2185"/>
    <w:rsid w:val="1C083018"/>
    <w:rsid w:val="1C3F0F1B"/>
    <w:rsid w:val="1C493F61"/>
    <w:rsid w:val="1C4C681C"/>
    <w:rsid w:val="1C511779"/>
    <w:rsid w:val="1C534D67"/>
    <w:rsid w:val="1CB37522"/>
    <w:rsid w:val="1CCE45CD"/>
    <w:rsid w:val="1D4321A3"/>
    <w:rsid w:val="1D596D36"/>
    <w:rsid w:val="1D964AAF"/>
    <w:rsid w:val="1DCA3884"/>
    <w:rsid w:val="1DDE1448"/>
    <w:rsid w:val="1E3A67FD"/>
    <w:rsid w:val="1E5B2A7B"/>
    <w:rsid w:val="1E9A3AF9"/>
    <w:rsid w:val="1EA026C9"/>
    <w:rsid w:val="1ED0749E"/>
    <w:rsid w:val="1EF92040"/>
    <w:rsid w:val="1EFA69E1"/>
    <w:rsid w:val="1F2154ED"/>
    <w:rsid w:val="1F2958D3"/>
    <w:rsid w:val="1F612791"/>
    <w:rsid w:val="1F8004F5"/>
    <w:rsid w:val="1F9B7931"/>
    <w:rsid w:val="1FAC6719"/>
    <w:rsid w:val="1FC12C5E"/>
    <w:rsid w:val="1FE92C51"/>
    <w:rsid w:val="20095B14"/>
    <w:rsid w:val="202B0267"/>
    <w:rsid w:val="204E2218"/>
    <w:rsid w:val="205224FE"/>
    <w:rsid w:val="205C1174"/>
    <w:rsid w:val="20BB217F"/>
    <w:rsid w:val="210132D3"/>
    <w:rsid w:val="21B856E5"/>
    <w:rsid w:val="21C204A4"/>
    <w:rsid w:val="21D23C17"/>
    <w:rsid w:val="21D91D9E"/>
    <w:rsid w:val="22433EBD"/>
    <w:rsid w:val="229D1CE8"/>
    <w:rsid w:val="22C80E8F"/>
    <w:rsid w:val="22C837C6"/>
    <w:rsid w:val="22D03DD0"/>
    <w:rsid w:val="231B68C4"/>
    <w:rsid w:val="232C6C32"/>
    <w:rsid w:val="23A639DA"/>
    <w:rsid w:val="23CE2D7B"/>
    <w:rsid w:val="23D700A4"/>
    <w:rsid w:val="243C0C96"/>
    <w:rsid w:val="244B378A"/>
    <w:rsid w:val="24526BE5"/>
    <w:rsid w:val="24686E21"/>
    <w:rsid w:val="24C34ACD"/>
    <w:rsid w:val="24E91CFB"/>
    <w:rsid w:val="25183443"/>
    <w:rsid w:val="251A4BEF"/>
    <w:rsid w:val="254C263C"/>
    <w:rsid w:val="257F27A2"/>
    <w:rsid w:val="25B51410"/>
    <w:rsid w:val="25EB3281"/>
    <w:rsid w:val="260C3AD1"/>
    <w:rsid w:val="26423EFF"/>
    <w:rsid w:val="267169E9"/>
    <w:rsid w:val="26C24876"/>
    <w:rsid w:val="26C7259C"/>
    <w:rsid w:val="274F6EC1"/>
    <w:rsid w:val="27893F8C"/>
    <w:rsid w:val="27906E6E"/>
    <w:rsid w:val="27BA1B7C"/>
    <w:rsid w:val="27C03033"/>
    <w:rsid w:val="27C96B13"/>
    <w:rsid w:val="27F337F5"/>
    <w:rsid w:val="27FE25B8"/>
    <w:rsid w:val="28DE13B6"/>
    <w:rsid w:val="29583A35"/>
    <w:rsid w:val="297F6DFB"/>
    <w:rsid w:val="29800011"/>
    <w:rsid w:val="29B0749A"/>
    <w:rsid w:val="29E25A79"/>
    <w:rsid w:val="2A215DB4"/>
    <w:rsid w:val="2A247DBB"/>
    <w:rsid w:val="2A7677D7"/>
    <w:rsid w:val="2A8E65A7"/>
    <w:rsid w:val="2B042976"/>
    <w:rsid w:val="2B431A3F"/>
    <w:rsid w:val="2B45236F"/>
    <w:rsid w:val="2B99301B"/>
    <w:rsid w:val="2BD91DBD"/>
    <w:rsid w:val="2BF70E1B"/>
    <w:rsid w:val="2C3575FD"/>
    <w:rsid w:val="2C36248E"/>
    <w:rsid w:val="2C491D5B"/>
    <w:rsid w:val="2C6D6814"/>
    <w:rsid w:val="2C9A7D53"/>
    <w:rsid w:val="2CAB47C4"/>
    <w:rsid w:val="2CE81886"/>
    <w:rsid w:val="2CED2FDA"/>
    <w:rsid w:val="2D0848C5"/>
    <w:rsid w:val="2D621927"/>
    <w:rsid w:val="2E00207F"/>
    <w:rsid w:val="2E0E786C"/>
    <w:rsid w:val="2E1C176D"/>
    <w:rsid w:val="2E5170EA"/>
    <w:rsid w:val="2ED91A45"/>
    <w:rsid w:val="2EFF65BF"/>
    <w:rsid w:val="2F057F4F"/>
    <w:rsid w:val="2F3B7AFD"/>
    <w:rsid w:val="2F476BB2"/>
    <w:rsid w:val="2F7B66D0"/>
    <w:rsid w:val="2FBE547D"/>
    <w:rsid w:val="2FFD1D02"/>
    <w:rsid w:val="2FFE4C0B"/>
    <w:rsid w:val="3015575C"/>
    <w:rsid w:val="302837E4"/>
    <w:rsid w:val="30622197"/>
    <w:rsid w:val="306D20D8"/>
    <w:rsid w:val="3073000C"/>
    <w:rsid w:val="3076612A"/>
    <w:rsid w:val="30A551EC"/>
    <w:rsid w:val="30AC0449"/>
    <w:rsid w:val="30C619CB"/>
    <w:rsid w:val="3104551C"/>
    <w:rsid w:val="3106646D"/>
    <w:rsid w:val="31391598"/>
    <w:rsid w:val="31A95D5C"/>
    <w:rsid w:val="31BE7812"/>
    <w:rsid w:val="328F037F"/>
    <w:rsid w:val="33000108"/>
    <w:rsid w:val="336A22C1"/>
    <w:rsid w:val="33741DC8"/>
    <w:rsid w:val="33B11EC4"/>
    <w:rsid w:val="34711A93"/>
    <w:rsid w:val="348549E7"/>
    <w:rsid w:val="34DD0564"/>
    <w:rsid w:val="35B069A7"/>
    <w:rsid w:val="35B15AAC"/>
    <w:rsid w:val="35B4328A"/>
    <w:rsid w:val="35F16608"/>
    <w:rsid w:val="35FA51FE"/>
    <w:rsid w:val="360C02F8"/>
    <w:rsid w:val="36570620"/>
    <w:rsid w:val="36E44291"/>
    <w:rsid w:val="375456AC"/>
    <w:rsid w:val="37546213"/>
    <w:rsid w:val="375F0685"/>
    <w:rsid w:val="379445B6"/>
    <w:rsid w:val="387150D3"/>
    <w:rsid w:val="38F812E8"/>
    <w:rsid w:val="39272E42"/>
    <w:rsid w:val="39357CA9"/>
    <w:rsid w:val="399176BE"/>
    <w:rsid w:val="3A157E48"/>
    <w:rsid w:val="3A8E5140"/>
    <w:rsid w:val="3AE349D1"/>
    <w:rsid w:val="3B0A280C"/>
    <w:rsid w:val="3B0F711B"/>
    <w:rsid w:val="3B125EF8"/>
    <w:rsid w:val="3B2E591B"/>
    <w:rsid w:val="3B4B1994"/>
    <w:rsid w:val="3B9A2191"/>
    <w:rsid w:val="3BA76AE1"/>
    <w:rsid w:val="3BB94552"/>
    <w:rsid w:val="3BF178B1"/>
    <w:rsid w:val="3C7007EC"/>
    <w:rsid w:val="3CD47902"/>
    <w:rsid w:val="3D780AE8"/>
    <w:rsid w:val="3D9A4D52"/>
    <w:rsid w:val="3DA11C79"/>
    <w:rsid w:val="3DAC00F4"/>
    <w:rsid w:val="3DD36518"/>
    <w:rsid w:val="3DE272B1"/>
    <w:rsid w:val="3DEE185B"/>
    <w:rsid w:val="3DEF0AD6"/>
    <w:rsid w:val="3E0B5655"/>
    <w:rsid w:val="3E184547"/>
    <w:rsid w:val="3E237685"/>
    <w:rsid w:val="3EA845CC"/>
    <w:rsid w:val="3EFA3BEC"/>
    <w:rsid w:val="3F3442AA"/>
    <w:rsid w:val="3F460C8D"/>
    <w:rsid w:val="3F4E171F"/>
    <w:rsid w:val="40254AFB"/>
    <w:rsid w:val="408E24B2"/>
    <w:rsid w:val="40AF71A3"/>
    <w:rsid w:val="40BD7416"/>
    <w:rsid w:val="40C73D23"/>
    <w:rsid w:val="41760AA5"/>
    <w:rsid w:val="41B24C4F"/>
    <w:rsid w:val="42472E54"/>
    <w:rsid w:val="429C278D"/>
    <w:rsid w:val="432D42D0"/>
    <w:rsid w:val="436F0A40"/>
    <w:rsid w:val="439A26DB"/>
    <w:rsid w:val="43B93AF5"/>
    <w:rsid w:val="43BA3FC5"/>
    <w:rsid w:val="43F959BD"/>
    <w:rsid w:val="44645BA5"/>
    <w:rsid w:val="447D04C8"/>
    <w:rsid w:val="44A207B5"/>
    <w:rsid w:val="44DE6824"/>
    <w:rsid w:val="453E1CD7"/>
    <w:rsid w:val="45544C08"/>
    <w:rsid w:val="456F4189"/>
    <w:rsid w:val="45772094"/>
    <w:rsid w:val="45CF0E9E"/>
    <w:rsid w:val="45E80663"/>
    <w:rsid w:val="45EC7588"/>
    <w:rsid w:val="461448F7"/>
    <w:rsid w:val="463C423F"/>
    <w:rsid w:val="465A498A"/>
    <w:rsid w:val="465A7315"/>
    <w:rsid w:val="4680740B"/>
    <w:rsid w:val="468B4517"/>
    <w:rsid w:val="46926864"/>
    <w:rsid w:val="46A54B0F"/>
    <w:rsid w:val="46B467A7"/>
    <w:rsid w:val="46CD441C"/>
    <w:rsid w:val="471714AF"/>
    <w:rsid w:val="4729371C"/>
    <w:rsid w:val="476F0470"/>
    <w:rsid w:val="48101CDD"/>
    <w:rsid w:val="481D7ECC"/>
    <w:rsid w:val="484F7B35"/>
    <w:rsid w:val="485A6652"/>
    <w:rsid w:val="48A069BA"/>
    <w:rsid w:val="48AE3800"/>
    <w:rsid w:val="48E65B5B"/>
    <w:rsid w:val="49287347"/>
    <w:rsid w:val="49354A08"/>
    <w:rsid w:val="49634005"/>
    <w:rsid w:val="4993613B"/>
    <w:rsid w:val="49B07B17"/>
    <w:rsid w:val="49C77282"/>
    <w:rsid w:val="4A3D5D50"/>
    <w:rsid w:val="4A703499"/>
    <w:rsid w:val="4A8649CF"/>
    <w:rsid w:val="4A9B4753"/>
    <w:rsid w:val="4AA37943"/>
    <w:rsid w:val="4AB744D3"/>
    <w:rsid w:val="4ADA0518"/>
    <w:rsid w:val="4B0B25FB"/>
    <w:rsid w:val="4B106736"/>
    <w:rsid w:val="4B41052E"/>
    <w:rsid w:val="4B9304A5"/>
    <w:rsid w:val="4B9602DD"/>
    <w:rsid w:val="4BB30D0B"/>
    <w:rsid w:val="4BE354F9"/>
    <w:rsid w:val="4BE51D09"/>
    <w:rsid w:val="4BE5557E"/>
    <w:rsid w:val="4BEE392E"/>
    <w:rsid w:val="4C395498"/>
    <w:rsid w:val="4D246998"/>
    <w:rsid w:val="4D45677E"/>
    <w:rsid w:val="4DCB3F26"/>
    <w:rsid w:val="4DD816AB"/>
    <w:rsid w:val="4DD92AE7"/>
    <w:rsid w:val="4DE21FE3"/>
    <w:rsid w:val="4DEE12CE"/>
    <w:rsid w:val="4DF95995"/>
    <w:rsid w:val="4E036FC1"/>
    <w:rsid w:val="4E075118"/>
    <w:rsid w:val="4E56633F"/>
    <w:rsid w:val="4E6A7DDF"/>
    <w:rsid w:val="4F1B62EC"/>
    <w:rsid w:val="4F1E6B4A"/>
    <w:rsid w:val="4F803124"/>
    <w:rsid w:val="4FEA6F2C"/>
    <w:rsid w:val="4FFF4689"/>
    <w:rsid w:val="5051105B"/>
    <w:rsid w:val="509001D9"/>
    <w:rsid w:val="50B14EA5"/>
    <w:rsid w:val="50C86E43"/>
    <w:rsid w:val="517B596D"/>
    <w:rsid w:val="51900572"/>
    <w:rsid w:val="51DB6FAB"/>
    <w:rsid w:val="52132C6C"/>
    <w:rsid w:val="52BB5FDC"/>
    <w:rsid w:val="52D94894"/>
    <w:rsid w:val="52E138B1"/>
    <w:rsid w:val="53852E05"/>
    <w:rsid w:val="53B711BD"/>
    <w:rsid w:val="53CB3149"/>
    <w:rsid w:val="53D57E72"/>
    <w:rsid w:val="53E41753"/>
    <w:rsid w:val="53F34F30"/>
    <w:rsid w:val="53F40D52"/>
    <w:rsid w:val="541859B5"/>
    <w:rsid w:val="542461B4"/>
    <w:rsid w:val="545D5E0B"/>
    <w:rsid w:val="54952865"/>
    <w:rsid w:val="54B84CAA"/>
    <w:rsid w:val="55085A60"/>
    <w:rsid w:val="55114E75"/>
    <w:rsid w:val="55366F69"/>
    <w:rsid w:val="554C3B9F"/>
    <w:rsid w:val="557D01FC"/>
    <w:rsid w:val="55982951"/>
    <w:rsid w:val="561A5A4B"/>
    <w:rsid w:val="569637C0"/>
    <w:rsid w:val="5697709C"/>
    <w:rsid w:val="56B62346"/>
    <w:rsid w:val="56B74BDC"/>
    <w:rsid w:val="573568B4"/>
    <w:rsid w:val="577566ED"/>
    <w:rsid w:val="577F6BA4"/>
    <w:rsid w:val="58026A51"/>
    <w:rsid w:val="587474AF"/>
    <w:rsid w:val="589D2963"/>
    <w:rsid w:val="58B03321"/>
    <w:rsid w:val="58B71C90"/>
    <w:rsid w:val="58CD32E8"/>
    <w:rsid w:val="591B69A8"/>
    <w:rsid w:val="59414293"/>
    <w:rsid w:val="59AA3FF9"/>
    <w:rsid w:val="59DB12B3"/>
    <w:rsid w:val="59E07892"/>
    <w:rsid w:val="5A107B8D"/>
    <w:rsid w:val="5A3263A9"/>
    <w:rsid w:val="5A42464D"/>
    <w:rsid w:val="5A532664"/>
    <w:rsid w:val="5A615DDF"/>
    <w:rsid w:val="5AA93841"/>
    <w:rsid w:val="5AD07020"/>
    <w:rsid w:val="5AFE2E05"/>
    <w:rsid w:val="5B12588A"/>
    <w:rsid w:val="5B2C0540"/>
    <w:rsid w:val="5B30342C"/>
    <w:rsid w:val="5B6B4FEA"/>
    <w:rsid w:val="5B996C72"/>
    <w:rsid w:val="5BF53B92"/>
    <w:rsid w:val="5C2530AE"/>
    <w:rsid w:val="5C6D01F8"/>
    <w:rsid w:val="5CAC01CB"/>
    <w:rsid w:val="5D0F6CD8"/>
    <w:rsid w:val="5D770F58"/>
    <w:rsid w:val="5F010883"/>
    <w:rsid w:val="5FBA4E4C"/>
    <w:rsid w:val="5FD26846"/>
    <w:rsid w:val="5FE01AB3"/>
    <w:rsid w:val="5FEB2BCB"/>
    <w:rsid w:val="600F468F"/>
    <w:rsid w:val="60470972"/>
    <w:rsid w:val="60AF3F75"/>
    <w:rsid w:val="60CD4D27"/>
    <w:rsid w:val="60CE78E1"/>
    <w:rsid w:val="60E0450D"/>
    <w:rsid w:val="60E77AD1"/>
    <w:rsid w:val="61040EA5"/>
    <w:rsid w:val="61360325"/>
    <w:rsid w:val="616854FA"/>
    <w:rsid w:val="620C1DA3"/>
    <w:rsid w:val="621D021C"/>
    <w:rsid w:val="63192991"/>
    <w:rsid w:val="635C7308"/>
    <w:rsid w:val="63A831E2"/>
    <w:rsid w:val="63BD57C6"/>
    <w:rsid w:val="63E66D2D"/>
    <w:rsid w:val="63ED6B74"/>
    <w:rsid w:val="63F56961"/>
    <w:rsid w:val="643E43F2"/>
    <w:rsid w:val="64516D1A"/>
    <w:rsid w:val="64917754"/>
    <w:rsid w:val="64A37553"/>
    <w:rsid w:val="6539718A"/>
    <w:rsid w:val="657924DC"/>
    <w:rsid w:val="657A6729"/>
    <w:rsid w:val="657F402D"/>
    <w:rsid w:val="65B217D5"/>
    <w:rsid w:val="65C62AAF"/>
    <w:rsid w:val="662326FA"/>
    <w:rsid w:val="66521411"/>
    <w:rsid w:val="66961E3C"/>
    <w:rsid w:val="66A2129D"/>
    <w:rsid w:val="66C20165"/>
    <w:rsid w:val="6705004C"/>
    <w:rsid w:val="676E0745"/>
    <w:rsid w:val="67990F2E"/>
    <w:rsid w:val="679E4A51"/>
    <w:rsid w:val="67CB767B"/>
    <w:rsid w:val="68185BEC"/>
    <w:rsid w:val="68251446"/>
    <w:rsid w:val="688D0ACA"/>
    <w:rsid w:val="68A97E8F"/>
    <w:rsid w:val="68AF296B"/>
    <w:rsid w:val="68EA26DC"/>
    <w:rsid w:val="68F17803"/>
    <w:rsid w:val="691202EB"/>
    <w:rsid w:val="69757189"/>
    <w:rsid w:val="6A372C18"/>
    <w:rsid w:val="6A476406"/>
    <w:rsid w:val="6A54657B"/>
    <w:rsid w:val="6A687275"/>
    <w:rsid w:val="6A737633"/>
    <w:rsid w:val="6AAB7162"/>
    <w:rsid w:val="6B141A4C"/>
    <w:rsid w:val="6B266A30"/>
    <w:rsid w:val="6BA708F2"/>
    <w:rsid w:val="6BB53802"/>
    <w:rsid w:val="6BD4248C"/>
    <w:rsid w:val="6BE77FC6"/>
    <w:rsid w:val="6BE85984"/>
    <w:rsid w:val="6C04239A"/>
    <w:rsid w:val="6C251109"/>
    <w:rsid w:val="6C3F0FA7"/>
    <w:rsid w:val="6C486736"/>
    <w:rsid w:val="6C515AE7"/>
    <w:rsid w:val="6C5E7310"/>
    <w:rsid w:val="6C6B2F98"/>
    <w:rsid w:val="6CB16327"/>
    <w:rsid w:val="6CD504C6"/>
    <w:rsid w:val="6CEA21C3"/>
    <w:rsid w:val="6CF12E67"/>
    <w:rsid w:val="6D2B3600"/>
    <w:rsid w:val="6DEF39DF"/>
    <w:rsid w:val="6DF731D4"/>
    <w:rsid w:val="6E2E75B8"/>
    <w:rsid w:val="6E302565"/>
    <w:rsid w:val="6E6F6B54"/>
    <w:rsid w:val="6EB96AE0"/>
    <w:rsid w:val="6EE934B5"/>
    <w:rsid w:val="6F914DEF"/>
    <w:rsid w:val="6FAB56DD"/>
    <w:rsid w:val="6FF944CB"/>
    <w:rsid w:val="7040045B"/>
    <w:rsid w:val="707779B5"/>
    <w:rsid w:val="70DB022F"/>
    <w:rsid w:val="70DC62C7"/>
    <w:rsid w:val="70F25AEA"/>
    <w:rsid w:val="711235A4"/>
    <w:rsid w:val="711869E3"/>
    <w:rsid w:val="71332ADA"/>
    <w:rsid w:val="71766569"/>
    <w:rsid w:val="718944C6"/>
    <w:rsid w:val="71C138DA"/>
    <w:rsid w:val="7235034F"/>
    <w:rsid w:val="7238577F"/>
    <w:rsid w:val="723914F7"/>
    <w:rsid w:val="72D17DDC"/>
    <w:rsid w:val="72E74E49"/>
    <w:rsid w:val="736B043C"/>
    <w:rsid w:val="73CA0659"/>
    <w:rsid w:val="73E57B4E"/>
    <w:rsid w:val="73F9545A"/>
    <w:rsid w:val="74122000"/>
    <w:rsid w:val="74A13F0C"/>
    <w:rsid w:val="74EF24DB"/>
    <w:rsid w:val="751C3136"/>
    <w:rsid w:val="754F0C44"/>
    <w:rsid w:val="756D1BE3"/>
    <w:rsid w:val="75906821"/>
    <w:rsid w:val="75E56467"/>
    <w:rsid w:val="76184CB6"/>
    <w:rsid w:val="764364A0"/>
    <w:rsid w:val="76440617"/>
    <w:rsid w:val="76D5684F"/>
    <w:rsid w:val="77152654"/>
    <w:rsid w:val="773650D4"/>
    <w:rsid w:val="77461AAD"/>
    <w:rsid w:val="775234C7"/>
    <w:rsid w:val="775E232A"/>
    <w:rsid w:val="778E72C8"/>
    <w:rsid w:val="77A65CCE"/>
    <w:rsid w:val="77CF26E1"/>
    <w:rsid w:val="77DB6D35"/>
    <w:rsid w:val="77E761FD"/>
    <w:rsid w:val="781516FF"/>
    <w:rsid w:val="7833398A"/>
    <w:rsid w:val="78485F58"/>
    <w:rsid w:val="78552BBA"/>
    <w:rsid w:val="7867549A"/>
    <w:rsid w:val="78DB3308"/>
    <w:rsid w:val="78E15062"/>
    <w:rsid w:val="78EB30E1"/>
    <w:rsid w:val="791D5318"/>
    <w:rsid w:val="792E5A51"/>
    <w:rsid w:val="793C4517"/>
    <w:rsid w:val="793F47F4"/>
    <w:rsid w:val="79876FEC"/>
    <w:rsid w:val="798D56F0"/>
    <w:rsid w:val="79CC24A5"/>
    <w:rsid w:val="79F95B51"/>
    <w:rsid w:val="79FA0753"/>
    <w:rsid w:val="7A267042"/>
    <w:rsid w:val="7AA95265"/>
    <w:rsid w:val="7AAE1062"/>
    <w:rsid w:val="7AEF50BF"/>
    <w:rsid w:val="7B15371E"/>
    <w:rsid w:val="7B231500"/>
    <w:rsid w:val="7B376C61"/>
    <w:rsid w:val="7B41207C"/>
    <w:rsid w:val="7B9E33E0"/>
    <w:rsid w:val="7BAD7063"/>
    <w:rsid w:val="7BC04826"/>
    <w:rsid w:val="7BD0513A"/>
    <w:rsid w:val="7BE349AD"/>
    <w:rsid w:val="7BF12353"/>
    <w:rsid w:val="7C3308B7"/>
    <w:rsid w:val="7C496298"/>
    <w:rsid w:val="7CA26617"/>
    <w:rsid w:val="7CE02C47"/>
    <w:rsid w:val="7D193810"/>
    <w:rsid w:val="7D267D83"/>
    <w:rsid w:val="7D7A2C5C"/>
    <w:rsid w:val="7DC9372F"/>
    <w:rsid w:val="7DD13548"/>
    <w:rsid w:val="7ED61A00"/>
    <w:rsid w:val="7ED63C3C"/>
    <w:rsid w:val="7EE43CD7"/>
    <w:rsid w:val="7F225CF8"/>
    <w:rsid w:val="7F582C6A"/>
    <w:rsid w:val="7FD7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paragraph" w:styleId="2">
    <w:name w:val="heading 1"/>
    <w:basedOn w:val="1"/>
    <w:next w:val="1"/>
    <w:qFormat/>
    <w:uiPriority w:val="0"/>
    <w:pPr>
      <w:numPr>
        <w:ilvl w:val="0"/>
        <w:numId w:val="1"/>
      </w:numPr>
      <w:overflowPunct w:val="0"/>
      <w:autoSpaceDE w:val="0"/>
      <w:autoSpaceDN w:val="0"/>
      <w:adjustRightInd w:val="0"/>
      <w:spacing w:before="60" w:after="60" w:line="360" w:lineRule="auto"/>
      <w:textAlignment w:val="baseline"/>
      <w:outlineLvl w:val="0"/>
    </w:pPr>
    <w:rPr>
      <w:rFonts w:ascii="Arial" w:hAnsi="Arial" w:eastAsia="黑体"/>
      <w:spacing w:val="-10"/>
      <w:kern w:val="20"/>
      <w:sz w:val="32"/>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 w:val="22"/>
      <w:szCs w:val="20"/>
    </w:rPr>
  </w:style>
  <w:style w:type="paragraph" w:styleId="4">
    <w:name w:val="Document Map"/>
    <w:basedOn w:val="1"/>
    <w:link w:val="21"/>
    <w:autoRedefine/>
    <w:semiHidden/>
    <w:unhideWhenUsed/>
    <w:qFormat/>
    <w:uiPriority w:val="99"/>
    <w:rPr>
      <w:rFonts w:ascii="宋体" w:eastAsia="宋体"/>
      <w:sz w:val="18"/>
      <w:szCs w:val="18"/>
    </w:rPr>
  </w:style>
  <w:style w:type="paragraph" w:styleId="5">
    <w:name w:val="annotation text"/>
    <w:basedOn w:val="1"/>
    <w:link w:val="23"/>
    <w:autoRedefine/>
    <w:unhideWhenUsed/>
    <w:qFormat/>
    <w:uiPriority w:val="0"/>
    <w:pPr>
      <w:jc w:val="left"/>
    </w:pPr>
  </w:style>
  <w:style w:type="paragraph" w:styleId="6">
    <w:name w:val="Body Text"/>
    <w:basedOn w:val="1"/>
    <w:autoRedefine/>
    <w:unhideWhenUsed/>
    <w:qFormat/>
    <w:uiPriority w:val="1"/>
    <w:pPr>
      <w:spacing w:before="135"/>
      <w:ind w:left="140"/>
    </w:pPr>
    <w:rPr>
      <w:rFonts w:hint="eastAsia" w:ascii="宋体" w:hAnsi="宋体" w:eastAsia="宋体"/>
      <w:sz w:val="24"/>
    </w:rPr>
  </w:style>
  <w:style w:type="paragraph" w:styleId="7">
    <w:name w:val="Body Text Indent"/>
    <w:basedOn w:val="1"/>
    <w:autoRedefine/>
    <w:qFormat/>
    <w:uiPriority w:val="0"/>
    <w:pPr>
      <w:snapToGrid/>
      <w:spacing w:line="360" w:lineRule="atLeast"/>
      <w:ind w:left="480" w:firstLine="480"/>
      <w:textAlignment w:val="baseline"/>
    </w:pPr>
    <w:rPr>
      <w:kern w:val="0"/>
      <w:szCs w:val="20"/>
    </w:rPr>
  </w:style>
  <w:style w:type="paragraph" w:styleId="8">
    <w:name w:val="Balloon Text"/>
    <w:basedOn w:val="1"/>
    <w:link w:val="22"/>
    <w:autoRedefine/>
    <w:semiHidden/>
    <w:unhideWhenUsed/>
    <w:qFormat/>
    <w:uiPriority w:val="99"/>
    <w:rPr>
      <w:sz w:val="18"/>
      <w:szCs w:val="18"/>
    </w:rPr>
  </w:style>
  <w:style w:type="paragraph" w:styleId="9">
    <w:name w:val="footer"/>
    <w:basedOn w:val="1"/>
    <w:link w:val="20"/>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4"/>
    <w:autoRedefine/>
    <w:semiHidden/>
    <w:unhideWhenUsed/>
    <w:qFormat/>
    <w:uiPriority w:val="99"/>
    <w:rPr>
      <w:b/>
      <w:bCs/>
    </w:rPr>
  </w:style>
  <w:style w:type="paragraph" w:styleId="12">
    <w:name w:val="Body Text First Indent 2"/>
    <w:basedOn w:val="7"/>
    <w:autoRedefine/>
    <w:qFormat/>
    <w:uiPriority w:val="0"/>
    <w:pPr>
      <w:adjustRightInd/>
      <w:spacing w:after="120" w:line="240" w:lineRule="auto"/>
      <w:ind w:left="420" w:leftChars="200" w:firstLine="420" w:firstLineChars="200"/>
      <w:jc w:val="both"/>
      <w:textAlignment w:val="auto"/>
    </w:pPr>
    <w:rPr>
      <w:kern w:val="2"/>
      <w:sz w:val="21"/>
      <w:szCs w:val="24"/>
    </w:rPr>
  </w:style>
  <w:style w:type="character" w:styleId="15">
    <w:name w:val="annotation reference"/>
    <w:basedOn w:val="14"/>
    <w:autoRedefine/>
    <w:semiHidden/>
    <w:unhideWhenUsed/>
    <w:qFormat/>
    <w:uiPriority w:val="99"/>
    <w:rPr>
      <w:sz w:val="21"/>
      <w:szCs w:val="21"/>
    </w:rPr>
  </w:style>
  <w:style w:type="paragraph" w:customStyle="1" w:styleId="16">
    <w:name w:val="表格编号"/>
    <w:basedOn w:val="1"/>
    <w:next w:val="17"/>
    <w:qFormat/>
    <w:uiPriority w:val="0"/>
    <w:pPr>
      <w:spacing w:line="60" w:lineRule="atLeast"/>
      <w:jc w:val="left"/>
    </w:pPr>
    <w:rPr>
      <w:spacing w:val="10"/>
      <w:kern w:val="0"/>
    </w:rPr>
  </w:style>
  <w:style w:type="paragraph" w:customStyle="1" w:styleId="17">
    <w:name w:val="表格文字"/>
    <w:basedOn w:val="3"/>
    <w:next w:val="1"/>
    <w:qFormat/>
    <w:uiPriority w:val="0"/>
    <w:pPr>
      <w:snapToGrid w:val="0"/>
      <w:jc w:val="center"/>
    </w:pPr>
  </w:style>
  <w:style w:type="paragraph" w:customStyle="1" w:styleId="18">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character" w:customStyle="1" w:styleId="19">
    <w:name w:val="页眉 Char"/>
    <w:basedOn w:val="14"/>
    <w:link w:val="10"/>
    <w:autoRedefine/>
    <w:semiHidden/>
    <w:qFormat/>
    <w:uiPriority w:val="99"/>
    <w:rPr>
      <w:rFonts w:ascii="Times New Roman" w:hAnsi="Times New Roman" w:eastAsia="华文仿宋" w:cs="Times New Roman"/>
      <w:sz w:val="18"/>
      <w:szCs w:val="18"/>
    </w:rPr>
  </w:style>
  <w:style w:type="character" w:customStyle="1" w:styleId="20">
    <w:name w:val="页脚 Char"/>
    <w:basedOn w:val="14"/>
    <w:link w:val="9"/>
    <w:autoRedefine/>
    <w:semiHidden/>
    <w:qFormat/>
    <w:uiPriority w:val="99"/>
    <w:rPr>
      <w:rFonts w:ascii="Times New Roman" w:hAnsi="Times New Roman" w:eastAsia="华文仿宋" w:cs="Times New Roman"/>
      <w:sz w:val="18"/>
      <w:szCs w:val="18"/>
    </w:rPr>
  </w:style>
  <w:style w:type="character" w:customStyle="1" w:styleId="21">
    <w:name w:val="文档结构图 Char"/>
    <w:basedOn w:val="14"/>
    <w:link w:val="4"/>
    <w:autoRedefine/>
    <w:semiHidden/>
    <w:qFormat/>
    <w:uiPriority w:val="99"/>
    <w:rPr>
      <w:rFonts w:ascii="宋体" w:hAnsi="Times New Roman" w:eastAsia="宋体" w:cs="Times New Roman"/>
      <w:sz w:val="18"/>
      <w:szCs w:val="18"/>
    </w:rPr>
  </w:style>
  <w:style w:type="character" w:customStyle="1" w:styleId="22">
    <w:name w:val="批注框文本 Char"/>
    <w:basedOn w:val="14"/>
    <w:link w:val="8"/>
    <w:autoRedefine/>
    <w:semiHidden/>
    <w:qFormat/>
    <w:uiPriority w:val="99"/>
    <w:rPr>
      <w:rFonts w:ascii="Times New Roman" w:hAnsi="Times New Roman" w:eastAsia="华文仿宋" w:cs="Times New Roman"/>
      <w:sz w:val="18"/>
      <w:szCs w:val="18"/>
    </w:rPr>
  </w:style>
  <w:style w:type="character" w:customStyle="1" w:styleId="23">
    <w:name w:val="批注文字 Char"/>
    <w:basedOn w:val="14"/>
    <w:link w:val="5"/>
    <w:autoRedefine/>
    <w:qFormat/>
    <w:uiPriority w:val="0"/>
    <w:rPr>
      <w:rFonts w:ascii="Times New Roman" w:hAnsi="Times New Roman" w:eastAsia="华文仿宋" w:cs="Times New Roman"/>
      <w:sz w:val="32"/>
      <w:szCs w:val="24"/>
    </w:rPr>
  </w:style>
  <w:style w:type="character" w:customStyle="1" w:styleId="24">
    <w:name w:val="批注主题 Char"/>
    <w:basedOn w:val="23"/>
    <w:link w:val="11"/>
    <w:autoRedefine/>
    <w:semiHidden/>
    <w:qFormat/>
    <w:uiPriority w:val="99"/>
    <w:rPr>
      <w:rFonts w:ascii="Times New Roman" w:hAnsi="Times New Roman" w:eastAsia="华文仿宋" w:cs="Times New Roman"/>
      <w:b/>
      <w:bCs/>
      <w:sz w:val="32"/>
      <w:szCs w:val="24"/>
    </w:rPr>
  </w:style>
  <w:style w:type="paragraph" w:styleId="2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1615</Words>
  <Characters>1713</Characters>
  <Lines>10</Lines>
  <Paragraphs>3</Paragraphs>
  <TotalTime>62</TotalTime>
  <ScaleCrop>false</ScaleCrop>
  <LinksUpToDate>false</LinksUpToDate>
  <CharactersWithSpaces>1769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周国宏（周文）</cp:lastModifiedBy>
  <cp:lastPrinted>2023-08-04T01:36:00Z</cp:lastPrinted>
  <dcterms:modified xsi:type="dcterms:W3CDTF">2024-08-27T11:56:48Z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C0EEFB0C8CCC459791E65382711E4988_13</vt:lpwstr>
  </property>
</Properties>
</file>